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黑体" w:hAnsi="黑体" w:eastAsia="黑体"/>
          <w:bCs/>
          <w:color w:val="000000" w:themeColor="text1"/>
          <w:sz w:val="52"/>
          <w:szCs w:val="52"/>
          <w14:shadow w14:blurRad="38100" w14:dist="19050" w14:dir="2700000" w14:sx="100000" w14:sy="100000" w14:kx="0" w14:ky="0" w14:algn="tl">
            <w14:schemeClr w14:val="dk1">
              <w14:alpha w14:val="60000"/>
            </w14:schemeClr>
          </w14:shadow>
          <w14:textFill>
            <w14:solidFill>
              <w14:schemeClr w14:val="tx1"/>
            </w14:solidFill>
          </w14:textFill>
        </w:rPr>
      </w:pPr>
      <w:bookmarkStart w:id="0" w:name="_Toc25120"/>
    </w:p>
    <w:p>
      <w:pPr>
        <w:spacing w:line="360" w:lineRule="auto"/>
        <w:jc w:val="center"/>
        <w:rPr>
          <w:rFonts w:ascii="黑体" w:hAnsi="黑体" w:eastAsia="黑体"/>
          <w:bCs/>
          <w:color w:val="000000" w:themeColor="text1"/>
          <w:spacing w:val="30"/>
          <w:sz w:val="52"/>
          <w:szCs w:val="52"/>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ascii="黑体" w:hAnsi="黑体" w:eastAsia="黑体"/>
          <w:bCs/>
          <w:color w:val="000000" w:themeColor="text1"/>
          <w:spacing w:val="30"/>
          <w:sz w:val="52"/>
          <w:szCs w:val="52"/>
          <w14:shadow w14:blurRad="38100" w14:dist="19050" w14:dir="2700000" w14:sx="100000" w14:sy="100000" w14:kx="0" w14:ky="0" w14:algn="tl">
            <w14:schemeClr w14:val="dk1">
              <w14:alpha w14:val="60000"/>
            </w14:schemeClr>
          </w14:shadow>
          <w14:textFill>
            <w14:solidFill>
              <w14:schemeClr w14:val="tx1"/>
            </w14:solidFill>
          </w14:textFill>
        </w:rPr>
        <w:t>宁夏腾发农业科技有限公司</w:t>
      </w:r>
    </w:p>
    <w:p>
      <w:pPr>
        <w:spacing w:line="360" w:lineRule="auto"/>
        <w:jc w:val="center"/>
        <w:rPr>
          <w:rFonts w:ascii="黑体" w:hAnsi="黑体" w:eastAsia="黑体"/>
          <w:bCs/>
          <w:color w:val="000000" w:themeColor="text1"/>
          <w:spacing w:val="40"/>
          <w:sz w:val="44"/>
          <w:szCs w:val="44"/>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ascii="黑体" w:hAnsi="黑体" w:eastAsia="黑体"/>
          <w:bCs/>
          <w:color w:val="000000" w:themeColor="text1"/>
          <w:spacing w:val="40"/>
          <w:sz w:val="44"/>
          <w:szCs w:val="44"/>
          <w14:shadow w14:blurRad="38100" w14:dist="19050" w14:dir="2700000" w14:sx="100000" w14:sy="100000" w14:kx="0" w14:ky="0" w14:algn="tl">
            <w14:schemeClr w14:val="dk1">
              <w14:alpha w14:val="60000"/>
            </w14:schemeClr>
          </w14:shadow>
          <w14:textFill>
            <w14:solidFill>
              <w14:schemeClr w14:val="tx1"/>
            </w14:solidFill>
          </w14:textFill>
        </w:rPr>
        <w:t>千头基础母牛养殖场建设项目</w:t>
      </w:r>
    </w:p>
    <w:p>
      <w:pPr>
        <w:spacing w:line="480" w:lineRule="auto"/>
        <w:jc w:val="center"/>
        <w:rPr>
          <w:rFonts w:ascii="黑体" w:hAnsi="黑体" w:eastAsia="黑体"/>
          <w:b/>
          <w:color w:val="000000" w:themeColor="text1"/>
          <w:spacing w:val="70"/>
          <w:sz w:val="84"/>
          <w:szCs w:val="8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14:textFill>
            <w14:solidFill>
              <w14:schemeClr w14:val="tx1"/>
            </w14:solidFill>
          </w14:textFill>
        </w:rPr>
      </w:pPr>
      <w:r>
        <w:rPr>
          <w:rFonts w:ascii="黑体" w:hAnsi="黑体" w:eastAsia="黑体"/>
          <w:b/>
          <w:color w:val="000000" w:themeColor="text1"/>
          <w:spacing w:val="70"/>
          <w:sz w:val="84"/>
          <w:szCs w:val="8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14:textFill>
            <w14:solidFill>
              <w14:schemeClr w14:val="tx1"/>
            </w14:solidFill>
          </w14:textFill>
        </w:rPr>
        <w:t>环境影响报告书</w:t>
      </w:r>
    </w:p>
    <w:p>
      <w:pPr>
        <w:pStyle w:val="11"/>
        <w:rPr>
          <w:b/>
          <w:sz w:val="72"/>
        </w:rPr>
      </w:pPr>
    </w:p>
    <w:p>
      <w:pPr>
        <w:pStyle w:val="11"/>
        <w:rPr>
          <w:b/>
          <w:sz w:val="72"/>
        </w:rPr>
      </w:pPr>
    </w:p>
    <w:p>
      <w:pPr>
        <w:pStyle w:val="11"/>
        <w:rPr>
          <w:b/>
          <w:sz w:val="72"/>
        </w:rPr>
      </w:pPr>
    </w:p>
    <w:p>
      <w:pPr>
        <w:pStyle w:val="11"/>
        <w:rPr>
          <w:b/>
          <w:sz w:val="72"/>
        </w:rPr>
      </w:pPr>
    </w:p>
    <w:p>
      <w:pPr>
        <w:spacing w:before="508" w:line="364" w:lineRule="auto"/>
        <w:ind w:right="2594"/>
        <w:rPr>
          <w:rFonts w:ascii="宋体" w:hAnsi="宋体" w:cs="宋体"/>
          <w:b/>
          <w:bCs/>
          <w:sz w:val="30"/>
          <w:szCs w:val="30"/>
        </w:rPr>
      </w:pPr>
    </w:p>
    <w:p>
      <w:pPr>
        <w:spacing w:line="700" w:lineRule="exact"/>
        <w:ind w:firstLine="2108" w:firstLineChars="700"/>
        <w:jc w:val="left"/>
        <w:rPr>
          <w:rFonts w:ascii="宋体" w:hAnsi="宋体" w:cs="宋体"/>
          <w:b/>
          <w:bCs/>
          <w:sz w:val="30"/>
          <w:szCs w:val="30"/>
        </w:rPr>
      </w:pPr>
      <w:r>
        <w:rPr>
          <w:rFonts w:hint="eastAsia" w:ascii="宋体" w:hAnsi="宋体" w:cs="宋体"/>
          <w:b/>
          <w:bCs/>
          <w:sz w:val="30"/>
          <w:szCs w:val="30"/>
        </w:rPr>
        <w:t>建设单位：</w:t>
      </w:r>
      <w:r>
        <w:rPr>
          <w:rFonts w:hint="eastAsia" w:ascii="宋体" w:hAnsi="宋体" w:cs="宋体"/>
          <w:b/>
          <w:bCs/>
          <w:spacing w:val="17"/>
          <w:sz w:val="30"/>
          <w:szCs w:val="30"/>
        </w:rPr>
        <w:t>宁夏腾发农业科技有限公司</w:t>
      </w:r>
    </w:p>
    <w:p>
      <w:pPr>
        <w:spacing w:line="700" w:lineRule="exact"/>
        <w:ind w:firstLine="2108" w:firstLineChars="700"/>
        <w:jc w:val="left"/>
        <w:rPr>
          <w:rFonts w:ascii="宋体" w:hAnsi="宋体" w:cs="宋体"/>
          <w:b/>
          <w:bCs/>
          <w:sz w:val="30"/>
          <w:szCs w:val="30"/>
        </w:rPr>
      </w:pPr>
      <w:r>
        <w:rPr>
          <w:rFonts w:hint="eastAsia" w:ascii="宋体" w:hAnsi="宋体" w:cs="宋体"/>
          <w:b/>
          <w:bCs/>
          <w:sz w:val="30"/>
          <w:szCs w:val="30"/>
        </w:rPr>
        <w:t>编制单位：宁夏盛博恒环保工程有限公司</w:t>
      </w:r>
    </w:p>
    <w:p>
      <w:pPr>
        <w:spacing w:before="274"/>
        <w:jc w:val="center"/>
        <w:rPr>
          <w:b/>
          <w:sz w:val="32"/>
        </w:rPr>
      </w:pPr>
      <w:r>
        <w:rPr>
          <w:b/>
          <w:sz w:val="32"/>
        </w:rPr>
        <w:t>编制日期：</w:t>
      </w:r>
      <w:r>
        <w:rPr>
          <w:rFonts w:ascii="Times New Roman" w:eastAsia="Times New Roman"/>
          <w:b/>
          <w:sz w:val="32"/>
        </w:rPr>
        <w:t>202</w:t>
      </w:r>
      <w:r>
        <w:rPr>
          <w:rFonts w:hint="eastAsia" w:ascii="Times New Roman" w:eastAsia="宋体"/>
          <w:b/>
          <w:sz w:val="32"/>
          <w:lang w:val="en-US" w:eastAsia="zh-CN"/>
        </w:rPr>
        <w:t>2</w:t>
      </w:r>
      <w:r>
        <w:rPr>
          <w:rFonts w:ascii="Times New Roman" w:eastAsia="Times New Roman"/>
          <w:b/>
          <w:sz w:val="32"/>
        </w:rPr>
        <w:t xml:space="preserve"> </w:t>
      </w:r>
      <w:r>
        <w:rPr>
          <w:b/>
          <w:sz w:val="32"/>
        </w:rPr>
        <w:t xml:space="preserve">年 </w:t>
      </w:r>
      <w:r>
        <w:rPr>
          <w:rFonts w:hint="eastAsia" w:ascii="Times New Roman"/>
          <w:b/>
          <w:sz w:val="32"/>
          <w:lang w:val="en-US" w:eastAsia="zh-CN"/>
        </w:rPr>
        <w:t>8</w:t>
      </w:r>
      <w:r>
        <w:rPr>
          <w:rFonts w:ascii="Times New Roman" w:eastAsia="Times New Roman"/>
          <w:b/>
          <w:sz w:val="32"/>
        </w:rPr>
        <w:t xml:space="preserve"> </w:t>
      </w:r>
      <w:r>
        <w:rPr>
          <w:b/>
          <w:sz w:val="32"/>
        </w:rPr>
        <w:t>月</w:t>
      </w:r>
    </w:p>
    <w:p>
      <w:pPr>
        <w:jc w:val="center"/>
        <w:rPr>
          <w:sz w:val="32"/>
        </w:rPr>
        <w:sectPr>
          <w:pgSz w:w="11911" w:h="16838"/>
          <w:pgMar w:top="1701" w:right="1417" w:bottom="1701" w:left="1417" w:header="1134" w:footer="1134" w:gutter="0"/>
          <w:pgBorders>
            <w:top w:val="none" w:sz="0" w:space="0"/>
            <w:left w:val="none" w:sz="0" w:space="0"/>
            <w:bottom w:val="none" w:sz="0" w:space="0"/>
            <w:right w:val="none" w:sz="0" w:space="0"/>
          </w:pgBorders>
          <w:cols w:space="720" w:num="1"/>
        </w:sectPr>
      </w:pPr>
    </w:p>
    <w:p>
      <w:pPr>
        <w:rPr>
          <w:rFonts w:ascii="宋体" w:hAnsi="宋体"/>
          <w:b/>
          <w:bCs/>
          <w:sz w:val="32"/>
          <w:szCs w:val="32"/>
        </w:rPr>
        <w:sectPr>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p>
    <w:p>
      <w:pPr>
        <w:jc w:val="center"/>
        <w:rPr>
          <w:b/>
          <w:bCs/>
          <w:sz w:val="32"/>
          <w:szCs w:val="32"/>
        </w:rPr>
      </w:pPr>
      <w:r>
        <w:rPr>
          <w:rFonts w:ascii="宋体" w:hAnsi="宋体"/>
          <w:b/>
          <w:bCs/>
          <w:sz w:val="32"/>
          <w:szCs w:val="32"/>
        </w:rPr>
        <w:t>目录</w:t>
      </w:r>
    </w:p>
    <w:p>
      <w:pPr>
        <w:pStyle w:val="21"/>
        <w:tabs>
          <w:tab w:val="right" w:leader="dot" w:pos="9077"/>
        </w:tabs>
      </w:pPr>
      <w:r>
        <w:rPr>
          <w:rFonts w:ascii="Times New Roman" w:hAnsi="Times New Roman"/>
          <w:sz w:val="24"/>
        </w:rPr>
        <w:fldChar w:fldCharType="begin"/>
      </w:r>
      <w:r>
        <w:rPr>
          <w:rFonts w:ascii="Times New Roman" w:hAnsi="Times New Roman"/>
          <w:sz w:val="24"/>
        </w:rPr>
        <w:instrText xml:space="preserve">TOC \o "1-2" \h \u </w:instrText>
      </w:r>
      <w:r>
        <w:rPr>
          <w:rFonts w:ascii="Times New Roman" w:hAnsi="Times New Roman"/>
          <w:sz w:val="24"/>
        </w:rPr>
        <w:fldChar w:fldCharType="separate"/>
      </w:r>
      <w:r>
        <w:rPr>
          <w:rFonts w:ascii="Times New Roman" w:hAnsi="Times New Roman"/>
        </w:rPr>
        <w:fldChar w:fldCharType="begin"/>
      </w:r>
      <w:r>
        <w:rPr>
          <w:rFonts w:ascii="Times New Roman" w:hAnsi="Times New Roman"/>
        </w:rPr>
        <w:instrText xml:space="preserve"> HYPERLINK \l _Toc29820 </w:instrText>
      </w:r>
      <w:r>
        <w:rPr>
          <w:rFonts w:ascii="Times New Roman" w:hAnsi="Times New Roman"/>
        </w:rPr>
        <w:fldChar w:fldCharType="separate"/>
      </w:r>
      <w:r>
        <w:rPr>
          <w:rFonts w:hint="eastAsia" w:cs="宋体"/>
          <w:bCs w:val="0"/>
          <w:snapToGrid w:val="0"/>
          <w:kern w:val="0"/>
          <w:szCs w:val="28"/>
        </w:rPr>
        <w:t>概述</w:t>
      </w:r>
      <w:r>
        <w:tab/>
      </w:r>
      <w:r>
        <w:fldChar w:fldCharType="begin"/>
      </w:r>
      <w:r>
        <w:instrText xml:space="preserve"> PAGEREF _Toc29820 \h </w:instrText>
      </w:r>
      <w:r>
        <w:fldChar w:fldCharType="separate"/>
      </w:r>
      <w:r>
        <w:t>1</w:t>
      </w:r>
      <w:r>
        <w:fldChar w:fldCharType="end"/>
      </w:r>
      <w:r>
        <w:rPr>
          <w:rFonts w:ascii="Times New Roman" w:hAnsi="Times New Roman"/>
        </w:rPr>
        <w:fldChar w:fldCharType="end"/>
      </w:r>
    </w:p>
    <w:p>
      <w:pPr>
        <w:pStyle w:val="21"/>
        <w:tabs>
          <w:tab w:val="right" w:leader="dot" w:pos="9077"/>
        </w:tabs>
      </w:pPr>
      <w:r>
        <w:rPr>
          <w:rFonts w:ascii="Times New Roman" w:hAnsi="Times New Roman"/>
        </w:rPr>
        <w:fldChar w:fldCharType="begin"/>
      </w:r>
      <w:r>
        <w:rPr>
          <w:rFonts w:ascii="Times New Roman" w:hAnsi="Times New Roman"/>
        </w:rPr>
        <w:instrText xml:space="preserve"> HYPERLINK \l _Toc31254 </w:instrText>
      </w:r>
      <w:r>
        <w:rPr>
          <w:rFonts w:ascii="Times New Roman" w:hAnsi="Times New Roman"/>
        </w:rPr>
        <w:fldChar w:fldCharType="separate"/>
      </w:r>
      <w:r>
        <w:rPr>
          <w:rFonts w:hint="eastAsia"/>
          <w:bCs w:val="0"/>
          <w:snapToGrid w:val="0"/>
          <w:kern w:val="0"/>
          <w:szCs w:val="32"/>
        </w:rPr>
        <w:t>1</w:t>
      </w:r>
      <w:r>
        <w:rPr>
          <w:bCs w:val="0"/>
          <w:snapToGrid w:val="0"/>
          <w:kern w:val="0"/>
          <w:szCs w:val="32"/>
        </w:rPr>
        <w:t>总则</w:t>
      </w:r>
      <w:r>
        <w:tab/>
      </w:r>
      <w:r>
        <w:fldChar w:fldCharType="begin"/>
      </w:r>
      <w:r>
        <w:instrText xml:space="preserve"> PAGEREF _Toc31254 \h </w:instrText>
      </w:r>
      <w:r>
        <w:fldChar w:fldCharType="separate"/>
      </w:r>
      <w:r>
        <w:t>9</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_Toc24253 </w:instrText>
      </w:r>
      <w:r>
        <w:rPr>
          <w:rFonts w:ascii="Times New Roman" w:hAnsi="Times New Roman"/>
        </w:rPr>
        <w:fldChar w:fldCharType="separate"/>
      </w:r>
      <w:r>
        <w:rPr>
          <w:rFonts w:hint="eastAsia" w:cs="Times New Roman"/>
          <w:bCs w:val="0"/>
          <w:snapToGrid w:val="0"/>
          <w:kern w:val="0"/>
          <w:szCs w:val="30"/>
        </w:rPr>
        <w:t>1</w:t>
      </w:r>
      <w:r>
        <w:rPr>
          <w:rFonts w:cs="Times New Roman"/>
          <w:bCs w:val="0"/>
          <w:snapToGrid w:val="0"/>
          <w:kern w:val="0"/>
          <w:szCs w:val="30"/>
        </w:rPr>
        <w:t>.1编制依据</w:t>
      </w:r>
      <w:r>
        <w:tab/>
      </w:r>
      <w:r>
        <w:fldChar w:fldCharType="begin"/>
      </w:r>
      <w:r>
        <w:instrText xml:space="preserve"> PAGEREF _Toc24253 \h </w:instrText>
      </w:r>
      <w:r>
        <w:fldChar w:fldCharType="separate"/>
      </w:r>
      <w:r>
        <w:t>9</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_Toc10328 </w:instrText>
      </w:r>
      <w:r>
        <w:rPr>
          <w:rFonts w:ascii="Times New Roman" w:hAnsi="Times New Roman"/>
        </w:rPr>
        <w:fldChar w:fldCharType="separate"/>
      </w:r>
      <w:r>
        <w:rPr>
          <w:rFonts w:hint="eastAsia" w:cs="Times New Roman"/>
          <w:bCs w:val="0"/>
          <w:snapToGrid w:val="0"/>
          <w:kern w:val="0"/>
          <w:szCs w:val="30"/>
        </w:rPr>
        <w:t>1</w:t>
      </w:r>
      <w:r>
        <w:rPr>
          <w:rFonts w:cs="Times New Roman"/>
          <w:bCs w:val="0"/>
          <w:snapToGrid w:val="0"/>
          <w:kern w:val="0"/>
          <w:szCs w:val="30"/>
        </w:rPr>
        <w:t>.2环境影响因素识别和评价因子筛选</w:t>
      </w:r>
      <w:r>
        <w:tab/>
      </w:r>
      <w:r>
        <w:fldChar w:fldCharType="begin"/>
      </w:r>
      <w:r>
        <w:instrText xml:space="preserve"> PAGEREF _Toc10328 \h </w:instrText>
      </w:r>
      <w:r>
        <w:fldChar w:fldCharType="separate"/>
      </w:r>
      <w:r>
        <w:t>15</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_Toc7430 </w:instrText>
      </w:r>
      <w:r>
        <w:rPr>
          <w:rFonts w:ascii="Times New Roman" w:hAnsi="Times New Roman"/>
        </w:rPr>
        <w:fldChar w:fldCharType="separate"/>
      </w:r>
      <w:r>
        <w:rPr>
          <w:rFonts w:hint="eastAsia" w:cs="Times New Roman"/>
          <w:bCs w:val="0"/>
          <w:snapToGrid w:val="0"/>
          <w:kern w:val="0"/>
          <w:szCs w:val="30"/>
        </w:rPr>
        <w:t>1</w:t>
      </w:r>
      <w:r>
        <w:rPr>
          <w:rFonts w:cs="Times New Roman"/>
          <w:bCs w:val="0"/>
          <w:snapToGrid w:val="0"/>
          <w:kern w:val="0"/>
          <w:szCs w:val="30"/>
        </w:rPr>
        <w:t>.3评价原则</w:t>
      </w:r>
      <w:r>
        <w:tab/>
      </w:r>
      <w:r>
        <w:fldChar w:fldCharType="begin"/>
      </w:r>
      <w:r>
        <w:instrText xml:space="preserve"> PAGEREF _Toc7430 \h </w:instrText>
      </w:r>
      <w:r>
        <w:fldChar w:fldCharType="separate"/>
      </w:r>
      <w:r>
        <w:t>17</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_Toc25068 </w:instrText>
      </w:r>
      <w:r>
        <w:rPr>
          <w:rFonts w:ascii="Times New Roman" w:hAnsi="Times New Roman"/>
        </w:rPr>
        <w:fldChar w:fldCharType="separate"/>
      </w:r>
      <w:r>
        <w:rPr>
          <w:rFonts w:hint="eastAsia" w:cs="Times New Roman"/>
          <w:bCs w:val="0"/>
          <w:snapToGrid w:val="0"/>
          <w:kern w:val="0"/>
          <w:szCs w:val="30"/>
        </w:rPr>
        <w:t>1</w:t>
      </w:r>
      <w:r>
        <w:rPr>
          <w:rFonts w:cs="Times New Roman"/>
          <w:bCs w:val="0"/>
          <w:snapToGrid w:val="0"/>
          <w:kern w:val="0"/>
          <w:szCs w:val="30"/>
        </w:rPr>
        <w:t>.4评价标准</w:t>
      </w:r>
      <w:r>
        <w:tab/>
      </w:r>
      <w:r>
        <w:fldChar w:fldCharType="begin"/>
      </w:r>
      <w:r>
        <w:instrText xml:space="preserve"> PAGEREF _Toc25068 \h </w:instrText>
      </w:r>
      <w:r>
        <w:fldChar w:fldCharType="separate"/>
      </w:r>
      <w:r>
        <w:t>18</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_Toc9234 </w:instrText>
      </w:r>
      <w:r>
        <w:rPr>
          <w:rFonts w:ascii="Times New Roman" w:hAnsi="Times New Roman"/>
        </w:rPr>
        <w:fldChar w:fldCharType="separate"/>
      </w:r>
      <w:r>
        <w:rPr>
          <w:rFonts w:hint="eastAsia" w:cs="Times New Roman"/>
          <w:bCs w:val="0"/>
          <w:snapToGrid w:val="0"/>
          <w:kern w:val="0"/>
          <w:szCs w:val="30"/>
        </w:rPr>
        <w:t>1</w:t>
      </w:r>
      <w:r>
        <w:rPr>
          <w:rFonts w:cs="Times New Roman"/>
          <w:bCs w:val="0"/>
          <w:snapToGrid w:val="0"/>
          <w:kern w:val="0"/>
          <w:szCs w:val="30"/>
        </w:rPr>
        <w:t>.5评价工作等级及评价范围</w:t>
      </w:r>
      <w:r>
        <w:tab/>
      </w:r>
      <w:r>
        <w:fldChar w:fldCharType="begin"/>
      </w:r>
      <w:r>
        <w:instrText xml:space="preserve"> PAGEREF _Toc9234 \h </w:instrText>
      </w:r>
      <w:r>
        <w:fldChar w:fldCharType="separate"/>
      </w:r>
      <w:r>
        <w:t>24</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_Toc32264 </w:instrText>
      </w:r>
      <w:r>
        <w:rPr>
          <w:rFonts w:ascii="Times New Roman" w:hAnsi="Times New Roman"/>
        </w:rPr>
        <w:fldChar w:fldCharType="separate"/>
      </w:r>
      <w:r>
        <w:rPr>
          <w:rFonts w:hint="eastAsia" w:ascii="Times New Roman" w:hAnsi="Times New Roman" w:eastAsia="宋体"/>
          <w:bCs w:val="0"/>
          <w:szCs w:val="30"/>
        </w:rPr>
        <w:t>1</w:t>
      </w:r>
      <w:r>
        <w:rPr>
          <w:rFonts w:ascii="Times New Roman" w:hAnsi="Times New Roman" w:eastAsia="宋体"/>
          <w:bCs w:val="0"/>
          <w:szCs w:val="30"/>
        </w:rPr>
        <w:t>.6控制污染目标与环境保护目标</w:t>
      </w:r>
      <w:r>
        <w:tab/>
      </w:r>
      <w:r>
        <w:fldChar w:fldCharType="begin"/>
      </w:r>
      <w:r>
        <w:instrText xml:space="preserve"> PAGEREF _Toc32264 \h </w:instrText>
      </w:r>
      <w:r>
        <w:fldChar w:fldCharType="separate"/>
      </w:r>
      <w:r>
        <w:t>35</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_Toc22046 </w:instrText>
      </w:r>
      <w:r>
        <w:rPr>
          <w:rFonts w:ascii="Times New Roman" w:hAnsi="Times New Roman"/>
        </w:rPr>
        <w:fldChar w:fldCharType="separate"/>
      </w:r>
      <w:r>
        <w:rPr>
          <w:rFonts w:hint="eastAsia" w:cs="Times New Roman"/>
          <w:bCs w:val="0"/>
          <w:snapToGrid w:val="0"/>
          <w:kern w:val="0"/>
          <w:szCs w:val="30"/>
        </w:rPr>
        <w:t>1</w:t>
      </w:r>
      <w:r>
        <w:rPr>
          <w:rFonts w:cs="Times New Roman"/>
          <w:bCs w:val="0"/>
          <w:snapToGrid w:val="0"/>
          <w:kern w:val="0"/>
          <w:szCs w:val="30"/>
        </w:rPr>
        <w:t>.7产业政策及规划符合性分析</w:t>
      </w:r>
      <w:r>
        <w:tab/>
      </w:r>
      <w:r>
        <w:fldChar w:fldCharType="begin"/>
      </w:r>
      <w:r>
        <w:instrText xml:space="preserve"> PAGEREF _Toc22046 \h </w:instrText>
      </w:r>
      <w:r>
        <w:fldChar w:fldCharType="separate"/>
      </w:r>
      <w:r>
        <w:t>38</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_Toc1637 </w:instrText>
      </w:r>
      <w:r>
        <w:rPr>
          <w:rFonts w:ascii="Times New Roman" w:hAnsi="Times New Roman"/>
        </w:rPr>
        <w:fldChar w:fldCharType="separate"/>
      </w:r>
      <w:r>
        <w:rPr>
          <w:rFonts w:hint="eastAsia" w:ascii="Times New Roman" w:hAnsi="Times New Roman" w:cs="Times New Roman"/>
          <w:bCs/>
          <w:snapToGrid w:val="0"/>
          <w:kern w:val="2"/>
          <w:szCs w:val="24"/>
          <w:lang w:val="en-US" w:eastAsia="zh-CN" w:bidi="ar-SA"/>
        </w:rPr>
        <w:t>1.7.</w:t>
      </w:r>
      <w:r>
        <w:rPr>
          <w:rFonts w:hint="eastAsia" w:cs="Times New Roman"/>
          <w:bCs/>
          <w:snapToGrid w:val="0"/>
          <w:kern w:val="2"/>
          <w:szCs w:val="24"/>
          <w:lang w:val="en-US" w:eastAsia="zh-CN" w:bidi="ar-SA"/>
        </w:rPr>
        <w:t>1</w:t>
      </w:r>
      <w:r>
        <w:rPr>
          <w:rFonts w:hint="eastAsia" w:ascii="Times New Roman" w:hAnsi="Times New Roman" w:cs="Times New Roman"/>
          <w:bCs/>
          <w:snapToGrid w:val="0"/>
          <w:kern w:val="2"/>
          <w:szCs w:val="24"/>
          <w:lang w:val="en-US" w:eastAsia="zh-CN" w:bidi="ar-SA"/>
        </w:rPr>
        <w:t>.1与《宁夏回族自治区农业农村现代化发展“十四五”规划》符合性分析</w:t>
      </w:r>
      <w:r>
        <w:tab/>
      </w:r>
      <w:r>
        <w:fldChar w:fldCharType="begin"/>
      </w:r>
      <w:r>
        <w:instrText xml:space="preserve"> PAGEREF _Toc1637 \h </w:instrText>
      </w:r>
      <w:r>
        <w:fldChar w:fldCharType="separate"/>
      </w:r>
      <w:r>
        <w:t>39</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_Toc12942 </w:instrText>
      </w:r>
      <w:r>
        <w:rPr>
          <w:rFonts w:ascii="Times New Roman" w:hAnsi="Times New Roman"/>
        </w:rPr>
        <w:fldChar w:fldCharType="separate"/>
      </w:r>
      <w:r>
        <w:rPr>
          <w:rFonts w:hint="eastAsia" w:cs="Times New Roman"/>
          <w:bCs w:val="0"/>
          <w:snapToGrid w:val="0"/>
          <w:kern w:val="0"/>
        </w:rPr>
        <w:t>1</w:t>
      </w:r>
      <w:r>
        <w:rPr>
          <w:rFonts w:cs="Times New Roman"/>
          <w:bCs w:val="0"/>
          <w:snapToGrid w:val="0"/>
          <w:kern w:val="0"/>
        </w:rPr>
        <w:t>.7.</w:t>
      </w:r>
      <w:r>
        <w:rPr>
          <w:rFonts w:hint="eastAsia" w:cs="Times New Roman"/>
          <w:bCs w:val="0"/>
          <w:snapToGrid w:val="0"/>
          <w:kern w:val="0"/>
          <w:highlight w:val="none"/>
        </w:rPr>
        <w:t>2</w:t>
      </w:r>
      <w:r>
        <w:rPr>
          <w:rFonts w:hint="eastAsia" w:cs="Times New Roman"/>
          <w:bCs w:val="0"/>
          <w:snapToGrid w:val="0"/>
          <w:kern w:val="0"/>
          <w:highlight w:val="none"/>
          <w:lang w:eastAsia="zh-CN"/>
        </w:rPr>
        <w:t>与固原市</w:t>
      </w:r>
      <w:r>
        <w:rPr>
          <w:rFonts w:cs="Times New Roman"/>
          <w:bCs w:val="0"/>
          <w:snapToGrid w:val="0"/>
          <w:kern w:val="0"/>
          <w:highlight w:val="none"/>
        </w:rPr>
        <w:t>产业政策符合性分析</w:t>
      </w:r>
      <w:r>
        <w:tab/>
      </w:r>
      <w:r>
        <w:fldChar w:fldCharType="begin"/>
      </w:r>
      <w:r>
        <w:instrText xml:space="preserve"> PAGEREF _Toc12942 \h </w:instrText>
      </w:r>
      <w:r>
        <w:fldChar w:fldCharType="separate"/>
      </w:r>
      <w:r>
        <w:t>39</w:t>
      </w:r>
      <w:r>
        <w:fldChar w:fldCharType="end"/>
      </w:r>
      <w:r>
        <w:rPr>
          <w:rFonts w:ascii="Times New Roman" w:hAnsi="Times New Roman"/>
        </w:rPr>
        <w:fldChar w:fldCharType="end"/>
      </w:r>
    </w:p>
    <w:p>
      <w:pPr>
        <w:pStyle w:val="21"/>
        <w:tabs>
          <w:tab w:val="right" w:leader="dot" w:pos="9077"/>
        </w:tabs>
      </w:pPr>
      <w:r>
        <w:rPr>
          <w:rFonts w:ascii="Times New Roman" w:hAnsi="Times New Roman"/>
        </w:rPr>
        <w:fldChar w:fldCharType="begin"/>
      </w:r>
      <w:r>
        <w:rPr>
          <w:rFonts w:ascii="Times New Roman" w:hAnsi="Times New Roman"/>
        </w:rPr>
        <w:instrText xml:space="preserve"> HYPERLINK \l _Toc23815 </w:instrText>
      </w:r>
      <w:r>
        <w:rPr>
          <w:rFonts w:ascii="Times New Roman" w:hAnsi="Times New Roman"/>
        </w:rPr>
        <w:fldChar w:fldCharType="separate"/>
      </w:r>
      <w:r>
        <w:rPr>
          <w:bCs w:val="0"/>
          <w:snapToGrid w:val="0"/>
          <w:kern w:val="0"/>
          <w:szCs w:val="32"/>
        </w:rPr>
        <w:t>2建设项目概况及工程分析</w:t>
      </w:r>
      <w:r>
        <w:tab/>
      </w:r>
      <w:r>
        <w:fldChar w:fldCharType="begin"/>
      </w:r>
      <w:r>
        <w:instrText xml:space="preserve"> PAGEREF _Toc23815 \h </w:instrText>
      </w:r>
      <w:r>
        <w:fldChar w:fldCharType="separate"/>
      </w:r>
      <w:r>
        <w:t>53</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_Toc30342 </w:instrText>
      </w:r>
      <w:r>
        <w:rPr>
          <w:rFonts w:ascii="Times New Roman" w:hAnsi="Times New Roman"/>
        </w:rPr>
        <w:fldChar w:fldCharType="separate"/>
      </w:r>
      <w:r>
        <w:rPr>
          <w:rFonts w:cs="Times New Roman"/>
          <w:bCs w:val="0"/>
          <w:snapToGrid w:val="0"/>
          <w:kern w:val="0"/>
          <w:szCs w:val="30"/>
        </w:rPr>
        <w:t>2.1项目概况</w:t>
      </w:r>
      <w:r>
        <w:tab/>
      </w:r>
      <w:r>
        <w:fldChar w:fldCharType="begin"/>
      </w:r>
      <w:r>
        <w:instrText xml:space="preserve"> PAGEREF _Toc30342 \h </w:instrText>
      </w:r>
      <w:r>
        <w:fldChar w:fldCharType="separate"/>
      </w:r>
      <w:r>
        <w:t>53</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_Toc5882 </w:instrText>
      </w:r>
      <w:r>
        <w:rPr>
          <w:rFonts w:ascii="Times New Roman" w:hAnsi="Times New Roman"/>
        </w:rPr>
        <w:fldChar w:fldCharType="separate"/>
      </w:r>
      <w:r>
        <w:rPr>
          <w:rFonts w:cs="Times New Roman"/>
          <w:bCs w:val="0"/>
          <w:snapToGrid w:val="0"/>
          <w:kern w:val="0"/>
          <w:szCs w:val="30"/>
        </w:rPr>
        <w:t>2.2工艺流程分析</w:t>
      </w:r>
      <w:r>
        <w:tab/>
      </w:r>
      <w:r>
        <w:fldChar w:fldCharType="begin"/>
      </w:r>
      <w:r>
        <w:instrText xml:space="preserve"> PAGEREF _Toc5882 \h </w:instrText>
      </w:r>
      <w:r>
        <w:fldChar w:fldCharType="separate"/>
      </w:r>
      <w:r>
        <w:t>67</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_Toc1978 </w:instrText>
      </w:r>
      <w:r>
        <w:rPr>
          <w:rFonts w:ascii="Times New Roman" w:hAnsi="Times New Roman"/>
        </w:rPr>
        <w:fldChar w:fldCharType="separate"/>
      </w:r>
      <w:r>
        <w:rPr>
          <w:rFonts w:hint="eastAsia" w:cs="Times New Roman"/>
          <w:bCs w:val="0"/>
          <w:snapToGrid w:val="0"/>
          <w:kern w:val="0"/>
          <w:szCs w:val="30"/>
        </w:rPr>
        <w:t>2.3</w:t>
      </w:r>
      <w:r>
        <w:rPr>
          <w:rFonts w:cs="Times New Roman"/>
          <w:bCs w:val="0"/>
          <w:snapToGrid w:val="0"/>
          <w:kern w:val="0"/>
          <w:szCs w:val="30"/>
        </w:rPr>
        <w:t>施工期污染因素分析</w:t>
      </w:r>
      <w:r>
        <w:tab/>
      </w:r>
      <w:r>
        <w:fldChar w:fldCharType="begin"/>
      </w:r>
      <w:r>
        <w:instrText xml:space="preserve"> PAGEREF _Toc1978 \h </w:instrText>
      </w:r>
      <w:r>
        <w:fldChar w:fldCharType="separate"/>
      </w:r>
      <w:r>
        <w:t>71</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_Toc13399 </w:instrText>
      </w:r>
      <w:r>
        <w:rPr>
          <w:rFonts w:ascii="Times New Roman" w:hAnsi="Times New Roman"/>
        </w:rPr>
        <w:fldChar w:fldCharType="separate"/>
      </w:r>
      <w:r>
        <w:rPr>
          <w:rFonts w:cs="Times New Roman"/>
          <w:bCs w:val="0"/>
          <w:snapToGrid w:val="0"/>
          <w:kern w:val="0"/>
          <w:szCs w:val="30"/>
        </w:rPr>
        <w:t>2.</w:t>
      </w:r>
      <w:r>
        <w:rPr>
          <w:rFonts w:hint="eastAsia" w:cs="Times New Roman"/>
          <w:bCs w:val="0"/>
          <w:snapToGrid w:val="0"/>
          <w:kern w:val="0"/>
          <w:szCs w:val="30"/>
        </w:rPr>
        <w:t>4</w:t>
      </w:r>
      <w:r>
        <w:rPr>
          <w:rFonts w:cs="Times New Roman"/>
          <w:bCs w:val="0"/>
          <w:snapToGrid w:val="0"/>
          <w:kern w:val="0"/>
          <w:szCs w:val="30"/>
        </w:rPr>
        <w:t>运营期污染因素分析</w:t>
      </w:r>
      <w:r>
        <w:tab/>
      </w:r>
      <w:r>
        <w:fldChar w:fldCharType="begin"/>
      </w:r>
      <w:r>
        <w:instrText xml:space="preserve"> PAGEREF _Toc13399 \h </w:instrText>
      </w:r>
      <w:r>
        <w:fldChar w:fldCharType="separate"/>
      </w:r>
      <w:r>
        <w:t>73</w:t>
      </w:r>
      <w:r>
        <w:fldChar w:fldCharType="end"/>
      </w:r>
      <w:r>
        <w:rPr>
          <w:rFonts w:ascii="Times New Roman" w:hAnsi="Times New Roman"/>
        </w:rPr>
        <w:fldChar w:fldCharType="end"/>
      </w:r>
    </w:p>
    <w:p>
      <w:pPr>
        <w:pStyle w:val="21"/>
        <w:tabs>
          <w:tab w:val="right" w:leader="dot" w:pos="9077"/>
        </w:tabs>
      </w:pPr>
      <w:r>
        <w:rPr>
          <w:rFonts w:ascii="Times New Roman" w:hAnsi="Times New Roman"/>
        </w:rPr>
        <w:fldChar w:fldCharType="begin"/>
      </w:r>
      <w:r>
        <w:rPr>
          <w:rFonts w:ascii="Times New Roman" w:hAnsi="Times New Roman"/>
        </w:rPr>
        <w:instrText xml:space="preserve"> HYPERLINK \l _Toc4695 </w:instrText>
      </w:r>
      <w:r>
        <w:rPr>
          <w:rFonts w:ascii="Times New Roman" w:hAnsi="Times New Roman"/>
        </w:rPr>
        <w:fldChar w:fldCharType="separate"/>
      </w:r>
      <w:r>
        <w:rPr>
          <w:bCs w:val="0"/>
          <w:snapToGrid w:val="0"/>
          <w:kern w:val="0"/>
          <w:szCs w:val="32"/>
        </w:rPr>
        <w:t>3环境概况及环境质量现状评价</w:t>
      </w:r>
      <w:r>
        <w:tab/>
      </w:r>
      <w:r>
        <w:fldChar w:fldCharType="begin"/>
      </w:r>
      <w:r>
        <w:instrText xml:space="preserve"> PAGEREF _Toc4695 \h </w:instrText>
      </w:r>
      <w:r>
        <w:fldChar w:fldCharType="separate"/>
      </w:r>
      <w:r>
        <w:t>80</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_Toc27520 </w:instrText>
      </w:r>
      <w:r>
        <w:rPr>
          <w:rFonts w:ascii="Times New Roman" w:hAnsi="Times New Roman"/>
        </w:rPr>
        <w:fldChar w:fldCharType="separate"/>
      </w:r>
      <w:r>
        <w:rPr>
          <w:rFonts w:cs="Times New Roman"/>
          <w:bCs w:val="0"/>
          <w:snapToGrid w:val="0"/>
          <w:kern w:val="0"/>
          <w:szCs w:val="30"/>
        </w:rPr>
        <w:t>3.1区域环境概况</w:t>
      </w:r>
      <w:r>
        <w:tab/>
      </w:r>
      <w:r>
        <w:fldChar w:fldCharType="begin"/>
      </w:r>
      <w:r>
        <w:instrText xml:space="preserve"> PAGEREF _Toc27520 \h </w:instrText>
      </w:r>
      <w:r>
        <w:fldChar w:fldCharType="separate"/>
      </w:r>
      <w:r>
        <w:t>80</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_Toc27261 </w:instrText>
      </w:r>
      <w:r>
        <w:rPr>
          <w:rFonts w:ascii="Times New Roman" w:hAnsi="Times New Roman"/>
        </w:rPr>
        <w:fldChar w:fldCharType="separate"/>
      </w:r>
      <w:r>
        <w:rPr>
          <w:rFonts w:cs="Times New Roman"/>
          <w:bCs w:val="0"/>
          <w:snapToGrid w:val="0"/>
          <w:kern w:val="0"/>
          <w:szCs w:val="30"/>
        </w:rPr>
        <w:t>3.2环境质量现状监测与评价</w:t>
      </w:r>
      <w:r>
        <w:tab/>
      </w:r>
      <w:r>
        <w:fldChar w:fldCharType="begin"/>
      </w:r>
      <w:r>
        <w:instrText xml:space="preserve"> PAGEREF _Toc27261 \h </w:instrText>
      </w:r>
      <w:r>
        <w:fldChar w:fldCharType="separate"/>
      </w:r>
      <w:r>
        <w:t>81</w:t>
      </w:r>
      <w:r>
        <w:fldChar w:fldCharType="end"/>
      </w:r>
      <w:r>
        <w:rPr>
          <w:rFonts w:ascii="Times New Roman" w:hAnsi="Times New Roman"/>
        </w:rPr>
        <w:fldChar w:fldCharType="end"/>
      </w:r>
    </w:p>
    <w:p>
      <w:pPr>
        <w:pStyle w:val="21"/>
        <w:tabs>
          <w:tab w:val="right" w:leader="dot" w:pos="9077"/>
        </w:tabs>
      </w:pPr>
      <w:r>
        <w:rPr>
          <w:rFonts w:ascii="Times New Roman" w:hAnsi="Times New Roman"/>
        </w:rPr>
        <w:fldChar w:fldCharType="begin"/>
      </w:r>
      <w:r>
        <w:rPr>
          <w:rFonts w:ascii="Times New Roman" w:hAnsi="Times New Roman"/>
        </w:rPr>
        <w:instrText xml:space="preserve"> HYPERLINK \l _Toc11672 </w:instrText>
      </w:r>
      <w:r>
        <w:rPr>
          <w:rFonts w:ascii="Times New Roman" w:hAnsi="Times New Roman"/>
        </w:rPr>
        <w:fldChar w:fldCharType="separate"/>
      </w:r>
      <w:r>
        <w:rPr>
          <w:rFonts w:hint="eastAsia"/>
          <w:bCs w:val="0"/>
          <w:snapToGrid w:val="0"/>
          <w:kern w:val="0"/>
          <w:szCs w:val="32"/>
        </w:rPr>
        <w:t>4施工期</w:t>
      </w:r>
      <w:r>
        <w:rPr>
          <w:bCs w:val="0"/>
          <w:snapToGrid w:val="0"/>
          <w:kern w:val="0"/>
          <w:szCs w:val="32"/>
        </w:rPr>
        <w:t>环境影响预测与评价</w:t>
      </w:r>
      <w:r>
        <w:tab/>
      </w:r>
      <w:r>
        <w:fldChar w:fldCharType="begin"/>
      </w:r>
      <w:r>
        <w:instrText xml:space="preserve"> PAGEREF _Toc11672 \h </w:instrText>
      </w:r>
      <w:r>
        <w:fldChar w:fldCharType="separate"/>
      </w:r>
      <w:r>
        <w:t>105</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_Toc20488 </w:instrText>
      </w:r>
      <w:r>
        <w:rPr>
          <w:rFonts w:ascii="Times New Roman" w:hAnsi="Times New Roman"/>
        </w:rPr>
        <w:fldChar w:fldCharType="separate"/>
      </w:r>
      <w:r>
        <w:rPr>
          <w:rFonts w:hint="eastAsia" w:cs="Times New Roman"/>
          <w:bCs w:val="0"/>
          <w:snapToGrid w:val="0"/>
          <w:kern w:val="0"/>
          <w:szCs w:val="30"/>
        </w:rPr>
        <w:t>4.1施工期环境空气影响分析与防护措施</w:t>
      </w:r>
      <w:r>
        <w:tab/>
      </w:r>
      <w:r>
        <w:fldChar w:fldCharType="begin"/>
      </w:r>
      <w:r>
        <w:instrText xml:space="preserve"> PAGEREF _Toc20488 \h </w:instrText>
      </w:r>
      <w:r>
        <w:fldChar w:fldCharType="separate"/>
      </w:r>
      <w:r>
        <w:t>105</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_Toc26988 </w:instrText>
      </w:r>
      <w:r>
        <w:rPr>
          <w:rFonts w:ascii="Times New Roman" w:hAnsi="Times New Roman"/>
        </w:rPr>
        <w:fldChar w:fldCharType="separate"/>
      </w:r>
      <w:r>
        <w:rPr>
          <w:rFonts w:hint="eastAsia" w:cs="Times New Roman"/>
          <w:bCs w:val="0"/>
          <w:snapToGrid w:val="0"/>
          <w:kern w:val="0"/>
          <w:szCs w:val="30"/>
        </w:rPr>
        <w:t>4.2施工期声环境影响分析与防护措施</w:t>
      </w:r>
      <w:r>
        <w:tab/>
      </w:r>
      <w:r>
        <w:fldChar w:fldCharType="begin"/>
      </w:r>
      <w:r>
        <w:instrText xml:space="preserve"> PAGEREF _Toc26988 \h </w:instrText>
      </w:r>
      <w:r>
        <w:fldChar w:fldCharType="separate"/>
      </w:r>
      <w:r>
        <w:t>106</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_Toc12694 </w:instrText>
      </w:r>
      <w:r>
        <w:rPr>
          <w:rFonts w:ascii="Times New Roman" w:hAnsi="Times New Roman"/>
        </w:rPr>
        <w:fldChar w:fldCharType="separate"/>
      </w:r>
      <w:r>
        <w:rPr>
          <w:rFonts w:hint="eastAsia" w:cs="Times New Roman"/>
          <w:bCs w:val="0"/>
          <w:snapToGrid w:val="0"/>
          <w:kern w:val="0"/>
          <w:szCs w:val="30"/>
        </w:rPr>
        <w:t>4.3施工期水环境影响分析及防控措施</w:t>
      </w:r>
      <w:r>
        <w:tab/>
      </w:r>
      <w:r>
        <w:fldChar w:fldCharType="begin"/>
      </w:r>
      <w:r>
        <w:instrText xml:space="preserve"> PAGEREF _Toc12694 \h </w:instrText>
      </w:r>
      <w:r>
        <w:fldChar w:fldCharType="separate"/>
      </w:r>
      <w:r>
        <w:t>108</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_Toc6338 </w:instrText>
      </w:r>
      <w:r>
        <w:rPr>
          <w:rFonts w:ascii="Times New Roman" w:hAnsi="Times New Roman"/>
        </w:rPr>
        <w:fldChar w:fldCharType="separate"/>
      </w:r>
      <w:r>
        <w:rPr>
          <w:rFonts w:hint="eastAsia" w:cs="Times New Roman"/>
          <w:bCs w:val="0"/>
          <w:snapToGrid w:val="0"/>
          <w:kern w:val="0"/>
          <w:szCs w:val="30"/>
        </w:rPr>
        <w:t>4.4施工期固体废物影响分析及防控措施</w:t>
      </w:r>
      <w:r>
        <w:tab/>
      </w:r>
      <w:r>
        <w:fldChar w:fldCharType="begin"/>
      </w:r>
      <w:r>
        <w:instrText xml:space="preserve"> PAGEREF _Toc6338 \h </w:instrText>
      </w:r>
      <w:r>
        <w:fldChar w:fldCharType="separate"/>
      </w:r>
      <w:r>
        <w:t>109</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_Toc12090 </w:instrText>
      </w:r>
      <w:r>
        <w:rPr>
          <w:rFonts w:ascii="Times New Roman" w:hAnsi="Times New Roman"/>
        </w:rPr>
        <w:fldChar w:fldCharType="separate"/>
      </w:r>
      <w:r>
        <w:rPr>
          <w:rFonts w:hint="eastAsia" w:cs="Times New Roman"/>
          <w:bCs w:val="0"/>
          <w:snapToGrid w:val="0"/>
          <w:kern w:val="0"/>
          <w:szCs w:val="30"/>
        </w:rPr>
        <w:t>4.5施工期生态环境影响分析</w:t>
      </w:r>
      <w:r>
        <w:tab/>
      </w:r>
      <w:r>
        <w:fldChar w:fldCharType="begin"/>
      </w:r>
      <w:r>
        <w:instrText xml:space="preserve"> PAGEREF _Toc12090 \h </w:instrText>
      </w:r>
      <w:r>
        <w:fldChar w:fldCharType="separate"/>
      </w:r>
      <w:r>
        <w:t>110</w:t>
      </w:r>
      <w:r>
        <w:fldChar w:fldCharType="end"/>
      </w:r>
      <w:r>
        <w:rPr>
          <w:rFonts w:ascii="Times New Roman" w:hAnsi="Times New Roman"/>
        </w:rPr>
        <w:fldChar w:fldCharType="end"/>
      </w:r>
    </w:p>
    <w:p>
      <w:pPr>
        <w:pStyle w:val="21"/>
        <w:tabs>
          <w:tab w:val="right" w:leader="dot" w:pos="9077"/>
        </w:tabs>
      </w:pPr>
      <w:r>
        <w:rPr>
          <w:rFonts w:ascii="Times New Roman" w:hAnsi="Times New Roman"/>
        </w:rPr>
        <w:fldChar w:fldCharType="begin"/>
      </w:r>
      <w:r>
        <w:rPr>
          <w:rFonts w:ascii="Times New Roman" w:hAnsi="Times New Roman"/>
        </w:rPr>
        <w:instrText xml:space="preserve"> HYPERLINK \l _Toc16779 </w:instrText>
      </w:r>
      <w:r>
        <w:rPr>
          <w:rFonts w:ascii="Times New Roman" w:hAnsi="Times New Roman"/>
        </w:rPr>
        <w:fldChar w:fldCharType="separate"/>
      </w:r>
      <w:r>
        <w:rPr>
          <w:bCs w:val="0"/>
          <w:snapToGrid w:val="0"/>
          <w:kern w:val="0"/>
          <w:szCs w:val="32"/>
        </w:rPr>
        <w:t>5运营期环境影响预测与评价</w:t>
      </w:r>
      <w:r>
        <w:tab/>
      </w:r>
      <w:r>
        <w:fldChar w:fldCharType="begin"/>
      </w:r>
      <w:r>
        <w:instrText xml:space="preserve"> PAGEREF _Toc16779 \h </w:instrText>
      </w:r>
      <w:r>
        <w:fldChar w:fldCharType="separate"/>
      </w:r>
      <w:r>
        <w:t>112</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_Toc32268 </w:instrText>
      </w:r>
      <w:r>
        <w:rPr>
          <w:rFonts w:ascii="Times New Roman" w:hAnsi="Times New Roman"/>
        </w:rPr>
        <w:fldChar w:fldCharType="separate"/>
      </w:r>
      <w:r>
        <w:rPr>
          <w:rFonts w:cs="Times New Roman"/>
          <w:bCs w:val="0"/>
          <w:snapToGrid w:val="0"/>
          <w:kern w:val="0"/>
          <w:szCs w:val="30"/>
        </w:rPr>
        <w:t>5.1环境空气影响分析</w:t>
      </w:r>
      <w:r>
        <w:tab/>
      </w:r>
      <w:r>
        <w:fldChar w:fldCharType="begin"/>
      </w:r>
      <w:r>
        <w:instrText xml:space="preserve"> PAGEREF _Toc32268 \h </w:instrText>
      </w:r>
      <w:r>
        <w:fldChar w:fldCharType="separate"/>
      </w:r>
      <w:r>
        <w:t>112</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_Toc21274 </w:instrText>
      </w:r>
      <w:r>
        <w:rPr>
          <w:rFonts w:ascii="Times New Roman" w:hAnsi="Times New Roman"/>
        </w:rPr>
        <w:fldChar w:fldCharType="separate"/>
      </w:r>
      <w:r>
        <w:rPr>
          <w:rFonts w:cs="Times New Roman"/>
          <w:bCs w:val="0"/>
          <w:snapToGrid w:val="0"/>
          <w:kern w:val="0"/>
          <w:szCs w:val="30"/>
        </w:rPr>
        <w:t>5.2地表水环境影响分析</w:t>
      </w:r>
      <w:r>
        <w:tab/>
      </w:r>
      <w:r>
        <w:fldChar w:fldCharType="begin"/>
      </w:r>
      <w:r>
        <w:instrText xml:space="preserve"> PAGEREF _Toc21274 \h </w:instrText>
      </w:r>
      <w:r>
        <w:fldChar w:fldCharType="separate"/>
      </w:r>
      <w:r>
        <w:t>118</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_Toc17769 </w:instrText>
      </w:r>
      <w:r>
        <w:rPr>
          <w:rFonts w:ascii="Times New Roman" w:hAnsi="Times New Roman"/>
        </w:rPr>
        <w:fldChar w:fldCharType="separate"/>
      </w:r>
      <w:r>
        <w:rPr>
          <w:rFonts w:cs="Times New Roman"/>
          <w:bCs w:val="0"/>
          <w:snapToGrid w:val="0"/>
          <w:kern w:val="0"/>
          <w:szCs w:val="30"/>
        </w:rPr>
        <w:t>5.3地下水环境影响分析</w:t>
      </w:r>
      <w:r>
        <w:tab/>
      </w:r>
      <w:r>
        <w:fldChar w:fldCharType="begin"/>
      </w:r>
      <w:r>
        <w:instrText xml:space="preserve"> PAGEREF _Toc17769 \h </w:instrText>
      </w:r>
      <w:r>
        <w:fldChar w:fldCharType="separate"/>
      </w:r>
      <w:r>
        <w:t>118</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_Toc9860 </w:instrText>
      </w:r>
      <w:r>
        <w:rPr>
          <w:rFonts w:ascii="Times New Roman" w:hAnsi="Times New Roman"/>
        </w:rPr>
        <w:fldChar w:fldCharType="separate"/>
      </w:r>
      <w:r>
        <w:rPr>
          <w:rFonts w:cs="Times New Roman"/>
          <w:bCs w:val="0"/>
          <w:snapToGrid w:val="0"/>
          <w:kern w:val="0"/>
        </w:rPr>
        <w:t>5.4声环境影响分析</w:t>
      </w:r>
      <w:r>
        <w:tab/>
      </w:r>
      <w:r>
        <w:fldChar w:fldCharType="begin"/>
      </w:r>
      <w:r>
        <w:instrText xml:space="preserve"> PAGEREF _Toc9860 \h </w:instrText>
      </w:r>
      <w:r>
        <w:fldChar w:fldCharType="separate"/>
      </w:r>
      <w:r>
        <w:t>125</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_Toc30158 </w:instrText>
      </w:r>
      <w:r>
        <w:rPr>
          <w:rFonts w:ascii="Times New Roman" w:hAnsi="Times New Roman"/>
        </w:rPr>
        <w:fldChar w:fldCharType="separate"/>
      </w:r>
      <w:r>
        <w:rPr>
          <w:rFonts w:cs="Times New Roman"/>
          <w:bCs w:val="0"/>
          <w:snapToGrid w:val="0"/>
          <w:kern w:val="0"/>
          <w:szCs w:val="30"/>
        </w:rPr>
        <w:t>5.5固体废物影响分析</w:t>
      </w:r>
      <w:r>
        <w:tab/>
      </w:r>
      <w:r>
        <w:fldChar w:fldCharType="begin"/>
      </w:r>
      <w:r>
        <w:instrText xml:space="preserve"> PAGEREF _Toc30158 \h </w:instrText>
      </w:r>
      <w:r>
        <w:fldChar w:fldCharType="separate"/>
      </w:r>
      <w:r>
        <w:t>127</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_Toc8206 </w:instrText>
      </w:r>
      <w:r>
        <w:rPr>
          <w:rFonts w:ascii="Times New Roman" w:hAnsi="Times New Roman"/>
        </w:rPr>
        <w:fldChar w:fldCharType="separate"/>
      </w:r>
      <w:r>
        <w:rPr>
          <w:rFonts w:ascii="Times New Roman" w:hAnsi="Times New Roman" w:eastAsia="宋体"/>
          <w:bCs w:val="0"/>
          <w:szCs w:val="30"/>
        </w:rPr>
        <w:t>5.6土壤环境影响分析</w:t>
      </w:r>
      <w:r>
        <w:tab/>
      </w:r>
      <w:r>
        <w:fldChar w:fldCharType="begin"/>
      </w:r>
      <w:r>
        <w:instrText xml:space="preserve"> PAGEREF _Toc8206 \h </w:instrText>
      </w:r>
      <w:r>
        <w:fldChar w:fldCharType="separate"/>
      </w:r>
      <w:r>
        <w:t>130</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_Toc18722 </w:instrText>
      </w:r>
      <w:r>
        <w:rPr>
          <w:rFonts w:ascii="Times New Roman" w:hAnsi="Times New Roman"/>
        </w:rPr>
        <w:fldChar w:fldCharType="separate"/>
      </w:r>
      <w:r>
        <w:rPr>
          <w:rFonts w:cs="Times New Roman"/>
          <w:bCs w:val="0"/>
          <w:snapToGrid w:val="0"/>
          <w:kern w:val="0"/>
          <w:szCs w:val="30"/>
        </w:rPr>
        <w:t>5.7生态环境影响分析</w:t>
      </w:r>
      <w:r>
        <w:tab/>
      </w:r>
      <w:r>
        <w:fldChar w:fldCharType="begin"/>
      </w:r>
      <w:r>
        <w:instrText xml:space="preserve"> PAGEREF _Toc18722 \h </w:instrText>
      </w:r>
      <w:r>
        <w:fldChar w:fldCharType="separate"/>
      </w:r>
      <w:r>
        <w:t>133</w:t>
      </w:r>
      <w:r>
        <w:fldChar w:fldCharType="end"/>
      </w:r>
      <w:r>
        <w:rPr>
          <w:rFonts w:ascii="Times New Roman" w:hAnsi="Times New Roman"/>
        </w:rPr>
        <w:fldChar w:fldCharType="end"/>
      </w:r>
    </w:p>
    <w:p>
      <w:pPr>
        <w:pStyle w:val="21"/>
        <w:tabs>
          <w:tab w:val="right" w:leader="dot" w:pos="9077"/>
        </w:tabs>
      </w:pPr>
      <w:r>
        <w:rPr>
          <w:rFonts w:ascii="Times New Roman" w:hAnsi="Times New Roman"/>
        </w:rPr>
        <w:fldChar w:fldCharType="begin"/>
      </w:r>
      <w:r>
        <w:rPr>
          <w:rFonts w:ascii="Times New Roman" w:hAnsi="Times New Roman"/>
        </w:rPr>
        <w:instrText xml:space="preserve"> HYPERLINK \l _Toc17879 </w:instrText>
      </w:r>
      <w:r>
        <w:rPr>
          <w:rFonts w:ascii="Times New Roman" w:hAnsi="Times New Roman"/>
        </w:rPr>
        <w:fldChar w:fldCharType="separate"/>
      </w:r>
      <w:r>
        <w:rPr>
          <w:bCs w:val="0"/>
          <w:snapToGrid w:val="0"/>
          <w:kern w:val="0"/>
          <w:szCs w:val="32"/>
        </w:rPr>
        <w:t>6环境保护措施及其技术经济论证</w:t>
      </w:r>
      <w:r>
        <w:tab/>
      </w:r>
      <w:r>
        <w:fldChar w:fldCharType="begin"/>
      </w:r>
      <w:r>
        <w:instrText xml:space="preserve"> PAGEREF _Toc17879 \h </w:instrText>
      </w:r>
      <w:r>
        <w:fldChar w:fldCharType="separate"/>
      </w:r>
      <w:r>
        <w:t>136</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_Toc22935 </w:instrText>
      </w:r>
      <w:r>
        <w:rPr>
          <w:rFonts w:ascii="Times New Roman" w:hAnsi="Times New Roman"/>
        </w:rPr>
        <w:fldChar w:fldCharType="separate"/>
      </w:r>
      <w:r>
        <w:rPr>
          <w:rFonts w:ascii="Times New Roman" w:hAnsi="Times New Roman" w:eastAsia="宋体"/>
          <w:snapToGrid w:val="0"/>
          <w:szCs w:val="30"/>
        </w:rPr>
        <w:t>6.1施工期环境保护措施及其技术经济论证</w:t>
      </w:r>
      <w:r>
        <w:tab/>
      </w:r>
      <w:r>
        <w:fldChar w:fldCharType="begin"/>
      </w:r>
      <w:r>
        <w:instrText xml:space="preserve"> PAGEREF _Toc22935 \h </w:instrText>
      </w:r>
      <w:r>
        <w:fldChar w:fldCharType="separate"/>
      </w:r>
      <w:r>
        <w:t>136</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_Toc27564 </w:instrText>
      </w:r>
      <w:r>
        <w:rPr>
          <w:rFonts w:ascii="Times New Roman" w:hAnsi="Times New Roman"/>
        </w:rPr>
        <w:fldChar w:fldCharType="separate"/>
      </w:r>
      <w:r>
        <w:rPr>
          <w:rFonts w:cs="Times New Roman"/>
          <w:bCs w:val="0"/>
          <w:snapToGrid w:val="0"/>
          <w:kern w:val="0"/>
          <w:szCs w:val="30"/>
        </w:rPr>
        <w:t>6.2运营期环境保护措施及其技术经济论证</w:t>
      </w:r>
      <w:r>
        <w:tab/>
      </w:r>
      <w:r>
        <w:fldChar w:fldCharType="begin"/>
      </w:r>
      <w:r>
        <w:instrText xml:space="preserve"> PAGEREF _Toc27564 \h </w:instrText>
      </w:r>
      <w:r>
        <w:fldChar w:fldCharType="separate"/>
      </w:r>
      <w:r>
        <w:t>138</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_Toc19612 </w:instrText>
      </w:r>
      <w:r>
        <w:rPr>
          <w:rFonts w:ascii="Times New Roman" w:hAnsi="Times New Roman"/>
        </w:rPr>
        <w:fldChar w:fldCharType="separate"/>
      </w:r>
      <w:r>
        <w:rPr>
          <w:rFonts w:cs="Times New Roman"/>
          <w:bCs w:val="0"/>
          <w:snapToGrid w:val="0"/>
          <w:kern w:val="0"/>
        </w:rPr>
        <w:t>6.2.2地表水污染防治措施评述</w:t>
      </w:r>
      <w:r>
        <w:tab/>
      </w:r>
      <w:r>
        <w:fldChar w:fldCharType="begin"/>
      </w:r>
      <w:r>
        <w:instrText xml:space="preserve"> PAGEREF _Toc19612 \h </w:instrText>
      </w:r>
      <w:r>
        <w:fldChar w:fldCharType="separate"/>
      </w:r>
      <w:r>
        <w:t>141</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_Toc9908 </w:instrText>
      </w:r>
      <w:r>
        <w:rPr>
          <w:rFonts w:ascii="Times New Roman" w:hAnsi="Times New Roman"/>
        </w:rPr>
        <w:fldChar w:fldCharType="separate"/>
      </w:r>
      <w:r>
        <w:rPr>
          <w:rFonts w:cs="Times New Roman"/>
          <w:bCs w:val="0"/>
          <w:snapToGrid w:val="0"/>
          <w:kern w:val="0"/>
        </w:rPr>
        <w:t>6.2.3地下水污染防治措施评述</w:t>
      </w:r>
      <w:r>
        <w:tab/>
      </w:r>
      <w:r>
        <w:fldChar w:fldCharType="begin"/>
      </w:r>
      <w:r>
        <w:instrText xml:space="preserve"> PAGEREF _Toc9908 \h </w:instrText>
      </w:r>
      <w:r>
        <w:fldChar w:fldCharType="separate"/>
      </w:r>
      <w:r>
        <w:t>141</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_Toc6759 </w:instrText>
      </w:r>
      <w:r>
        <w:rPr>
          <w:rFonts w:ascii="Times New Roman" w:hAnsi="Times New Roman"/>
        </w:rPr>
        <w:fldChar w:fldCharType="separate"/>
      </w:r>
      <w:r>
        <w:rPr>
          <w:rFonts w:cs="Times New Roman"/>
          <w:bCs w:val="0"/>
          <w:snapToGrid w:val="0"/>
          <w:kern w:val="0"/>
        </w:rPr>
        <w:t>6.2.4噪声污染防治措施评述</w:t>
      </w:r>
      <w:r>
        <w:tab/>
      </w:r>
      <w:r>
        <w:fldChar w:fldCharType="begin"/>
      </w:r>
      <w:r>
        <w:instrText xml:space="preserve"> PAGEREF _Toc6759 \h </w:instrText>
      </w:r>
      <w:r>
        <w:fldChar w:fldCharType="separate"/>
      </w:r>
      <w:r>
        <w:t>144</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_Toc3911 </w:instrText>
      </w:r>
      <w:r>
        <w:rPr>
          <w:rFonts w:ascii="Times New Roman" w:hAnsi="Times New Roman"/>
        </w:rPr>
        <w:fldChar w:fldCharType="separate"/>
      </w:r>
      <w:r>
        <w:rPr>
          <w:rFonts w:cs="Times New Roman"/>
          <w:bCs w:val="0"/>
          <w:snapToGrid w:val="0"/>
          <w:kern w:val="0"/>
        </w:rPr>
        <w:t>6.2.5固体废物污染防治措施评述</w:t>
      </w:r>
      <w:r>
        <w:tab/>
      </w:r>
      <w:r>
        <w:fldChar w:fldCharType="begin"/>
      </w:r>
      <w:r>
        <w:instrText xml:space="preserve"> PAGEREF _Toc3911 \h </w:instrText>
      </w:r>
      <w:r>
        <w:fldChar w:fldCharType="separate"/>
      </w:r>
      <w:r>
        <w:t>145</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_Toc32490 </w:instrText>
      </w:r>
      <w:r>
        <w:rPr>
          <w:rFonts w:ascii="Times New Roman" w:hAnsi="Times New Roman"/>
        </w:rPr>
        <w:fldChar w:fldCharType="separate"/>
      </w:r>
      <w:r>
        <w:rPr>
          <w:rFonts w:cs="Times New Roman"/>
          <w:bCs w:val="0"/>
          <w:snapToGrid w:val="0"/>
          <w:kern w:val="0"/>
        </w:rPr>
        <w:t>6.2.6其他污染防治措施评述</w:t>
      </w:r>
      <w:r>
        <w:tab/>
      </w:r>
      <w:r>
        <w:fldChar w:fldCharType="begin"/>
      </w:r>
      <w:r>
        <w:instrText xml:space="preserve"> PAGEREF _Toc32490 \h </w:instrText>
      </w:r>
      <w:r>
        <w:fldChar w:fldCharType="separate"/>
      </w:r>
      <w:r>
        <w:t>148</w:t>
      </w:r>
      <w:r>
        <w:fldChar w:fldCharType="end"/>
      </w:r>
      <w:r>
        <w:rPr>
          <w:rFonts w:ascii="Times New Roman" w:hAnsi="Times New Roman"/>
        </w:rPr>
        <w:fldChar w:fldCharType="end"/>
      </w:r>
    </w:p>
    <w:p>
      <w:pPr>
        <w:pStyle w:val="21"/>
        <w:tabs>
          <w:tab w:val="right" w:leader="dot" w:pos="9077"/>
        </w:tabs>
      </w:pPr>
      <w:r>
        <w:rPr>
          <w:rFonts w:ascii="Times New Roman" w:hAnsi="Times New Roman"/>
        </w:rPr>
        <w:fldChar w:fldCharType="begin"/>
      </w:r>
      <w:r>
        <w:rPr>
          <w:rFonts w:ascii="Times New Roman" w:hAnsi="Times New Roman"/>
        </w:rPr>
        <w:instrText xml:space="preserve"> HYPERLINK \l _Toc19115 </w:instrText>
      </w:r>
      <w:r>
        <w:rPr>
          <w:rFonts w:ascii="Times New Roman" w:hAnsi="Times New Roman"/>
        </w:rPr>
        <w:fldChar w:fldCharType="separate"/>
      </w:r>
      <w:r>
        <w:rPr>
          <w:rFonts w:hint="eastAsia"/>
          <w:bCs w:val="0"/>
          <w:snapToGrid w:val="0"/>
          <w:kern w:val="0"/>
          <w:szCs w:val="32"/>
        </w:rPr>
        <w:t>7</w:t>
      </w:r>
      <w:r>
        <w:rPr>
          <w:bCs w:val="0"/>
          <w:snapToGrid w:val="0"/>
          <w:kern w:val="0"/>
          <w:szCs w:val="32"/>
        </w:rPr>
        <w:t>环境风险分析</w:t>
      </w:r>
      <w:r>
        <w:tab/>
      </w:r>
      <w:r>
        <w:fldChar w:fldCharType="begin"/>
      </w:r>
      <w:r>
        <w:instrText xml:space="preserve"> PAGEREF _Toc19115 \h </w:instrText>
      </w:r>
      <w:r>
        <w:fldChar w:fldCharType="separate"/>
      </w:r>
      <w:r>
        <w:t>149</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_Toc18207 </w:instrText>
      </w:r>
      <w:r>
        <w:rPr>
          <w:rFonts w:ascii="Times New Roman" w:hAnsi="Times New Roman"/>
        </w:rPr>
        <w:fldChar w:fldCharType="separate"/>
      </w:r>
      <w:r>
        <w:rPr>
          <w:rFonts w:hint="eastAsia" w:cs="Times New Roman"/>
          <w:bCs w:val="0"/>
          <w:snapToGrid w:val="0"/>
          <w:kern w:val="0"/>
          <w:szCs w:val="30"/>
        </w:rPr>
        <w:t>7.</w:t>
      </w:r>
      <w:r>
        <w:rPr>
          <w:rFonts w:cs="Times New Roman"/>
          <w:bCs w:val="0"/>
          <w:snapToGrid w:val="0"/>
          <w:kern w:val="0"/>
          <w:szCs w:val="30"/>
        </w:rPr>
        <w:t>1环境风险评价依据</w:t>
      </w:r>
      <w:r>
        <w:tab/>
      </w:r>
      <w:r>
        <w:fldChar w:fldCharType="begin"/>
      </w:r>
      <w:r>
        <w:instrText xml:space="preserve"> PAGEREF _Toc18207 \h </w:instrText>
      </w:r>
      <w:r>
        <w:fldChar w:fldCharType="separate"/>
      </w:r>
      <w:r>
        <w:t>149</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_Toc25485 </w:instrText>
      </w:r>
      <w:r>
        <w:rPr>
          <w:rFonts w:ascii="Times New Roman" w:hAnsi="Times New Roman"/>
        </w:rPr>
        <w:fldChar w:fldCharType="separate"/>
      </w:r>
      <w:r>
        <w:rPr>
          <w:rFonts w:hint="eastAsia" w:cs="Times New Roman"/>
          <w:bCs w:val="0"/>
          <w:snapToGrid w:val="0"/>
          <w:kern w:val="0"/>
          <w:szCs w:val="30"/>
        </w:rPr>
        <w:t>7</w:t>
      </w:r>
      <w:r>
        <w:rPr>
          <w:rFonts w:cs="Times New Roman"/>
          <w:bCs w:val="0"/>
          <w:snapToGrid w:val="0"/>
          <w:kern w:val="0"/>
          <w:szCs w:val="30"/>
        </w:rPr>
        <w:t>.2环境敏感目标调查</w:t>
      </w:r>
      <w:r>
        <w:tab/>
      </w:r>
      <w:r>
        <w:fldChar w:fldCharType="begin"/>
      </w:r>
      <w:r>
        <w:instrText xml:space="preserve"> PAGEREF _Toc25485 \h </w:instrText>
      </w:r>
      <w:r>
        <w:fldChar w:fldCharType="separate"/>
      </w:r>
      <w:r>
        <w:t>150</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_Toc1559 </w:instrText>
      </w:r>
      <w:r>
        <w:rPr>
          <w:rFonts w:ascii="Times New Roman" w:hAnsi="Times New Roman"/>
        </w:rPr>
        <w:fldChar w:fldCharType="separate"/>
      </w:r>
      <w:r>
        <w:rPr>
          <w:rFonts w:hint="eastAsia" w:cs="Times New Roman"/>
          <w:bCs w:val="0"/>
          <w:snapToGrid w:val="0"/>
          <w:kern w:val="0"/>
          <w:szCs w:val="30"/>
        </w:rPr>
        <w:t>7</w:t>
      </w:r>
      <w:r>
        <w:rPr>
          <w:rFonts w:cs="Times New Roman"/>
          <w:bCs w:val="0"/>
          <w:snapToGrid w:val="0"/>
          <w:kern w:val="0"/>
          <w:szCs w:val="30"/>
        </w:rPr>
        <w:t>.3环境风险识别</w:t>
      </w:r>
      <w:r>
        <w:tab/>
      </w:r>
      <w:r>
        <w:fldChar w:fldCharType="begin"/>
      </w:r>
      <w:r>
        <w:instrText xml:space="preserve"> PAGEREF _Toc1559 \h </w:instrText>
      </w:r>
      <w:r>
        <w:fldChar w:fldCharType="separate"/>
      </w:r>
      <w:r>
        <w:t>151</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_Toc28526 </w:instrText>
      </w:r>
      <w:r>
        <w:rPr>
          <w:rFonts w:ascii="Times New Roman" w:hAnsi="Times New Roman"/>
        </w:rPr>
        <w:fldChar w:fldCharType="separate"/>
      </w:r>
      <w:r>
        <w:rPr>
          <w:rFonts w:hint="eastAsia" w:cs="Times New Roman"/>
          <w:bCs w:val="0"/>
          <w:snapToGrid w:val="0"/>
          <w:kern w:val="0"/>
          <w:szCs w:val="30"/>
        </w:rPr>
        <w:t>7</w:t>
      </w:r>
      <w:r>
        <w:rPr>
          <w:rFonts w:cs="Times New Roman"/>
          <w:bCs w:val="0"/>
          <w:snapToGrid w:val="0"/>
          <w:kern w:val="0"/>
          <w:szCs w:val="30"/>
        </w:rPr>
        <w:t>.5环境风险防范措施及应急要求</w:t>
      </w:r>
      <w:r>
        <w:tab/>
      </w:r>
      <w:r>
        <w:fldChar w:fldCharType="begin"/>
      </w:r>
      <w:r>
        <w:instrText xml:space="preserve"> PAGEREF _Toc28526 \h </w:instrText>
      </w:r>
      <w:r>
        <w:fldChar w:fldCharType="separate"/>
      </w:r>
      <w:r>
        <w:t>151</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_Toc22325 </w:instrText>
      </w:r>
      <w:r>
        <w:rPr>
          <w:rFonts w:ascii="Times New Roman" w:hAnsi="Times New Roman"/>
        </w:rPr>
        <w:fldChar w:fldCharType="separate"/>
      </w:r>
      <w:r>
        <w:rPr>
          <w:rFonts w:hint="eastAsia" w:cs="Times New Roman"/>
          <w:bCs w:val="0"/>
          <w:snapToGrid w:val="0"/>
          <w:kern w:val="0"/>
          <w:szCs w:val="30"/>
        </w:rPr>
        <w:t>7</w:t>
      </w:r>
      <w:r>
        <w:rPr>
          <w:rFonts w:cs="Times New Roman"/>
          <w:bCs w:val="0"/>
          <w:snapToGrid w:val="0"/>
          <w:kern w:val="0"/>
          <w:szCs w:val="30"/>
        </w:rPr>
        <w:t>.6风险事故应急预案</w:t>
      </w:r>
      <w:r>
        <w:tab/>
      </w:r>
      <w:r>
        <w:fldChar w:fldCharType="begin"/>
      </w:r>
      <w:r>
        <w:instrText xml:space="preserve"> PAGEREF _Toc22325 \h </w:instrText>
      </w:r>
      <w:r>
        <w:fldChar w:fldCharType="separate"/>
      </w:r>
      <w:r>
        <w:t>154</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_Toc12390 </w:instrText>
      </w:r>
      <w:r>
        <w:rPr>
          <w:rFonts w:ascii="Times New Roman" w:hAnsi="Times New Roman"/>
        </w:rPr>
        <w:fldChar w:fldCharType="separate"/>
      </w:r>
      <w:r>
        <w:rPr>
          <w:rFonts w:hint="eastAsia" w:cs="Times New Roman"/>
          <w:bCs w:val="0"/>
          <w:snapToGrid w:val="0"/>
          <w:kern w:val="0"/>
          <w:szCs w:val="30"/>
        </w:rPr>
        <w:t>7</w:t>
      </w:r>
      <w:r>
        <w:rPr>
          <w:rFonts w:cs="Times New Roman"/>
          <w:bCs w:val="0"/>
          <w:snapToGrid w:val="0"/>
          <w:kern w:val="0"/>
          <w:szCs w:val="30"/>
        </w:rPr>
        <w:t>.7风险评价小结</w:t>
      </w:r>
      <w:r>
        <w:tab/>
      </w:r>
      <w:r>
        <w:fldChar w:fldCharType="begin"/>
      </w:r>
      <w:r>
        <w:instrText xml:space="preserve"> PAGEREF _Toc12390 \h </w:instrText>
      </w:r>
      <w:r>
        <w:fldChar w:fldCharType="separate"/>
      </w:r>
      <w:r>
        <w:t>155</w:t>
      </w:r>
      <w:r>
        <w:fldChar w:fldCharType="end"/>
      </w:r>
      <w:r>
        <w:rPr>
          <w:rFonts w:ascii="Times New Roman" w:hAnsi="Times New Roman"/>
        </w:rPr>
        <w:fldChar w:fldCharType="end"/>
      </w:r>
    </w:p>
    <w:p>
      <w:pPr>
        <w:pStyle w:val="21"/>
        <w:tabs>
          <w:tab w:val="right" w:leader="dot" w:pos="9077"/>
        </w:tabs>
      </w:pPr>
      <w:r>
        <w:rPr>
          <w:rFonts w:ascii="Times New Roman" w:hAnsi="Times New Roman"/>
        </w:rPr>
        <w:fldChar w:fldCharType="begin"/>
      </w:r>
      <w:r>
        <w:rPr>
          <w:rFonts w:ascii="Times New Roman" w:hAnsi="Times New Roman"/>
        </w:rPr>
        <w:instrText xml:space="preserve"> HYPERLINK \l _Toc16244 </w:instrText>
      </w:r>
      <w:r>
        <w:rPr>
          <w:rFonts w:ascii="Times New Roman" w:hAnsi="Times New Roman"/>
        </w:rPr>
        <w:fldChar w:fldCharType="separate"/>
      </w:r>
      <w:r>
        <w:rPr>
          <w:rFonts w:hint="eastAsia"/>
          <w:bCs w:val="0"/>
          <w:snapToGrid w:val="0"/>
          <w:kern w:val="0"/>
          <w:szCs w:val="32"/>
        </w:rPr>
        <w:t>8</w:t>
      </w:r>
      <w:r>
        <w:rPr>
          <w:bCs w:val="0"/>
          <w:snapToGrid w:val="0"/>
          <w:kern w:val="0"/>
          <w:szCs w:val="32"/>
        </w:rPr>
        <w:t>环境影响经济损益分析</w:t>
      </w:r>
      <w:r>
        <w:tab/>
      </w:r>
      <w:r>
        <w:fldChar w:fldCharType="begin"/>
      </w:r>
      <w:r>
        <w:instrText xml:space="preserve"> PAGEREF _Toc16244 \h </w:instrText>
      </w:r>
      <w:r>
        <w:fldChar w:fldCharType="separate"/>
      </w:r>
      <w:r>
        <w:t>157</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_Toc7641 </w:instrText>
      </w:r>
      <w:r>
        <w:rPr>
          <w:rFonts w:ascii="Times New Roman" w:hAnsi="Times New Roman"/>
        </w:rPr>
        <w:fldChar w:fldCharType="separate"/>
      </w:r>
      <w:r>
        <w:rPr>
          <w:rFonts w:hint="eastAsia" w:cs="Times New Roman"/>
          <w:bCs w:val="0"/>
          <w:snapToGrid w:val="0"/>
          <w:kern w:val="0"/>
          <w:szCs w:val="30"/>
        </w:rPr>
        <w:t>8</w:t>
      </w:r>
      <w:r>
        <w:rPr>
          <w:rFonts w:cs="Times New Roman"/>
          <w:bCs w:val="0"/>
          <w:snapToGrid w:val="0"/>
          <w:kern w:val="0"/>
          <w:szCs w:val="30"/>
        </w:rPr>
        <w:t>.1环境保护措施投资</w:t>
      </w:r>
      <w:r>
        <w:tab/>
      </w:r>
      <w:r>
        <w:fldChar w:fldCharType="begin"/>
      </w:r>
      <w:r>
        <w:instrText xml:space="preserve"> PAGEREF _Toc7641 \h </w:instrText>
      </w:r>
      <w:r>
        <w:fldChar w:fldCharType="separate"/>
      </w:r>
      <w:r>
        <w:t>157</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_Toc3500 </w:instrText>
      </w:r>
      <w:r>
        <w:rPr>
          <w:rFonts w:ascii="Times New Roman" w:hAnsi="Times New Roman"/>
        </w:rPr>
        <w:fldChar w:fldCharType="separate"/>
      </w:r>
      <w:r>
        <w:rPr>
          <w:rFonts w:hint="eastAsia" w:cs="Times New Roman"/>
          <w:bCs w:val="0"/>
          <w:snapToGrid w:val="0"/>
          <w:kern w:val="0"/>
          <w:szCs w:val="30"/>
        </w:rPr>
        <w:t>8</w:t>
      </w:r>
      <w:r>
        <w:rPr>
          <w:rFonts w:cs="Times New Roman"/>
          <w:bCs w:val="0"/>
          <w:snapToGrid w:val="0"/>
          <w:kern w:val="0"/>
          <w:szCs w:val="30"/>
        </w:rPr>
        <w:t>.2环境经济损失</w:t>
      </w:r>
      <w:r>
        <w:tab/>
      </w:r>
      <w:r>
        <w:fldChar w:fldCharType="begin"/>
      </w:r>
      <w:r>
        <w:instrText xml:space="preserve"> PAGEREF _Toc3500 \h </w:instrText>
      </w:r>
      <w:r>
        <w:fldChar w:fldCharType="separate"/>
      </w:r>
      <w:r>
        <w:t>157</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_Toc21535 </w:instrText>
      </w:r>
      <w:r>
        <w:rPr>
          <w:rFonts w:ascii="Times New Roman" w:hAnsi="Times New Roman"/>
        </w:rPr>
        <w:fldChar w:fldCharType="separate"/>
      </w:r>
      <w:r>
        <w:rPr>
          <w:rFonts w:hint="eastAsia" w:cs="Times New Roman"/>
          <w:bCs w:val="0"/>
          <w:snapToGrid w:val="0"/>
          <w:kern w:val="0"/>
        </w:rPr>
        <w:t>8</w:t>
      </w:r>
      <w:r>
        <w:rPr>
          <w:rFonts w:cs="Times New Roman"/>
          <w:bCs w:val="0"/>
          <w:snapToGrid w:val="0"/>
          <w:kern w:val="0"/>
        </w:rPr>
        <w:t>.2.1资源损失</w:t>
      </w:r>
      <w:r>
        <w:tab/>
      </w:r>
      <w:r>
        <w:fldChar w:fldCharType="begin"/>
      </w:r>
      <w:r>
        <w:instrText xml:space="preserve"> PAGEREF _Toc21535 \h </w:instrText>
      </w:r>
      <w:r>
        <w:fldChar w:fldCharType="separate"/>
      </w:r>
      <w:r>
        <w:t>157</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_Toc23089 </w:instrText>
      </w:r>
      <w:r>
        <w:rPr>
          <w:rFonts w:ascii="Times New Roman" w:hAnsi="Times New Roman"/>
        </w:rPr>
        <w:fldChar w:fldCharType="separate"/>
      </w:r>
      <w:r>
        <w:rPr>
          <w:rFonts w:hint="eastAsia" w:cs="Times New Roman"/>
          <w:bCs w:val="0"/>
          <w:snapToGrid w:val="0"/>
          <w:kern w:val="0"/>
          <w:szCs w:val="30"/>
        </w:rPr>
        <w:t>8</w:t>
      </w:r>
      <w:r>
        <w:rPr>
          <w:rFonts w:cs="Times New Roman"/>
          <w:bCs w:val="0"/>
          <w:snapToGrid w:val="0"/>
          <w:kern w:val="0"/>
          <w:szCs w:val="30"/>
        </w:rPr>
        <w:t>.3社会效益分析</w:t>
      </w:r>
      <w:r>
        <w:tab/>
      </w:r>
      <w:r>
        <w:fldChar w:fldCharType="begin"/>
      </w:r>
      <w:r>
        <w:instrText xml:space="preserve"> PAGEREF _Toc23089 \h </w:instrText>
      </w:r>
      <w:r>
        <w:fldChar w:fldCharType="separate"/>
      </w:r>
      <w:r>
        <w:t>158</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_Toc10799 </w:instrText>
      </w:r>
      <w:r>
        <w:rPr>
          <w:rFonts w:ascii="Times New Roman" w:hAnsi="Times New Roman"/>
        </w:rPr>
        <w:fldChar w:fldCharType="separate"/>
      </w:r>
      <w:r>
        <w:rPr>
          <w:rFonts w:hint="eastAsia" w:cs="Times New Roman"/>
          <w:bCs w:val="0"/>
          <w:snapToGrid w:val="0"/>
          <w:kern w:val="0"/>
          <w:szCs w:val="30"/>
        </w:rPr>
        <w:t>8</w:t>
      </w:r>
      <w:r>
        <w:rPr>
          <w:rFonts w:cs="Times New Roman"/>
          <w:bCs w:val="0"/>
          <w:snapToGrid w:val="0"/>
          <w:kern w:val="0"/>
          <w:szCs w:val="30"/>
        </w:rPr>
        <w:t>.4经济效益</w:t>
      </w:r>
      <w:r>
        <w:tab/>
      </w:r>
      <w:r>
        <w:fldChar w:fldCharType="begin"/>
      </w:r>
      <w:r>
        <w:instrText xml:space="preserve"> PAGEREF _Toc10799 \h </w:instrText>
      </w:r>
      <w:r>
        <w:fldChar w:fldCharType="separate"/>
      </w:r>
      <w:r>
        <w:t>159</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_Toc2116 </w:instrText>
      </w:r>
      <w:r>
        <w:rPr>
          <w:rFonts w:ascii="Times New Roman" w:hAnsi="Times New Roman"/>
        </w:rPr>
        <w:fldChar w:fldCharType="separate"/>
      </w:r>
      <w:r>
        <w:rPr>
          <w:rFonts w:hint="eastAsia" w:cs="Times New Roman"/>
          <w:bCs w:val="0"/>
          <w:snapToGrid w:val="0"/>
          <w:kern w:val="0"/>
          <w:szCs w:val="30"/>
        </w:rPr>
        <w:t>8</w:t>
      </w:r>
      <w:r>
        <w:rPr>
          <w:rFonts w:cs="Times New Roman"/>
          <w:bCs w:val="0"/>
          <w:snapToGrid w:val="0"/>
          <w:kern w:val="0"/>
          <w:szCs w:val="30"/>
        </w:rPr>
        <w:t>.5环境效益分析</w:t>
      </w:r>
      <w:r>
        <w:tab/>
      </w:r>
      <w:r>
        <w:fldChar w:fldCharType="begin"/>
      </w:r>
      <w:r>
        <w:instrText xml:space="preserve"> PAGEREF _Toc2116 \h </w:instrText>
      </w:r>
      <w:r>
        <w:fldChar w:fldCharType="separate"/>
      </w:r>
      <w:r>
        <w:t>159</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_Toc26055 </w:instrText>
      </w:r>
      <w:r>
        <w:rPr>
          <w:rFonts w:ascii="Times New Roman" w:hAnsi="Times New Roman"/>
        </w:rPr>
        <w:fldChar w:fldCharType="separate"/>
      </w:r>
      <w:r>
        <w:rPr>
          <w:rFonts w:hint="eastAsia" w:cs="Times New Roman"/>
          <w:bCs w:val="0"/>
          <w:snapToGrid w:val="0"/>
          <w:kern w:val="0"/>
          <w:szCs w:val="30"/>
        </w:rPr>
        <w:t>8</w:t>
      </w:r>
      <w:r>
        <w:rPr>
          <w:rFonts w:cs="Times New Roman"/>
          <w:bCs w:val="0"/>
          <w:snapToGrid w:val="0"/>
          <w:kern w:val="0"/>
          <w:szCs w:val="30"/>
        </w:rPr>
        <w:t>.6环境经济效益综合评述</w:t>
      </w:r>
      <w:r>
        <w:tab/>
      </w:r>
      <w:r>
        <w:fldChar w:fldCharType="begin"/>
      </w:r>
      <w:r>
        <w:instrText xml:space="preserve"> PAGEREF _Toc26055 \h </w:instrText>
      </w:r>
      <w:r>
        <w:fldChar w:fldCharType="separate"/>
      </w:r>
      <w:r>
        <w:t>160</w:t>
      </w:r>
      <w:r>
        <w:fldChar w:fldCharType="end"/>
      </w:r>
      <w:r>
        <w:rPr>
          <w:rFonts w:ascii="Times New Roman" w:hAnsi="Times New Roman"/>
        </w:rPr>
        <w:fldChar w:fldCharType="end"/>
      </w:r>
    </w:p>
    <w:p>
      <w:pPr>
        <w:pStyle w:val="21"/>
        <w:tabs>
          <w:tab w:val="right" w:leader="dot" w:pos="9077"/>
        </w:tabs>
      </w:pPr>
      <w:r>
        <w:rPr>
          <w:rFonts w:ascii="Times New Roman" w:hAnsi="Times New Roman"/>
        </w:rPr>
        <w:fldChar w:fldCharType="begin"/>
      </w:r>
      <w:r>
        <w:rPr>
          <w:rFonts w:ascii="Times New Roman" w:hAnsi="Times New Roman"/>
        </w:rPr>
        <w:instrText xml:space="preserve"> HYPERLINK \l _Toc43 </w:instrText>
      </w:r>
      <w:r>
        <w:rPr>
          <w:rFonts w:ascii="Times New Roman" w:hAnsi="Times New Roman"/>
        </w:rPr>
        <w:fldChar w:fldCharType="separate"/>
      </w:r>
      <w:r>
        <w:rPr>
          <w:rFonts w:hint="eastAsia"/>
          <w:bCs w:val="0"/>
          <w:snapToGrid w:val="0"/>
          <w:kern w:val="0"/>
          <w:szCs w:val="32"/>
        </w:rPr>
        <w:t>9</w:t>
      </w:r>
      <w:r>
        <w:rPr>
          <w:bCs w:val="0"/>
          <w:snapToGrid w:val="0"/>
          <w:kern w:val="0"/>
          <w:szCs w:val="32"/>
        </w:rPr>
        <w:t>环境管理与监测计划</w:t>
      </w:r>
      <w:r>
        <w:tab/>
      </w:r>
      <w:r>
        <w:fldChar w:fldCharType="begin"/>
      </w:r>
      <w:r>
        <w:instrText xml:space="preserve"> PAGEREF _Toc43 \h </w:instrText>
      </w:r>
      <w:r>
        <w:fldChar w:fldCharType="separate"/>
      </w:r>
      <w:r>
        <w:t>161</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_Toc2471 </w:instrText>
      </w:r>
      <w:r>
        <w:rPr>
          <w:rFonts w:ascii="Times New Roman" w:hAnsi="Times New Roman"/>
        </w:rPr>
        <w:fldChar w:fldCharType="separate"/>
      </w:r>
      <w:r>
        <w:rPr>
          <w:rFonts w:hint="eastAsia" w:cs="Times New Roman"/>
          <w:bCs w:val="0"/>
          <w:snapToGrid w:val="0"/>
          <w:kern w:val="0"/>
          <w:szCs w:val="30"/>
        </w:rPr>
        <w:t>9</w:t>
      </w:r>
      <w:r>
        <w:rPr>
          <w:rFonts w:cs="Times New Roman"/>
          <w:bCs w:val="0"/>
          <w:snapToGrid w:val="0"/>
          <w:kern w:val="0"/>
          <w:szCs w:val="30"/>
        </w:rPr>
        <w:t>.1环境管理</w:t>
      </w:r>
      <w:r>
        <w:tab/>
      </w:r>
      <w:r>
        <w:fldChar w:fldCharType="begin"/>
      </w:r>
      <w:r>
        <w:instrText xml:space="preserve"> PAGEREF _Toc2471 \h </w:instrText>
      </w:r>
      <w:r>
        <w:fldChar w:fldCharType="separate"/>
      </w:r>
      <w:r>
        <w:t>161</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_Toc20206 </w:instrText>
      </w:r>
      <w:r>
        <w:rPr>
          <w:rFonts w:ascii="Times New Roman" w:hAnsi="Times New Roman"/>
        </w:rPr>
        <w:fldChar w:fldCharType="separate"/>
      </w:r>
      <w:r>
        <w:rPr>
          <w:rFonts w:hint="eastAsia" w:cs="Times New Roman"/>
          <w:bCs w:val="0"/>
          <w:snapToGrid w:val="0"/>
          <w:kern w:val="0"/>
          <w:szCs w:val="30"/>
        </w:rPr>
        <w:t>9</w:t>
      </w:r>
      <w:r>
        <w:rPr>
          <w:rFonts w:cs="Times New Roman"/>
          <w:bCs w:val="0"/>
          <w:snapToGrid w:val="0"/>
          <w:kern w:val="0"/>
          <w:szCs w:val="30"/>
        </w:rPr>
        <w:t>.2监测计划</w:t>
      </w:r>
      <w:r>
        <w:tab/>
      </w:r>
      <w:r>
        <w:fldChar w:fldCharType="begin"/>
      </w:r>
      <w:r>
        <w:instrText xml:space="preserve"> PAGEREF _Toc20206 \h </w:instrText>
      </w:r>
      <w:r>
        <w:fldChar w:fldCharType="separate"/>
      </w:r>
      <w:r>
        <w:t>165</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_Toc22233 </w:instrText>
      </w:r>
      <w:r>
        <w:rPr>
          <w:rFonts w:ascii="Times New Roman" w:hAnsi="Times New Roman"/>
        </w:rPr>
        <w:fldChar w:fldCharType="separate"/>
      </w:r>
      <w:r>
        <w:rPr>
          <w:rFonts w:hint="eastAsia" w:cs="Times New Roman"/>
          <w:bCs w:val="0"/>
          <w:snapToGrid w:val="0"/>
          <w:kern w:val="0"/>
          <w:szCs w:val="30"/>
        </w:rPr>
        <w:t>9</w:t>
      </w:r>
      <w:r>
        <w:rPr>
          <w:rFonts w:cs="Times New Roman"/>
          <w:bCs w:val="0"/>
          <w:snapToGrid w:val="0"/>
          <w:kern w:val="0"/>
          <w:szCs w:val="30"/>
        </w:rPr>
        <w:t>.3污染物总量控</w:t>
      </w:r>
      <w:r>
        <w:rPr>
          <w:rFonts w:cs="Times New Roman"/>
          <w:bCs w:val="0"/>
          <w:szCs w:val="30"/>
        </w:rPr>
        <w:t>制</w:t>
      </w:r>
      <w:r>
        <w:tab/>
      </w:r>
      <w:r>
        <w:fldChar w:fldCharType="begin"/>
      </w:r>
      <w:r>
        <w:instrText xml:space="preserve"> PAGEREF _Toc22233 \h </w:instrText>
      </w:r>
      <w:r>
        <w:fldChar w:fldCharType="separate"/>
      </w:r>
      <w:r>
        <w:t>166</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_Toc261 </w:instrText>
      </w:r>
      <w:r>
        <w:rPr>
          <w:rFonts w:ascii="Times New Roman" w:hAnsi="Times New Roman"/>
        </w:rPr>
        <w:fldChar w:fldCharType="separate"/>
      </w:r>
      <w:r>
        <w:rPr>
          <w:rFonts w:hint="eastAsia" w:ascii="Times New Roman" w:hAnsi="Times New Roman" w:eastAsia="宋体"/>
          <w:bCs w:val="0"/>
          <w:szCs w:val="30"/>
        </w:rPr>
        <w:t>9</w:t>
      </w:r>
      <w:r>
        <w:rPr>
          <w:rFonts w:ascii="Times New Roman" w:hAnsi="Times New Roman" w:eastAsia="宋体"/>
          <w:bCs w:val="0"/>
          <w:szCs w:val="30"/>
        </w:rPr>
        <w:t>.4排污口规范化管理</w:t>
      </w:r>
      <w:r>
        <w:tab/>
      </w:r>
      <w:r>
        <w:fldChar w:fldCharType="begin"/>
      </w:r>
      <w:r>
        <w:instrText xml:space="preserve"> PAGEREF _Toc261 \h </w:instrText>
      </w:r>
      <w:r>
        <w:fldChar w:fldCharType="separate"/>
      </w:r>
      <w:r>
        <w:t>166</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_Toc8487 </w:instrText>
      </w:r>
      <w:r>
        <w:rPr>
          <w:rFonts w:ascii="Times New Roman" w:hAnsi="Times New Roman"/>
        </w:rPr>
        <w:fldChar w:fldCharType="separate"/>
      </w:r>
      <w:r>
        <w:rPr>
          <w:rFonts w:hint="eastAsia" w:ascii="Times New Roman" w:hAnsi="Times New Roman"/>
          <w:bCs/>
          <w:szCs w:val="30"/>
        </w:rPr>
        <w:t>9</w:t>
      </w:r>
      <w:r>
        <w:rPr>
          <w:rFonts w:ascii="Times New Roman" w:hAnsi="Times New Roman"/>
          <w:bCs/>
          <w:szCs w:val="30"/>
        </w:rPr>
        <w:t>.5环境保护措施竣工验收管理</w:t>
      </w:r>
      <w:r>
        <w:tab/>
      </w:r>
      <w:r>
        <w:fldChar w:fldCharType="begin"/>
      </w:r>
      <w:r>
        <w:instrText xml:space="preserve"> PAGEREF _Toc8487 \h </w:instrText>
      </w:r>
      <w:r>
        <w:fldChar w:fldCharType="separate"/>
      </w:r>
      <w:r>
        <w:t>168</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_Toc30594 </w:instrText>
      </w:r>
      <w:r>
        <w:rPr>
          <w:rFonts w:ascii="Times New Roman" w:hAnsi="Times New Roman"/>
        </w:rPr>
        <w:fldChar w:fldCharType="separate"/>
      </w:r>
      <w:r>
        <w:rPr>
          <w:rFonts w:hint="eastAsia" w:ascii="Times New Roman" w:hAnsi="Times New Roman" w:eastAsia="宋体"/>
          <w:bCs w:val="0"/>
          <w:szCs w:val="30"/>
        </w:rPr>
        <w:t>9.6</w:t>
      </w:r>
      <w:r>
        <w:rPr>
          <w:rFonts w:ascii="Times New Roman" w:hAnsi="Times New Roman" w:eastAsia="宋体"/>
          <w:bCs w:val="0"/>
          <w:szCs w:val="30"/>
        </w:rPr>
        <w:t>污染源排放清单</w:t>
      </w:r>
      <w:r>
        <w:tab/>
      </w:r>
      <w:r>
        <w:fldChar w:fldCharType="begin"/>
      </w:r>
      <w:r>
        <w:instrText xml:space="preserve"> PAGEREF _Toc30594 \h </w:instrText>
      </w:r>
      <w:r>
        <w:fldChar w:fldCharType="separate"/>
      </w:r>
      <w:r>
        <w:t>169</w:t>
      </w:r>
      <w:r>
        <w:fldChar w:fldCharType="end"/>
      </w:r>
      <w:r>
        <w:rPr>
          <w:rFonts w:ascii="Times New Roman" w:hAnsi="Times New Roman"/>
        </w:rPr>
        <w:fldChar w:fldCharType="end"/>
      </w:r>
    </w:p>
    <w:p>
      <w:pPr>
        <w:pStyle w:val="21"/>
        <w:tabs>
          <w:tab w:val="right" w:leader="dot" w:pos="9077"/>
        </w:tabs>
      </w:pPr>
      <w:r>
        <w:rPr>
          <w:rFonts w:ascii="Times New Roman" w:hAnsi="Times New Roman"/>
        </w:rPr>
        <w:fldChar w:fldCharType="begin"/>
      </w:r>
      <w:r>
        <w:rPr>
          <w:rFonts w:ascii="Times New Roman" w:hAnsi="Times New Roman"/>
        </w:rPr>
        <w:instrText xml:space="preserve"> HYPERLINK \l _Toc22556 </w:instrText>
      </w:r>
      <w:r>
        <w:rPr>
          <w:rFonts w:ascii="Times New Roman" w:hAnsi="Times New Roman"/>
        </w:rPr>
        <w:fldChar w:fldCharType="separate"/>
      </w:r>
      <w:r>
        <w:rPr>
          <w:bCs w:val="0"/>
          <w:snapToGrid w:val="0"/>
          <w:kern w:val="0"/>
          <w:szCs w:val="28"/>
        </w:rPr>
        <w:t>10结论与建议</w:t>
      </w:r>
      <w:r>
        <w:tab/>
      </w:r>
      <w:r>
        <w:fldChar w:fldCharType="begin"/>
      </w:r>
      <w:r>
        <w:instrText xml:space="preserve"> PAGEREF _Toc22556 \h </w:instrText>
      </w:r>
      <w:r>
        <w:fldChar w:fldCharType="separate"/>
      </w:r>
      <w:r>
        <w:t>172</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_Toc13178 </w:instrText>
      </w:r>
      <w:r>
        <w:rPr>
          <w:rFonts w:ascii="Times New Roman" w:hAnsi="Times New Roman"/>
        </w:rPr>
        <w:fldChar w:fldCharType="separate"/>
      </w:r>
      <w:r>
        <w:rPr>
          <w:rFonts w:cs="Times New Roman"/>
          <w:bCs w:val="0"/>
          <w:snapToGrid w:val="0"/>
          <w:kern w:val="0"/>
        </w:rPr>
        <w:t>10.1项目基本情况</w:t>
      </w:r>
      <w:r>
        <w:tab/>
      </w:r>
      <w:r>
        <w:fldChar w:fldCharType="begin"/>
      </w:r>
      <w:r>
        <w:instrText xml:space="preserve"> PAGEREF _Toc13178 \h </w:instrText>
      </w:r>
      <w:r>
        <w:fldChar w:fldCharType="separate"/>
      </w:r>
      <w:r>
        <w:t>172</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_Toc29007 </w:instrText>
      </w:r>
      <w:r>
        <w:rPr>
          <w:rFonts w:ascii="Times New Roman" w:hAnsi="Times New Roman"/>
        </w:rPr>
        <w:fldChar w:fldCharType="separate"/>
      </w:r>
      <w:r>
        <w:rPr>
          <w:rFonts w:cs="Times New Roman"/>
          <w:bCs w:val="0"/>
          <w:snapToGrid w:val="0"/>
          <w:kern w:val="0"/>
        </w:rPr>
        <w:t>10.2产业政策符合性分析</w:t>
      </w:r>
      <w:r>
        <w:tab/>
      </w:r>
      <w:r>
        <w:fldChar w:fldCharType="begin"/>
      </w:r>
      <w:r>
        <w:instrText xml:space="preserve"> PAGEREF _Toc29007 \h </w:instrText>
      </w:r>
      <w:r>
        <w:fldChar w:fldCharType="separate"/>
      </w:r>
      <w:r>
        <w:t>172</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_Toc12724 </w:instrText>
      </w:r>
      <w:r>
        <w:rPr>
          <w:rFonts w:ascii="Times New Roman" w:hAnsi="Times New Roman"/>
        </w:rPr>
        <w:fldChar w:fldCharType="separate"/>
      </w:r>
      <w:r>
        <w:rPr>
          <w:rFonts w:cs="Times New Roman"/>
          <w:bCs w:val="0"/>
          <w:snapToGrid w:val="0"/>
          <w:kern w:val="0"/>
        </w:rPr>
        <w:t>10.3选址合理性分析</w:t>
      </w:r>
      <w:r>
        <w:tab/>
      </w:r>
      <w:r>
        <w:fldChar w:fldCharType="begin"/>
      </w:r>
      <w:r>
        <w:instrText xml:space="preserve"> PAGEREF _Toc12724 \h </w:instrText>
      </w:r>
      <w:r>
        <w:fldChar w:fldCharType="separate"/>
      </w:r>
      <w:r>
        <w:t>172</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_Toc241 </w:instrText>
      </w:r>
      <w:r>
        <w:rPr>
          <w:rFonts w:ascii="Times New Roman" w:hAnsi="Times New Roman"/>
        </w:rPr>
        <w:fldChar w:fldCharType="separate"/>
      </w:r>
      <w:r>
        <w:rPr>
          <w:rFonts w:cs="Times New Roman"/>
          <w:bCs w:val="0"/>
          <w:snapToGrid w:val="0"/>
          <w:kern w:val="0"/>
        </w:rPr>
        <w:t>10.4平面布置合理性分析</w:t>
      </w:r>
      <w:r>
        <w:tab/>
      </w:r>
      <w:r>
        <w:fldChar w:fldCharType="begin"/>
      </w:r>
      <w:r>
        <w:instrText xml:space="preserve"> PAGEREF _Toc241 \h </w:instrText>
      </w:r>
      <w:r>
        <w:fldChar w:fldCharType="separate"/>
      </w:r>
      <w:r>
        <w:t>173</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_Toc17337 </w:instrText>
      </w:r>
      <w:r>
        <w:rPr>
          <w:rFonts w:ascii="Times New Roman" w:hAnsi="Times New Roman"/>
        </w:rPr>
        <w:fldChar w:fldCharType="separate"/>
      </w:r>
      <w:r>
        <w:rPr>
          <w:rFonts w:cs="Times New Roman"/>
          <w:bCs w:val="0"/>
          <w:snapToGrid w:val="0"/>
          <w:kern w:val="0"/>
        </w:rPr>
        <w:t>10.5环境质量现状评价结论</w:t>
      </w:r>
      <w:r>
        <w:tab/>
      </w:r>
      <w:r>
        <w:fldChar w:fldCharType="begin"/>
      </w:r>
      <w:r>
        <w:instrText xml:space="preserve"> PAGEREF _Toc17337 \h </w:instrText>
      </w:r>
      <w:r>
        <w:fldChar w:fldCharType="separate"/>
      </w:r>
      <w:r>
        <w:t>174</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_Toc20293 </w:instrText>
      </w:r>
      <w:r>
        <w:rPr>
          <w:rFonts w:ascii="Times New Roman" w:hAnsi="Times New Roman"/>
        </w:rPr>
        <w:fldChar w:fldCharType="separate"/>
      </w:r>
      <w:r>
        <w:rPr>
          <w:rFonts w:cs="Times New Roman"/>
          <w:bCs w:val="0"/>
          <w:snapToGrid w:val="0"/>
          <w:kern w:val="0"/>
        </w:rPr>
        <w:t>10.6污染防治与达标排放可行性</w:t>
      </w:r>
      <w:r>
        <w:tab/>
      </w:r>
      <w:r>
        <w:fldChar w:fldCharType="begin"/>
      </w:r>
      <w:r>
        <w:instrText xml:space="preserve"> PAGEREF _Toc20293 \h </w:instrText>
      </w:r>
      <w:r>
        <w:fldChar w:fldCharType="separate"/>
      </w:r>
      <w:r>
        <w:t>174</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_Toc7914 </w:instrText>
      </w:r>
      <w:r>
        <w:rPr>
          <w:rFonts w:ascii="Times New Roman" w:hAnsi="Times New Roman"/>
        </w:rPr>
        <w:fldChar w:fldCharType="separate"/>
      </w:r>
      <w:r>
        <w:rPr>
          <w:rFonts w:cs="Times New Roman"/>
          <w:bCs w:val="0"/>
          <w:snapToGrid w:val="0"/>
          <w:kern w:val="0"/>
        </w:rPr>
        <w:t>10.7公众参与</w:t>
      </w:r>
      <w:r>
        <w:tab/>
      </w:r>
      <w:r>
        <w:fldChar w:fldCharType="begin"/>
      </w:r>
      <w:r>
        <w:instrText xml:space="preserve"> PAGEREF _Toc7914 \h </w:instrText>
      </w:r>
      <w:r>
        <w:fldChar w:fldCharType="separate"/>
      </w:r>
      <w:r>
        <w:t>176</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_Toc20306 </w:instrText>
      </w:r>
      <w:r>
        <w:rPr>
          <w:rFonts w:ascii="Times New Roman" w:hAnsi="Times New Roman"/>
        </w:rPr>
        <w:fldChar w:fldCharType="separate"/>
      </w:r>
      <w:r>
        <w:rPr>
          <w:rFonts w:cs="Times New Roman"/>
          <w:bCs w:val="0"/>
          <w:snapToGrid w:val="0"/>
          <w:kern w:val="0"/>
        </w:rPr>
        <w:t>10.8结论</w:t>
      </w:r>
      <w:r>
        <w:tab/>
      </w:r>
      <w:r>
        <w:fldChar w:fldCharType="begin"/>
      </w:r>
      <w:r>
        <w:instrText xml:space="preserve"> PAGEREF _Toc20306 \h </w:instrText>
      </w:r>
      <w:r>
        <w:fldChar w:fldCharType="separate"/>
      </w:r>
      <w:r>
        <w:t>176</w:t>
      </w:r>
      <w:r>
        <w:fldChar w:fldCharType="end"/>
      </w:r>
      <w:r>
        <w:rPr>
          <w:rFonts w:ascii="Times New Roman" w:hAnsi="Times New Roman"/>
        </w:rPr>
        <w:fldChar w:fldCharType="end"/>
      </w:r>
    </w:p>
    <w:p>
      <w:pPr>
        <w:pStyle w:val="25"/>
        <w:tabs>
          <w:tab w:val="right" w:leader="dot" w:pos="9077"/>
        </w:tabs>
      </w:pPr>
      <w:r>
        <w:rPr>
          <w:rFonts w:ascii="Times New Roman" w:hAnsi="Times New Roman"/>
        </w:rPr>
        <w:fldChar w:fldCharType="begin"/>
      </w:r>
      <w:r>
        <w:rPr>
          <w:rFonts w:ascii="Times New Roman" w:hAnsi="Times New Roman"/>
        </w:rPr>
        <w:instrText xml:space="preserve"> HYPERLINK \l _Toc15743 </w:instrText>
      </w:r>
      <w:r>
        <w:rPr>
          <w:rFonts w:ascii="Times New Roman" w:hAnsi="Times New Roman"/>
        </w:rPr>
        <w:fldChar w:fldCharType="separate"/>
      </w:r>
      <w:r>
        <w:rPr>
          <w:rFonts w:cs="Times New Roman"/>
          <w:bCs w:val="0"/>
          <w:snapToGrid w:val="0"/>
          <w:kern w:val="0"/>
        </w:rPr>
        <w:t>10.9建议</w:t>
      </w:r>
      <w:r>
        <w:tab/>
      </w:r>
      <w:r>
        <w:fldChar w:fldCharType="begin"/>
      </w:r>
      <w:r>
        <w:instrText xml:space="preserve"> PAGEREF _Toc15743 \h </w:instrText>
      </w:r>
      <w:r>
        <w:fldChar w:fldCharType="separate"/>
      </w:r>
      <w:r>
        <w:t>177</w:t>
      </w:r>
      <w:r>
        <w:fldChar w:fldCharType="end"/>
      </w:r>
      <w:r>
        <w:rPr>
          <w:rFonts w:ascii="Times New Roman" w:hAnsi="Times New Roman"/>
        </w:rPr>
        <w:fldChar w:fldCharType="end"/>
      </w:r>
    </w:p>
    <w:p>
      <w:pPr>
        <w:adjustRightInd w:val="0"/>
        <w:snapToGrid w:val="0"/>
        <w:spacing w:line="288" w:lineRule="auto"/>
        <w:ind w:firstLine="420" w:firstLineChars="200"/>
        <w:rPr>
          <w:rFonts w:ascii="Times New Roman" w:hAnsi="Times New Roman"/>
          <w:sz w:val="24"/>
        </w:rPr>
        <w:sectPr>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r>
        <w:rPr>
          <w:rFonts w:ascii="Times New Roman" w:hAnsi="Times New Roman"/>
        </w:rPr>
        <w:fldChar w:fldCharType="end"/>
      </w:r>
    </w:p>
    <w:p>
      <w:pPr>
        <w:pStyle w:val="45"/>
        <w:snapToGrid w:val="0"/>
        <w:spacing w:before="240" w:beforeLines="100" w:after="120" w:afterLines="50"/>
        <w:contextualSpacing/>
        <w:jc w:val="center"/>
        <w:rPr>
          <w:rFonts w:cs="宋体"/>
          <w:bCs w:val="0"/>
          <w:snapToGrid w:val="0"/>
          <w:kern w:val="0"/>
          <w:sz w:val="28"/>
          <w:szCs w:val="28"/>
        </w:rPr>
      </w:pPr>
      <w:bookmarkStart w:id="1" w:name="_Toc29820"/>
      <w:bookmarkStart w:id="2" w:name="_Toc4970"/>
      <w:r>
        <w:rPr>
          <w:rFonts w:hint="eastAsia" w:cs="宋体"/>
          <w:bCs w:val="0"/>
          <w:snapToGrid w:val="0"/>
          <w:kern w:val="0"/>
          <w:sz w:val="28"/>
          <w:szCs w:val="28"/>
        </w:rPr>
        <w:t>概述</w:t>
      </w:r>
      <w:bookmarkEnd w:id="0"/>
      <w:bookmarkEnd w:id="1"/>
      <w:bookmarkEnd w:id="2"/>
    </w:p>
    <w:p>
      <w:pPr>
        <w:snapToGrid w:val="0"/>
        <w:spacing w:line="480" w:lineRule="auto"/>
        <w:rPr>
          <w:rFonts w:ascii="Times New Roman" w:hAnsi="Times New Roman"/>
          <w:b/>
          <w:bCs/>
          <w:sz w:val="24"/>
          <w:szCs w:val="28"/>
        </w:rPr>
      </w:pPr>
      <w:bookmarkStart w:id="3" w:name="_Toc11058"/>
      <w:bookmarkStart w:id="4" w:name="_Toc2056"/>
      <w:bookmarkStart w:id="5" w:name="_Toc445"/>
      <w:r>
        <w:rPr>
          <w:rFonts w:ascii="Times New Roman" w:hAnsi="Times New Roman"/>
          <w:b/>
          <w:bCs/>
          <w:sz w:val="24"/>
          <w:szCs w:val="28"/>
        </w:rPr>
        <w:t>1</w:t>
      </w:r>
      <w:r>
        <w:rPr>
          <w:rFonts w:hint="eastAsia" w:ascii="Times New Roman" w:hAnsi="Times New Roman"/>
          <w:b/>
          <w:bCs/>
          <w:sz w:val="24"/>
          <w:szCs w:val="28"/>
        </w:rPr>
        <w:t>.</w:t>
      </w:r>
      <w:r>
        <w:rPr>
          <w:rFonts w:ascii="Times New Roman" w:hAnsi="Times New Roman"/>
          <w:b/>
          <w:bCs/>
          <w:sz w:val="24"/>
          <w:szCs w:val="28"/>
        </w:rPr>
        <w:t>项目由来</w:t>
      </w:r>
      <w:bookmarkEnd w:id="3"/>
      <w:bookmarkEnd w:id="4"/>
      <w:bookmarkEnd w:id="5"/>
    </w:p>
    <w:p>
      <w:pPr>
        <w:spacing w:line="540" w:lineRule="exact"/>
        <w:ind w:firstLine="480" w:firstLineChars="200"/>
        <w:rPr>
          <w:rFonts w:hint="eastAsia" w:ascii="Times New Roman" w:hAnsi="Times New Roman" w:cs="宋体"/>
          <w:sz w:val="24"/>
        </w:rPr>
      </w:pPr>
      <w:r>
        <w:rPr>
          <w:rFonts w:hint="eastAsia" w:ascii="Times New Roman" w:hAnsi="Times New Roman" w:cs="宋体"/>
          <w:sz w:val="24"/>
        </w:rPr>
        <w:t>农业农村部于2022年3月1日发布《农业农村部关于落实党中央国务院2022年全面推进乡村振兴重点工作部署的实施意见》(农发〔2022〕1号)，指出：促进畜牧业稳定发展。加快发展草食畜牧业。实施肉牛肉羊增量提质行动，开展草原畜牧业转型升级试点示范。</w:t>
      </w:r>
    </w:p>
    <w:p>
      <w:pPr>
        <w:spacing w:line="540" w:lineRule="exact"/>
        <w:ind w:firstLine="480" w:firstLineChars="200"/>
        <w:rPr>
          <w:rFonts w:ascii="Times New Roman" w:hAnsi="Times New Roman" w:cs="宋体"/>
          <w:sz w:val="24"/>
        </w:rPr>
      </w:pPr>
      <w:r>
        <w:rPr>
          <w:rFonts w:hint="eastAsia" w:ascii="Times New Roman" w:hAnsi="Times New Roman" w:cs="宋体"/>
          <w:sz w:val="24"/>
        </w:rPr>
        <w:t>畜牧业是农村经济的重要产业，近年来，自治区党委和政府聚力打造全国脱贫攻坚示范区，将肉牛产业确定为“五优”农业特色优势产业之一，提出促进全产业链开发、全价值链提升，推进宁夏肉牛产业高质量发展。此项目建设内容与当地经济发展方向相吻合，现代化、产业化的肉牛养殖，定成为乡村振兴的支柱产业。通过项目实施，培育优质肉牛基地，提高产品市场竞争力，促进当地农民自发开展种草养畜，带动饲草料产业发展，有助于优势产业的形成。大力发展肉牛产业，进一步加快推进畜牧产业化，对保障国家食物安全、增加农民收入、改善人们膳食结构、提高国民体质，对促进农业结构优化升级、推进农业现代化和社会主义新农村建设，具有极为重要的战略作用。</w:t>
      </w:r>
    </w:p>
    <w:p>
      <w:pPr>
        <w:spacing w:line="540" w:lineRule="exact"/>
        <w:ind w:firstLine="480" w:firstLineChars="200"/>
        <w:rPr>
          <w:rFonts w:ascii="Times New Roman" w:hAnsi="Times New Roman" w:cs="宋体"/>
          <w:sz w:val="24"/>
        </w:rPr>
      </w:pPr>
      <w:r>
        <w:rPr>
          <w:rFonts w:hint="eastAsia" w:ascii="Times New Roman" w:hAnsi="Times New Roman" w:cs="宋体"/>
          <w:sz w:val="24"/>
        </w:rPr>
        <w:t>国务院办公厅与农业部《关于加快畜牧业发展的意见》中明确指出：尽快把畜牧业发展成一个大产业，要把研究开发和推广畜禽优良品种、提高畜产品质量作为调整畜牧业结构的重点，加快发展肉羊、牛羊和肉禽生产；《宁夏回族自治区农业农村现代化发展“十四五”规划》（20</w:t>
      </w:r>
      <w:r>
        <w:rPr>
          <w:rFonts w:ascii="Times New Roman" w:hAnsi="Times New Roman" w:cs="宋体"/>
          <w:sz w:val="24"/>
        </w:rPr>
        <w:t>21</w:t>
      </w:r>
      <w:r>
        <w:rPr>
          <w:rFonts w:hint="eastAsia" w:ascii="Times New Roman" w:hAnsi="Times New Roman" w:cs="宋体"/>
          <w:sz w:val="24"/>
        </w:rPr>
        <w:t>~202</w:t>
      </w:r>
      <w:r>
        <w:rPr>
          <w:rFonts w:ascii="Times New Roman" w:hAnsi="Times New Roman" w:cs="宋体"/>
          <w:sz w:val="24"/>
        </w:rPr>
        <w:t>5</w:t>
      </w:r>
      <w:r>
        <w:rPr>
          <w:rFonts w:hint="eastAsia" w:ascii="Times New Roman" w:hAnsi="Times New Roman" w:cs="宋体"/>
          <w:sz w:val="24"/>
        </w:rPr>
        <w:t>年）中关于肉牛产业发展规划：“重点打造中南部地区、引黄灌区两个优质肉牛产区。中南部优质肉牛产区，包括原州、西吉、隆德、泾源、彭阳、海原、同心、红寺堡等8个县（区）”。</w:t>
      </w:r>
    </w:p>
    <w:p>
      <w:pPr>
        <w:spacing w:line="540" w:lineRule="exact"/>
        <w:ind w:firstLine="480" w:firstLineChars="200"/>
        <w:rPr>
          <w:rFonts w:ascii="Times New Roman" w:hAnsi="Times New Roman" w:cs="宋体"/>
          <w:sz w:val="24"/>
        </w:rPr>
      </w:pPr>
      <w:r>
        <w:rPr>
          <w:rFonts w:hint="eastAsia" w:ascii="Times New Roman" w:hAnsi="Times New Roman" w:cs="宋体"/>
          <w:sz w:val="24"/>
        </w:rPr>
        <w:t>隆德县地处黄土高原西部，境内群山绵亘，峰峦叠嶂，沟壑纵横，生态环境脆弱，经济发展缓慢，脱贫难度大，是国家和自治区扶贫攻坚的重点和难点地区。隆德县气候属中温带季风区半湿润向半干旱过渡性气候，春低温少雨，夏短暂多雹，秋阴涝霜旱，冬严寒绵长，素有"溽暑有风还透骨，芳春积雪不开花"之说。本地农民素有养牛的传统,是我国西北最适宜养殖肉牛的区域之一，通过建设肉牛标准化规模养殖场，能更好地应用先进养殖技术，发挥科技示范带头作用，带动</w:t>
      </w:r>
      <w:r>
        <w:rPr>
          <w:rFonts w:hint="eastAsia" w:ascii="Times New Roman" w:hAnsi="Times New Roman" w:cs="宋体"/>
          <w:sz w:val="24"/>
          <w:lang w:eastAsia="zh-CN"/>
        </w:rPr>
        <w:t>村民</w:t>
      </w:r>
      <w:r>
        <w:rPr>
          <w:rFonts w:hint="eastAsia" w:ascii="Times New Roman" w:hAnsi="Times New Roman" w:cs="宋体"/>
          <w:sz w:val="24"/>
        </w:rPr>
        <w:t xml:space="preserve">转变养殖理念和方式、改变农户肉牛饲养粗放管理的传统方式，促进当地农民增收脱贫奔小康。肉牛舍饲圈养也是响应国家生态文明建设战略、禁牧封育政策的要求，既可以压缩存栏数量，减少资源消耗，又可以降低对生态环境的压力，保护我市山区脆弱的草地生态系统，促使草原恢复生机，对改善我市草原生态环境具有重要作用。 </w:t>
      </w:r>
    </w:p>
    <w:p>
      <w:pPr>
        <w:spacing w:line="540" w:lineRule="exact"/>
        <w:ind w:firstLine="480" w:firstLineChars="200"/>
        <w:rPr>
          <w:rFonts w:hint="eastAsia" w:ascii="Times New Roman" w:hAnsi="Times New Roman" w:eastAsia="宋体" w:cs="宋体"/>
          <w:sz w:val="24"/>
          <w:lang w:eastAsia="zh-CN"/>
        </w:rPr>
      </w:pPr>
      <w:r>
        <w:rPr>
          <w:rFonts w:hint="eastAsia" w:ascii="Times New Roman" w:hAnsi="Times New Roman" w:cs="宋体"/>
          <w:sz w:val="24"/>
        </w:rPr>
        <w:t>在此契机下，宁夏腾发农业科技有限公司决定在隆德县神林乡神林村，预算总投资5100万元，建设宁夏腾发农业科技有限公司千头基础母牛养殖场建设项目（以下简称本项目），属于新建项目，计划于自批复之日起实施，总占地面积31432.4m</w:t>
      </w:r>
      <w:r>
        <w:rPr>
          <w:rFonts w:hint="eastAsia" w:ascii="Times New Roman" w:hAnsi="Times New Roman" w:cs="宋体"/>
          <w:sz w:val="24"/>
          <w:vertAlign w:val="superscript"/>
        </w:rPr>
        <w:t>3</w:t>
      </w:r>
      <w:r>
        <w:rPr>
          <w:rFonts w:hint="eastAsia" w:ascii="Times New Roman" w:hAnsi="Times New Roman" w:cs="宋体"/>
          <w:sz w:val="24"/>
        </w:rPr>
        <w:t>，其中：钢结构标准化牛棚10栋9180.25m</w:t>
      </w:r>
      <w:r>
        <w:rPr>
          <w:rFonts w:hint="eastAsia" w:ascii="Times New Roman" w:hAnsi="Times New Roman" w:cs="宋体"/>
          <w:sz w:val="24"/>
          <w:vertAlign w:val="superscript"/>
        </w:rPr>
        <w:t>3</w:t>
      </w:r>
      <w:r>
        <w:rPr>
          <w:rFonts w:hint="eastAsia" w:ascii="Times New Roman" w:hAnsi="Times New Roman" w:cs="宋体"/>
          <w:sz w:val="24"/>
          <w:vertAlign w:val="baseline"/>
          <w:lang w:eastAsia="zh-CN"/>
        </w:rPr>
        <w:t>（包括一间犊牛舍，一间产房）</w:t>
      </w:r>
      <w:r>
        <w:rPr>
          <w:rFonts w:hint="eastAsia" w:ascii="Times New Roman" w:hAnsi="Times New Roman" w:cs="宋体"/>
          <w:sz w:val="24"/>
        </w:rPr>
        <w:t>；</w:t>
      </w:r>
      <w:r>
        <w:rPr>
          <w:rFonts w:hint="eastAsia" w:ascii="Times New Roman" w:hAnsi="Times New Roman" w:cs="宋体"/>
          <w:sz w:val="24"/>
          <w:lang w:val="en-US" w:eastAsia="zh-CN"/>
        </w:rPr>
        <w:t>1间冷配室</w:t>
      </w:r>
      <w:r>
        <w:rPr>
          <w:rFonts w:hint="eastAsia" w:ascii="Times New Roman" w:hAnsi="Times New Roman" w:cs="宋体"/>
          <w:sz w:val="24"/>
        </w:rPr>
        <w:t>青贮池2座14000m</w:t>
      </w:r>
      <w:r>
        <w:rPr>
          <w:rFonts w:hint="eastAsia" w:ascii="Times New Roman" w:hAnsi="Times New Roman" w:cs="宋体"/>
          <w:sz w:val="24"/>
          <w:vertAlign w:val="superscript"/>
        </w:rPr>
        <w:t>3</w:t>
      </w:r>
      <w:r>
        <w:rPr>
          <w:rFonts w:hint="eastAsia" w:ascii="Times New Roman" w:hAnsi="Times New Roman" w:cs="宋体"/>
          <w:sz w:val="24"/>
        </w:rPr>
        <w:t>；防疫消毒室、</w:t>
      </w:r>
      <w:r>
        <w:rPr>
          <w:rFonts w:hint="eastAsia" w:ascii="Times New Roman" w:hAnsi="Times New Roman" w:cs="宋体"/>
          <w:sz w:val="24"/>
          <w:lang w:eastAsia="zh-CN"/>
        </w:rPr>
        <w:t>废弃物暂存间、</w:t>
      </w:r>
      <w:r>
        <w:rPr>
          <w:rFonts w:hint="eastAsia" w:ascii="Times New Roman" w:hAnsi="Times New Roman" w:cs="宋体"/>
          <w:sz w:val="24"/>
        </w:rPr>
        <w:t>办公室宿舍100m</w:t>
      </w:r>
      <w:r>
        <w:rPr>
          <w:rFonts w:hint="eastAsia" w:ascii="Times New Roman" w:hAnsi="Times New Roman" w:cs="宋体"/>
          <w:sz w:val="24"/>
          <w:vertAlign w:val="superscript"/>
        </w:rPr>
        <w:t>3</w:t>
      </w:r>
      <w:r>
        <w:rPr>
          <w:rFonts w:hint="eastAsia" w:ascii="Times New Roman" w:hAnsi="Times New Roman" w:cs="宋体"/>
          <w:sz w:val="24"/>
        </w:rPr>
        <w:t>；积粪场2200m</w:t>
      </w:r>
      <w:r>
        <w:rPr>
          <w:rFonts w:hint="eastAsia" w:ascii="Times New Roman" w:hAnsi="Times New Roman" w:cs="宋体"/>
          <w:sz w:val="24"/>
          <w:vertAlign w:val="superscript"/>
        </w:rPr>
        <w:t>3</w:t>
      </w:r>
      <w:r>
        <w:rPr>
          <w:rFonts w:hint="eastAsia" w:ascii="Times New Roman" w:hAnsi="Times New Roman" w:cs="宋体"/>
          <w:sz w:val="24"/>
        </w:rPr>
        <w:t>；饲料库360m</w:t>
      </w:r>
      <w:r>
        <w:rPr>
          <w:rFonts w:hint="eastAsia" w:ascii="Times New Roman" w:hAnsi="Times New Roman" w:cs="宋体"/>
          <w:sz w:val="24"/>
          <w:vertAlign w:val="superscript"/>
        </w:rPr>
        <w:t>3</w:t>
      </w:r>
      <w:r>
        <w:rPr>
          <w:rFonts w:hint="eastAsia" w:ascii="Times New Roman" w:hAnsi="Times New Roman" w:cs="宋体"/>
          <w:sz w:val="24"/>
        </w:rPr>
        <w:t>；</w:t>
      </w:r>
      <w:r>
        <w:rPr>
          <w:rFonts w:hint="eastAsia" w:ascii="Times New Roman" w:hAnsi="Times New Roman" w:cs="宋体"/>
          <w:sz w:val="24"/>
          <w:lang w:eastAsia="zh-CN"/>
        </w:rPr>
        <w:t>病死牛暂存间；病牛隔离室；干草棚；</w:t>
      </w:r>
      <w:r>
        <w:rPr>
          <w:rFonts w:hint="eastAsia" w:ascii="Times New Roman" w:hAnsi="Times New Roman" w:cs="宋体"/>
          <w:sz w:val="24"/>
        </w:rPr>
        <w:t>场区硬化13880.25m</w:t>
      </w:r>
      <w:r>
        <w:rPr>
          <w:rFonts w:hint="eastAsia" w:ascii="Times New Roman" w:hAnsi="Times New Roman" w:cs="宋体"/>
          <w:sz w:val="24"/>
          <w:vertAlign w:val="superscript"/>
        </w:rPr>
        <w:t>3</w:t>
      </w:r>
      <w:r>
        <w:rPr>
          <w:rFonts w:hint="eastAsia" w:ascii="Times New Roman" w:hAnsi="Times New Roman" w:cs="宋体"/>
          <w:sz w:val="24"/>
        </w:rPr>
        <w:t>；围栏650m；基础母牛1000头</w:t>
      </w:r>
      <w:r>
        <w:rPr>
          <w:rFonts w:hint="eastAsia" w:ascii="Times New Roman" w:hAnsi="Times New Roman" w:cs="宋体"/>
          <w:color w:val="auto"/>
          <w:sz w:val="24"/>
          <w:lang w:eastAsia="zh-CN"/>
        </w:rPr>
        <w:t>。</w:t>
      </w:r>
    </w:p>
    <w:p>
      <w:pPr>
        <w:spacing w:line="540" w:lineRule="exact"/>
        <w:ind w:firstLine="480" w:firstLineChars="200"/>
        <w:rPr>
          <w:rFonts w:ascii="Times New Roman" w:hAnsi="Times New Roman" w:cs="宋体"/>
          <w:sz w:val="24"/>
        </w:rPr>
      </w:pPr>
      <w:r>
        <w:rPr>
          <w:rFonts w:hint="eastAsia" w:ascii="Times New Roman" w:hAnsi="Times New Roman" w:cs="宋体"/>
          <w:sz w:val="24"/>
        </w:rPr>
        <w:t>按照《中华人民共和国环境保护法》、《中华人民共和国环境影响评价法》和《建设项目环境保护管理条例》（国务院令第682号）的要求，该项目须进行环境影响评价。依据生态环境部《建设项目环境影响评价分类管理名录》（部令第16号，2021年版）（2021年1月1日）的规定，应当编制环境影响报告书。宁夏腾发农业科技有限公司（以下简称“建设单位”）委托宁夏盛博恒环保工程有限公司（以下简称“评价单位”）对该项目进行环境影响评价工作。</w:t>
      </w:r>
    </w:p>
    <w:p>
      <w:pPr>
        <w:spacing w:line="540" w:lineRule="exact"/>
        <w:ind w:firstLine="480" w:firstLineChars="200"/>
        <w:rPr>
          <w:rFonts w:ascii="Times New Roman" w:hAnsi="Times New Roman" w:cs="宋体"/>
          <w:kern w:val="0"/>
          <w:sz w:val="24"/>
          <w:szCs w:val="20"/>
        </w:rPr>
      </w:pPr>
      <w:r>
        <w:rPr>
          <w:rFonts w:hint="eastAsia" w:ascii="Times New Roman" w:hAnsi="Times New Roman" w:cs="宋体"/>
          <w:sz w:val="24"/>
        </w:rPr>
        <w:t>接受委托后，评价单位严格按照国家的有关法规及自治区相关要求，工程技术人员认真研究本项目的有关文件，并进行实地踏勘和调研，收集和核实了有关材料，根据有关工程资料，在现场调查、调查环境现状资料、预测计算分析等环节工作的基础上，编制完成了《宁夏腾发农业科技有限公司千头母牛养殖场建设项目环境影响报告书》</w:t>
      </w:r>
      <w:r>
        <w:rPr>
          <w:rFonts w:hint="eastAsia" w:ascii="Times New Roman" w:hAnsi="Times New Roman" w:cs="宋体"/>
          <w:kern w:val="0"/>
          <w:sz w:val="24"/>
          <w:szCs w:val="20"/>
        </w:rPr>
        <w:t>。</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ascii="Times New Roman" w:hAnsi="Times New Roman"/>
          <w:b/>
          <w:bCs/>
          <w:sz w:val="24"/>
          <w:szCs w:val="28"/>
        </w:rPr>
      </w:pPr>
      <w:bookmarkStart w:id="6" w:name="_Toc28077"/>
      <w:bookmarkStart w:id="7" w:name="_Toc24226"/>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ascii="Times New Roman" w:hAnsi="Times New Roman"/>
          <w:b/>
          <w:bCs/>
          <w:sz w:val="24"/>
          <w:szCs w:val="28"/>
        </w:rPr>
      </w:pPr>
      <w:r>
        <w:rPr>
          <w:rFonts w:ascii="Times New Roman" w:hAnsi="Times New Roman"/>
          <w:b/>
          <w:bCs/>
          <w:sz w:val="24"/>
          <w:szCs w:val="28"/>
        </w:rPr>
        <w:t>2.环境影响评价工作过程</w:t>
      </w:r>
      <w:bookmarkEnd w:id="6"/>
      <w:bookmarkEnd w:id="7"/>
    </w:p>
    <w:p>
      <w:pPr>
        <w:adjustRightInd w:val="0"/>
        <w:snapToGrid w:val="0"/>
        <w:spacing w:line="540" w:lineRule="exact"/>
        <w:ind w:firstLine="480" w:firstLineChars="200"/>
        <w:rPr>
          <w:rFonts w:ascii="Times New Roman" w:hAnsi="Times New Roman" w:cs="仿宋_GB2312"/>
          <w:bCs/>
          <w:sz w:val="24"/>
        </w:rPr>
      </w:pPr>
      <w:r>
        <w:rPr>
          <w:rFonts w:hint="eastAsia" w:ascii="Times New Roman" w:hAnsi="Times New Roman" w:cs="仿宋_GB2312"/>
          <w:bCs/>
          <w:sz w:val="24"/>
        </w:rPr>
        <w:t>评价机构接收委托后，首先进入项目所在地进行现场勘查，之后进行资料收集，确定环境问题及环境因子，明确环境保护目标；通过工程分析和污染影响分析，进行环境影响因子的筛选，确定源强；通过现状调查、监测，进行大气、水、声、生态环境等的现状评价；按照国家和自治区关于环境保护的要求，提出技术可行、经济合理的污染防治措施，预测和评价本项目建成后污染物排放对环境产生影响的范围和程度，做出项目是否可行的结论，最后将上述内容编制成环境影响报告书，报送生态环境主管部门审批。</w:t>
      </w:r>
    </w:p>
    <w:p>
      <w:pPr>
        <w:adjustRightInd w:val="0"/>
        <w:snapToGrid w:val="0"/>
        <w:spacing w:line="540" w:lineRule="exact"/>
        <w:ind w:firstLine="480" w:firstLineChars="200"/>
        <w:rPr>
          <w:rFonts w:ascii="Times New Roman" w:hAnsi="Times New Roman" w:cs="仿宋_GB2312"/>
          <w:bCs/>
          <w:sz w:val="24"/>
        </w:rPr>
      </w:pPr>
      <w:r>
        <w:rPr>
          <w:rFonts w:hint="eastAsia" w:ascii="Times New Roman" w:hAnsi="Times New Roman" w:cs="仿宋_GB2312"/>
          <w:bCs/>
          <w:sz w:val="24"/>
        </w:rPr>
        <w:t>编制单位根据项目特点及区域环境特征，确定本次环境影响评价工作的主要内容如下：</w:t>
      </w:r>
    </w:p>
    <w:p>
      <w:pPr>
        <w:adjustRightInd w:val="0"/>
        <w:snapToGrid w:val="0"/>
        <w:spacing w:line="540" w:lineRule="exact"/>
        <w:ind w:firstLine="480" w:firstLineChars="200"/>
        <w:rPr>
          <w:rFonts w:ascii="Times New Roman" w:hAnsi="Times New Roman" w:cs="仿宋_GB2312"/>
          <w:bCs/>
          <w:sz w:val="24"/>
        </w:rPr>
      </w:pPr>
      <w:r>
        <w:rPr>
          <w:rFonts w:hint="eastAsia" w:ascii="Times New Roman" w:hAnsi="Times New Roman" w:cs="仿宋_GB2312"/>
          <w:bCs/>
          <w:sz w:val="24"/>
        </w:rPr>
        <w:fldChar w:fldCharType="begin"/>
      </w:r>
      <w:r>
        <w:rPr>
          <w:rFonts w:hint="eastAsia" w:ascii="Times New Roman" w:hAnsi="Times New Roman" w:cs="仿宋_GB2312"/>
          <w:bCs/>
          <w:sz w:val="24"/>
        </w:rPr>
        <w:instrText xml:space="preserve"> = 1 \* GB2 \* MERGEFORMAT </w:instrText>
      </w:r>
      <w:r>
        <w:rPr>
          <w:rFonts w:hint="eastAsia" w:ascii="Times New Roman" w:hAnsi="Times New Roman" w:cs="仿宋_GB2312"/>
          <w:bCs/>
          <w:sz w:val="24"/>
        </w:rPr>
        <w:fldChar w:fldCharType="separate"/>
      </w:r>
      <w:r>
        <w:rPr>
          <w:rFonts w:hint="eastAsia" w:ascii="Times New Roman" w:hAnsi="Times New Roman" w:cs="仿宋_GB2312"/>
          <w:bCs/>
          <w:sz w:val="24"/>
        </w:rPr>
        <w:t>⑴</w:t>
      </w:r>
      <w:r>
        <w:rPr>
          <w:rFonts w:hint="eastAsia" w:ascii="Times New Roman" w:hAnsi="Times New Roman" w:cs="仿宋_GB2312"/>
          <w:bCs/>
          <w:sz w:val="24"/>
        </w:rPr>
        <w:fldChar w:fldCharType="end"/>
      </w:r>
      <w:r>
        <w:rPr>
          <w:rFonts w:hint="eastAsia" w:ascii="Times New Roman" w:hAnsi="Times New Roman" w:cs="仿宋_GB2312"/>
          <w:bCs/>
          <w:sz w:val="24"/>
        </w:rPr>
        <w:t>结合本项目建设内容开展工程分析。</w:t>
      </w:r>
    </w:p>
    <w:p>
      <w:pPr>
        <w:adjustRightInd w:val="0"/>
        <w:snapToGrid w:val="0"/>
        <w:spacing w:line="540" w:lineRule="exact"/>
        <w:ind w:firstLine="480" w:firstLineChars="200"/>
        <w:rPr>
          <w:rFonts w:ascii="Times New Roman" w:hAnsi="Times New Roman" w:cs="仿宋_GB2312"/>
          <w:bCs/>
          <w:sz w:val="24"/>
        </w:rPr>
      </w:pPr>
      <w:r>
        <w:rPr>
          <w:rFonts w:hint="eastAsia" w:ascii="Times New Roman" w:hAnsi="Times New Roman" w:cs="仿宋_GB2312"/>
          <w:bCs/>
          <w:sz w:val="24"/>
        </w:rPr>
        <w:fldChar w:fldCharType="begin"/>
      </w:r>
      <w:r>
        <w:rPr>
          <w:rFonts w:hint="eastAsia" w:ascii="Times New Roman" w:hAnsi="Times New Roman" w:cs="仿宋_GB2312"/>
          <w:bCs/>
          <w:sz w:val="24"/>
        </w:rPr>
        <w:instrText xml:space="preserve"> = 2 \* GB2 \* MERGEFORMAT </w:instrText>
      </w:r>
      <w:r>
        <w:rPr>
          <w:rFonts w:hint="eastAsia" w:ascii="Times New Roman" w:hAnsi="Times New Roman" w:cs="仿宋_GB2312"/>
          <w:bCs/>
          <w:sz w:val="24"/>
        </w:rPr>
        <w:fldChar w:fldCharType="separate"/>
      </w:r>
      <w:r>
        <w:rPr>
          <w:rFonts w:hint="eastAsia" w:ascii="Times New Roman" w:hAnsi="Times New Roman" w:cs="仿宋_GB2312"/>
          <w:bCs/>
          <w:sz w:val="24"/>
        </w:rPr>
        <w:t>⑵</w:t>
      </w:r>
      <w:r>
        <w:rPr>
          <w:rFonts w:hint="eastAsia" w:ascii="Times New Roman" w:hAnsi="Times New Roman" w:cs="仿宋_GB2312"/>
          <w:bCs/>
          <w:sz w:val="24"/>
        </w:rPr>
        <w:fldChar w:fldCharType="end"/>
      </w:r>
      <w:r>
        <w:rPr>
          <w:rFonts w:hint="eastAsia" w:ascii="Times New Roman" w:hAnsi="Times New Roman" w:cs="仿宋_GB2312"/>
          <w:bCs/>
          <w:sz w:val="24"/>
        </w:rPr>
        <w:t>调查区域自然环境简况，开展环境质量现状调查与评价，确定保护的环境目标。</w:t>
      </w:r>
    </w:p>
    <w:p>
      <w:pPr>
        <w:adjustRightInd w:val="0"/>
        <w:snapToGrid w:val="0"/>
        <w:spacing w:line="540" w:lineRule="exact"/>
        <w:ind w:firstLine="480" w:firstLineChars="200"/>
        <w:rPr>
          <w:rFonts w:ascii="Times New Roman" w:hAnsi="Times New Roman" w:cs="仿宋_GB2312"/>
          <w:bCs/>
          <w:sz w:val="24"/>
        </w:rPr>
      </w:pPr>
      <w:r>
        <w:rPr>
          <w:rFonts w:hint="eastAsia" w:ascii="Times New Roman" w:hAnsi="Times New Roman" w:cs="仿宋_GB2312"/>
          <w:bCs/>
          <w:sz w:val="24"/>
        </w:rPr>
        <w:fldChar w:fldCharType="begin"/>
      </w:r>
      <w:r>
        <w:rPr>
          <w:rFonts w:hint="eastAsia" w:ascii="Times New Roman" w:hAnsi="Times New Roman" w:cs="仿宋_GB2312"/>
          <w:bCs/>
          <w:sz w:val="24"/>
        </w:rPr>
        <w:instrText xml:space="preserve"> = 3 \* GB2 \* MERGEFORMAT </w:instrText>
      </w:r>
      <w:r>
        <w:rPr>
          <w:rFonts w:hint="eastAsia" w:ascii="Times New Roman" w:hAnsi="Times New Roman" w:cs="仿宋_GB2312"/>
          <w:bCs/>
          <w:sz w:val="24"/>
        </w:rPr>
        <w:fldChar w:fldCharType="separate"/>
      </w:r>
      <w:r>
        <w:rPr>
          <w:rFonts w:hint="eastAsia" w:ascii="Times New Roman" w:hAnsi="Times New Roman" w:cs="仿宋_GB2312"/>
          <w:bCs/>
          <w:sz w:val="24"/>
        </w:rPr>
        <w:t>⑶</w:t>
      </w:r>
      <w:r>
        <w:rPr>
          <w:rFonts w:hint="eastAsia" w:ascii="Times New Roman" w:hAnsi="Times New Roman" w:cs="仿宋_GB2312"/>
          <w:bCs/>
          <w:sz w:val="24"/>
        </w:rPr>
        <w:fldChar w:fldCharType="end"/>
      </w:r>
      <w:r>
        <w:rPr>
          <w:rFonts w:hint="eastAsia" w:ascii="Times New Roman" w:hAnsi="Times New Roman" w:cs="仿宋_GB2312"/>
          <w:bCs/>
          <w:sz w:val="24"/>
        </w:rPr>
        <w:t>贯彻节能减排和循环经济原则，落实污染源治理达标排放和总量控制原则，从经济合理、技术可行的角度论证并优化、完善各项污染防治措施。</w:t>
      </w:r>
    </w:p>
    <w:p>
      <w:pPr>
        <w:adjustRightInd w:val="0"/>
        <w:snapToGrid w:val="0"/>
        <w:spacing w:line="540" w:lineRule="exact"/>
        <w:ind w:firstLine="480" w:firstLineChars="200"/>
        <w:rPr>
          <w:rFonts w:ascii="Times New Roman" w:hAnsi="Times New Roman" w:cs="仿宋_GB2312"/>
          <w:bCs/>
          <w:sz w:val="24"/>
        </w:rPr>
      </w:pPr>
      <w:r>
        <w:rPr>
          <w:rFonts w:hint="eastAsia" w:ascii="Times New Roman" w:hAnsi="Times New Roman" w:cs="仿宋_GB2312"/>
          <w:bCs/>
          <w:sz w:val="24"/>
        </w:rPr>
        <w:fldChar w:fldCharType="begin"/>
      </w:r>
      <w:r>
        <w:rPr>
          <w:rFonts w:hint="eastAsia" w:ascii="Times New Roman" w:hAnsi="Times New Roman" w:cs="仿宋_GB2312"/>
          <w:bCs/>
          <w:sz w:val="24"/>
        </w:rPr>
        <w:instrText xml:space="preserve"> = 4 \* GB2 \* MERGEFORMAT </w:instrText>
      </w:r>
      <w:r>
        <w:rPr>
          <w:rFonts w:hint="eastAsia" w:ascii="Times New Roman" w:hAnsi="Times New Roman" w:cs="仿宋_GB2312"/>
          <w:bCs/>
          <w:sz w:val="24"/>
        </w:rPr>
        <w:fldChar w:fldCharType="separate"/>
      </w:r>
      <w:r>
        <w:rPr>
          <w:rFonts w:hint="eastAsia" w:ascii="Times New Roman" w:hAnsi="Times New Roman" w:cs="仿宋_GB2312"/>
          <w:bCs/>
          <w:sz w:val="24"/>
        </w:rPr>
        <w:t>⑷</w:t>
      </w:r>
      <w:r>
        <w:rPr>
          <w:rFonts w:hint="eastAsia" w:ascii="Times New Roman" w:hAnsi="Times New Roman" w:cs="仿宋_GB2312"/>
          <w:bCs/>
          <w:sz w:val="24"/>
        </w:rPr>
        <w:fldChar w:fldCharType="end"/>
      </w:r>
      <w:r>
        <w:rPr>
          <w:rFonts w:hint="eastAsia" w:ascii="Times New Roman" w:hAnsi="Times New Roman" w:cs="仿宋_GB2312"/>
          <w:bCs/>
          <w:sz w:val="24"/>
        </w:rPr>
        <w:t>预测和评价项目建设期及运营期各类污染物排放对评价区内环境质量影响的范围和程度，从环境保护的角度论证项目在该场址建设的可行性及项目总图布置的合理性。</w:t>
      </w:r>
    </w:p>
    <w:p>
      <w:pPr>
        <w:adjustRightInd w:val="0"/>
        <w:snapToGrid w:val="0"/>
        <w:spacing w:line="540" w:lineRule="exact"/>
        <w:ind w:firstLine="480" w:firstLineChars="200"/>
        <w:rPr>
          <w:rFonts w:ascii="Times New Roman" w:hAnsi="Times New Roman" w:cs="仿宋_GB2312"/>
          <w:bCs/>
          <w:sz w:val="24"/>
        </w:rPr>
      </w:pPr>
      <w:r>
        <w:rPr>
          <w:rFonts w:hint="eastAsia" w:ascii="Times New Roman" w:hAnsi="Times New Roman" w:cs="仿宋_GB2312"/>
          <w:bCs/>
          <w:sz w:val="24"/>
        </w:rPr>
        <w:fldChar w:fldCharType="begin"/>
      </w:r>
      <w:r>
        <w:rPr>
          <w:rFonts w:hint="eastAsia" w:ascii="Times New Roman" w:hAnsi="Times New Roman" w:cs="仿宋_GB2312"/>
          <w:bCs/>
          <w:sz w:val="24"/>
        </w:rPr>
        <w:instrText xml:space="preserve"> = 5 \* GB2 \* MERGEFORMAT </w:instrText>
      </w:r>
      <w:r>
        <w:rPr>
          <w:rFonts w:hint="eastAsia" w:ascii="Times New Roman" w:hAnsi="Times New Roman" w:cs="仿宋_GB2312"/>
          <w:bCs/>
          <w:sz w:val="24"/>
        </w:rPr>
        <w:fldChar w:fldCharType="separate"/>
      </w:r>
      <w:r>
        <w:rPr>
          <w:rFonts w:hint="eastAsia" w:ascii="Times New Roman" w:hAnsi="Times New Roman" w:cs="仿宋_GB2312"/>
          <w:bCs/>
          <w:sz w:val="24"/>
        </w:rPr>
        <w:t>⑸</w:t>
      </w:r>
      <w:r>
        <w:rPr>
          <w:rFonts w:hint="eastAsia" w:ascii="Times New Roman" w:hAnsi="Times New Roman" w:cs="仿宋_GB2312"/>
          <w:bCs/>
          <w:sz w:val="24"/>
        </w:rPr>
        <w:fldChar w:fldCharType="end"/>
      </w:r>
      <w:r>
        <w:rPr>
          <w:rFonts w:hint="eastAsia" w:ascii="Times New Roman" w:hAnsi="Times New Roman" w:cs="仿宋_GB2312"/>
          <w:bCs/>
          <w:sz w:val="24"/>
        </w:rPr>
        <w:t>关注项目环境风险是否在可防可控的范围内。</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fldChar w:fldCharType="begin"/>
      </w:r>
      <w:r>
        <w:rPr>
          <w:rFonts w:ascii="Times New Roman" w:hAnsi="Times New Roman"/>
          <w:bCs/>
          <w:sz w:val="24"/>
        </w:rPr>
        <w:instrText xml:space="preserve"> = 6 \* GB2 \* MERGEFORMAT </w:instrText>
      </w:r>
      <w:r>
        <w:rPr>
          <w:rFonts w:ascii="Times New Roman" w:hAnsi="Times New Roman"/>
          <w:bCs/>
          <w:sz w:val="24"/>
        </w:rPr>
        <w:fldChar w:fldCharType="separate"/>
      </w:r>
      <w:r>
        <w:rPr>
          <w:rFonts w:ascii="Times New Roman" w:hAnsi="Times New Roman"/>
          <w:bCs/>
          <w:sz w:val="24"/>
        </w:rPr>
        <w:t>⑹</w:t>
      </w:r>
      <w:r>
        <w:rPr>
          <w:rFonts w:ascii="Times New Roman" w:hAnsi="Times New Roman"/>
          <w:bCs/>
          <w:sz w:val="24"/>
        </w:rPr>
        <w:fldChar w:fldCharType="end"/>
      </w:r>
      <w:r>
        <w:rPr>
          <w:rFonts w:ascii="Times New Roman" w:hAnsi="Times New Roman"/>
          <w:bCs/>
          <w:sz w:val="24"/>
        </w:rPr>
        <w:t>开展环境经济损益分析。</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fldChar w:fldCharType="begin"/>
      </w:r>
      <w:r>
        <w:rPr>
          <w:rFonts w:ascii="Times New Roman" w:hAnsi="Times New Roman"/>
          <w:bCs/>
          <w:sz w:val="24"/>
        </w:rPr>
        <w:instrText xml:space="preserve"> = 7 \* GB2 \* MERGEFORMAT </w:instrText>
      </w:r>
      <w:r>
        <w:rPr>
          <w:rFonts w:ascii="Times New Roman" w:hAnsi="Times New Roman"/>
          <w:bCs/>
          <w:sz w:val="24"/>
        </w:rPr>
        <w:fldChar w:fldCharType="separate"/>
      </w:r>
      <w:r>
        <w:rPr>
          <w:rFonts w:ascii="Times New Roman" w:hAnsi="Times New Roman"/>
          <w:bCs/>
          <w:sz w:val="24"/>
        </w:rPr>
        <w:t>⑺</w:t>
      </w:r>
      <w:r>
        <w:rPr>
          <w:rFonts w:ascii="Times New Roman" w:hAnsi="Times New Roman"/>
          <w:bCs/>
          <w:sz w:val="24"/>
        </w:rPr>
        <w:fldChar w:fldCharType="end"/>
      </w:r>
      <w:r>
        <w:rPr>
          <w:rFonts w:ascii="Times New Roman" w:hAnsi="Times New Roman"/>
          <w:bCs/>
          <w:sz w:val="24"/>
        </w:rPr>
        <w:t>制定项目环境管理计划和环境监测计划，提出项目竣工环境保护验收重点。本项目环境影响评价工作分三个阶段，即前期准备、调研和工作方案阶段，分析论证和预测评价阶段，环境影响评价文件编制阶段，具体流程图见图1。</w:t>
      </w:r>
    </w:p>
    <w:p>
      <w:pPr>
        <w:pStyle w:val="2"/>
        <w:spacing w:line="360" w:lineRule="auto"/>
        <w:jc w:val="center"/>
        <w:rPr>
          <w:rFonts w:ascii="Times New Roman" w:hAnsi="Times New Roman" w:cs="宋体"/>
          <w:b/>
          <w:sz w:val="24"/>
        </w:rPr>
      </w:pPr>
      <w:r>
        <w:rPr>
          <w:rFonts w:ascii="Times New Roman" w:hAnsi="Times New Roman"/>
          <w:kern w:val="0"/>
          <w:sz w:val="24"/>
        </w:rPr>
        <mc:AlternateContent>
          <mc:Choice Requires="wpg">
            <w:drawing>
              <wp:inline distT="0" distB="0" distL="114300" distR="114300">
                <wp:extent cx="5601335" cy="7044690"/>
                <wp:effectExtent l="5080" t="1270" r="13335" b="2540"/>
                <wp:docPr id="3" name="组合 3"/>
                <wp:cNvGraphicFramePr/>
                <a:graphic xmlns:a="http://schemas.openxmlformats.org/drawingml/2006/main">
                  <a:graphicData uri="http://schemas.microsoft.com/office/word/2010/wordprocessingGroup">
                    <wpg:wgp>
                      <wpg:cNvGrpSpPr>
                        <a:grpSpLocks noRot="1"/>
                      </wpg:cNvGrpSpPr>
                      <wpg:grpSpPr>
                        <a:xfrm>
                          <a:off x="0" y="0"/>
                          <a:ext cx="5601335" cy="7044690"/>
                          <a:chOff x="1543" y="2831"/>
                          <a:chExt cx="8821" cy="11409"/>
                        </a:xfrm>
                        <a:effectLst/>
                      </wpg:grpSpPr>
                      <wps:wsp>
                        <wps:cNvPr id="2" name="Line 2050"/>
                        <wps:cNvCnPr/>
                        <wps:spPr bwMode="auto">
                          <a:xfrm>
                            <a:off x="1543" y="2831"/>
                            <a:ext cx="0" cy="11388"/>
                          </a:xfrm>
                          <a:prstGeom prst="line">
                            <a:avLst/>
                          </a:prstGeom>
                          <a:noFill/>
                          <a:ln w="9525">
                            <a:solidFill>
                              <a:srgbClr val="000000"/>
                            </a:solidFill>
                            <a:prstDash val="dashDot"/>
                            <a:round/>
                          </a:ln>
                          <a:effectLst/>
                        </wps:spPr>
                        <wps:bodyPr/>
                      </wps:wsp>
                      <wps:wsp>
                        <wps:cNvPr id="4" name="Line 2051"/>
                        <wps:cNvCnPr/>
                        <wps:spPr bwMode="auto">
                          <a:xfrm>
                            <a:off x="1543" y="14210"/>
                            <a:ext cx="8820" cy="0"/>
                          </a:xfrm>
                          <a:prstGeom prst="line">
                            <a:avLst/>
                          </a:prstGeom>
                          <a:noFill/>
                          <a:ln w="9525">
                            <a:solidFill>
                              <a:srgbClr val="000000"/>
                            </a:solidFill>
                            <a:prstDash val="dashDot"/>
                            <a:round/>
                          </a:ln>
                          <a:effectLst/>
                        </wps:spPr>
                        <wps:bodyPr/>
                      </wps:wsp>
                      <wps:wsp>
                        <wps:cNvPr id="5" name="Line 2052"/>
                        <wps:cNvCnPr/>
                        <wps:spPr bwMode="auto">
                          <a:xfrm>
                            <a:off x="1543" y="2837"/>
                            <a:ext cx="8820" cy="0"/>
                          </a:xfrm>
                          <a:prstGeom prst="line">
                            <a:avLst/>
                          </a:prstGeom>
                          <a:noFill/>
                          <a:ln w="9525">
                            <a:solidFill>
                              <a:srgbClr val="000000"/>
                            </a:solidFill>
                            <a:prstDash val="dashDot"/>
                            <a:round/>
                          </a:ln>
                          <a:effectLst/>
                        </wps:spPr>
                        <wps:bodyPr/>
                      </wps:wsp>
                      <wps:wsp>
                        <wps:cNvPr id="6" name="Line 2053"/>
                        <wps:cNvCnPr/>
                        <wps:spPr bwMode="auto">
                          <a:xfrm>
                            <a:off x="10363" y="2852"/>
                            <a:ext cx="0" cy="11388"/>
                          </a:xfrm>
                          <a:prstGeom prst="line">
                            <a:avLst/>
                          </a:prstGeom>
                          <a:noFill/>
                          <a:ln w="9525">
                            <a:solidFill>
                              <a:srgbClr val="000000"/>
                            </a:solidFill>
                            <a:prstDash val="dashDot"/>
                            <a:round/>
                          </a:ln>
                          <a:effectLst/>
                        </wps:spPr>
                        <wps:bodyPr/>
                      </wps:wsp>
                      <wps:wsp>
                        <wps:cNvPr id="7" name="Line 2054"/>
                        <wps:cNvCnPr/>
                        <wps:spPr bwMode="auto">
                          <a:xfrm>
                            <a:off x="1543" y="8109"/>
                            <a:ext cx="8821" cy="0"/>
                          </a:xfrm>
                          <a:prstGeom prst="line">
                            <a:avLst/>
                          </a:prstGeom>
                          <a:noFill/>
                          <a:ln w="9525">
                            <a:solidFill>
                              <a:srgbClr val="000000"/>
                            </a:solidFill>
                            <a:prstDash val="dash"/>
                            <a:round/>
                          </a:ln>
                          <a:effectLst/>
                        </wps:spPr>
                        <wps:bodyPr/>
                      </wps:wsp>
                      <wps:wsp>
                        <wps:cNvPr id="8" name="Line 2056"/>
                        <wps:cNvCnPr/>
                        <wps:spPr bwMode="auto">
                          <a:xfrm>
                            <a:off x="1543" y="11175"/>
                            <a:ext cx="8820" cy="0"/>
                          </a:xfrm>
                          <a:prstGeom prst="line">
                            <a:avLst/>
                          </a:prstGeom>
                          <a:noFill/>
                          <a:ln w="9525">
                            <a:solidFill>
                              <a:srgbClr val="000000"/>
                            </a:solidFill>
                            <a:prstDash val="dash"/>
                            <a:round/>
                          </a:ln>
                          <a:effectLst/>
                        </wps:spPr>
                        <wps:bodyPr/>
                      </wps:wsp>
                      <wps:wsp>
                        <wps:cNvPr id="9" name="Rectangle 2057"/>
                        <wps:cNvSpPr>
                          <a:spLocks noChangeArrowheads="1"/>
                        </wps:cNvSpPr>
                        <wps:spPr bwMode="auto">
                          <a:xfrm>
                            <a:off x="1723" y="4568"/>
                            <a:ext cx="540" cy="2031"/>
                          </a:xfrm>
                          <a:prstGeom prst="rect">
                            <a:avLst/>
                          </a:prstGeom>
                          <a:noFill/>
                          <a:ln>
                            <a:noFill/>
                          </a:ln>
                          <a:effectLst/>
                        </wps:spPr>
                        <wps:txbx>
                          <w:txbxContent>
                            <w:p>
                              <w:r>
                                <w:rPr>
                                  <w:rFonts w:hint="eastAsia"/>
                                </w:rPr>
                                <w:t>第一阶段</w:t>
                              </w:r>
                            </w:p>
                          </w:txbxContent>
                        </wps:txbx>
                        <wps:bodyPr rot="0" vert="horz" wrap="square" lIns="91440" tIns="90000" rIns="91440" bIns="45720" anchor="t" anchorCtr="0" upright="1">
                          <a:noAutofit/>
                        </wps:bodyPr>
                      </wps:wsp>
                      <wps:wsp>
                        <wps:cNvPr id="10" name="Rectangle 2058"/>
                        <wps:cNvSpPr>
                          <a:spLocks noChangeArrowheads="1"/>
                        </wps:cNvSpPr>
                        <wps:spPr bwMode="auto">
                          <a:xfrm>
                            <a:off x="1723" y="8582"/>
                            <a:ext cx="540" cy="2031"/>
                          </a:xfrm>
                          <a:prstGeom prst="rect">
                            <a:avLst/>
                          </a:prstGeom>
                          <a:noFill/>
                          <a:ln>
                            <a:noFill/>
                          </a:ln>
                          <a:effectLst/>
                        </wps:spPr>
                        <wps:txbx>
                          <w:txbxContent>
                            <w:p>
                              <w:r>
                                <w:rPr>
                                  <w:rFonts w:hint="eastAsia"/>
                                </w:rPr>
                                <w:t>第二阶段</w:t>
                              </w:r>
                            </w:p>
                          </w:txbxContent>
                        </wps:txbx>
                        <wps:bodyPr rot="0" vert="horz" wrap="square" lIns="91440" tIns="90000" rIns="91440" bIns="45720" anchor="t" anchorCtr="0" upright="1">
                          <a:noAutofit/>
                        </wps:bodyPr>
                      </wps:wsp>
                      <wps:wsp>
                        <wps:cNvPr id="11" name="Rectangle 2059"/>
                        <wps:cNvSpPr>
                          <a:spLocks noChangeArrowheads="1"/>
                        </wps:cNvSpPr>
                        <wps:spPr bwMode="auto">
                          <a:xfrm>
                            <a:off x="1723" y="11611"/>
                            <a:ext cx="540" cy="2031"/>
                          </a:xfrm>
                          <a:prstGeom prst="rect">
                            <a:avLst/>
                          </a:prstGeom>
                          <a:noFill/>
                          <a:ln>
                            <a:noFill/>
                          </a:ln>
                          <a:effectLst/>
                        </wps:spPr>
                        <wps:txbx>
                          <w:txbxContent>
                            <w:p>
                              <w:r>
                                <w:rPr>
                                  <w:rFonts w:hint="eastAsia"/>
                                </w:rPr>
                                <w:t>第三阶段</w:t>
                              </w:r>
                            </w:p>
                          </w:txbxContent>
                        </wps:txbx>
                        <wps:bodyPr rot="0" vert="horz" wrap="square" lIns="91440" tIns="90000" rIns="91440" bIns="45720" anchor="t" anchorCtr="0" upright="1">
                          <a:noAutofit/>
                        </wps:bodyPr>
                      </wps:wsp>
                      <wps:wsp>
                        <wps:cNvPr id="12" name="Rectangle 2015"/>
                        <wps:cNvSpPr>
                          <a:spLocks noChangeArrowheads="1"/>
                        </wps:cNvSpPr>
                        <wps:spPr bwMode="auto">
                          <a:xfrm>
                            <a:off x="3362" y="3168"/>
                            <a:ext cx="4915" cy="474"/>
                          </a:xfrm>
                          <a:prstGeom prst="rect">
                            <a:avLst/>
                          </a:prstGeom>
                          <a:noFill/>
                          <a:ln w="9525">
                            <a:solidFill>
                              <a:srgbClr val="000000"/>
                            </a:solidFill>
                            <a:miter lim="800000"/>
                          </a:ln>
                          <a:effectLst/>
                        </wps:spPr>
                        <wps:txbx>
                          <w:txbxContent>
                            <w:p>
                              <w:pPr>
                                <w:adjustRightInd w:val="0"/>
                                <w:snapToGrid w:val="0"/>
                              </w:pPr>
                              <w:r>
                                <w:rPr>
                                  <w:rFonts w:hint="eastAsia"/>
                                </w:rPr>
                                <w:t>依据相关规定确定环境影响评价文件类型</w:t>
                              </w:r>
                            </w:p>
                          </w:txbxContent>
                        </wps:txbx>
                        <wps:bodyPr rot="0" vert="horz" wrap="square" lIns="91440" tIns="45720" rIns="91440" bIns="45720" anchor="t" anchorCtr="0" upright="1">
                          <a:noAutofit/>
                        </wps:bodyPr>
                      </wps:wsp>
                      <wps:wsp>
                        <wps:cNvPr id="13" name="Rectangle 2017"/>
                        <wps:cNvSpPr>
                          <a:spLocks noChangeArrowheads="1"/>
                        </wps:cNvSpPr>
                        <wps:spPr bwMode="auto">
                          <a:xfrm>
                            <a:off x="3365" y="4088"/>
                            <a:ext cx="4916" cy="1290"/>
                          </a:xfrm>
                          <a:prstGeom prst="rect">
                            <a:avLst/>
                          </a:prstGeom>
                          <a:noFill/>
                          <a:ln w="9525">
                            <a:solidFill>
                              <a:srgbClr val="000000"/>
                            </a:solidFill>
                            <a:miter lim="800000"/>
                          </a:ln>
                          <a:effectLst/>
                        </wps:spPr>
                        <wps:txbx>
                          <w:txbxContent>
                            <w:p>
                              <w:pPr>
                                <w:snapToGrid w:val="0"/>
                                <w:spacing w:line="360" w:lineRule="auto"/>
                              </w:pPr>
                              <w:r>
                                <w:rPr>
                                  <w:rFonts w:ascii="Times New Roman" w:hAnsi="Times New Roman"/>
                                </w:rPr>
                                <w:t>1</w:t>
                              </w:r>
                              <w:r>
                                <w:rPr>
                                  <w:rFonts w:hint="eastAsia"/>
                                </w:rPr>
                                <w:t>研究相关技术文件和其他有关文件</w:t>
                              </w:r>
                            </w:p>
                            <w:p>
                              <w:pPr>
                                <w:snapToGrid w:val="0"/>
                                <w:spacing w:line="360" w:lineRule="auto"/>
                              </w:pPr>
                              <w:r>
                                <w:rPr>
                                  <w:rFonts w:ascii="Times New Roman" w:hAnsi="Times New Roman"/>
                                </w:rPr>
                                <w:t>2</w:t>
                              </w:r>
                              <w:r>
                                <w:rPr>
                                  <w:rFonts w:hint="eastAsia"/>
                                </w:rPr>
                                <w:t>进行初步工程分析</w:t>
                              </w:r>
                            </w:p>
                            <w:p>
                              <w:pPr>
                                <w:snapToGrid w:val="0"/>
                                <w:spacing w:line="360" w:lineRule="auto"/>
                              </w:pPr>
                              <w:r>
                                <w:rPr>
                                  <w:rFonts w:ascii="Times New Roman" w:hAnsi="Times New Roman"/>
                                </w:rPr>
                                <w:t>3</w:t>
                              </w:r>
                              <w:r>
                                <w:rPr>
                                  <w:rFonts w:hint="eastAsia"/>
                                </w:rPr>
                                <w:t>开展初步的环境现状调查</w:t>
                              </w:r>
                            </w:p>
                          </w:txbxContent>
                        </wps:txbx>
                        <wps:bodyPr rot="0" vert="horz" wrap="square" lIns="91440" tIns="45720" rIns="91440" bIns="45720" anchor="t" anchorCtr="0" upright="1">
                          <a:noAutofit/>
                        </wps:bodyPr>
                      </wps:wsp>
                      <wps:wsp>
                        <wps:cNvPr id="14" name="Rectangle 2021"/>
                        <wps:cNvSpPr>
                          <a:spLocks noChangeArrowheads="1"/>
                        </wps:cNvSpPr>
                        <wps:spPr bwMode="auto">
                          <a:xfrm>
                            <a:off x="3362" y="5764"/>
                            <a:ext cx="4915" cy="1247"/>
                          </a:xfrm>
                          <a:prstGeom prst="rect">
                            <a:avLst/>
                          </a:prstGeom>
                          <a:noFill/>
                          <a:ln w="9525">
                            <a:solidFill>
                              <a:srgbClr val="000000"/>
                            </a:solidFill>
                            <a:miter lim="800000"/>
                          </a:ln>
                          <a:effectLst/>
                        </wps:spPr>
                        <wps:txbx>
                          <w:txbxContent>
                            <w:p>
                              <w:pPr>
                                <w:snapToGrid w:val="0"/>
                                <w:spacing w:line="360" w:lineRule="auto"/>
                              </w:pPr>
                              <w:r>
                                <w:rPr>
                                  <w:rFonts w:ascii="Times New Roman" w:hAnsi="Times New Roman"/>
                                </w:rPr>
                                <w:t>1</w:t>
                              </w:r>
                              <w:r>
                                <w:rPr>
                                  <w:rFonts w:hint="eastAsia"/>
                                </w:rPr>
                                <w:t>环境影响识别和评价因子筛选</w:t>
                              </w:r>
                            </w:p>
                            <w:p>
                              <w:pPr>
                                <w:snapToGrid w:val="0"/>
                                <w:spacing w:line="360" w:lineRule="auto"/>
                              </w:pPr>
                              <w:r>
                                <w:rPr>
                                  <w:rFonts w:ascii="Times New Roman" w:hAnsi="Times New Roman"/>
                                </w:rPr>
                                <w:t>2</w:t>
                              </w:r>
                              <w:r>
                                <w:rPr>
                                  <w:rFonts w:hint="eastAsia"/>
                                </w:rPr>
                                <w:t>明确评价重点和环境保护目标</w:t>
                              </w:r>
                            </w:p>
                            <w:p>
                              <w:pPr>
                                <w:snapToGrid w:val="0"/>
                                <w:spacing w:line="360" w:lineRule="auto"/>
                              </w:pPr>
                              <w:r>
                                <w:rPr>
                                  <w:rFonts w:ascii="Times New Roman" w:hAnsi="Times New Roman"/>
                                </w:rPr>
                                <w:t>3</w:t>
                              </w:r>
                              <w:r>
                                <w:rPr>
                                  <w:rFonts w:hint="eastAsia"/>
                                </w:rPr>
                                <w:t>确定工作等级、评价范围和评价标准</w:t>
                              </w:r>
                            </w:p>
                          </w:txbxContent>
                        </wps:txbx>
                        <wps:bodyPr rot="0" vert="horz" wrap="square" lIns="91440" tIns="28800" rIns="91440" bIns="45720" anchor="t" anchorCtr="0" upright="1">
                          <a:noAutofit/>
                        </wps:bodyPr>
                      </wps:wsp>
                      <wps:wsp>
                        <wps:cNvPr id="15" name="Rectangle 2025"/>
                        <wps:cNvSpPr>
                          <a:spLocks noChangeArrowheads="1"/>
                        </wps:cNvSpPr>
                        <wps:spPr bwMode="auto">
                          <a:xfrm>
                            <a:off x="4709" y="7477"/>
                            <a:ext cx="2404" cy="474"/>
                          </a:xfrm>
                          <a:prstGeom prst="rect">
                            <a:avLst/>
                          </a:prstGeom>
                          <a:noFill/>
                          <a:ln w="9525">
                            <a:solidFill>
                              <a:srgbClr val="000000"/>
                            </a:solidFill>
                            <a:miter lim="800000"/>
                          </a:ln>
                          <a:effectLst/>
                        </wps:spPr>
                        <wps:txbx>
                          <w:txbxContent>
                            <w:p>
                              <w:pPr>
                                <w:adjustRightInd w:val="0"/>
                                <w:snapToGrid w:val="0"/>
                                <w:jc w:val="center"/>
                              </w:pPr>
                              <w:r>
                                <w:rPr>
                                  <w:rFonts w:hint="eastAsia"/>
                                </w:rPr>
                                <w:t>制定工作方案</w:t>
                              </w:r>
                            </w:p>
                          </w:txbxContent>
                        </wps:txbx>
                        <wps:bodyPr rot="0" vert="horz" wrap="square" lIns="91440" tIns="45720" rIns="91440" bIns="45720" anchor="t" anchorCtr="0" upright="1">
                          <a:noAutofit/>
                        </wps:bodyPr>
                      </wps:wsp>
                      <wps:wsp>
                        <wps:cNvPr id="16" name="Line 2026"/>
                        <wps:cNvCnPr/>
                        <wps:spPr bwMode="auto">
                          <a:xfrm>
                            <a:off x="4437" y="8394"/>
                            <a:ext cx="0" cy="340"/>
                          </a:xfrm>
                          <a:prstGeom prst="line">
                            <a:avLst/>
                          </a:prstGeom>
                          <a:noFill/>
                          <a:ln w="9525">
                            <a:solidFill>
                              <a:srgbClr val="000000"/>
                            </a:solidFill>
                            <a:round/>
                            <a:tailEnd type="triangle" w="sm" len="lg"/>
                          </a:ln>
                          <a:effectLst/>
                        </wps:spPr>
                        <wps:bodyPr/>
                      </wps:wsp>
                      <wps:wsp>
                        <wps:cNvPr id="17" name="Line 2027"/>
                        <wps:cNvCnPr/>
                        <wps:spPr bwMode="auto">
                          <a:xfrm>
                            <a:off x="4437" y="8394"/>
                            <a:ext cx="2951" cy="0"/>
                          </a:xfrm>
                          <a:prstGeom prst="line">
                            <a:avLst/>
                          </a:prstGeom>
                          <a:noFill/>
                          <a:ln w="9525">
                            <a:solidFill>
                              <a:srgbClr val="000000"/>
                            </a:solidFill>
                            <a:round/>
                          </a:ln>
                          <a:effectLst/>
                        </wps:spPr>
                        <wps:bodyPr/>
                      </wps:wsp>
                      <wps:wsp>
                        <wps:cNvPr id="18" name="Line 2029"/>
                        <wps:cNvCnPr/>
                        <wps:spPr bwMode="auto">
                          <a:xfrm>
                            <a:off x="4452" y="9572"/>
                            <a:ext cx="0" cy="306"/>
                          </a:xfrm>
                          <a:prstGeom prst="line">
                            <a:avLst/>
                          </a:prstGeom>
                          <a:noFill/>
                          <a:ln w="9525">
                            <a:solidFill>
                              <a:srgbClr val="000000"/>
                            </a:solidFill>
                            <a:round/>
                          </a:ln>
                          <a:effectLst/>
                        </wps:spPr>
                        <wps:bodyPr/>
                      </wps:wsp>
                      <wps:wsp>
                        <wps:cNvPr id="19" name="Rectangle 2030"/>
                        <wps:cNvSpPr>
                          <a:spLocks noChangeArrowheads="1"/>
                        </wps:cNvSpPr>
                        <wps:spPr bwMode="auto">
                          <a:xfrm>
                            <a:off x="3529" y="8754"/>
                            <a:ext cx="1814" cy="805"/>
                          </a:xfrm>
                          <a:prstGeom prst="rect">
                            <a:avLst/>
                          </a:prstGeom>
                          <a:noFill/>
                          <a:ln w="9525">
                            <a:solidFill>
                              <a:srgbClr val="000000"/>
                            </a:solidFill>
                            <a:miter lim="800000"/>
                          </a:ln>
                          <a:effectLst/>
                        </wps:spPr>
                        <wps:txbx>
                          <w:txbxContent>
                            <w:p>
                              <w:pPr>
                                <w:snapToGrid w:val="0"/>
                                <w:spacing w:line="360" w:lineRule="auto"/>
                                <w:jc w:val="center"/>
                                <w:rPr>
                                  <w:snapToGrid w:val="0"/>
                                  <w:kern w:val="0"/>
                                </w:rPr>
                              </w:pPr>
                              <w:r>
                                <w:rPr>
                                  <w:rFonts w:hint="eastAsia"/>
                                  <w:snapToGrid w:val="0"/>
                                  <w:kern w:val="0"/>
                                </w:rPr>
                                <w:t>环境现状调查</w:t>
                              </w:r>
                            </w:p>
                            <w:p>
                              <w:pPr>
                                <w:snapToGrid w:val="0"/>
                                <w:spacing w:line="360" w:lineRule="auto"/>
                                <w:jc w:val="center"/>
                                <w:rPr>
                                  <w:snapToGrid w:val="0"/>
                                  <w:kern w:val="0"/>
                                </w:rPr>
                              </w:pPr>
                              <w:r>
                                <w:rPr>
                                  <w:rFonts w:hint="eastAsia"/>
                                  <w:snapToGrid w:val="0"/>
                                  <w:kern w:val="0"/>
                                </w:rPr>
                                <w:t>监测与评价</w:t>
                              </w:r>
                            </w:p>
                          </w:txbxContent>
                        </wps:txbx>
                        <wps:bodyPr rot="0" vert="horz" wrap="square" lIns="91440" tIns="21600" rIns="91440" bIns="10800" anchor="t" anchorCtr="0" upright="1">
                          <a:noAutofit/>
                        </wps:bodyPr>
                      </wps:wsp>
                      <wps:wsp>
                        <wps:cNvPr id="20" name="Line 2034"/>
                        <wps:cNvCnPr/>
                        <wps:spPr bwMode="auto">
                          <a:xfrm>
                            <a:off x="7433" y="9574"/>
                            <a:ext cx="0" cy="306"/>
                          </a:xfrm>
                          <a:prstGeom prst="line">
                            <a:avLst/>
                          </a:prstGeom>
                          <a:noFill/>
                          <a:ln w="9525">
                            <a:solidFill>
                              <a:srgbClr val="000000"/>
                            </a:solidFill>
                            <a:round/>
                          </a:ln>
                          <a:effectLst/>
                        </wps:spPr>
                        <wps:bodyPr/>
                      </wps:wsp>
                      <wps:wsp>
                        <wps:cNvPr id="21" name="Rectangle 2036"/>
                        <wps:cNvSpPr>
                          <a:spLocks noChangeArrowheads="1"/>
                        </wps:cNvSpPr>
                        <wps:spPr bwMode="auto">
                          <a:xfrm>
                            <a:off x="3362" y="10228"/>
                            <a:ext cx="4915" cy="790"/>
                          </a:xfrm>
                          <a:prstGeom prst="rect">
                            <a:avLst/>
                          </a:prstGeom>
                          <a:noFill/>
                          <a:ln w="9525">
                            <a:solidFill>
                              <a:srgbClr val="000000"/>
                            </a:solidFill>
                            <a:miter lim="800000"/>
                          </a:ln>
                          <a:effectLst/>
                        </wps:spPr>
                        <wps:txbx>
                          <w:txbxContent>
                            <w:p>
                              <w:pPr>
                                <w:adjustRightInd w:val="0"/>
                                <w:snapToGrid w:val="0"/>
                              </w:pPr>
                              <w:r>
                                <w:rPr>
                                  <w:rFonts w:ascii="Times New Roman" w:hAnsi="Times New Roman"/>
                                </w:rPr>
                                <w:t>1</w:t>
                              </w:r>
                              <w:r>
                                <w:rPr>
                                  <w:rFonts w:hint="eastAsia"/>
                                </w:rPr>
                                <w:t>各环境要素环境影响预测与评价</w:t>
                              </w:r>
                            </w:p>
                            <w:p>
                              <w:pPr>
                                <w:adjustRightInd w:val="0"/>
                                <w:snapToGrid w:val="0"/>
                              </w:pPr>
                              <w:r>
                                <w:rPr>
                                  <w:rFonts w:ascii="Times New Roman" w:hAnsi="Times New Roman"/>
                                </w:rPr>
                                <w:t>2</w:t>
                              </w:r>
                              <w:r>
                                <w:rPr>
                                  <w:rFonts w:hint="eastAsia"/>
                                </w:rPr>
                                <w:t>各专题环境影响分析与评价</w:t>
                              </w:r>
                            </w:p>
                          </w:txbxContent>
                        </wps:txbx>
                        <wps:bodyPr rot="0" vert="horz" wrap="square" lIns="91440" tIns="45720" rIns="91440" bIns="45720" anchor="t" anchorCtr="0" upright="1">
                          <a:noAutofit/>
                        </wps:bodyPr>
                      </wps:wsp>
                      <wps:wsp>
                        <wps:cNvPr id="22" name="Rectangle 2038"/>
                        <wps:cNvSpPr>
                          <a:spLocks noChangeArrowheads="1"/>
                        </wps:cNvSpPr>
                        <wps:spPr bwMode="auto">
                          <a:xfrm>
                            <a:off x="3362" y="11453"/>
                            <a:ext cx="4915" cy="1278"/>
                          </a:xfrm>
                          <a:prstGeom prst="rect">
                            <a:avLst/>
                          </a:prstGeom>
                          <a:noFill/>
                          <a:ln w="9525">
                            <a:solidFill>
                              <a:srgbClr val="000000"/>
                            </a:solidFill>
                            <a:miter lim="800000"/>
                          </a:ln>
                          <a:effectLst/>
                        </wps:spPr>
                        <wps:txbx>
                          <w:txbxContent>
                            <w:p>
                              <w:pPr>
                                <w:snapToGrid w:val="0"/>
                                <w:spacing w:line="360" w:lineRule="auto"/>
                              </w:pPr>
                              <w:r>
                                <w:rPr>
                                  <w:rFonts w:ascii="Times New Roman" w:hAnsi="Times New Roman"/>
                                </w:rPr>
                                <w:t>1.</w:t>
                              </w:r>
                              <w:r>
                                <w:rPr>
                                  <w:rFonts w:hint="eastAsia"/>
                                </w:rPr>
                                <w:t>提出环境保护措施，进行技术经济论证</w:t>
                              </w:r>
                            </w:p>
                            <w:p>
                              <w:pPr>
                                <w:snapToGrid w:val="0"/>
                                <w:spacing w:line="360" w:lineRule="auto"/>
                              </w:pPr>
                              <w:r>
                                <w:rPr>
                                  <w:rFonts w:ascii="Times New Roman" w:hAnsi="Times New Roman"/>
                                </w:rPr>
                                <w:t>2.</w:t>
                              </w:r>
                              <w:r>
                                <w:rPr>
                                  <w:rFonts w:hint="eastAsia"/>
                                </w:rPr>
                                <w:t>给出污染物排放清单</w:t>
                              </w:r>
                            </w:p>
                            <w:p>
                              <w:pPr>
                                <w:snapToGrid w:val="0"/>
                                <w:spacing w:line="360" w:lineRule="auto"/>
                              </w:pPr>
                              <w:r>
                                <w:t>3</w:t>
                              </w:r>
                              <w:r>
                                <w:rPr>
                                  <w:rFonts w:hint="eastAsia"/>
                                </w:rPr>
                                <w:t>给出建设项目环境影响评价结论</w:t>
                              </w:r>
                            </w:p>
                          </w:txbxContent>
                        </wps:txbx>
                        <wps:bodyPr rot="0" vert="horz" wrap="square" lIns="91440" tIns="45720" rIns="91440" bIns="45720" anchor="t" anchorCtr="0" upright="1">
                          <a:noAutofit/>
                        </wps:bodyPr>
                      </wps:wsp>
                      <wps:wsp>
                        <wps:cNvPr id="23" name="Rectangle 2040"/>
                        <wps:cNvSpPr>
                          <a:spLocks noChangeArrowheads="1"/>
                        </wps:cNvSpPr>
                        <wps:spPr bwMode="auto">
                          <a:xfrm>
                            <a:off x="4599" y="13227"/>
                            <a:ext cx="2608" cy="474"/>
                          </a:xfrm>
                          <a:prstGeom prst="rect">
                            <a:avLst/>
                          </a:prstGeom>
                          <a:noFill/>
                          <a:ln w="9525">
                            <a:solidFill>
                              <a:srgbClr val="000000"/>
                            </a:solidFill>
                            <a:miter lim="800000"/>
                          </a:ln>
                          <a:effectLst/>
                        </wps:spPr>
                        <wps:txbx>
                          <w:txbxContent>
                            <w:p>
                              <w:pPr>
                                <w:adjustRightInd w:val="0"/>
                                <w:snapToGrid w:val="0"/>
                              </w:pPr>
                              <w:r>
                                <w:rPr>
                                  <w:rFonts w:hint="eastAsia"/>
                                </w:rPr>
                                <w:t>编制环境影响评价文件</w:t>
                              </w:r>
                            </w:p>
                          </w:txbxContent>
                        </wps:txbx>
                        <wps:bodyPr rot="0" vert="horz" wrap="square" lIns="91440" tIns="45720" rIns="91440" bIns="45720" anchor="t" anchorCtr="0" upright="1">
                          <a:noAutofit/>
                        </wps:bodyPr>
                      </wps:wsp>
                      <wps:wsp>
                        <wps:cNvPr id="24" name="Rectangle 2030"/>
                        <wps:cNvSpPr>
                          <a:spLocks noChangeArrowheads="1"/>
                        </wps:cNvSpPr>
                        <wps:spPr bwMode="auto">
                          <a:xfrm>
                            <a:off x="6495" y="8770"/>
                            <a:ext cx="1814" cy="805"/>
                          </a:xfrm>
                          <a:prstGeom prst="rect">
                            <a:avLst/>
                          </a:prstGeom>
                          <a:noFill/>
                          <a:ln w="9525">
                            <a:solidFill>
                              <a:srgbClr val="000000"/>
                            </a:solidFill>
                            <a:miter lim="800000"/>
                          </a:ln>
                          <a:effectLst/>
                        </wps:spPr>
                        <wps:txbx>
                          <w:txbxContent>
                            <w:p>
                              <w:pPr>
                                <w:snapToGrid w:val="0"/>
                                <w:spacing w:line="360" w:lineRule="auto"/>
                                <w:jc w:val="center"/>
                                <w:rPr>
                                  <w:snapToGrid w:val="0"/>
                                  <w:kern w:val="0"/>
                                </w:rPr>
                              </w:pPr>
                              <w:r>
                                <w:rPr>
                                  <w:rFonts w:hint="eastAsia"/>
                                  <w:snapToGrid w:val="0"/>
                                  <w:kern w:val="0"/>
                                </w:rPr>
                                <w:t>建设项目</w:t>
                              </w:r>
                            </w:p>
                            <w:p>
                              <w:pPr>
                                <w:snapToGrid w:val="0"/>
                                <w:spacing w:line="360" w:lineRule="auto"/>
                                <w:jc w:val="center"/>
                                <w:rPr>
                                  <w:snapToGrid w:val="0"/>
                                  <w:kern w:val="0"/>
                                </w:rPr>
                              </w:pPr>
                              <w:r>
                                <w:rPr>
                                  <w:rFonts w:hint="eastAsia"/>
                                  <w:snapToGrid w:val="0"/>
                                  <w:kern w:val="0"/>
                                </w:rPr>
                                <w:t>工程分析</w:t>
                              </w:r>
                            </w:p>
                          </w:txbxContent>
                        </wps:txbx>
                        <wps:bodyPr rot="0" vert="horz" wrap="square" lIns="91440" tIns="21600" rIns="91440" bIns="10800" anchor="t" anchorCtr="0" upright="1">
                          <a:noAutofit/>
                        </wps:bodyPr>
                      </wps:wsp>
                      <wps:wsp>
                        <wps:cNvPr id="25" name="Line 2016"/>
                        <wps:cNvCnPr/>
                        <wps:spPr bwMode="auto">
                          <a:xfrm flipH="1">
                            <a:off x="5891" y="5378"/>
                            <a:ext cx="3" cy="386"/>
                          </a:xfrm>
                          <a:prstGeom prst="line">
                            <a:avLst/>
                          </a:prstGeom>
                          <a:noFill/>
                          <a:ln w="9525">
                            <a:solidFill>
                              <a:srgbClr val="000000"/>
                            </a:solidFill>
                            <a:round/>
                            <a:tailEnd type="triangle" w="sm" len="lg"/>
                          </a:ln>
                          <a:effectLst/>
                        </wps:spPr>
                        <wps:bodyPr/>
                      </wps:wsp>
                      <wps:wsp>
                        <wps:cNvPr id="26" name="Line 2016"/>
                        <wps:cNvCnPr>
                          <a:endCxn id="14" idx="0"/>
                        </wps:cNvCnPr>
                        <wps:spPr bwMode="auto">
                          <a:xfrm>
                            <a:off x="5904" y="7011"/>
                            <a:ext cx="7" cy="466"/>
                          </a:xfrm>
                          <a:prstGeom prst="line">
                            <a:avLst/>
                          </a:prstGeom>
                          <a:noFill/>
                          <a:ln w="9525">
                            <a:solidFill>
                              <a:srgbClr val="000000"/>
                            </a:solidFill>
                            <a:round/>
                            <a:tailEnd type="triangle" w="sm" len="lg"/>
                          </a:ln>
                          <a:effectLst/>
                        </wps:spPr>
                        <wps:bodyPr/>
                      </wps:wsp>
                      <wps:wsp>
                        <wps:cNvPr id="27" name="Line 2016"/>
                        <wps:cNvCnPr/>
                        <wps:spPr bwMode="auto">
                          <a:xfrm>
                            <a:off x="5891" y="7958"/>
                            <a:ext cx="0" cy="454"/>
                          </a:xfrm>
                          <a:prstGeom prst="line">
                            <a:avLst/>
                          </a:prstGeom>
                          <a:noFill/>
                          <a:ln w="9525">
                            <a:solidFill>
                              <a:srgbClr val="000000"/>
                            </a:solidFill>
                            <a:round/>
                            <a:tailEnd type="triangle" w="sm" len="lg"/>
                          </a:ln>
                          <a:effectLst/>
                        </wps:spPr>
                        <wps:bodyPr/>
                      </wps:wsp>
                      <wps:wsp>
                        <wps:cNvPr id="28" name="Line 2026"/>
                        <wps:cNvCnPr/>
                        <wps:spPr bwMode="auto">
                          <a:xfrm>
                            <a:off x="7388" y="8409"/>
                            <a:ext cx="0" cy="340"/>
                          </a:xfrm>
                          <a:prstGeom prst="line">
                            <a:avLst/>
                          </a:prstGeom>
                          <a:noFill/>
                          <a:ln w="9525">
                            <a:solidFill>
                              <a:srgbClr val="000000"/>
                            </a:solidFill>
                            <a:round/>
                            <a:tailEnd type="triangle" w="sm" len="lg"/>
                          </a:ln>
                          <a:effectLst/>
                        </wps:spPr>
                        <wps:bodyPr/>
                      </wps:wsp>
                      <wps:wsp>
                        <wps:cNvPr id="29" name="Line 2027"/>
                        <wps:cNvCnPr/>
                        <wps:spPr bwMode="auto">
                          <a:xfrm>
                            <a:off x="4467" y="9882"/>
                            <a:ext cx="2951" cy="0"/>
                          </a:xfrm>
                          <a:prstGeom prst="line">
                            <a:avLst/>
                          </a:prstGeom>
                          <a:noFill/>
                          <a:ln w="9525">
                            <a:solidFill>
                              <a:srgbClr val="000000"/>
                            </a:solidFill>
                            <a:round/>
                          </a:ln>
                          <a:effectLst/>
                        </wps:spPr>
                        <wps:bodyPr/>
                      </wps:wsp>
                      <wps:wsp>
                        <wps:cNvPr id="30" name="Line 2016"/>
                        <wps:cNvCnPr/>
                        <wps:spPr bwMode="auto">
                          <a:xfrm>
                            <a:off x="5904" y="9873"/>
                            <a:ext cx="0" cy="340"/>
                          </a:xfrm>
                          <a:prstGeom prst="line">
                            <a:avLst/>
                          </a:prstGeom>
                          <a:noFill/>
                          <a:ln w="9525">
                            <a:solidFill>
                              <a:srgbClr val="000000"/>
                            </a:solidFill>
                            <a:round/>
                            <a:tailEnd type="triangle" w="sm" len="lg"/>
                          </a:ln>
                          <a:effectLst/>
                        </wps:spPr>
                        <wps:bodyPr/>
                      </wps:wsp>
                      <wps:wsp>
                        <wps:cNvPr id="31" name="Line 2016"/>
                        <wps:cNvCnPr/>
                        <wps:spPr bwMode="auto">
                          <a:xfrm>
                            <a:off x="5904" y="11017"/>
                            <a:ext cx="0" cy="454"/>
                          </a:xfrm>
                          <a:prstGeom prst="line">
                            <a:avLst/>
                          </a:prstGeom>
                          <a:noFill/>
                          <a:ln w="9525">
                            <a:solidFill>
                              <a:srgbClr val="000000"/>
                            </a:solidFill>
                            <a:round/>
                            <a:tailEnd type="triangle" w="sm" len="lg"/>
                          </a:ln>
                          <a:effectLst/>
                        </wps:spPr>
                        <wps:bodyPr/>
                      </wps:wsp>
                      <wps:wsp>
                        <wps:cNvPr id="32" name="Line 2016"/>
                        <wps:cNvCnPr/>
                        <wps:spPr bwMode="auto">
                          <a:xfrm>
                            <a:off x="5904" y="12743"/>
                            <a:ext cx="0" cy="454"/>
                          </a:xfrm>
                          <a:prstGeom prst="line">
                            <a:avLst/>
                          </a:prstGeom>
                          <a:noFill/>
                          <a:ln w="9525">
                            <a:solidFill>
                              <a:srgbClr val="000000"/>
                            </a:solidFill>
                            <a:round/>
                            <a:tailEnd type="triangle" w="sm" len="lg"/>
                          </a:ln>
                          <a:effectLst/>
                        </wps:spPr>
                        <wps:bodyPr/>
                      </wps:wsp>
                      <wps:wsp>
                        <wps:cNvPr id="33" name="Line 2016"/>
                        <wps:cNvCnPr/>
                        <wps:spPr bwMode="auto">
                          <a:xfrm>
                            <a:off x="5887" y="3651"/>
                            <a:ext cx="0" cy="454"/>
                          </a:xfrm>
                          <a:prstGeom prst="line">
                            <a:avLst/>
                          </a:prstGeom>
                          <a:noFill/>
                          <a:ln w="9525">
                            <a:solidFill>
                              <a:srgbClr val="000000"/>
                            </a:solidFill>
                            <a:round/>
                            <a:tailEnd type="triangle" w="sm" len="lg"/>
                          </a:ln>
                          <a:effectLst/>
                        </wps:spPr>
                        <wps:bodyPr/>
                      </wps:wsp>
                    </wpg:wgp>
                  </a:graphicData>
                </a:graphic>
              </wp:inline>
            </w:drawing>
          </mc:Choice>
          <mc:Fallback>
            <w:pict>
              <v:group id="_x0000_s1026" o:spid="_x0000_s1026" o:spt="203" style="height:554.7pt;width:441.05pt;" coordorigin="1543,2831" coordsize="8821,11409" o:gfxdata="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">
                <o:lock v:ext="edit" rotation="t" aspectratio="f"/>
                <v:line id="Line 2050" o:spid="_x0000_s1026" o:spt="20" style="position:absolute;left:1543;top:2831;height:11388;width:0;" filled="f" stroked="t" coordsize="21600,21600" o:gfxdata="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PASvri7AAAA2gAAAA8AAAAAAAAAAQAgAAAAOAAAAGRycy9kb3ducmV2Lnht&#10;bFBLAQIUABQAAAAIAIdO4kAzLwWeOwAAADkAAAAQAAAAAAAAAAEAIAAAACABAABkcnMvc2hhcGV4&#10;bWwueG1sUEsFBgAAAAAGAAYAWwEAAMoDAAAAAA==&#10;">
                  <v:fill on="f" focussize="0,0"/>
                  <v:stroke color="#000000" joinstyle="round" dashstyle="dashDot"/>
                  <v:imagedata o:title=""/>
                  <o:lock v:ext="edit" aspectratio="f"/>
                </v:line>
                <v:line id="Line 2051" o:spid="_x0000_s1026" o:spt="20" style="position:absolute;left:1543;top:14210;height:0;width:8820;" filled="f" stroked="t" coordsize="21600,21600" o:gfxdata="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Qt4NXvAAAANoAAAAPAAAAAAAAAAEAIAAAADgAAABkcnMvZG93bnJldi54&#10;bWxQSwECFAAUAAAACACHTuJAMy8FnjsAAAA5AAAAEAAAAAAAAAABACAAAAAhAQAAZHJzL3NoYXBl&#10;eG1sLnhtbFBLBQYAAAAABgAGAFsBAADLAwAAAAA=&#10;">
                  <v:fill on="f" focussize="0,0"/>
                  <v:stroke color="#000000" joinstyle="round" dashstyle="dashDot"/>
                  <v:imagedata o:title=""/>
                  <o:lock v:ext="edit" aspectratio="f"/>
                </v:line>
                <v:line id="Line 2052" o:spid="_x0000_s1026" o:spt="20" style="position:absolute;left:1543;top:2837;height:0;width:8820;" filled="f" stroked="t" coordsize="21600,21600" o:gfxdata="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ybMvAAAANoAAAAPAAAAAAAAAAEAIAAAADgAAABkcnMvZG93bnJldi54&#10;bWxQSwECFAAUAAAACACHTuJAMy8FnjsAAAA5AAAAEAAAAAAAAAABACAAAAAhAQAAZHJzL3NoYXBl&#10;eG1sLnhtbFBLBQYAAAAABgAGAFsBAADLAwAAAAA=&#10;">
                  <v:fill on="f" focussize="0,0"/>
                  <v:stroke color="#000000" joinstyle="round" dashstyle="dashDot"/>
                  <v:imagedata o:title=""/>
                  <o:lock v:ext="edit" aspectratio="f"/>
                </v:line>
                <v:line id="Line 2053" o:spid="_x0000_s1026" o:spt="20" style="position:absolute;left:10363;top:2852;height:11388;width:0;" filled="f" stroked="t" coordsize="21600,21600" o:gfxdata="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PKbi7vAAAANoAAAAPAAAAAAAAAAEAIAAAADgAAABkcnMvZG93bnJldi54&#10;bWxQSwECFAAUAAAACACHTuJAMy8FnjsAAAA5AAAAEAAAAAAAAAABACAAAAAhAQAAZHJzL3NoYXBl&#10;eG1sLnhtbFBLBQYAAAAABgAGAFsBAADLAwAAAAA=&#10;">
                  <v:fill on="f" focussize="0,0"/>
                  <v:stroke color="#000000" joinstyle="round" dashstyle="dashDot"/>
                  <v:imagedata o:title=""/>
                  <o:lock v:ext="edit" aspectratio="f"/>
                </v:line>
                <v:line id="Line 2054" o:spid="_x0000_s1026" o:spt="20" style="position:absolute;left:1543;top:8109;height:0;width:8821;" filled="f" stroked="t" coordsize="21600,21600" o:gfxdata="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P0fng70AAADaAAAADwAAAAAAAAABACAAAAA4AAAAZHJzL2Rvd25yZXYu&#10;eG1sUEsBAhQAFAAAAAgAh07iQDMvBZ47AAAAOQAAABAAAAAAAAAAAQAgAAAAIgEAAGRycy9zaGFw&#10;ZXhtbC54bWxQSwUGAAAAAAYABgBbAQAAzAMAAAAA&#10;">
                  <v:fill on="f" focussize="0,0"/>
                  <v:stroke color="#000000" joinstyle="round" dashstyle="dash"/>
                  <v:imagedata o:title=""/>
                  <o:lock v:ext="edit" aspectratio="f"/>
                </v:line>
                <v:line id="Line 2056" o:spid="_x0000_s1026" o:spt="20" style="position:absolute;left:1543;top:11175;height:0;width:8820;" filled="f" stroked="t" coordsize="21600,21600" o:gfxdata="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&#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E7Yc/G4AAAA2gAAAA8AAAAAAAAAAQAgAAAAOAAAAGRycy9kb3ducmV2LnhtbFBL&#10;AQIUABQAAAAIAIdO4kAzLwWeOwAAADkAAAAQAAAAAAAAAAEAIAAAAB0BAABkcnMvc2hhcGV4bWwu&#10;eG1sUEsFBgAAAAAGAAYAWwEAAMcDAAAAAA==&#10;">
                  <v:fill on="f" focussize="0,0"/>
                  <v:stroke color="#000000" joinstyle="round" dashstyle="dash"/>
                  <v:imagedata o:title=""/>
                  <o:lock v:ext="edit" aspectratio="f"/>
                </v:line>
                <v:rect id="Rectangle 2057" o:spid="_x0000_s1026" o:spt="1" style="position:absolute;left:1723;top:4568;height:2031;width:540;" filled="f" stroked="f" coordsize="21600,21600" o:gfxdata="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TlIyYvAAAANoAAAAPAAAAAAAAAAEAIAAAADgAAABkcnMvZG93bnJldi54&#10;bWxQSwECFAAUAAAACACHTuJAMy8FnjsAAAA5AAAAEAAAAAAAAAABACAAAAAhAQAAZHJzL3NoYXBl&#10;eG1sLnhtbFBLBQYAAAAABgAGAFsBAADLAwAAAAA=&#10;">
                  <v:fill on="f" focussize="0,0"/>
                  <v:stroke on="f"/>
                  <v:imagedata o:title=""/>
                  <o:lock v:ext="edit" aspectratio="f"/>
                  <v:textbox inset="2.54mm,2.5mm,2.54mm,1.27mm">
                    <w:txbxContent>
                      <w:p>
                        <w:r>
                          <w:rPr>
                            <w:rFonts w:hint="eastAsia"/>
                          </w:rPr>
                          <w:t>第一阶段</w:t>
                        </w:r>
                      </w:p>
                    </w:txbxContent>
                  </v:textbox>
                </v:rect>
                <v:rect id="Rectangle 2058" o:spid="_x0000_s1026" o:spt="1" style="position:absolute;left:1723;top:8582;height:2031;width:540;" filled="f" stroked="f" coordsize="21600,21600" o:gfxdata="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JSGHly+AAAA2wAAAA8AAAAAAAAAAQAgAAAAOAAAAGRycy9kb3ducmV2&#10;LnhtbFBLAQIUABQAAAAIAIdO4kAzLwWeOwAAADkAAAAQAAAAAAAAAAEAIAAAACMBAABkcnMvc2hh&#10;cGV4bWwueG1sUEsFBgAAAAAGAAYAWwEAAM0DAAAAAA==&#10;">
                  <v:fill on="f" focussize="0,0"/>
                  <v:stroke on="f"/>
                  <v:imagedata o:title=""/>
                  <o:lock v:ext="edit" aspectratio="f"/>
                  <v:textbox inset="2.54mm,2.5mm,2.54mm,1.27mm">
                    <w:txbxContent>
                      <w:p>
                        <w:r>
                          <w:rPr>
                            <w:rFonts w:hint="eastAsia"/>
                          </w:rPr>
                          <w:t>第二阶段</w:t>
                        </w:r>
                      </w:p>
                    </w:txbxContent>
                  </v:textbox>
                </v:rect>
                <v:rect id="Rectangle 2059" o:spid="_x0000_s1026" o:spt="1" style="position:absolute;left:1723;top:11611;height:2031;width:540;" filled="f" stroked="f" coordsize="21600,21600" o:gfxdata="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8q7x7oAAADbAAAADwAAAAAAAAABACAAAAA4AAAAZHJzL2Rvd25yZXYueG1s&#10;UEsBAhQAFAAAAAgAh07iQDMvBZ47AAAAOQAAABAAAAAAAAAAAQAgAAAAHwEAAGRycy9zaGFwZXht&#10;bC54bWxQSwUGAAAAAAYABgBbAQAAyQMAAAAA&#10;">
                  <v:fill on="f" focussize="0,0"/>
                  <v:stroke on="f"/>
                  <v:imagedata o:title=""/>
                  <o:lock v:ext="edit" aspectratio="f"/>
                  <v:textbox inset="2.54mm,2.5mm,2.54mm,1.27mm">
                    <w:txbxContent>
                      <w:p>
                        <w:r>
                          <w:rPr>
                            <w:rFonts w:hint="eastAsia"/>
                          </w:rPr>
                          <w:t>第三阶段</w:t>
                        </w:r>
                      </w:p>
                    </w:txbxContent>
                  </v:textbox>
                </v:rect>
                <v:rect id="Rectangle 2015" o:spid="_x0000_s1026" o:spt="1" style="position:absolute;left:3362;top:3168;height:474;width:4915;" filled="f" stroked="t" coordsize="21600,21600" o:gfxdata="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JBwEbO7AAAA2wAAAA8AAAAAAAAAAQAgAAAAOAAAAGRycy9kb3ducmV2Lnht&#10;bFBLAQIUABQAAAAIAIdO4kAzLwWeOwAAADkAAAAQAAAAAAAAAAEAIAAAACABAABkcnMvc2hhcGV4&#10;bWwueG1sUEsFBgAAAAAGAAYAWwEAAMoDAAAAAA==&#10;">
                  <v:fill on="f" focussize="0,0"/>
                  <v:stroke color="#000000" miterlimit="8" joinstyle="miter"/>
                  <v:imagedata o:title=""/>
                  <o:lock v:ext="edit" aspectratio="f"/>
                  <v:textbox>
                    <w:txbxContent>
                      <w:p>
                        <w:pPr>
                          <w:adjustRightInd w:val="0"/>
                          <w:snapToGrid w:val="0"/>
                        </w:pPr>
                        <w:r>
                          <w:rPr>
                            <w:rFonts w:hint="eastAsia"/>
                          </w:rPr>
                          <w:t>依据相关规定确定环境影响评价文件类型</w:t>
                        </w:r>
                      </w:p>
                    </w:txbxContent>
                  </v:textbox>
                </v:rect>
                <v:rect id="Rectangle 2017" o:spid="_x0000_s1026" o:spt="1" style="position:absolute;left:3365;top:4088;height:1290;width:4916;" filled="f" stroked="t" coordsize="21600,21600" o:gfxdata="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D/PLQouQAAANsAAAAPAAAAAAAAAAEAIAAAADgAAABkcnMvZG93bnJldi54bWxQ&#10;SwECFAAUAAAACACHTuJAMy8FnjsAAAA5AAAAEAAAAAAAAAABACAAAAAeAQAAZHJzL3NoYXBleG1s&#10;LnhtbFBLBQYAAAAABgAGAFsBAADIAwAAAAA=&#10;">
                  <v:fill on="f" focussize="0,0"/>
                  <v:stroke color="#000000" miterlimit="8" joinstyle="miter"/>
                  <v:imagedata o:title=""/>
                  <o:lock v:ext="edit" aspectratio="f"/>
                  <v:textbox>
                    <w:txbxContent>
                      <w:p>
                        <w:pPr>
                          <w:snapToGrid w:val="0"/>
                          <w:spacing w:line="360" w:lineRule="auto"/>
                        </w:pPr>
                        <w:r>
                          <w:rPr>
                            <w:rFonts w:ascii="Times New Roman" w:hAnsi="Times New Roman"/>
                          </w:rPr>
                          <w:t>1</w:t>
                        </w:r>
                        <w:r>
                          <w:rPr>
                            <w:rFonts w:hint="eastAsia"/>
                          </w:rPr>
                          <w:t>研究相关技术文件和其他有关文件</w:t>
                        </w:r>
                      </w:p>
                      <w:p>
                        <w:pPr>
                          <w:snapToGrid w:val="0"/>
                          <w:spacing w:line="360" w:lineRule="auto"/>
                        </w:pPr>
                        <w:r>
                          <w:rPr>
                            <w:rFonts w:ascii="Times New Roman" w:hAnsi="Times New Roman"/>
                          </w:rPr>
                          <w:t>2</w:t>
                        </w:r>
                        <w:r>
                          <w:rPr>
                            <w:rFonts w:hint="eastAsia"/>
                          </w:rPr>
                          <w:t>进行初步工程分析</w:t>
                        </w:r>
                      </w:p>
                      <w:p>
                        <w:pPr>
                          <w:snapToGrid w:val="0"/>
                          <w:spacing w:line="360" w:lineRule="auto"/>
                        </w:pPr>
                        <w:r>
                          <w:rPr>
                            <w:rFonts w:ascii="Times New Roman" w:hAnsi="Times New Roman"/>
                          </w:rPr>
                          <w:t>3</w:t>
                        </w:r>
                        <w:r>
                          <w:rPr>
                            <w:rFonts w:hint="eastAsia"/>
                          </w:rPr>
                          <w:t>开展初步的环境现状调查</w:t>
                        </w:r>
                      </w:p>
                    </w:txbxContent>
                  </v:textbox>
                </v:rect>
                <v:rect id="Rectangle 2021" o:spid="_x0000_s1026" o:spt="1" style="position:absolute;left:3362;top:5764;height:1247;width:4915;" filled="f" stroked="t" coordsize="21600,21600" o:gfxdata="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C9T+V+uQAAANsAAAAPAAAAAAAAAAEAIAAAADgAAABkcnMvZG93bnJldi54bWxQ&#10;SwECFAAUAAAACACHTuJAMy8FnjsAAAA5AAAAEAAAAAAAAAABACAAAAAeAQAAZHJzL3NoYXBleG1s&#10;LnhtbFBLBQYAAAAABgAGAFsBAADIAwAAAAA=&#10;">
                  <v:fill on="f" focussize="0,0"/>
                  <v:stroke color="#000000" miterlimit="8" joinstyle="miter"/>
                  <v:imagedata o:title=""/>
                  <o:lock v:ext="edit" aspectratio="f"/>
                  <v:textbox inset="2.54mm,0.8mm,2.54mm,1.27mm">
                    <w:txbxContent>
                      <w:p>
                        <w:pPr>
                          <w:snapToGrid w:val="0"/>
                          <w:spacing w:line="360" w:lineRule="auto"/>
                        </w:pPr>
                        <w:r>
                          <w:rPr>
                            <w:rFonts w:ascii="Times New Roman" w:hAnsi="Times New Roman"/>
                          </w:rPr>
                          <w:t>1</w:t>
                        </w:r>
                        <w:r>
                          <w:rPr>
                            <w:rFonts w:hint="eastAsia"/>
                          </w:rPr>
                          <w:t>环境影响识别和评价因子筛选</w:t>
                        </w:r>
                      </w:p>
                      <w:p>
                        <w:pPr>
                          <w:snapToGrid w:val="0"/>
                          <w:spacing w:line="360" w:lineRule="auto"/>
                        </w:pPr>
                        <w:r>
                          <w:rPr>
                            <w:rFonts w:ascii="Times New Roman" w:hAnsi="Times New Roman"/>
                          </w:rPr>
                          <w:t>2</w:t>
                        </w:r>
                        <w:r>
                          <w:rPr>
                            <w:rFonts w:hint="eastAsia"/>
                          </w:rPr>
                          <w:t>明确评价重点和环境保护目标</w:t>
                        </w:r>
                      </w:p>
                      <w:p>
                        <w:pPr>
                          <w:snapToGrid w:val="0"/>
                          <w:spacing w:line="360" w:lineRule="auto"/>
                        </w:pPr>
                        <w:r>
                          <w:rPr>
                            <w:rFonts w:ascii="Times New Roman" w:hAnsi="Times New Roman"/>
                          </w:rPr>
                          <w:t>3</w:t>
                        </w:r>
                        <w:r>
                          <w:rPr>
                            <w:rFonts w:hint="eastAsia"/>
                          </w:rPr>
                          <w:t>确定工作等级、评价范围和评价标准</w:t>
                        </w:r>
                      </w:p>
                    </w:txbxContent>
                  </v:textbox>
                </v:rect>
                <v:rect id="Rectangle 2025" o:spid="_x0000_s1026" o:spt="1" style="position:absolute;left:4709;top:7477;height:474;width:2404;" filled="f" stroked="t" coordsize="21600,21600" o:gfxdata="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AfmYnHuQAAANsAAAAPAAAAAAAAAAEAIAAAADgAAABkcnMvZG93bnJldi54bWxQ&#10;SwECFAAUAAAACACHTuJAMy8FnjsAAAA5AAAAEAAAAAAAAAABACAAAAAeAQAAZHJzL3NoYXBleG1s&#10;LnhtbFBLBQYAAAAABgAGAFsBAADIAwAAAAA=&#10;">
                  <v:fill on="f" focussize="0,0"/>
                  <v:stroke color="#000000" miterlimit="8" joinstyle="miter"/>
                  <v:imagedata o:title=""/>
                  <o:lock v:ext="edit" aspectratio="f"/>
                  <v:textbox>
                    <w:txbxContent>
                      <w:p>
                        <w:pPr>
                          <w:adjustRightInd w:val="0"/>
                          <w:snapToGrid w:val="0"/>
                          <w:jc w:val="center"/>
                        </w:pPr>
                        <w:r>
                          <w:rPr>
                            <w:rFonts w:hint="eastAsia"/>
                          </w:rPr>
                          <w:t>制定工作方案</w:t>
                        </w:r>
                      </w:p>
                    </w:txbxContent>
                  </v:textbox>
                </v:rect>
                <v:line id="Line 2026" o:spid="_x0000_s1026" o:spt="20" style="position:absolute;left:4437;top:8394;height:340;width:0;" filled="f" stroked="t" coordsize="21600,21600" o:gfxdata="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FFp27a7AAAA2wAAAA8AAAAAAAAAAQAgAAAAOAAAAGRycy9kb3ducmV2Lnht&#10;bFBLAQIUABQAAAAIAIdO4kAzLwWeOwAAADkAAAAQAAAAAAAAAAEAIAAAACABAABkcnMvc2hhcGV4&#10;bWwueG1sUEsFBgAAAAAGAAYAWwEAAMoDAAAAAA==&#10;">
                  <v:fill on="f" focussize="0,0"/>
                  <v:stroke color="#000000" joinstyle="round" endarrow="block" endarrowwidth="narrow" endarrowlength="long"/>
                  <v:imagedata o:title=""/>
                  <o:lock v:ext="edit" aspectratio="f"/>
                </v:line>
                <v:line id="Line 2027" o:spid="_x0000_s1026" o:spt="20" style="position:absolute;left:4437;top:8394;height:0;width:2951;" filled="f" stroked="t" coordsize="21600,21600" o:gfxdata="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o1UjcvAAAANsAAAAPAAAAAAAAAAEAIAAAADgAAABkcnMvZG93bnJldi54&#10;bWxQSwECFAAUAAAACACHTuJAMy8FnjsAAAA5AAAAEAAAAAAAAAABACAAAAAhAQAAZHJzL3NoYXBl&#10;eG1sLnhtbFBLBQYAAAAABgAGAFsBAADLAwAAAAA=&#10;">
                  <v:fill on="f" focussize="0,0"/>
                  <v:stroke color="#000000" joinstyle="round"/>
                  <v:imagedata o:title=""/>
                  <o:lock v:ext="edit" aspectratio="f"/>
                </v:line>
                <v:line id="Line 2029" o:spid="_x0000_s1026" o:spt="20" style="position:absolute;left:4452;top:9572;height:306;width:0;" filled="f" stroked="t" coordsize="21600,21600" o:gfxdata="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NlK3K6+AAAA2wAAAA8AAAAAAAAAAQAgAAAAOAAAAGRycy9kb3ducmV2&#10;LnhtbFBLAQIUABQAAAAIAIdO4kAzLwWeOwAAADkAAAAQAAAAAAAAAAEAIAAAACMBAABkcnMvc2hh&#10;cGV4bWwueG1sUEsFBgAAAAAGAAYAWwEAAM0DAAAAAA==&#10;">
                  <v:fill on="f" focussize="0,0"/>
                  <v:stroke color="#000000" joinstyle="round"/>
                  <v:imagedata o:title=""/>
                  <o:lock v:ext="edit" aspectratio="f"/>
                </v:line>
                <v:rect id="Rectangle 2030" o:spid="_x0000_s1026" o:spt="1" style="position:absolute;left:3529;top:8754;height:805;width:1814;" filled="f" stroked="t" coordsize="21600,21600" o:gfxdata="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CmCfpLoAAADbAAAADwAAAAAAAAABACAAAAA4AAAAZHJzL2Rvd25yZXYueG1s&#10;UEsBAhQAFAAAAAgAh07iQDMvBZ47AAAAOQAAABAAAAAAAAAAAQAgAAAAHwEAAGRycy9zaGFwZXht&#10;bC54bWxQSwUGAAAAAAYABgBbAQAAyQMAAAAA&#10;">
                  <v:fill on="f" focussize="0,0"/>
                  <v:stroke color="#000000" miterlimit="8" joinstyle="miter"/>
                  <v:imagedata o:title=""/>
                  <o:lock v:ext="edit" aspectratio="f"/>
                  <v:textbox inset="2.54mm,0.6mm,2.54mm,0.3mm">
                    <w:txbxContent>
                      <w:p>
                        <w:pPr>
                          <w:snapToGrid w:val="0"/>
                          <w:spacing w:line="360" w:lineRule="auto"/>
                          <w:jc w:val="center"/>
                          <w:rPr>
                            <w:snapToGrid w:val="0"/>
                            <w:kern w:val="0"/>
                          </w:rPr>
                        </w:pPr>
                        <w:r>
                          <w:rPr>
                            <w:rFonts w:hint="eastAsia"/>
                            <w:snapToGrid w:val="0"/>
                            <w:kern w:val="0"/>
                          </w:rPr>
                          <w:t>环境现状调查</w:t>
                        </w:r>
                      </w:p>
                      <w:p>
                        <w:pPr>
                          <w:snapToGrid w:val="0"/>
                          <w:spacing w:line="360" w:lineRule="auto"/>
                          <w:jc w:val="center"/>
                          <w:rPr>
                            <w:snapToGrid w:val="0"/>
                            <w:kern w:val="0"/>
                          </w:rPr>
                        </w:pPr>
                        <w:r>
                          <w:rPr>
                            <w:rFonts w:hint="eastAsia"/>
                            <w:snapToGrid w:val="0"/>
                            <w:kern w:val="0"/>
                          </w:rPr>
                          <w:t>监测与评价</w:t>
                        </w:r>
                      </w:p>
                    </w:txbxContent>
                  </v:textbox>
                </v:rect>
                <v:line id="Line 2034" o:spid="_x0000_s1026" o:spt="20" style="position:absolute;left:7433;top:9574;height:306;width:0;" filled="f" stroked="t" coordsize="21600,21600" o:gfxdata="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6VAaFboAAADbAAAADwAAAAAAAAABACAAAAA4AAAAZHJzL2Rvd25yZXYueG1s&#10;UEsBAhQAFAAAAAgAh07iQDMvBZ47AAAAOQAAABAAAAAAAAAAAQAgAAAAHwEAAGRycy9zaGFwZXht&#10;bC54bWxQSwUGAAAAAAYABgBbAQAAyQMAAAAA&#10;">
                  <v:fill on="f" focussize="0,0"/>
                  <v:stroke color="#000000" joinstyle="round"/>
                  <v:imagedata o:title=""/>
                  <o:lock v:ext="edit" aspectratio="f"/>
                </v:line>
                <v:rect id="Rectangle 2036" o:spid="_x0000_s1026" o:spt="1" style="position:absolute;left:3362;top:10228;height:790;width:4915;" filled="f" stroked="t" coordsize="21600,21600" o:gfxdata="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K7ORXm7AAAA2wAAAA8AAAAAAAAAAQAgAAAAOAAAAGRycy9kb3ducmV2Lnht&#10;bFBLAQIUABQAAAAIAIdO4kAzLwWeOwAAADkAAAAQAAAAAAAAAAEAIAAAACABAABkcnMvc2hhcGV4&#10;bWwueG1sUEsFBgAAAAAGAAYAWwEAAMoDAAAAAA==&#10;">
                  <v:fill on="f" focussize="0,0"/>
                  <v:stroke color="#000000" miterlimit="8" joinstyle="miter"/>
                  <v:imagedata o:title=""/>
                  <o:lock v:ext="edit" aspectratio="f"/>
                  <v:textbox>
                    <w:txbxContent>
                      <w:p>
                        <w:pPr>
                          <w:adjustRightInd w:val="0"/>
                          <w:snapToGrid w:val="0"/>
                        </w:pPr>
                        <w:r>
                          <w:rPr>
                            <w:rFonts w:ascii="Times New Roman" w:hAnsi="Times New Roman"/>
                          </w:rPr>
                          <w:t>1</w:t>
                        </w:r>
                        <w:r>
                          <w:rPr>
                            <w:rFonts w:hint="eastAsia"/>
                          </w:rPr>
                          <w:t>各环境要素环境影响预测与评价</w:t>
                        </w:r>
                      </w:p>
                      <w:p>
                        <w:pPr>
                          <w:adjustRightInd w:val="0"/>
                          <w:snapToGrid w:val="0"/>
                        </w:pPr>
                        <w:r>
                          <w:rPr>
                            <w:rFonts w:ascii="Times New Roman" w:hAnsi="Times New Roman"/>
                          </w:rPr>
                          <w:t>2</w:t>
                        </w:r>
                        <w:r>
                          <w:rPr>
                            <w:rFonts w:hint="eastAsia"/>
                          </w:rPr>
                          <w:t>各专题环境影响分析与评价</w:t>
                        </w:r>
                      </w:p>
                    </w:txbxContent>
                  </v:textbox>
                </v:rect>
                <v:rect id="Rectangle 2038" o:spid="_x0000_s1026" o:spt="1" style="position:absolute;left:3362;top:11453;height:1278;width:4915;" filled="f" stroked="t" coordsize="21600,21600" o:gfxdata="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XhzbDr0AAADbAAAADwAAAAAAAAABACAAAAA4AAAAZHJzL2Rvd25yZXYu&#10;eG1sUEsBAhQAFAAAAAgAh07iQDMvBZ47AAAAOQAAABAAAAAAAAAAAQAgAAAAIgEAAGRycy9zaGFw&#10;ZXhtbC54bWxQSwUGAAAAAAYABgBbAQAAzAMAAAAA&#10;">
                  <v:fill on="f" focussize="0,0"/>
                  <v:stroke color="#000000" miterlimit="8" joinstyle="miter"/>
                  <v:imagedata o:title=""/>
                  <o:lock v:ext="edit" aspectratio="f"/>
                  <v:textbox>
                    <w:txbxContent>
                      <w:p>
                        <w:pPr>
                          <w:snapToGrid w:val="0"/>
                          <w:spacing w:line="360" w:lineRule="auto"/>
                        </w:pPr>
                        <w:r>
                          <w:rPr>
                            <w:rFonts w:ascii="Times New Roman" w:hAnsi="Times New Roman"/>
                          </w:rPr>
                          <w:t>1.</w:t>
                        </w:r>
                        <w:r>
                          <w:rPr>
                            <w:rFonts w:hint="eastAsia"/>
                          </w:rPr>
                          <w:t>提出环境保护措施，进行技术经济论证</w:t>
                        </w:r>
                      </w:p>
                      <w:p>
                        <w:pPr>
                          <w:snapToGrid w:val="0"/>
                          <w:spacing w:line="360" w:lineRule="auto"/>
                        </w:pPr>
                        <w:r>
                          <w:rPr>
                            <w:rFonts w:ascii="Times New Roman" w:hAnsi="Times New Roman"/>
                          </w:rPr>
                          <w:t>2.</w:t>
                        </w:r>
                        <w:r>
                          <w:rPr>
                            <w:rFonts w:hint="eastAsia"/>
                          </w:rPr>
                          <w:t>给出污染物排放清单</w:t>
                        </w:r>
                      </w:p>
                      <w:p>
                        <w:pPr>
                          <w:snapToGrid w:val="0"/>
                          <w:spacing w:line="360" w:lineRule="auto"/>
                        </w:pPr>
                        <w:r>
                          <w:t>3</w:t>
                        </w:r>
                        <w:r>
                          <w:rPr>
                            <w:rFonts w:hint="eastAsia"/>
                          </w:rPr>
                          <w:t>给出建设项目环境影响评价结论</w:t>
                        </w:r>
                      </w:p>
                    </w:txbxContent>
                  </v:textbox>
                </v:rect>
                <v:rect id="Rectangle 2040" o:spid="_x0000_s1026" o:spt="1" style="position:absolute;left:4599;top:13227;height:474;width:2608;" filled="f" stroked="t" coordsize="21600,21600" o:gfxdata="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MVB+lb0AAADbAAAADwAAAAAAAAABACAAAAA4AAAAZHJzL2Rvd25yZXYu&#10;eG1sUEsBAhQAFAAAAAgAh07iQDMvBZ47AAAAOQAAABAAAAAAAAAAAQAgAAAAIgEAAGRycy9zaGFw&#10;ZXhtbC54bWxQSwUGAAAAAAYABgBbAQAAzAMAAAAA&#10;">
                  <v:fill on="f" focussize="0,0"/>
                  <v:stroke color="#000000" miterlimit="8" joinstyle="miter"/>
                  <v:imagedata o:title=""/>
                  <o:lock v:ext="edit" aspectratio="f"/>
                  <v:textbox>
                    <w:txbxContent>
                      <w:p>
                        <w:pPr>
                          <w:adjustRightInd w:val="0"/>
                          <w:snapToGrid w:val="0"/>
                        </w:pPr>
                        <w:r>
                          <w:rPr>
                            <w:rFonts w:hint="eastAsia"/>
                          </w:rPr>
                          <w:t>编制环境影响评价文件</w:t>
                        </w:r>
                      </w:p>
                    </w:txbxContent>
                  </v:textbox>
                </v:rect>
                <v:rect id="Rectangle 2030" o:spid="_x0000_s1026" o:spt="1" style="position:absolute;left:6495;top:8770;height:805;width:1814;" filled="f" stroked="t" coordsize="21600,21600" o:gfxdata="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qDfqHvAAAANsAAAAPAAAAAAAAAAEAIAAAADgAAABkcnMvZG93bnJldi54&#10;bWxQSwECFAAUAAAACACHTuJAMy8FnjsAAAA5AAAAEAAAAAAAAAABACAAAAAhAQAAZHJzL3NoYXBl&#10;eG1sLnhtbFBLBQYAAAAABgAGAFsBAADLAwAAAAA=&#10;">
                  <v:fill on="f" focussize="0,0"/>
                  <v:stroke color="#000000" miterlimit="8" joinstyle="miter"/>
                  <v:imagedata o:title=""/>
                  <o:lock v:ext="edit" aspectratio="f"/>
                  <v:textbox inset="2.54mm,0.6mm,2.54mm,0.3mm">
                    <w:txbxContent>
                      <w:p>
                        <w:pPr>
                          <w:snapToGrid w:val="0"/>
                          <w:spacing w:line="360" w:lineRule="auto"/>
                          <w:jc w:val="center"/>
                          <w:rPr>
                            <w:snapToGrid w:val="0"/>
                            <w:kern w:val="0"/>
                          </w:rPr>
                        </w:pPr>
                        <w:r>
                          <w:rPr>
                            <w:rFonts w:hint="eastAsia"/>
                            <w:snapToGrid w:val="0"/>
                            <w:kern w:val="0"/>
                          </w:rPr>
                          <w:t>建设项目</w:t>
                        </w:r>
                      </w:p>
                      <w:p>
                        <w:pPr>
                          <w:snapToGrid w:val="0"/>
                          <w:spacing w:line="360" w:lineRule="auto"/>
                          <w:jc w:val="center"/>
                          <w:rPr>
                            <w:snapToGrid w:val="0"/>
                            <w:kern w:val="0"/>
                          </w:rPr>
                        </w:pPr>
                        <w:r>
                          <w:rPr>
                            <w:rFonts w:hint="eastAsia"/>
                            <w:snapToGrid w:val="0"/>
                            <w:kern w:val="0"/>
                          </w:rPr>
                          <w:t>工程分析</w:t>
                        </w:r>
                      </w:p>
                    </w:txbxContent>
                  </v:textbox>
                </v:rect>
                <v:line id="Line 2016" o:spid="_x0000_s1026" o:spt="20" style="position:absolute;left:5891;top:5378;flip:x;height:386;width:3;" filled="f" stroked="t" coordsize="21600,21600" o:gfxdata="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HWMtNLoAAADbAAAADwAAAAAAAAABACAAAAA4AAAAZHJzL2Rvd25yZXYueG1s&#10;UEsBAhQAFAAAAAgAh07iQDMvBZ47AAAAOQAAABAAAAAAAAAAAQAgAAAAHwEAAGRycy9zaGFwZXht&#10;bC54bWxQSwUGAAAAAAYABgBbAQAAyQMAAAAA&#10;">
                  <v:fill on="f" focussize="0,0"/>
                  <v:stroke color="#000000" joinstyle="round" endarrow="block" endarrowwidth="narrow" endarrowlength="long"/>
                  <v:imagedata o:title=""/>
                  <o:lock v:ext="edit" aspectratio="f"/>
                </v:line>
                <v:line id="Line 2016" o:spid="_x0000_s1026" o:spt="20" style="position:absolute;left:5904;top:7011;height:466;width:7;" filled="f" stroked="t" coordsize="21600,21600" o:gfxdata="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CfBRELvwAAANsAAAAPAAAAAAAAAAEAIAAAADgAAABkcnMvZG93bnJl&#10;di54bWxQSwECFAAUAAAACACHTuJAMy8FnjsAAAA5AAAAEAAAAAAAAAABACAAAAAkAQAAZHJzL3No&#10;YXBleG1sLnhtbFBLBQYAAAAABgAGAFsBAADOAwAAAAA=&#10;">
                  <v:fill on="f" focussize="0,0"/>
                  <v:stroke color="#000000" joinstyle="round" endarrow="block" endarrowwidth="narrow" endarrowlength="long"/>
                  <v:imagedata o:title=""/>
                  <o:lock v:ext="edit" aspectratio="f"/>
                </v:line>
                <v:line id="Line 2016" o:spid="_x0000_s1026" o:spt="20" style="position:absolute;left:5891;top:7958;height:454;width:0;" filled="f" stroked="t" coordsize="21600,21600" o:gfxdata="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wSbSQvwAAANsAAAAPAAAAAAAAAAEAIAAAADgAAABkcnMvZG93bnJl&#10;di54bWxQSwECFAAUAAAACACHTuJAMy8FnjsAAAA5AAAAEAAAAAAAAAABACAAAAAkAQAAZHJzL3No&#10;YXBleG1sLnhtbFBLBQYAAAAABgAGAFsBAADOAwAAAAA=&#10;">
                  <v:fill on="f" focussize="0,0"/>
                  <v:stroke color="#000000" joinstyle="round" endarrow="block" endarrowwidth="narrow" endarrowlength="long"/>
                  <v:imagedata o:title=""/>
                  <o:lock v:ext="edit" aspectratio="f"/>
                </v:line>
                <v:line id="Line 2026" o:spid="_x0000_s1026" o:spt="20" style="position:absolute;left:7388;top:8409;height:340;width:0;" filled="f" stroked="t" coordsize="21600,21600" o:gfxdata="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CB1iDiuQAAANsAAAAPAAAAAAAAAAEAIAAAADgAAABkcnMvZG93bnJldi54bWxQ&#10;SwECFAAUAAAACACHTuJAMy8FnjsAAAA5AAAAEAAAAAAAAAABACAAAAAeAQAAZHJzL3NoYXBleG1s&#10;LnhtbFBLBQYAAAAABgAGAFsBAADIAwAAAAA=&#10;">
                  <v:fill on="f" focussize="0,0"/>
                  <v:stroke color="#000000" joinstyle="round" endarrow="block" endarrowwidth="narrow" endarrowlength="long"/>
                  <v:imagedata o:title=""/>
                  <o:lock v:ext="edit" aspectratio="f"/>
                </v:line>
                <v:line id="Line 2027" o:spid="_x0000_s1026" o:spt="20" style="position:absolute;left:4467;top:9882;height:0;width:2951;" filled="f" stroked="t" coordsize="21600,21600" o:gfxdata="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eGqziL0AAADbAAAADwAAAAAAAAABACAAAAA4AAAAZHJzL2Rvd25yZXYu&#10;eG1sUEsBAhQAFAAAAAgAh07iQDMvBZ47AAAAOQAAABAAAAAAAAAAAQAgAAAAIgEAAGRycy9zaGFw&#10;ZXhtbC54bWxQSwUGAAAAAAYABgBbAQAAzAMAAAAA&#10;">
                  <v:fill on="f" focussize="0,0"/>
                  <v:stroke color="#000000" joinstyle="round"/>
                  <v:imagedata o:title=""/>
                  <o:lock v:ext="edit" aspectratio="f"/>
                </v:line>
                <v:line id="Line 2016" o:spid="_x0000_s1026" o:spt="20" style="position:absolute;left:5904;top:9873;height:340;width:0;" filled="f" stroked="t" coordsize="21600,21600" o:gfxdata="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Pp5ujm7AAAA2wAAAA8AAAAAAAAAAQAgAAAAOAAAAGRycy9kb3ducmV2Lnht&#10;bFBLAQIUABQAAAAIAIdO4kAzLwWeOwAAADkAAAAQAAAAAAAAAAEAIAAAACABAABkcnMvc2hhcGV4&#10;bWwueG1sUEsFBgAAAAAGAAYAWwEAAMoDAAAAAA==&#10;">
                  <v:fill on="f" focussize="0,0"/>
                  <v:stroke color="#000000" joinstyle="round" endarrow="block" endarrowwidth="narrow" endarrowlength="long"/>
                  <v:imagedata o:title=""/>
                  <o:lock v:ext="edit" aspectratio="f"/>
                </v:line>
                <v:line id="Line 2016" o:spid="_x0000_s1026" o:spt="20" style="position:absolute;left:5904;top:11017;height:454;width:0;" filled="f" stroked="t" coordsize="21600,21600" o:gfxdata="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CVNR+ivwAAANsAAAAPAAAAAAAAAAEAIAAAADgAAABkcnMvZG93bnJl&#10;di54bWxQSwECFAAUAAAACACHTuJAMy8FnjsAAAA5AAAAEAAAAAAAAAABACAAAAAkAQAAZHJzL3No&#10;YXBleG1sLnhtbFBLBQYAAAAABgAGAFsBAADOAwAAAAA=&#10;">
                  <v:fill on="f" focussize="0,0"/>
                  <v:stroke color="#000000" joinstyle="round" endarrow="block" endarrowwidth="narrow" endarrowlength="long"/>
                  <v:imagedata o:title=""/>
                  <o:lock v:ext="edit" aspectratio="f"/>
                </v:line>
                <v:line id="Line 2016" o:spid="_x0000_s1026" o:spt="20" style="position:absolute;left:5904;top:12743;height:454;width:0;" filled="f" stroked="t" coordsize="21600,21600" o:gfxdata="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GXngdW+AAAA2wAAAA8AAAAAAAAAAQAgAAAAOAAAAGRycy9kb3ducmV2&#10;LnhtbFBLAQIUABQAAAAIAIdO4kAzLwWeOwAAADkAAAAQAAAAAAAAAAEAIAAAACMBAABkcnMvc2hh&#10;cGV4bWwueG1sUEsFBgAAAAAGAAYAWwEAAM0DAAAAAA==&#10;">
                  <v:fill on="f" focussize="0,0"/>
                  <v:stroke color="#000000" joinstyle="round" endarrow="block" endarrowwidth="narrow" endarrowlength="long"/>
                  <v:imagedata o:title=""/>
                  <o:lock v:ext="edit" aspectratio="f"/>
                </v:line>
                <v:line id="Line 2016" o:spid="_x0000_s1026" o:spt="20" style="position:absolute;left:5887;top:3651;height:454;width:0;" filled="f" stroked="t" coordsize="21600,21600" o:gfxdata="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CqskTr0AAADbAAAADwAAAAAAAAABACAAAAA4AAAAZHJzL2Rvd25yZXYu&#10;eG1sUEsBAhQAFAAAAAgAh07iQDMvBZ47AAAAOQAAABAAAAAAAAAAAQAgAAAAIgEAAGRycy9zaGFw&#10;ZXhtbC54bWxQSwUGAAAAAAYABgBbAQAAzAMAAAAA&#10;">
                  <v:fill on="f" focussize="0,0"/>
                  <v:stroke color="#000000" joinstyle="round" endarrow="block" endarrowwidth="narrow" endarrowlength="long"/>
                  <v:imagedata o:title=""/>
                  <o:lock v:ext="edit" aspectratio="f"/>
                </v:line>
                <w10:wrap type="none"/>
                <w10:anchorlock/>
              </v:group>
            </w:pict>
          </mc:Fallback>
        </mc:AlternateContent>
      </w:r>
      <w:r>
        <w:rPr>
          <w:rFonts w:hint="eastAsia" w:ascii="Times New Roman" w:hAnsi="Times New Roman" w:cs="宋体"/>
          <w:b/>
          <w:sz w:val="24"/>
        </w:rPr>
        <w:t>图1   环境影响评价工作程序图</w:t>
      </w:r>
    </w:p>
    <w:p>
      <w:pPr>
        <w:snapToGrid w:val="0"/>
        <w:spacing w:line="540" w:lineRule="exact"/>
        <w:rPr>
          <w:rFonts w:ascii="Times New Roman" w:hAnsi="Times New Roman"/>
          <w:b/>
          <w:sz w:val="24"/>
          <w:szCs w:val="28"/>
        </w:rPr>
      </w:pPr>
      <w:bookmarkStart w:id="8" w:name="_Toc25492"/>
      <w:bookmarkStart w:id="9" w:name="_Toc24479_WPSOffice_Level1"/>
      <w:bookmarkStart w:id="10" w:name="_Toc24595_WPSOffice_Level1"/>
      <w:bookmarkStart w:id="11" w:name="_Toc10135"/>
      <w:bookmarkStart w:id="12" w:name="_Toc16090"/>
      <w:bookmarkStart w:id="13" w:name="_Toc9486"/>
      <w:bookmarkStart w:id="14" w:name="_Toc501696407"/>
      <w:bookmarkStart w:id="15" w:name="_Toc477253504"/>
      <w:bookmarkStart w:id="16" w:name="_Toc3950"/>
      <w:bookmarkStart w:id="17" w:name="_Toc30815"/>
      <w:r>
        <w:rPr>
          <w:rFonts w:ascii="Times New Roman" w:hAnsi="Times New Roman"/>
          <w:b/>
          <w:sz w:val="24"/>
          <w:szCs w:val="28"/>
        </w:rPr>
        <w:t>3</w:t>
      </w:r>
      <w:r>
        <w:rPr>
          <w:rFonts w:hint="eastAsia" w:ascii="Times New Roman" w:hAnsi="Times New Roman"/>
          <w:b/>
          <w:sz w:val="24"/>
          <w:szCs w:val="28"/>
        </w:rPr>
        <w:t>.</w:t>
      </w:r>
      <w:r>
        <w:rPr>
          <w:rFonts w:ascii="Times New Roman" w:hAnsi="Times New Roman"/>
          <w:b/>
          <w:sz w:val="24"/>
          <w:szCs w:val="28"/>
        </w:rPr>
        <w:t>项目特点</w:t>
      </w:r>
      <w:bookmarkEnd w:id="8"/>
      <w:bookmarkEnd w:id="9"/>
      <w:bookmarkEnd w:id="10"/>
      <w:bookmarkEnd w:id="11"/>
    </w:p>
    <w:p>
      <w:pPr>
        <w:adjustRightInd w:val="0"/>
        <w:snapToGrid w:val="0"/>
        <w:spacing w:line="540" w:lineRule="exact"/>
        <w:ind w:firstLine="480" w:firstLineChars="200"/>
        <w:rPr>
          <w:rFonts w:ascii="Times New Roman" w:hAnsi="Times New Roman"/>
          <w:bCs/>
          <w:sz w:val="24"/>
        </w:rPr>
      </w:pPr>
      <w:r>
        <w:rPr>
          <w:rFonts w:hint="eastAsia" w:ascii="Times New Roman" w:hAnsi="Times New Roman"/>
          <w:bCs/>
          <w:sz w:val="24"/>
        </w:rPr>
        <w:t>（1）</w:t>
      </w:r>
      <w:r>
        <w:rPr>
          <w:rFonts w:ascii="Times New Roman" w:hAnsi="Times New Roman"/>
          <w:bCs/>
          <w:sz w:val="24"/>
        </w:rPr>
        <w:t>本项目为新建</w:t>
      </w:r>
      <w:r>
        <w:rPr>
          <w:rFonts w:hint="eastAsia" w:ascii="Times New Roman" w:hAnsi="Times New Roman"/>
          <w:bCs/>
          <w:sz w:val="24"/>
        </w:rPr>
        <w:t>基础母牛</w:t>
      </w:r>
      <w:r>
        <w:rPr>
          <w:rFonts w:ascii="Times New Roman" w:hAnsi="Times New Roman"/>
          <w:bCs/>
          <w:sz w:val="24"/>
        </w:rPr>
        <w:t>养殖项目，</w:t>
      </w:r>
      <w:r>
        <w:rPr>
          <w:rFonts w:hint="eastAsia" w:ascii="Times New Roman" w:hAnsi="Times New Roman"/>
          <w:bCs/>
          <w:sz w:val="24"/>
        </w:rPr>
        <w:t>位于隆德县神林乡神林村，总占地面积31432.4m</w:t>
      </w:r>
      <w:r>
        <w:rPr>
          <w:rFonts w:hint="eastAsia" w:ascii="Times New Roman" w:hAnsi="Times New Roman"/>
          <w:bCs/>
          <w:sz w:val="24"/>
          <w:vertAlign w:val="superscript"/>
        </w:rPr>
        <w:t>3</w:t>
      </w:r>
      <w:r>
        <w:rPr>
          <w:rFonts w:hint="eastAsia" w:ascii="Times New Roman" w:hAnsi="Times New Roman"/>
          <w:bCs/>
          <w:sz w:val="24"/>
          <w:highlight w:val="none"/>
        </w:rPr>
        <w:t>，</w:t>
      </w:r>
      <w:r>
        <w:rPr>
          <w:rFonts w:hint="eastAsia" w:ascii="Times New Roman" w:hAnsi="Times New Roman"/>
          <w:color w:val="FF0000"/>
          <w:sz w:val="24"/>
          <w:szCs w:val="22"/>
          <w:lang w:val="zh-CN"/>
        </w:rPr>
        <w:t>其中养殖棚占地面积</w:t>
      </w:r>
      <w:r>
        <w:rPr>
          <w:rFonts w:hint="eastAsia" w:ascii="Times New Roman" w:hAnsi="Times New Roman"/>
          <w:color w:val="FF0000"/>
          <w:sz w:val="24"/>
          <w:szCs w:val="22"/>
          <w:lang w:val="en-US" w:eastAsia="zh-CN"/>
        </w:rPr>
        <w:t>23.65亩，积粪场占地面积5.75亩，土地性质为建设用地，不占用永久性基本农田；青贮池用地性质为设施农用地，使用期限为5年，并保证到期结束，及时做好耕作层的恢复工作。</w:t>
      </w:r>
      <w:r>
        <w:rPr>
          <w:rFonts w:hint="eastAsia" w:ascii="Times New Roman" w:hAnsi="Times New Roman"/>
          <w:bCs/>
          <w:sz w:val="24"/>
        </w:rPr>
        <w:t>项目周边无环境自然保护区、饮用水水源保护地等环境敏感目标。</w:t>
      </w:r>
    </w:p>
    <w:p>
      <w:pPr>
        <w:adjustRightInd w:val="0"/>
        <w:snapToGrid w:val="0"/>
        <w:spacing w:line="540" w:lineRule="exact"/>
        <w:ind w:firstLine="480" w:firstLineChars="200"/>
        <w:rPr>
          <w:rFonts w:ascii="Times New Roman" w:hAnsi="Times New Roman"/>
          <w:bCs/>
          <w:sz w:val="24"/>
        </w:rPr>
      </w:pPr>
      <w:r>
        <w:rPr>
          <w:rFonts w:hint="eastAsia" w:ascii="Times New Roman" w:hAnsi="Times New Roman"/>
          <w:bCs/>
          <w:sz w:val="24"/>
        </w:rPr>
        <w:t>（2）项目产生的废气主要是养殖区及</w:t>
      </w:r>
      <w:r>
        <w:rPr>
          <w:rFonts w:hint="eastAsia" w:ascii="Times New Roman" w:hAnsi="Times New Roman"/>
          <w:bCs/>
          <w:sz w:val="24"/>
          <w:lang w:eastAsia="zh-CN"/>
        </w:rPr>
        <w:t>积粪场</w:t>
      </w:r>
      <w:r>
        <w:rPr>
          <w:rFonts w:hint="eastAsia" w:ascii="Times New Roman" w:hAnsi="Times New Roman"/>
          <w:bCs/>
          <w:sz w:val="24"/>
        </w:rPr>
        <w:t>产生的恶臭气体，牛舍加强通风排气及清洁卫生，对牛舍及</w:t>
      </w:r>
      <w:r>
        <w:rPr>
          <w:rFonts w:hint="eastAsia" w:ascii="Times New Roman" w:hAnsi="Times New Roman"/>
          <w:bCs/>
          <w:sz w:val="24"/>
          <w:lang w:eastAsia="zh-CN"/>
        </w:rPr>
        <w:t>积粪场</w:t>
      </w:r>
      <w:r>
        <w:rPr>
          <w:rFonts w:hint="eastAsia" w:ascii="Times New Roman" w:hAnsi="Times New Roman"/>
          <w:bCs/>
          <w:sz w:val="24"/>
        </w:rPr>
        <w:t>定期喷洒除臭剂，并减少堆存时间，可最大程度降低恶臭污染物影响，恶臭气体产生量较小，均为无组织排放，恶臭气体经植被吸收，距离扩散等对环保目标影响较小；</w:t>
      </w:r>
    </w:p>
    <w:p>
      <w:pPr>
        <w:adjustRightInd w:val="0"/>
        <w:snapToGrid w:val="0"/>
        <w:spacing w:line="540" w:lineRule="exact"/>
        <w:ind w:firstLine="480" w:firstLineChars="200"/>
        <w:rPr>
          <w:rFonts w:ascii="Times New Roman" w:hAnsi="Times New Roman"/>
          <w:bCs/>
          <w:sz w:val="24"/>
          <w:highlight w:val="none"/>
        </w:rPr>
      </w:pPr>
      <w:r>
        <w:rPr>
          <w:rFonts w:hint="eastAsia" w:ascii="Times New Roman" w:hAnsi="Times New Roman"/>
          <w:bCs/>
          <w:sz w:val="24"/>
        </w:rPr>
        <w:t>（3）噪声主要是牛叫声、风机、水泵、饲料搅拌车、铡草机等设备运行产生的噪声，通过对设备采取隔声、减振措施，通过距离衰减、绿化降噪、墙体隔声等，场界噪声可以满足</w:t>
      </w:r>
      <w:r>
        <w:rPr>
          <w:rFonts w:hint="eastAsia" w:ascii="Times New Roman" w:hAnsi="Times New Roman"/>
          <w:bCs/>
          <w:sz w:val="24"/>
          <w:highlight w:val="none"/>
        </w:rPr>
        <w:t>《工业企业厂界环境噪声排放标准》（GB12348-2008）要求；</w:t>
      </w:r>
    </w:p>
    <w:p>
      <w:pPr>
        <w:adjustRightInd w:val="0"/>
        <w:snapToGrid w:val="0"/>
        <w:spacing w:line="540" w:lineRule="exact"/>
        <w:ind w:firstLine="480" w:firstLineChars="200"/>
        <w:rPr>
          <w:rFonts w:hint="eastAsia" w:ascii="Times New Roman" w:hAnsi="Times New Roman"/>
          <w:bCs/>
          <w:sz w:val="24"/>
          <w:lang w:eastAsia="zh-CN"/>
        </w:rPr>
      </w:pPr>
      <w:r>
        <w:rPr>
          <w:rFonts w:hint="eastAsia" w:ascii="Times New Roman" w:hAnsi="Times New Roman"/>
          <w:bCs/>
          <w:sz w:val="24"/>
          <w:highlight w:val="none"/>
        </w:rPr>
        <w:t>（4）项目产生</w:t>
      </w:r>
      <w:r>
        <w:rPr>
          <w:rFonts w:hint="eastAsia" w:ascii="Times New Roman" w:hAnsi="Times New Roman"/>
          <w:bCs/>
          <w:sz w:val="24"/>
        </w:rPr>
        <w:t>的污水主要为员工盥洗废水，用于厂区的洒水降尘；厂区建有卫生旱厕，用于员工生活卫生，旱厕定期由附近农户清掏还田。</w:t>
      </w:r>
    </w:p>
    <w:p>
      <w:pPr>
        <w:snapToGrid w:val="0"/>
        <w:spacing w:line="540" w:lineRule="exact"/>
        <w:rPr>
          <w:rFonts w:ascii="Times New Roman" w:hAnsi="Times New Roman"/>
          <w:b/>
          <w:bCs/>
          <w:sz w:val="24"/>
          <w:szCs w:val="28"/>
        </w:rPr>
      </w:pPr>
      <w:bookmarkStart w:id="18" w:name="_Toc31691"/>
      <w:r>
        <w:rPr>
          <w:rFonts w:ascii="Times New Roman" w:hAnsi="Times New Roman"/>
          <w:b/>
          <w:bCs/>
          <w:sz w:val="24"/>
          <w:szCs w:val="28"/>
        </w:rPr>
        <w:t>4.分析判定相关情况</w:t>
      </w:r>
      <w:bookmarkEnd w:id="18"/>
    </w:p>
    <w:p>
      <w:pPr>
        <w:pStyle w:val="7"/>
        <w:snapToGrid w:val="0"/>
        <w:spacing w:line="540" w:lineRule="exact"/>
        <w:ind w:firstLine="480"/>
        <w:rPr>
          <w:rFonts w:ascii="Times New Roman" w:hAnsi="Times New Roman" w:eastAsia="宋体"/>
        </w:rPr>
      </w:pPr>
      <w:r>
        <w:rPr>
          <w:rFonts w:ascii="Times New Roman" w:hAnsi="Times New Roman" w:eastAsia="宋体"/>
        </w:rPr>
        <w:t>本项目环境影响评价工作的指导思想是在充分调查和摸清本项目厂址地区环境特点和环境现状，深入分析本项目污染源状况的基础上，运用国家环境保护行业标准，根据《环境影响评价技术导则》，预测本项目所排污染物对周边区域环境质量的影响程度，分析建设项目污染物排放及影响是否符合当地环境功能及环境质量标准的要求。</w:t>
      </w:r>
    </w:p>
    <w:p>
      <w:pPr>
        <w:tabs>
          <w:tab w:val="left" w:pos="4012"/>
        </w:tabs>
        <w:adjustRightInd w:val="0"/>
        <w:snapToGrid w:val="0"/>
        <w:spacing w:line="540" w:lineRule="exact"/>
        <w:ind w:firstLine="480" w:firstLineChars="200"/>
        <w:rPr>
          <w:rFonts w:ascii="Times New Roman" w:hAnsi="Times New Roman"/>
          <w:color w:val="000000"/>
          <w:sz w:val="24"/>
          <w:lang w:val="zh-CN"/>
        </w:rPr>
      </w:pPr>
      <w:r>
        <w:rPr>
          <w:rFonts w:hint="eastAsia" w:ascii="Times New Roman" w:hAnsi="Times New Roman"/>
          <w:sz w:val="24"/>
          <w:lang w:val="zh-CN"/>
        </w:rPr>
        <w:t>（</w:t>
      </w:r>
      <w:r>
        <w:rPr>
          <w:rFonts w:hint="eastAsia" w:ascii="Times New Roman" w:hAnsi="Times New Roman"/>
          <w:sz w:val="24"/>
        </w:rPr>
        <w:t>1</w:t>
      </w:r>
      <w:r>
        <w:rPr>
          <w:rFonts w:hint="eastAsia" w:ascii="Times New Roman" w:hAnsi="Times New Roman"/>
          <w:sz w:val="24"/>
          <w:lang w:val="zh-CN"/>
        </w:rPr>
        <w:t>）</w:t>
      </w:r>
      <w:r>
        <w:rPr>
          <w:rFonts w:ascii="Times New Roman" w:hAnsi="Times New Roman"/>
          <w:sz w:val="24"/>
          <w:lang w:val="zh-CN"/>
        </w:rPr>
        <w:t>产业政策相符性分析</w:t>
      </w:r>
    </w:p>
    <w:p>
      <w:pPr>
        <w:pStyle w:val="24"/>
        <w:adjustRightInd w:val="0"/>
        <w:snapToGrid w:val="0"/>
        <w:spacing w:line="540" w:lineRule="exact"/>
        <w:ind w:firstLine="480"/>
        <w:rPr>
          <w:rFonts w:ascii="Times New Roman" w:hAnsi="Times New Roman"/>
          <w:color w:val="000000"/>
        </w:rPr>
      </w:pPr>
      <w:r>
        <w:rPr>
          <w:rFonts w:ascii="Times New Roman" w:hAnsi="Times New Roman"/>
          <w:lang w:val="zh-CN"/>
        </w:rPr>
        <w:t>本项目为畜禽养殖，属于中华人民共和国国家发展和改革委员会令第29号《产业结构调整指导</w:t>
      </w:r>
      <w:r>
        <w:rPr>
          <w:rFonts w:hint="eastAsia" w:ascii="Times New Roman" w:hAnsi="Times New Roman"/>
        </w:rPr>
        <w:t>7</w:t>
      </w:r>
      <w:r>
        <w:rPr>
          <w:rFonts w:ascii="Times New Roman" w:hAnsi="Times New Roman"/>
        </w:rPr>
        <w:t>五发展规划》中提出</w:t>
      </w:r>
      <w:r>
        <w:rPr>
          <w:rFonts w:hint="eastAsia" w:ascii="Times New Roman" w:hAnsi="Times New Roman"/>
        </w:rPr>
        <w:t>“</w:t>
      </w:r>
      <w:r>
        <w:rPr>
          <w:rFonts w:ascii="Times New Roman" w:hAnsi="Times New Roman"/>
        </w:rPr>
        <w:t>开展畜禽规模化养</w:t>
      </w:r>
      <w:r>
        <w:rPr>
          <w:rFonts w:ascii="Times New Roman" w:hAnsi="Times New Roman"/>
          <w:lang w:val="zh-CN"/>
        </w:rPr>
        <w:t>殖场（小区）等标准化改造，完善粪污处理等设施，推进循环利用</w:t>
      </w:r>
      <w:r>
        <w:rPr>
          <w:rFonts w:hint="eastAsia" w:ascii="Times New Roman" w:hAnsi="Times New Roman"/>
        </w:rPr>
        <w:t>”</w:t>
      </w:r>
      <w:r>
        <w:rPr>
          <w:rFonts w:ascii="Times New Roman" w:hAnsi="Times New Roman"/>
        </w:rPr>
        <w:t>。建设单位建设规模化养殖场</w:t>
      </w:r>
      <w:r>
        <w:rPr>
          <w:rFonts w:ascii="Times New Roman" w:hAnsi="Times New Roman"/>
          <w:snapToGrid w:val="0"/>
          <w:highlight w:val="none"/>
        </w:rPr>
        <w:t>，</w:t>
      </w:r>
      <w:r>
        <w:rPr>
          <w:rFonts w:hint="eastAsia" w:ascii="Times New Roman" w:hAnsi="Times New Roman"/>
          <w:szCs w:val="22"/>
          <w:highlight w:val="none"/>
        </w:rPr>
        <w:t>建有专门的积粪场，清理的牛粪集中放入积粪场，经过无害化处理后，</w:t>
      </w:r>
      <w:r>
        <w:rPr>
          <w:rFonts w:hint="eastAsia" w:ascii="Times New Roman" w:hAnsi="Times New Roman"/>
          <w:bCs/>
          <w:sz w:val="24"/>
          <w:highlight w:val="none"/>
          <w:lang w:eastAsia="zh-CN"/>
        </w:rPr>
        <w:t>定期由隆德县腾发牧草专业合作社运走进行处理</w:t>
      </w:r>
      <w:r>
        <w:rPr>
          <w:rFonts w:ascii="Times New Roman" w:hAnsi="Times New Roman"/>
          <w:bCs/>
          <w:sz w:val="24"/>
          <w:highlight w:val="none"/>
        </w:rPr>
        <w:t>。</w:t>
      </w:r>
      <w:r>
        <w:rPr>
          <w:rFonts w:ascii="Times New Roman" w:hAnsi="Times New Roman"/>
          <w:color w:val="000000"/>
          <w:highlight w:val="none"/>
        </w:rPr>
        <w:t>因此，</w:t>
      </w:r>
      <w:r>
        <w:rPr>
          <w:rFonts w:ascii="Times New Roman" w:hAnsi="Times New Roman"/>
          <w:snapToGrid w:val="0"/>
          <w:color w:val="000000"/>
          <w:highlight w:val="none"/>
        </w:rPr>
        <w:t>项目的实施与</w:t>
      </w:r>
      <w:r>
        <w:rPr>
          <w:rFonts w:ascii="Times New Roman" w:hAnsi="Times New Roman"/>
          <w:color w:val="000000"/>
          <w:highlight w:val="none"/>
        </w:rPr>
        <w:t>《宁夏回族自</w:t>
      </w:r>
      <w:r>
        <w:rPr>
          <w:rFonts w:ascii="Times New Roman" w:hAnsi="Times New Roman"/>
          <w:color w:val="000000"/>
        </w:rPr>
        <w:t>治区农业</w:t>
      </w:r>
      <w:r>
        <w:rPr>
          <w:rFonts w:hint="eastAsia" w:ascii="Times New Roman" w:hAnsi="Times New Roman"/>
          <w:color w:val="000000"/>
        </w:rPr>
        <w:t>农村现代化发展</w:t>
      </w:r>
      <w:r>
        <w:rPr>
          <w:rFonts w:hint="eastAsia" w:ascii="Times New Roman" w:hAnsi="Times New Roman"/>
          <w:szCs w:val="22"/>
        </w:rPr>
        <w:t>“十四五”发展规划》</w:t>
      </w:r>
      <w:r>
        <w:rPr>
          <w:rFonts w:ascii="Times New Roman" w:hAnsi="Times New Roman"/>
          <w:color w:val="000000"/>
        </w:rPr>
        <w:t>相符。</w:t>
      </w:r>
    </w:p>
    <w:p>
      <w:pPr>
        <w:pStyle w:val="43"/>
        <w:spacing w:line="540" w:lineRule="exact"/>
      </w:pPr>
      <w:r>
        <w:rPr>
          <w:rFonts w:hint="eastAsia"/>
        </w:rPr>
        <w:t>（2）</w:t>
      </w:r>
      <w:r>
        <w:t>“三线一清单”符合性分析</w:t>
      </w:r>
    </w:p>
    <w:p>
      <w:pPr>
        <w:tabs>
          <w:tab w:val="left" w:pos="2595"/>
        </w:tabs>
        <w:adjustRightInd w:val="0"/>
        <w:snapToGrid w:val="0"/>
        <w:spacing w:line="540" w:lineRule="exact"/>
        <w:ind w:firstLine="480" w:firstLineChars="200"/>
        <w:rPr>
          <w:rFonts w:ascii="Times New Roman" w:hAnsi="Times New Roman"/>
          <w:bCs/>
          <w:kern w:val="0"/>
          <w:sz w:val="24"/>
        </w:rPr>
      </w:pPr>
      <w:r>
        <w:rPr>
          <w:rFonts w:hint="eastAsia" w:ascii="Times New Roman" w:hAnsi="Times New Roman"/>
          <w:bCs/>
          <w:kern w:val="0"/>
          <w:sz w:val="24"/>
        </w:rPr>
        <w:t>①根据《自治区人民政府关于发布宁夏回族自治区生态保护红线的通知》，本项目用地不涉及占用水源地、自然保护区等保护目标，不在生态保护红线范围内，符合《宁夏回族自治区生态保护红线》要求。</w:t>
      </w:r>
    </w:p>
    <w:p>
      <w:pPr>
        <w:tabs>
          <w:tab w:val="left" w:pos="2595"/>
        </w:tabs>
        <w:adjustRightInd w:val="0"/>
        <w:snapToGrid w:val="0"/>
        <w:spacing w:line="540" w:lineRule="exact"/>
        <w:ind w:firstLine="480" w:firstLineChars="200"/>
        <w:rPr>
          <w:rFonts w:ascii="Times New Roman" w:hAnsi="Times New Roman"/>
          <w:bCs/>
          <w:kern w:val="0"/>
          <w:sz w:val="24"/>
        </w:rPr>
      </w:pPr>
      <w:r>
        <w:rPr>
          <w:rFonts w:hint="eastAsia" w:ascii="Times New Roman" w:hAnsi="Times New Roman"/>
          <w:bCs/>
          <w:kern w:val="0"/>
          <w:sz w:val="24"/>
        </w:rPr>
        <w:t>②根据“环境空气质量模型技术支持服务系统”公布的固原市2020年各污染物平均浓度均优于《环境空气质量标准》（GB3095-2012）中二级标准限值。各项因子均满足《环境空气质量标准》（GB3095-2012）二级标准。按照《环境影响评价技术导则 大气环境》（HJ2.2-2018）对项目所在区达标判断结果可知，项目所在区为达标区；根据监测结果，昼间夜间噪声监测结果均符合</w:t>
      </w:r>
      <w:r>
        <w:rPr>
          <w:rFonts w:ascii="Times New Roman" w:hAnsi="Times New Roman"/>
          <w:sz w:val="24"/>
        </w:rPr>
        <w:t>《声环境质量标准》（GB3096-2008）</w:t>
      </w:r>
      <w:r>
        <w:rPr>
          <w:rFonts w:hint="eastAsia" w:ascii="Times New Roman" w:hAnsi="Times New Roman"/>
          <w:sz w:val="24"/>
          <w:lang w:eastAsia="zh-CN"/>
        </w:rPr>
        <w:t>中</w:t>
      </w:r>
      <w:r>
        <w:rPr>
          <w:rFonts w:hint="eastAsia" w:ascii="Times New Roman" w:hAnsi="Times New Roman"/>
          <w:sz w:val="24"/>
          <w:lang w:val="en-US" w:eastAsia="zh-CN"/>
        </w:rPr>
        <w:t>2类声环境标准要求</w:t>
      </w:r>
      <w:r>
        <w:rPr>
          <w:rFonts w:hint="eastAsia" w:ascii="Times New Roman" w:hAnsi="Times New Roman"/>
          <w:bCs/>
          <w:kern w:val="0"/>
          <w:sz w:val="24"/>
        </w:rPr>
        <w:t>；根据项目所在区环境功能区划要求，本项目污水主要是职工生活用水，污水排放量较小，经过污染防治设备处理后，不会对周围环境造成明显影响，不会降低当地的环境功能区划，能够满足环境质量底线要求。</w:t>
      </w:r>
    </w:p>
    <w:p>
      <w:pPr>
        <w:tabs>
          <w:tab w:val="left" w:pos="2595"/>
        </w:tabs>
        <w:adjustRightInd w:val="0"/>
        <w:snapToGrid w:val="0"/>
        <w:spacing w:line="540" w:lineRule="exact"/>
        <w:ind w:firstLine="480" w:firstLineChars="200"/>
        <w:rPr>
          <w:rFonts w:ascii="Times New Roman" w:hAnsi="Times New Roman"/>
          <w:bCs/>
          <w:kern w:val="0"/>
          <w:sz w:val="24"/>
        </w:rPr>
      </w:pPr>
      <w:r>
        <w:rPr>
          <w:rFonts w:hint="eastAsia" w:ascii="Times New Roman" w:hAnsi="Times New Roman"/>
          <w:bCs/>
          <w:kern w:val="0"/>
          <w:sz w:val="24"/>
        </w:rPr>
        <w:t>③项目生产过程中资源利用，本项目采用单电源供电，供电电压为380/220V 三相四线制，主要为生产设备及照明用电，用电负荷80KW，用电负荷为三级。水源由隆德县自来水系统供给。水、电资源的用量占区域的资源量很小，项目的建设满足资源利用上限的要求。</w:t>
      </w:r>
    </w:p>
    <w:p>
      <w:pPr>
        <w:tabs>
          <w:tab w:val="left" w:pos="2595"/>
        </w:tabs>
        <w:adjustRightInd w:val="0"/>
        <w:snapToGrid w:val="0"/>
        <w:spacing w:line="540" w:lineRule="exact"/>
        <w:ind w:firstLine="480" w:firstLineChars="200"/>
        <w:rPr>
          <w:rFonts w:ascii="Times New Roman" w:hAnsi="Times New Roman"/>
          <w:bCs/>
          <w:kern w:val="0"/>
          <w:sz w:val="24"/>
        </w:rPr>
      </w:pPr>
      <w:r>
        <w:rPr>
          <w:rFonts w:hint="eastAsia" w:ascii="Times New Roman" w:hAnsi="Times New Roman"/>
          <w:bCs/>
          <w:kern w:val="0"/>
          <w:sz w:val="24"/>
        </w:rPr>
        <w:t>④本建设项目为基础母牛养殖建设项目，不属于产业政策中限制类、淘汰类。同时项目所在区域暂无明确的环境准入负面清单，本项目地不属于规划农田和宅基地用地，因此，本项目应为环境准入允许类型。</w:t>
      </w:r>
    </w:p>
    <w:p>
      <w:pPr>
        <w:tabs>
          <w:tab w:val="left" w:pos="2595"/>
        </w:tabs>
        <w:adjustRightInd w:val="0"/>
        <w:snapToGrid w:val="0"/>
        <w:spacing w:line="540" w:lineRule="exact"/>
        <w:ind w:firstLine="480" w:firstLineChars="200"/>
        <w:rPr>
          <w:rFonts w:ascii="Times New Roman" w:hAnsi="Times New Roman"/>
          <w:bCs/>
          <w:kern w:val="0"/>
          <w:sz w:val="24"/>
        </w:rPr>
      </w:pPr>
      <w:r>
        <w:rPr>
          <w:rFonts w:hint="eastAsia" w:ascii="Times New Roman" w:hAnsi="Times New Roman"/>
          <w:bCs/>
          <w:kern w:val="0"/>
          <w:sz w:val="24"/>
        </w:rPr>
        <w:t>因此，项目的建设符合“三线一清单”相关要求。</w:t>
      </w:r>
    </w:p>
    <w:p>
      <w:pPr>
        <w:tabs>
          <w:tab w:val="left" w:pos="2595"/>
        </w:tabs>
        <w:adjustRightInd w:val="0"/>
        <w:snapToGrid w:val="0"/>
        <w:spacing w:line="540" w:lineRule="exact"/>
        <w:ind w:firstLine="480" w:firstLineChars="200"/>
        <w:rPr>
          <w:rFonts w:ascii="Times New Roman" w:hAnsi="Times New Roman"/>
          <w:sz w:val="24"/>
        </w:rPr>
      </w:pPr>
      <w:r>
        <w:rPr>
          <w:rFonts w:hint="eastAsia" w:ascii="Times New Roman" w:hAnsi="Times New Roman"/>
          <w:sz w:val="24"/>
        </w:rPr>
        <w:t>（3）项目选址符合《畜禽养殖业污染防治技术规范》（HJ/T81-2001）中第3节对养殖场选址的要求。本项目选址不属于禁建区域范围内或禁建区域附近；本项目规划设置养殖区、办公生活区、草料区，场区内的道路按照净道和污道不交叉的原则进行布置，周边交通便利；本项目所在地不属于城市和城镇居民区，建设区域远离工业企业。符合《畜禽规模养殖污染防治条例》（2014年1月1日）、《畜禽养殖业污染防治技术规范》（HJ/T81-2001）、《农村畜禽养殖业污染防治技术规范》（DB64/T702-2011）、《畜禽养殖业污染治理工程技术规范》（HJ497-2009）、《畜禽养殖产地环境评价规范》（HJ568-2010）、《国务院办公厅关于加快推进畜禽养殖废弃物资源化利用的意见》（国办发【2017】48号）、《关于做好畜禽规模养殖项目环境影响评价管理工作的通知》（环办环评【2018】31号）以及《农业农村部关于调整动物防疫条件审查有关规定的通知》（2019年12月18日）中的要求。因此，本项目的选址合理，与养殖相关标准相符。</w:t>
      </w:r>
    </w:p>
    <w:p>
      <w:pPr>
        <w:tabs>
          <w:tab w:val="left" w:pos="2595"/>
        </w:tabs>
        <w:adjustRightInd w:val="0"/>
        <w:snapToGrid w:val="0"/>
        <w:spacing w:line="540" w:lineRule="exact"/>
        <w:ind w:firstLine="480" w:firstLineChars="200"/>
        <w:rPr>
          <w:rFonts w:ascii="Times New Roman" w:hAnsi="Times New Roman"/>
          <w:sz w:val="24"/>
        </w:rPr>
      </w:pPr>
      <w:r>
        <w:rPr>
          <w:rFonts w:hint="eastAsia" w:ascii="Times New Roman" w:hAnsi="Times New Roman"/>
          <w:sz w:val="24"/>
        </w:rPr>
        <w:t>因此，本项目建设属于国家允许类项目，符合国家的产业政策。同时项目符合“三线一单”相关要求。</w:t>
      </w:r>
    </w:p>
    <w:p>
      <w:pPr>
        <w:snapToGrid w:val="0"/>
        <w:spacing w:line="540" w:lineRule="exact"/>
        <w:rPr>
          <w:rFonts w:ascii="Times New Roman" w:hAnsi="Times New Roman"/>
          <w:b/>
          <w:bCs/>
          <w:sz w:val="24"/>
          <w:szCs w:val="28"/>
        </w:rPr>
      </w:pPr>
      <w:bookmarkStart w:id="19" w:name="_Toc24087_WPSOffice_Level1"/>
      <w:bookmarkStart w:id="20" w:name="_Toc18800_WPSOffice_Level1"/>
      <w:bookmarkStart w:id="21" w:name="_Toc18056"/>
      <w:bookmarkStart w:id="22" w:name="_Toc22521"/>
      <w:r>
        <w:rPr>
          <w:rFonts w:hint="eastAsia" w:ascii="Times New Roman" w:hAnsi="Times New Roman"/>
          <w:b/>
          <w:bCs/>
          <w:sz w:val="24"/>
          <w:szCs w:val="28"/>
        </w:rPr>
        <w:t>5</w:t>
      </w:r>
      <w:r>
        <w:rPr>
          <w:rFonts w:ascii="Times New Roman" w:hAnsi="Times New Roman"/>
          <w:b/>
          <w:bCs/>
          <w:sz w:val="24"/>
          <w:szCs w:val="28"/>
        </w:rPr>
        <w:t>.关注的主要环境问题</w:t>
      </w:r>
      <w:bookmarkEnd w:id="12"/>
      <w:bookmarkEnd w:id="13"/>
      <w:bookmarkEnd w:id="14"/>
      <w:bookmarkEnd w:id="15"/>
      <w:bookmarkEnd w:id="16"/>
      <w:bookmarkEnd w:id="17"/>
      <w:bookmarkEnd w:id="19"/>
      <w:bookmarkEnd w:id="20"/>
      <w:bookmarkEnd w:id="21"/>
      <w:bookmarkEnd w:id="22"/>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根据本项目自身特点及现场调查结果，本项目产生的主要污染物为废气污染物、废水污染物及固体废物，主要的环境影响为大气环境影响、水环境和土壤环境影响。本项目对周边环境产生的主要环境问题为：</w:t>
      </w:r>
    </w:p>
    <w:p>
      <w:pPr>
        <w:pStyle w:val="44"/>
        <w:snapToGrid w:val="0"/>
        <w:spacing w:line="540" w:lineRule="exact"/>
        <w:ind w:firstLine="480" w:firstLineChars="200"/>
        <w:jc w:val="both"/>
        <w:rPr>
          <w:rFonts w:ascii="Times New Roman" w:hAnsi="Times New Roman"/>
          <w:color w:val="auto"/>
        </w:rPr>
      </w:pPr>
      <w:r>
        <w:rPr>
          <w:rFonts w:ascii="Times New Roman" w:hAnsi="Times New Roman"/>
          <w:color w:val="auto"/>
        </w:rPr>
        <w:t>(1)项目选址的环境合理性。</w:t>
      </w:r>
    </w:p>
    <w:p>
      <w:pPr>
        <w:pStyle w:val="44"/>
        <w:snapToGrid w:val="0"/>
        <w:spacing w:line="540" w:lineRule="exact"/>
        <w:ind w:firstLine="480" w:firstLineChars="200"/>
        <w:jc w:val="both"/>
        <w:rPr>
          <w:rFonts w:ascii="Times New Roman" w:hAnsi="Times New Roman"/>
          <w:color w:val="auto"/>
        </w:rPr>
      </w:pPr>
      <w:r>
        <w:rPr>
          <w:rFonts w:ascii="Times New Roman" w:hAnsi="Times New Roman"/>
          <w:color w:val="auto"/>
        </w:rPr>
        <w:t>(2)项目运营期产生废气、废水、噪声和固体废物对各环境要素产生的影响及拟采取的污染防治措施。包括：</w:t>
      </w:r>
    </w:p>
    <w:p>
      <w:pPr>
        <w:pStyle w:val="44"/>
        <w:snapToGrid w:val="0"/>
        <w:spacing w:line="540" w:lineRule="exact"/>
        <w:ind w:firstLine="480" w:firstLineChars="200"/>
        <w:jc w:val="both"/>
        <w:rPr>
          <w:rFonts w:ascii="Times New Roman" w:hAnsi="Times New Roman"/>
          <w:color w:val="auto"/>
        </w:rPr>
      </w:pPr>
      <w:r>
        <w:rPr>
          <w:rFonts w:ascii="Times New Roman" w:hAnsi="Times New Roman"/>
          <w:color w:val="auto"/>
        </w:rPr>
        <w:t>①废气：牛舍、</w:t>
      </w:r>
      <w:r>
        <w:rPr>
          <w:rFonts w:hint="eastAsia" w:ascii="Times New Roman" w:hAnsi="Times New Roman"/>
          <w:color w:val="auto"/>
        </w:rPr>
        <w:t>积</w:t>
      </w:r>
      <w:r>
        <w:rPr>
          <w:rFonts w:ascii="Times New Roman" w:hAnsi="Times New Roman"/>
          <w:color w:val="auto"/>
        </w:rPr>
        <w:t>粪场等产生的恶臭。</w:t>
      </w:r>
    </w:p>
    <w:p>
      <w:pPr>
        <w:pStyle w:val="44"/>
        <w:snapToGrid w:val="0"/>
        <w:spacing w:line="540" w:lineRule="exact"/>
        <w:ind w:firstLine="480" w:firstLineChars="200"/>
        <w:jc w:val="both"/>
        <w:rPr>
          <w:rFonts w:hint="eastAsia" w:ascii="Times New Roman" w:hAnsi="Times New Roman" w:eastAsia="宋体"/>
          <w:color w:val="auto"/>
          <w:lang w:eastAsia="zh-CN"/>
        </w:rPr>
      </w:pPr>
      <w:r>
        <w:rPr>
          <w:rFonts w:ascii="Times New Roman" w:hAnsi="Times New Roman"/>
          <w:color w:val="auto"/>
        </w:rPr>
        <w:t>②废水：主要为生活污</w:t>
      </w:r>
      <w:r>
        <w:rPr>
          <w:rFonts w:hint="eastAsia" w:ascii="Times New Roman" w:hAnsi="Times New Roman"/>
          <w:color w:val="auto"/>
        </w:rPr>
        <w:t>水</w:t>
      </w:r>
      <w:r>
        <w:rPr>
          <w:rFonts w:hint="eastAsia" w:ascii="Times New Roman" w:hAnsi="Times New Roman"/>
          <w:color w:val="auto"/>
          <w:lang w:eastAsia="zh-CN"/>
        </w:rPr>
        <w:t>、厂区承接的雨水（含运动场、牛棚）</w:t>
      </w:r>
    </w:p>
    <w:p>
      <w:pPr>
        <w:pStyle w:val="44"/>
        <w:snapToGrid w:val="0"/>
        <w:spacing w:line="540" w:lineRule="exact"/>
        <w:ind w:firstLine="480" w:firstLineChars="200"/>
        <w:jc w:val="both"/>
        <w:rPr>
          <w:rFonts w:ascii="Times New Roman" w:hAnsi="Times New Roman"/>
          <w:color w:val="auto"/>
        </w:rPr>
      </w:pPr>
      <w:r>
        <w:rPr>
          <w:rFonts w:ascii="Times New Roman" w:hAnsi="Times New Roman"/>
          <w:color w:val="auto"/>
        </w:rPr>
        <w:t>③噪声：主要为</w:t>
      </w:r>
      <w:r>
        <w:rPr>
          <w:rFonts w:ascii="Times New Roman" w:hAnsi="Times New Roman"/>
          <w:bCs/>
          <w:color w:val="auto"/>
        </w:rPr>
        <w:t>牛叫声、风机、水泵、饲料搅拌车、铡草机等</w:t>
      </w:r>
      <w:r>
        <w:rPr>
          <w:rFonts w:ascii="Times New Roman" w:hAnsi="Times New Roman"/>
          <w:color w:val="auto"/>
        </w:rPr>
        <w:t>产生的机械噪声。</w:t>
      </w:r>
    </w:p>
    <w:p>
      <w:pPr>
        <w:pStyle w:val="44"/>
        <w:snapToGrid w:val="0"/>
        <w:spacing w:line="540" w:lineRule="exact"/>
        <w:ind w:firstLine="480" w:firstLineChars="200"/>
        <w:jc w:val="both"/>
        <w:rPr>
          <w:rFonts w:ascii="Times New Roman" w:hAnsi="Times New Roman"/>
          <w:color w:val="auto"/>
        </w:rPr>
      </w:pPr>
      <w:r>
        <w:rPr>
          <w:rFonts w:ascii="Times New Roman" w:hAnsi="Times New Roman"/>
          <w:color w:val="auto"/>
        </w:rPr>
        <w:t>④固体废物：养殖区产生的牛粪、病死牛尸体、医疗垃圾、生活垃圾等。</w:t>
      </w:r>
    </w:p>
    <w:p>
      <w:pPr>
        <w:pStyle w:val="44"/>
        <w:snapToGrid w:val="0"/>
        <w:spacing w:line="540" w:lineRule="exact"/>
        <w:ind w:firstLine="480" w:firstLineChars="200"/>
        <w:jc w:val="both"/>
        <w:rPr>
          <w:rFonts w:ascii="Times New Roman" w:hAnsi="Times New Roman"/>
          <w:color w:val="auto"/>
        </w:rPr>
      </w:pPr>
      <w:r>
        <w:rPr>
          <w:rFonts w:ascii="Times New Roman" w:hAnsi="Times New Roman"/>
          <w:color w:val="auto"/>
        </w:rPr>
        <w:t>针对上述问题，本报告提出了相应的环境保护措施，并给出了本项目的环境影响可行性分析结论。</w:t>
      </w:r>
    </w:p>
    <w:p>
      <w:pPr>
        <w:snapToGrid w:val="0"/>
        <w:spacing w:line="540" w:lineRule="exact"/>
        <w:rPr>
          <w:rFonts w:ascii="Times New Roman" w:hAnsi="Times New Roman"/>
          <w:b/>
          <w:bCs/>
          <w:sz w:val="24"/>
          <w:szCs w:val="28"/>
        </w:rPr>
      </w:pPr>
      <w:bookmarkStart w:id="23" w:name="_Toc6559"/>
      <w:bookmarkStart w:id="24" w:name="_Toc11376_WPSOffice_Level1"/>
      <w:bookmarkStart w:id="25" w:name="_Toc26239"/>
      <w:bookmarkStart w:id="26" w:name="_Toc23490_WPSOffice_Level1"/>
      <w:r>
        <w:rPr>
          <w:rFonts w:hint="eastAsia" w:ascii="Times New Roman" w:hAnsi="Times New Roman"/>
          <w:b/>
          <w:bCs/>
          <w:sz w:val="24"/>
          <w:szCs w:val="28"/>
        </w:rPr>
        <w:t>6.</w:t>
      </w:r>
      <w:r>
        <w:rPr>
          <w:rFonts w:ascii="Times New Roman" w:hAnsi="Times New Roman"/>
          <w:b/>
          <w:bCs/>
          <w:sz w:val="24"/>
          <w:szCs w:val="28"/>
        </w:rPr>
        <w:t>环境影响报告主要结论</w:t>
      </w:r>
      <w:bookmarkEnd w:id="23"/>
      <w:bookmarkEnd w:id="24"/>
      <w:bookmarkEnd w:id="25"/>
      <w:bookmarkEnd w:id="26"/>
    </w:p>
    <w:p>
      <w:pPr>
        <w:adjustRightInd w:val="0"/>
        <w:snapToGrid w:val="0"/>
        <w:spacing w:line="540" w:lineRule="exact"/>
        <w:ind w:firstLine="444" w:firstLineChars="185"/>
        <w:rPr>
          <w:rFonts w:ascii="Times New Roman" w:hAnsi="Times New Roman"/>
          <w:sz w:val="24"/>
        </w:rPr>
      </w:pPr>
      <w:r>
        <w:rPr>
          <w:rFonts w:ascii="Times New Roman" w:hAnsi="Times New Roman"/>
          <w:sz w:val="24"/>
        </w:rPr>
        <w:t>编制单位按照环境影响评价程序，对建设项目的初步设计和建设方提供的资料进行了研究分析，对拟建项目进行了现场勘查，对周围环境进行了现状调查、监测，结合国家和地方的环保政策、要求，编写完成《</w:t>
      </w:r>
      <w:r>
        <w:rPr>
          <w:rFonts w:hint="eastAsia" w:ascii="Times New Roman" w:hAnsi="Times New Roman"/>
          <w:sz w:val="24"/>
        </w:rPr>
        <w:t>宁夏腾发农业科技有限公司千头基础母牛养殖场建设项目</w:t>
      </w:r>
      <w:r>
        <w:rPr>
          <w:rFonts w:ascii="Times New Roman" w:hAnsi="Times New Roman"/>
          <w:sz w:val="24"/>
        </w:rPr>
        <w:t>环境影响报告书》。</w:t>
      </w:r>
    </w:p>
    <w:p>
      <w:pPr>
        <w:adjustRightInd w:val="0"/>
        <w:snapToGrid w:val="0"/>
        <w:spacing w:line="540" w:lineRule="exact"/>
        <w:ind w:firstLine="480" w:firstLineChars="200"/>
        <w:rPr>
          <w:rFonts w:ascii="Times New Roman" w:hAnsi="Times New Roman"/>
          <w:bCs/>
          <w:sz w:val="24"/>
        </w:rPr>
        <w:sectPr>
          <w:headerReference r:id="rId3" w:type="default"/>
          <w:footerReference r:id="rId4" w:type="default"/>
          <w:pgSz w:w="11911" w:h="16838"/>
          <w:pgMar w:top="1701" w:right="1417" w:bottom="1701" w:left="1417" w:header="1134" w:footer="1134" w:gutter="0"/>
          <w:pgBorders>
            <w:top w:val="none" w:sz="0" w:space="0"/>
            <w:left w:val="none" w:sz="0" w:space="0"/>
            <w:bottom w:val="none" w:sz="0" w:space="0"/>
            <w:right w:val="none" w:sz="0" w:space="0"/>
          </w:pgBorders>
          <w:pgNumType w:start="1"/>
          <w:cols w:space="720" w:num="1"/>
          <w:docGrid w:linePitch="312" w:charSpace="0"/>
        </w:sectPr>
      </w:pPr>
      <w:r>
        <w:rPr>
          <w:rFonts w:ascii="Times New Roman" w:hAnsi="Times New Roman"/>
          <w:sz w:val="24"/>
        </w:rPr>
        <w:t>本项目建设符合国家及地方的相关产业政策，项目选址合理，平面布局科学，采用的养殖工艺符合相关要求，同时建设单位采取各项污染物治理措施后，可确保实现污染物达标排放，对环境的影响是可以接受的。本项目的实施有利于发展当地经济，从环境保护角度分析，项目采取本环评提出的环保治理措施后，项目的建设是可行的</w:t>
      </w:r>
      <w:r>
        <w:rPr>
          <w:rFonts w:ascii="Times New Roman" w:hAnsi="Times New Roman"/>
          <w:sz w:val="28"/>
          <w:szCs w:val="28"/>
        </w:rPr>
        <w:t>。</w:t>
      </w:r>
    </w:p>
    <w:p>
      <w:pPr>
        <w:pStyle w:val="45"/>
        <w:snapToGrid w:val="0"/>
        <w:spacing w:before="240" w:beforeLines="100" w:after="120" w:afterLines="50"/>
        <w:contextualSpacing/>
        <w:rPr>
          <w:bCs w:val="0"/>
          <w:snapToGrid w:val="0"/>
          <w:kern w:val="0"/>
          <w:sz w:val="32"/>
          <w:szCs w:val="32"/>
        </w:rPr>
      </w:pPr>
      <w:bookmarkStart w:id="27" w:name="_Toc30972"/>
      <w:bookmarkStart w:id="28" w:name="_Toc30189"/>
      <w:bookmarkStart w:id="29" w:name="_Toc5525"/>
      <w:bookmarkStart w:id="30" w:name="_Toc3762"/>
      <w:bookmarkStart w:id="31" w:name="_Toc31254"/>
      <w:bookmarkStart w:id="32" w:name="_Toc11071"/>
      <w:bookmarkStart w:id="33" w:name="_Toc22428"/>
      <w:r>
        <w:rPr>
          <w:rFonts w:hint="eastAsia"/>
          <w:bCs w:val="0"/>
          <w:snapToGrid w:val="0"/>
          <w:kern w:val="0"/>
          <w:sz w:val="32"/>
          <w:szCs w:val="32"/>
        </w:rPr>
        <w:t>1</w:t>
      </w:r>
      <w:r>
        <w:rPr>
          <w:bCs w:val="0"/>
          <w:snapToGrid w:val="0"/>
          <w:kern w:val="0"/>
          <w:sz w:val="32"/>
          <w:szCs w:val="32"/>
        </w:rPr>
        <w:t>总则</w:t>
      </w:r>
      <w:bookmarkEnd w:id="27"/>
      <w:bookmarkEnd w:id="28"/>
      <w:bookmarkEnd w:id="29"/>
      <w:bookmarkEnd w:id="30"/>
      <w:bookmarkEnd w:id="31"/>
      <w:bookmarkEnd w:id="32"/>
      <w:bookmarkEnd w:id="33"/>
    </w:p>
    <w:p>
      <w:pPr>
        <w:pStyle w:val="51"/>
        <w:snapToGrid w:val="0"/>
        <w:spacing w:before="120" w:beforeLines="50" w:after="120" w:afterLines="50"/>
        <w:contextualSpacing/>
        <w:rPr>
          <w:rFonts w:cs="Times New Roman"/>
          <w:bCs w:val="0"/>
          <w:snapToGrid w:val="0"/>
          <w:kern w:val="0"/>
          <w:sz w:val="30"/>
          <w:szCs w:val="30"/>
        </w:rPr>
      </w:pPr>
      <w:bookmarkStart w:id="34" w:name="_Toc24253"/>
      <w:bookmarkStart w:id="35" w:name="_Toc31553"/>
      <w:bookmarkStart w:id="36" w:name="_Toc32228"/>
      <w:bookmarkStart w:id="37" w:name="_Toc26373"/>
      <w:bookmarkStart w:id="38" w:name="_Toc31531"/>
      <w:bookmarkStart w:id="39" w:name="_Toc10561"/>
      <w:bookmarkStart w:id="40" w:name="_Toc20230"/>
      <w:r>
        <w:rPr>
          <w:rFonts w:hint="eastAsia" w:cs="Times New Roman"/>
          <w:bCs w:val="0"/>
          <w:snapToGrid w:val="0"/>
          <w:kern w:val="0"/>
          <w:sz w:val="30"/>
          <w:szCs w:val="30"/>
        </w:rPr>
        <w:t>1</w:t>
      </w:r>
      <w:r>
        <w:rPr>
          <w:rFonts w:cs="Times New Roman"/>
          <w:bCs w:val="0"/>
          <w:snapToGrid w:val="0"/>
          <w:kern w:val="0"/>
          <w:sz w:val="30"/>
          <w:szCs w:val="30"/>
        </w:rPr>
        <w:t>.1编制依据</w:t>
      </w:r>
      <w:bookmarkEnd w:id="34"/>
      <w:bookmarkEnd w:id="35"/>
      <w:bookmarkEnd w:id="36"/>
      <w:bookmarkEnd w:id="37"/>
      <w:bookmarkEnd w:id="38"/>
      <w:bookmarkEnd w:id="39"/>
      <w:bookmarkEnd w:id="40"/>
    </w:p>
    <w:p>
      <w:pPr>
        <w:pStyle w:val="52"/>
        <w:tabs>
          <w:tab w:val="left" w:pos="284"/>
        </w:tabs>
        <w:snapToGrid w:val="0"/>
        <w:spacing w:before="120" w:beforeLines="50" w:after="120" w:afterLines="50"/>
        <w:contextualSpacing/>
        <w:rPr>
          <w:rFonts w:cs="Times New Roman"/>
          <w:bCs w:val="0"/>
          <w:snapToGrid w:val="0"/>
          <w:kern w:val="0"/>
          <w:sz w:val="28"/>
          <w:szCs w:val="28"/>
        </w:rPr>
      </w:pPr>
      <w:bookmarkStart w:id="41" w:name="_Toc17715"/>
      <w:bookmarkStart w:id="42" w:name="_Toc27365"/>
      <w:bookmarkStart w:id="43" w:name="_Toc9263"/>
      <w:bookmarkStart w:id="44" w:name="_Toc16106"/>
      <w:bookmarkStart w:id="45" w:name="_Toc31161"/>
      <w:bookmarkStart w:id="46" w:name="_Toc29735"/>
      <w:r>
        <w:rPr>
          <w:rFonts w:hint="eastAsia" w:cs="Times New Roman"/>
          <w:bCs w:val="0"/>
          <w:snapToGrid w:val="0"/>
          <w:kern w:val="0"/>
          <w:sz w:val="28"/>
          <w:szCs w:val="28"/>
        </w:rPr>
        <w:t>1</w:t>
      </w:r>
      <w:r>
        <w:rPr>
          <w:rFonts w:cs="Times New Roman"/>
          <w:bCs w:val="0"/>
          <w:snapToGrid w:val="0"/>
          <w:kern w:val="0"/>
          <w:sz w:val="28"/>
          <w:szCs w:val="28"/>
        </w:rPr>
        <w:t>.1.1相关法律</w:t>
      </w:r>
      <w:bookmarkEnd w:id="41"/>
      <w:bookmarkEnd w:id="42"/>
      <w:bookmarkEnd w:id="43"/>
      <w:bookmarkEnd w:id="44"/>
      <w:bookmarkEnd w:id="45"/>
      <w:bookmarkEnd w:id="46"/>
    </w:p>
    <w:p>
      <w:pPr>
        <w:adjustRightInd w:val="0"/>
        <w:snapToGrid w:val="0"/>
        <w:spacing w:line="540" w:lineRule="exact"/>
        <w:ind w:firstLine="480" w:firstLineChars="200"/>
        <w:rPr>
          <w:rFonts w:ascii="Times New Roman" w:hAnsi="Times New Roman"/>
          <w:sz w:val="24"/>
          <w:szCs w:val="32"/>
        </w:rPr>
      </w:pPr>
      <w:bookmarkStart w:id="47" w:name="_Toc21091"/>
      <w:bookmarkStart w:id="48" w:name="_Toc20299"/>
      <w:r>
        <w:rPr>
          <w:rFonts w:ascii="Times New Roman" w:hAnsi="Times New Roman"/>
          <w:sz w:val="24"/>
          <w:szCs w:val="32"/>
        </w:rPr>
        <w:t>(1)《中华人民共和国环境保护法》（修订）（2015年1月1日）；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(2)《中华人民共和国环境影响评价法》</w:t>
      </w:r>
      <w:r>
        <w:rPr>
          <w:rFonts w:ascii="Times New Roman" w:hAnsi="Times New Roman"/>
          <w:sz w:val="24"/>
        </w:rPr>
        <w:t>（修订）</w:t>
      </w:r>
      <w:r>
        <w:rPr>
          <w:rFonts w:ascii="Times New Roman" w:hAnsi="Times New Roman"/>
          <w:sz w:val="24"/>
          <w:szCs w:val="32"/>
        </w:rPr>
        <w:t>（2018年12月29日）；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(3)《中华人民共和国大气污染防治法》（修订）（2018年12月26日）；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(4)《中华人民共和国水污染防治法》（修订）（2018年1月1日）；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(5)《中华人民共和国环境噪声污染防治法》（修订）</w:t>
      </w:r>
      <w:r>
        <w:rPr>
          <w:rFonts w:ascii="Times New Roman" w:hAnsi="Times New Roman"/>
          <w:color w:val="FF0000"/>
          <w:sz w:val="24"/>
          <w:szCs w:val="32"/>
        </w:rPr>
        <w:t>（20</w:t>
      </w:r>
      <w:r>
        <w:rPr>
          <w:rFonts w:hint="eastAsia" w:ascii="Times New Roman" w:hAnsi="Times New Roman"/>
          <w:color w:val="FF0000"/>
          <w:sz w:val="24"/>
          <w:szCs w:val="32"/>
          <w:lang w:val="en-US" w:eastAsia="zh-CN"/>
        </w:rPr>
        <w:t>22</w:t>
      </w:r>
      <w:r>
        <w:rPr>
          <w:rFonts w:ascii="Times New Roman" w:hAnsi="Times New Roman"/>
          <w:color w:val="FF0000"/>
          <w:sz w:val="24"/>
          <w:szCs w:val="32"/>
        </w:rPr>
        <w:t>年</w:t>
      </w:r>
      <w:r>
        <w:rPr>
          <w:rFonts w:hint="eastAsia" w:ascii="Times New Roman" w:hAnsi="Times New Roman"/>
          <w:color w:val="FF0000"/>
          <w:sz w:val="24"/>
          <w:szCs w:val="32"/>
          <w:lang w:val="en-US" w:eastAsia="zh-CN"/>
        </w:rPr>
        <w:t>6</w:t>
      </w:r>
      <w:r>
        <w:rPr>
          <w:rFonts w:ascii="Times New Roman" w:hAnsi="Times New Roman"/>
          <w:color w:val="FF0000"/>
          <w:sz w:val="24"/>
          <w:szCs w:val="32"/>
        </w:rPr>
        <w:t>月</w:t>
      </w:r>
      <w:r>
        <w:rPr>
          <w:rFonts w:hint="eastAsia" w:ascii="Times New Roman" w:hAnsi="Times New Roman"/>
          <w:color w:val="FF0000"/>
          <w:sz w:val="24"/>
          <w:szCs w:val="32"/>
          <w:lang w:val="en-US" w:eastAsia="zh-CN"/>
        </w:rPr>
        <w:t>5</w:t>
      </w:r>
      <w:r>
        <w:rPr>
          <w:rFonts w:ascii="Times New Roman" w:hAnsi="Times New Roman"/>
          <w:color w:val="FF0000"/>
          <w:sz w:val="24"/>
          <w:szCs w:val="32"/>
        </w:rPr>
        <w:t>日）</w:t>
      </w:r>
      <w:r>
        <w:rPr>
          <w:rFonts w:ascii="Times New Roman" w:hAnsi="Times New Roman"/>
          <w:sz w:val="24"/>
          <w:szCs w:val="32"/>
        </w:rPr>
        <w:t>；</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(6)《中华人民共和国固体废物污染环境防治法》（修订）（2016年11月7日）；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(7)《中华人民共和国循环经济促进法》（修订）（2018年10月26日）；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(8)《中华人民共和国土地管理法》（2004年8月28日）；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(9)《中华人民共和国节约能源法》（修订）（2018年10月26日）；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(10)《中华人民共和国土壤污染防治法》（2019年1月1日）。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(11)《中华人民共和国水法》（修订）（2016年7月2日）；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(12)《中华人民共和国畜牧法》（修订）(2015年4月24日)；</w:t>
      </w:r>
    </w:p>
    <w:p>
      <w:pPr>
        <w:adjustRightInd w:val="0"/>
        <w:snapToGrid w:val="0"/>
        <w:spacing w:line="540" w:lineRule="exact"/>
        <w:ind w:firstLine="480" w:firstLineChars="200"/>
        <w:rPr>
          <w:rFonts w:ascii="Times New Roman" w:hAnsi="Times New Roman"/>
          <w:color w:val="FF0000"/>
          <w:sz w:val="24"/>
          <w:szCs w:val="32"/>
        </w:rPr>
      </w:pPr>
      <w:r>
        <w:rPr>
          <w:rFonts w:ascii="Times New Roman" w:hAnsi="Times New Roman"/>
          <w:sz w:val="24"/>
          <w:szCs w:val="32"/>
        </w:rPr>
        <w:t>(13)《</w:t>
      </w:r>
      <w:r>
        <w:rPr>
          <w:rFonts w:ascii="Times New Roman" w:hAnsi="Times New Roman"/>
          <w:color w:val="FF0000"/>
          <w:sz w:val="24"/>
          <w:szCs w:val="32"/>
        </w:rPr>
        <w:t>中华人民共和国动物防疫法》(修订)(20</w:t>
      </w:r>
      <w:r>
        <w:rPr>
          <w:rFonts w:hint="eastAsia" w:ascii="Times New Roman" w:hAnsi="Times New Roman"/>
          <w:color w:val="FF0000"/>
          <w:sz w:val="24"/>
          <w:szCs w:val="32"/>
          <w:lang w:val="en-US" w:eastAsia="zh-CN"/>
        </w:rPr>
        <w:t>21</w:t>
      </w:r>
      <w:r>
        <w:rPr>
          <w:rFonts w:ascii="Times New Roman" w:hAnsi="Times New Roman"/>
          <w:color w:val="FF0000"/>
          <w:sz w:val="24"/>
          <w:szCs w:val="32"/>
        </w:rPr>
        <w:t>年</w:t>
      </w:r>
      <w:r>
        <w:rPr>
          <w:rFonts w:hint="eastAsia" w:ascii="Times New Roman" w:hAnsi="Times New Roman"/>
          <w:color w:val="FF0000"/>
          <w:sz w:val="24"/>
          <w:szCs w:val="32"/>
          <w:lang w:val="en-US" w:eastAsia="zh-CN"/>
        </w:rPr>
        <w:t>5</w:t>
      </w:r>
      <w:r>
        <w:rPr>
          <w:rFonts w:ascii="Times New Roman" w:hAnsi="Times New Roman"/>
          <w:color w:val="FF0000"/>
          <w:sz w:val="24"/>
          <w:szCs w:val="32"/>
        </w:rPr>
        <w:t>月</w:t>
      </w:r>
      <w:r>
        <w:rPr>
          <w:rFonts w:hint="eastAsia" w:ascii="Times New Roman" w:hAnsi="Times New Roman"/>
          <w:color w:val="FF0000"/>
          <w:sz w:val="24"/>
          <w:szCs w:val="32"/>
          <w:lang w:val="en-US" w:eastAsia="zh-CN"/>
        </w:rPr>
        <w:t>1</w:t>
      </w:r>
      <w:r>
        <w:rPr>
          <w:rFonts w:ascii="Times New Roman" w:hAnsi="Times New Roman"/>
          <w:color w:val="FF0000"/>
          <w:sz w:val="24"/>
          <w:szCs w:val="32"/>
        </w:rPr>
        <w:t>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(14)《中华人民共和国传染病防治法》(修订)(2013年6月29日)。</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9" w:name="_Toc30982"/>
      <w:bookmarkStart w:id="50" w:name="_Toc3341"/>
      <w:bookmarkStart w:id="51" w:name="_Toc17442"/>
      <w:bookmarkStart w:id="52" w:name="_Toc3353"/>
      <w:bookmarkStart w:id="53" w:name="_Toc30098"/>
      <w:r>
        <w:rPr>
          <w:rFonts w:hint="eastAsia" w:cs="Times New Roman"/>
          <w:bCs w:val="0"/>
          <w:snapToGrid w:val="0"/>
          <w:kern w:val="0"/>
          <w:sz w:val="28"/>
          <w:szCs w:val="28"/>
        </w:rPr>
        <w:t>1</w:t>
      </w:r>
      <w:r>
        <w:rPr>
          <w:rFonts w:cs="Times New Roman"/>
          <w:bCs w:val="0"/>
          <w:snapToGrid w:val="0"/>
          <w:kern w:val="0"/>
          <w:sz w:val="28"/>
          <w:szCs w:val="28"/>
        </w:rPr>
        <w:t>.1.2行政法规、规范性文件及通知</w:t>
      </w:r>
      <w:bookmarkEnd w:id="47"/>
      <w:bookmarkEnd w:id="48"/>
      <w:bookmarkEnd w:id="49"/>
      <w:bookmarkEnd w:id="50"/>
      <w:bookmarkEnd w:id="51"/>
      <w:bookmarkEnd w:id="52"/>
      <w:bookmarkEnd w:id="53"/>
    </w:p>
    <w:p>
      <w:pPr>
        <w:pStyle w:val="2"/>
        <w:adjustRightInd w:val="0"/>
        <w:spacing w:line="540" w:lineRule="exact"/>
        <w:ind w:firstLine="480" w:firstLineChars="200"/>
        <w:rPr>
          <w:rFonts w:ascii="Times New Roman" w:hAnsi="Times New Roman"/>
          <w:sz w:val="24"/>
          <w:szCs w:val="32"/>
        </w:rPr>
      </w:pPr>
      <w:bookmarkStart w:id="54" w:name="_Toc20098"/>
      <w:bookmarkStart w:id="55" w:name="_Toc484463373"/>
      <w:bookmarkStart w:id="56" w:name="_Toc491609949"/>
      <w:bookmarkStart w:id="57" w:name="_Toc18004"/>
      <w:bookmarkStart w:id="58" w:name="_Toc6004"/>
      <w:bookmarkStart w:id="59" w:name="_Toc29433"/>
      <w:r>
        <w:rPr>
          <w:rFonts w:ascii="Times New Roman" w:hAnsi="Times New Roman"/>
          <w:sz w:val="24"/>
          <w:szCs w:val="32"/>
        </w:rPr>
        <w:t>(1)国务院，第682号令《建设项目环境保护管理条例》(2017年10月1日)；</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(2)国务院，第643号令《畜禽规模养殖污染防治条例》（2014年1月1日）；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(3)国务院，国发【2011】35号《关于加强环境保护重点工作的意见》(2011年10月31日)；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(4)国务院，国发【2013】37号《关于印发大气污染防治行动计划的通知》(2013年9月10日)；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lang w:val="en-US" w:eastAsia="zh-CN"/>
        </w:rPr>
        <w:t>5</w:t>
      </w:r>
      <w:r>
        <w:rPr>
          <w:rFonts w:ascii="Times New Roman" w:hAnsi="Times New Roman"/>
          <w:sz w:val="24"/>
          <w:szCs w:val="32"/>
        </w:rPr>
        <w:t>)国务院，国发【2015】17号《关于印发水污染防治行动计划的通知》(2015年4月2日)；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lang w:val="en-US" w:eastAsia="zh-CN"/>
        </w:rPr>
        <w:t>6</w:t>
      </w:r>
      <w:r>
        <w:rPr>
          <w:rFonts w:ascii="Times New Roman" w:hAnsi="Times New Roman"/>
          <w:sz w:val="24"/>
          <w:szCs w:val="32"/>
        </w:rPr>
        <w:t>)国务院，国发【2016】31号《关于印发土壤污染防治行动计划的通知》(2016年5月31日)；</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lang w:val="en-US" w:eastAsia="zh-CN"/>
        </w:rPr>
        <w:t>7</w:t>
      </w:r>
      <w:r>
        <w:rPr>
          <w:rFonts w:ascii="Times New Roman" w:hAnsi="Times New Roman"/>
          <w:sz w:val="24"/>
          <w:szCs w:val="32"/>
        </w:rPr>
        <w:t>)国务院办公厅，国办发【2016】81号《关于印发控制污染物排放许可制实施方案的通知》(2016年11月10日)；</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lang w:val="en-US" w:eastAsia="zh-CN"/>
        </w:rPr>
        <w:t>8</w:t>
      </w:r>
      <w:r>
        <w:rPr>
          <w:rFonts w:ascii="Times New Roman" w:hAnsi="Times New Roman"/>
          <w:sz w:val="24"/>
          <w:szCs w:val="32"/>
        </w:rPr>
        <w:t>)国务院，国发〔2007〕4号《关于促进畜牧业持续健康发展的意见》（2007年1月26日）；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lang w:val="en-US" w:eastAsia="zh-CN"/>
        </w:rPr>
        <w:t>9</w:t>
      </w:r>
      <w:r>
        <w:rPr>
          <w:rFonts w:ascii="Times New Roman" w:hAnsi="Times New Roman"/>
          <w:sz w:val="24"/>
          <w:szCs w:val="32"/>
        </w:rPr>
        <w:t>)国家发展和改革委员会，第29号令《产业结构调整指导目录(2019本)》；</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(1</w:t>
      </w:r>
      <w:r>
        <w:rPr>
          <w:rFonts w:hint="eastAsia" w:ascii="Times New Roman" w:hAnsi="Times New Roman"/>
          <w:sz w:val="24"/>
          <w:szCs w:val="32"/>
          <w:lang w:val="en-US" w:eastAsia="zh-CN"/>
        </w:rPr>
        <w:t>0</w:t>
      </w:r>
      <w:r>
        <w:rPr>
          <w:rFonts w:ascii="Times New Roman" w:hAnsi="Times New Roman"/>
          <w:sz w:val="24"/>
          <w:szCs w:val="32"/>
        </w:rPr>
        <w:t>)</w:t>
      </w:r>
      <w:r>
        <w:rPr>
          <w:rFonts w:hint="eastAsia" w:ascii="Times New Roman" w:hAnsi="Times New Roman"/>
          <w:sz w:val="24"/>
          <w:szCs w:val="32"/>
        </w:rPr>
        <w:t xml:space="preserve">生态环境部《建设项目环境影响评价分类管理名录》（部令第 </w:t>
      </w:r>
      <w:r>
        <w:rPr>
          <w:rFonts w:ascii="Times New Roman" w:hAnsi="Times New Roman"/>
          <w:sz w:val="24"/>
          <w:szCs w:val="32"/>
        </w:rPr>
        <w:t xml:space="preserve">16 </w:t>
      </w:r>
      <w:r>
        <w:rPr>
          <w:rFonts w:hint="eastAsia" w:ascii="Times New Roman" w:hAnsi="Times New Roman"/>
          <w:sz w:val="24"/>
          <w:szCs w:val="32"/>
        </w:rPr>
        <w:t>号，</w:t>
      </w:r>
      <w:r>
        <w:rPr>
          <w:rFonts w:ascii="Times New Roman" w:hAnsi="Times New Roman"/>
          <w:sz w:val="24"/>
          <w:szCs w:val="32"/>
        </w:rPr>
        <w:t xml:space="preserve">2021 </w:t>
      </w:r>
      <w:r>
        <w:rPr>
          <w:rFonts w:hint="eastAsia" w:ascii="Times New Roman" w:hAnsi="Times New Roman"/>
          <w:sz w:val="24"/>
          <w:szCs w:val="32"/>
        </w:rPr>
        <w:t>年版）</w:t>
      </w:r>
      <w:r>
        <w:rPr>
          <w:rFonts w:hint="eastAsia" w:ascii="Times New Roman" w:hAnsi="Times New Roman"/>
          <w:sz w:val="24"/>
          <w:szCs w:val="32"/>
          <w:lang w:val="zh-CN"/>
        </w:rPr>
        <w:t>（</w:t>
      </w:r>
      <w:r>
        <w:rPr>
          <w:rFonts w:ascii="Times New Roman" w:hAnsi="Times New Roman"/>
          <w:sz w:val="24"/>
          <w:szCs w:val="32"/>
          <w:lang w:val="zh-CN"/>
        </w:rPr>
        <w:t>2021</w:t>
      </w:r>
      <w:r>
        <w:rPr>
          <w:rFonts w:hint="eastAsia" w:ascii="Times New Roman" w:hAnsi="Times New Roman"/>
          <w:sz w:val="24"/>
          <w:szCs w:val="32"/>
          <w:lang w:val="zh-CN"/>
        </w:rPr>
        <w:t>年</w:t>
      </w:r>
      <w:r>
        <w:rPr>
          <w:rFonts w:ascii="Times New Roman" w:hAnsi="Times New Roman"/>
          <w:sz w:val="24"/>
          <w:szCs w:val="32"/>
          <w:lang w:val="zh-CN"/>
        </w:rPr>
        <w:t>1</w:t>
      </w:r>
      <w:r>
        <w:rPr>
          <w:rFonts w:hint="eastAsia" w:ascii="Times New Roman" w:hAnsi="Times New Roman"/>
          <w:sz w:val="24"/>
          <w:szCs w:val="32"/>
          <w:lang w:val="zh-CN"/>
        </w:rPr>
        <w:t>月</w:t>
      </w:r>
      <w:r>
        <w:rPr>
          <w:rFonts w:ascii="Times New Roman" w:hAnsi="Times New Roman"/>
          <w:sz w:val="24"/>
          <w:szCs w:val="32"/>
          <w:lang w:val="zh-CN"/>
        </w:rPr>
        <w:t>1</w:t>
      </w:r>
      <w:r>
        <w:rPr>
          <w:rFonts w:hint="eastAsia" w:ascii="Times New Roman" w:hAnsi="Times New Roman"/>
          <w:sz w:val="24"/>
          <w:szCs w:val="32"/>
          <w:lang w:val="zh-CN"/>
        </w:rPr>
        <w:t>日）</w:t>
      </w:r>
      <w:r>
        <w:rPr>
          <w:rFonts w:ascii="Times New Roman" w:hAnsi="Times New Roman"/>
          <w:sz w:val="24"/>
          <w:szCs w:val="32"/>
        </w:rPr>
        <w:t>；</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(1</w:t>
      </w:r>
      <w:r>
        <w:rPr>
          <w:rFonts w:hint="eastAsia" w:ascii="Times New Roman" w:hAnsi="Times New Roman"/>
          <w:sz w:val="24"/>
          <w:szCs w:val="32"/>
          <w:lang w:val="en-US" w:eastAsia="zh-CN"/>
        </w:rPr>
        <w:t>1</w:t>
      </w:r>
      <w:r>
        <w:rPr>
          <w:rFonts w:ascii="Times New Roman" w:hAnsi="Times New Roman"/>
          <w:sz w:val="24"/>
          <w:szCs w:val="32"/>
        </w:rPr>
        <w:t>)原国家环境保护部，环发[2010]151号《畜禽养殖业污染防治技术政策》（2010年10月30日）；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(1</w:t>
      </w:r>
      <w:r>
        <w:rPr>
          <w:rFonts w:hint="eastAsia" w:ascii="Times New Roman" w:hAnsi="Times New Roman"/>
          <w:sz w:val="24"/>
          <w:szCs w:val="32"/>
          <w:lang w:val="en-US" w:eastAsia="zh-CN"/>
        </w:rPr>
        <w:t>2</w:t>
      </w:r>
      <w:r>
        <w:rPr>
          <w:rFonts w:ascii="Times New Roman" w:hAnsi="Times New Roman"/>
          <w:sz w:val="24"/>
          <w:szCs w:val="32"/>
        </w:rPr>
        <w:t>)原国家环境保护部，环发【2011】19号《关于进一步加强危险废物和医疗废物监管工作的意见》(2011年2月16日)；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(1</w:t>
      </w:r>
      <w:r>
        <w:rPr>
          <w:rFonts w:hint="eastAsia" w:ascii="Times New Roman" w:hAnsi="Times New Roman"/>
          <w:sz w:val="24"/>
          <w:szCs w:val="32"/>
          <w:lang w:val="en-US" w:eastAsia="zh-CN"/>
        </w:rPr>
        <w:t>4</w:t>
      </w:r>
      <w:r>
        <w:rPr>
          <w:rFonts w:ascii="Times New Roman" w:hAnsi="Times New Roman"/>
          <w:sz w:val="24"/>
          <w:szCs w:val="32"/>
        </w:rPr>
        <w:t>)原国家环境保护部，环发【2011】150号《关于加强西部地区环境影响评价工作的通知》(2011年12月29日)；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(1</w:t>
      </w:r>
      <w:r>
        <w:rPr>
          <w:rFonts w:hint="eastAsia" w:ascii="Times New Roman" w:hAnsi="Times New Roman"/>
          <w:sz w:val="24"/>
          <w:szCs w:val="32"/>
          <w:lang w:val="en-US" w:eastAsia="zh-CN"/>
        </w:rPr>
        <w:t>4</w:t>
      </w:r>
      <w:r>
        <w:rPr>
          <w:rFonts w:ascii="Times New Roman" w:hAnsi="Times New Roman"/>
          <w:sz w:val="24"/>
          <w:szCs w:val="32"/>
        </w:rPr>
        <w:t>)原国家环境保护部，环发【2012】77号《关于进一步加强环境影响评价管理防范环境风险的通知》（2012年7月3日）；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(1</w:t>
      </w:r>
      <w:r>
        <w:rPr>
          <w:rFonts w:hint="eastAsia" w:ascii="Times New Roman" w:hAnsi="Times New Roman"/>
          <w:sz w:val="24"/>
          <w:szCs w:val="32"/>
          <w:lang w:val="en-US" w:eastAsia="zh-CN"/>
        </w:rPr>
        <w:t>5</w:t>
      </w:r>
      <w:r>
        <w:rPr>
          <w:rFonts w:ascii="Times New Roman" w:hAnsi="Times New Roman"/>
          <w:sz w:val="24"/>
          <w:szCs w:val="32"/>
        </w:rPr>
        <w:t>)原国家环境保护部，环发【2012】98号《关于切实加强风险防范严格环境影响评价管理的通知》(2012年8月7日)；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(1</w:t>
      </w:r>
      <w:r>
        <w:rPr>
          <w:rFonts w:hint="eastAsia" w:ascii="Times New Roman" w:hAnsi="Times New Roman"/>
          <w:sz w:val="24"/>
          <w:szCs w:val="32"/>
          <w:lang w:val="en-US" w:eastAsia="zh-CN"/>
        </w:rPr>
        <w:t>6</w:t>
      </w:r>
      <w:r>
        <w:rPr>
          <w:rFonts w:ascii="Times New Roman" w:hAnsi="Times New Roman"/>
          <w:sz w:val="24"/>
          <w:szCs w:val="32"/>
        </w:rPr>
        <w:t>)原国家环境保护部，环发【2014】197号《建设项目主要污染物排放总量指标审核及管理暂行办法》(2014年12月30日)；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(1</w:t>
      </w:r>
      <w:r>
        <w:rPr>
          <w:rFonts w:hint="eastAsia" w:ascii="Times New Roman" w:hAnsi="Times New Roman"/>
          <w:sz w:val="24"/>
          <w:szCs w:val="32"/>
          <w:lang w:val="en-US" w:eastAsia="zh-CN"/>
        </w:rPr>
        <w:t>7</w:t>
      </w:r>
      <w:r>
        <w:rPr>
          <w:rFonts w:ascii="Times New Roman" w:hAnsi="Times New Roman"/>
          <w:sz w:val="24"/>
          <w:szCs w:val="32"/>
        </w:rPr>
        <w:t>)原国家环境保护部，第34号令《突发环境事件应急管理办法》(2015年6月5日)；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rPr>
        <w:t>1</w:t>
      </w:r>
      <w:r>
        <w:rPr>
          <w:rFonts w:hint="eastAsia" w:ascii="Times New Roman" w:hAnsi="Times New Roman"/>
          <w:sz w:val="24"/>
          <w:szCs w:val="32"/>
          <w:lang w:val="en-US" w:eastAsia="zh-CN"/>
        </w:rPr>
        <w:t>8</w:t>
      </w:r>
      <w:r>
        <w:rPr>
          <w:rFonts w:ascii="Times New Roman" w:hAnsi="Times New Roman"/>
          <w:sz w:val="24"/>
          <w:szCs w:val="32"/>
        </w:rPr>
        <w:t>)原国家环境保护部，环发【2015】163号《关于印发&lt;建设项目环境保护事中事后监督管理办法(试行)&gt;的通知》(2015年12月10日)；</w:t>
      </w:r>
    </w:p>
    <w:p>
      <w:pPr>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lang w:val="en-US" w:eastAsia="zh-CN"/>
        </w:rPr>
        <w:t>19</w:t>
      </w:r>
      <w:r>
        <w:rPr>
          <w:rFonts w:ascii="Times New Roman" w:hAnsi="Times New Roman"/>
          <w:sz w:val="24"/>
          <w:szCs w:val="32"/>
        </w:rPr>
        <w:t>)原国家环境保护部，环环评【2016】150号《关于以改善环境质量为核心加强环境影响评价管理的通知》(2016年10月26日)；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(2</w:t>
      </w:r>
      <w:r>
        <w:rPr>
          <w:rFonts w:hint="eastAsia" w:ascii="Times New Roman" w:hAnsi="Times New Roman"/>
          <w:sz w:val="24"/>
          <w:szCs w:val="32"/>
          <w:lang w:val="en-US" w:eastAsia="zh-CN"/>
        </w:rPr>
        <w:t>0</w:t>
      </w:r>
      <w:r>
        <w:rPr>
          <w:rFonts w:ascii="Times New Roman" w:hAnsi="Times New Roman"/>
          <w:sz w:val="24"/>
          <w:szCs w:val="32"/>
        </w:rPr>
        <w:t>)原国家环境保护部办公厅，环办【2014】30号《关于落实大气污染防治行动计划严格环境影响评价准入的通知》(2014年3月25日)；</w:t>
      </w:r>
    </w:p>
    <w:p>
      <w:pPr>
        <w:tabs>
          <w:tab w:val="left" w:pos="4830"/>
        </w:tabs>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(2</w:t>
      </w:r>
      <w:r>
        <w:rPr>
          <w:rFonts w:hint="eastAsia" w:ascii="Times New Roman" w:hAnsi="Times New Roman"/>
          <w:sz w:val="24"/>
          <w:szCs w:val="32"/>
          <w:lang w:val="en-US" w:eastAsia="zh-CN"/>
        </w:rPr>
        <w:t>1</w:t>
      </w:r>
      <w:r>
        <w:rPr>
          <w:rFonts w:ascii="Times New Roman" w:hAnsi="Times New Roman"/>
          <w:sz w:val="24"/>
          <w:szCs w:val="32"/>
        </w:rPr>
        <w:t>)《国土资源部、农业部关于促进规模化畜禽养殖有关用地政策的通知》(国土资发[2007]220号)；</w:t>
      </w:r>
    </w:p>
    <w:p>
      <w:pPr>
        <w:pStyle w:val="2"/>
        <w:adjustRightInd w:val="0"/>
        <w:spacing w:line="540" w:lineRule="exact"/>
        <w:ind w:firstLine="480" w:firstLineChars="200"/>
        <w:rPr>
          <w:rFonts w:ascii="Times New Roman" w:hAnsi="Times New Roman"/>
          <w:color w:val="FF0000"/>
          <w:sz w:val="24"/>
          <w:szCs w:val="32"/>
        </w:rPr>
      </w:pPr>
      <w:r>
        <w:rPr>
          <w:rFonts w:ascii="Times New Roman" w:hAnsi="Times New Roman"/>
          <w:sz w:val="24"/>
          <w:szCs w:val="32"/>
        </w:rPr>
        <w:t>(2</w:t>
      </w:r>
      <w:r>
        <w:rPr>
          <w:rFonts w:hint="eastAsia" w:ascii="Times New Roman" w:hAnsi="Times New Roman"/>
          <w:sz w:val="24"/>
          <w:szCs w:val="32"/>
          <w:lang w:val="en-US" w:eastAsia="zh-CN"/>
        </w:rPr>
        <w:t>2</w:t>
      </w:r>
      <w:r>
        <w:rPr>
          <w:rFonts w:ascii="Times New Roman" w:hAnsi="Times New Roman"/>
          <w:sz w:val="24"/>
          <w:szCs w:val="32"/>
        </w:rPr>
        <w:t>)</w:t>
      </w:r>
      <w:r>
        <w:rPr>
          <w:rFonts w:ascii="Times New Roman" w:hAnsi="Times New Roman"/>
          <w:color w:val="FF0000"/>
          <w:sz w:val="24"/>
          <w:szCs w:val="32"/>
        </w:rPr>
        <w:t>农业部，《动物防疫条件审查办法》（2010年1月21日）；</w:t>
      </w:r>
    </w:p>
    <w:p>
      <w:pPr>
        <w:pStyle w:val="2"/>
        <w:adjustRightInd w:val="0"/>
        <w:spacing w:line="540" w:lineRule="exact"/>
        <w:ind w:firstLine="480" w:firstLineChars="200"/>
        <w:rPr>
          <w:rFonts w:ascii="Times New Roman" w:hAnsi="Times New Roman"/>
          <w:sz w:val="24"/>
          <w:szCs w:val="32"/>
        </w:rPr>
      </w:pPr>
      <w:r>
        <w:rPr>
          <w:rFonts w:ascii="Times New Roman" w:hAnsi="Times New Roman"/>
          <w:color w:val="FF0000"/>
          <w:sz w:val="24"/>
          <w:szCs w:val="32"/>
        </w:rPr>
        <w:t>(2</w:t>
      </w:r>
      <w:r>
        <w:rPr>
          <w:rFonts w:hint="eastAsia" w:ascii="Times New Roman" w:hAnsi="Times New Roman"/>
          <w:color w:val="FF0000"/>
          <w:sz w:val="24"/>
          <w:szCs w:val="32"/>
          <w:lang w:val="en-US" w:eastAsia="zh-CN"/>
        </w:rPr>
        <w:t>3</w:t>
      </w:r>
      <w:r>
        <w:rPr>
          <w:rFonts w:ascii="Times New Roman" w:hAnsi="Times New Roman"/>
          <w:color w:val="FF0000"/>
          <w:sz w:val="24"/>
          <w:szCs w:val="32"/>
        </w:rPr>
        <w:t>)</w:t>
      </w:r>
      <w:r>
        <w:rPr>
          <w:rFonts w:hint="default" w:ascii="Times New Roman" w:hAnsi="Times New Roman" w:cs="Times New Roman"/>
          <w:color w:val="FF0000"/>
          <w:sz w:val="24"/>
          <w:szCs w:val="24"/>
        </w:rPr>
        <w:t>农业</w:t>
      </w:r>
      <w:r>
        <w:rPr>
          <w:rFonts w:hint="default" w:ascii="Times New Roman" w:hAnsi="Times New Roman" w:eastAsia="宋体" w:cs="Times New Roman"/>
          <w:color w:val="FF0000"/>
          <w:kern w:val="2"/>
          <w:sz w:val="24"/>
          <w:szCs w:val="32"/>
          <w:lang w:val="en-US" w:eastAsia="zh-CN" w:bidi="ar-SA"/>
        </w:rPr>
        <w:t>农村部</w:t>
      </w:r>
      <w:r>
        <w:rPr>
          <w:rFonts w:hint="eastAsia" w:ascii="Times New Roman" w:hAnsi="Times New Roman" w:eastAsia="宋体" w:cs="Times New Roman"/>
          <w:color w:val="FF0000"/>
          <w:kern w:val="2"/>
          <w:sz w:val="24"/>
          <w:szCs w:val="32"/>
          <w:lang w:val="en-US" w:eastAsia="zh-CN" w:bidi="ar-SA"/>
        </w:rPr>
        <w:t>《病死畜禽和病害畜禽产品无害化处理管理办法》（农业农村部令4 2022年第3号）</w:t>
      </w:r>
      <w:r>
        <w:rPr>
          <w:rFonts w:ascii="Times New Roman" w:hAnsi="Times New Roman" w:eastAsia="宋体" w:cs="Times New Roman"/>
          <w:color w:val="FF0000"/>
          <w:kern w:val="2"/>
          <w:sz w:val="24"/>
          <w:szCs w:val="32"/>
          <w:lang w:val="en-US" w:eastAsia="zh-CN" w:bidi="ar-SA"/>
        </w:rPr>
        <w:t>（</w:t>
      </w:r>
      <w:r>
        <w:rPr>
          <w:rFonts w:hint="eastAsia" w:ascii="Times New Roman" w:hAnsi="Times New Roman" w:eastAsia="宋体" w:cs="Times New Roman"/>
          <w:color w:val="FF0000"/>
          <w:kern w:val="2"/>
          <w:sz w:val="24"/>
          <w:szCs w:val="32"/>
          <w:lang w:val="en-US" w:eastAsia="zh-CN" w:bidi="ar-SA"/>
        </w:rPr>
        <w:t>2022</w:t>
      </w:r>
      <w:r>
        <w:rPr>
          <w:rFonts w:ascii="Times New Roman" w:hAnsi="Times New Roman" w:eastAsia="宋体" w:cs="Times New Roman"/>
          <w:color w:val="FF0000"/>
          <w:kern w:val="2"/>
          <w:sz w:val="24"/>
          <w:szCs w:val="32"/>
          <w:lang w:val="en-US" w:eastAsia="zh-CN" w:bidi="ar-SA"/>
        </w:rPr>
        <w:t>年</w:t>
      </w:r>
      <w:r>
        <w:rPr>
          <w:rFonts w:hint="eastAsia" w:ascii="Times New Roman" w:hAnsi="Times New Roman" w:eastAsia="宋体" w:cs="Times New Roman"/>
          <w:color w:val="FF0000"/>
          <w:kern w:val="2"/>
          <w:sz w:val="24"/>
          <w:szCs w:val="32"/>
          <w:lang w:val="en-US" w:eastAsia="zh-CN" w:bidi="ar-SA"/>
        </w:rPr>
        <w:t>7</w:t>
      </w:r>
      <w:r>
        <w:rPr>
          <w:rFonts w:ascii="Times New Roman" w:hAnsi="Times New Roman" w:eastAsia="宋体" w:cs="Times New Roman"/>
          <w:color w:val="FF0000"/>
          <w:kern w:val="2"/>
          <w:sz w:val="24"/>
          <w:szCs w:val="32"/>
          <w:lang w:val="en-US" w:eastAsia="zh-CN" w:bidi="ar-SA"/>
        </w:rPr>
        <w:t>月</w:t>
      </w:r>
      <w:r>
        <w:rPr>
          <w:rFonts w:hint="eastAsia" w:ascii="Times New Roman" w:hAnsi="Times New Roman" w:eastAsia="宋体" w:cs="Times New Roman"/>
          <w:color w:val="FF0000"/>
          <w:kern w:val="2"/>
          <w:sz w:val="24"/>
          <w:szCs w:val="32"/>
          <w:lang w:val="en-US" w:eastAsia="zh-CN" w:bidi="ar-SA"/>
        </w:rPr>
        <w:t>1</w:t>
      </w:r>
      <w:r>
        <w:rPr>
          <w:rFonts w:ascii="Times New Roman" w:hAnsi="Times New Roman" w:eastAsia="宋体" w:cs="Times New Roman"/>
          <w:color w:val="FF0000"/>
          <w:kern w:val="2"/>
          <w:sz w:val="24"/>
          <w:szCs w:val="32"/>
          <w:lang w:val="en-US" w:eastAsia="zh-CN" w:bidi="ar-SA"/>
        </w:rPr>
        <w:t>日）</w:t>
      </w:r>
      <w:r>
        <w:rPr>
          <w:rFonts w:ascii="Times New Roman" w:hAnsi="Times New Roman"/>
          <w:color w:val="FF0000"/>
          <w:sz w:val="24"/>
          <w:szCs w:val="32"/>
        </w:rPr>
        <w:t>；</w:t>
      </w:r>
    </w:p>
    <w:p>
      <w:pPr>
        <w:pStyle w:val="41"/>
        <w:adjustRightInd w:val="0"/>
        <w:snapToGrid w:val="0"/>
        <w:spacing w:line="540" w:lineRule="exact"/>
        <w:ind w:firstLine="480" w:firstLineChars="200"/>
        <w:rPr>
          <w:rFonts w:eastAsia="宋体"/>
          <w:sz w:val="24"/>
          <w:szCs w:val="32"/>
        </w:rPr>
      </w:pPr>
      <w:r>
        <w:rPr>
          <w:rFonts w:eastAsia="宋体"/>
          <w:sz w:val="24"/>
          <w:szCs w:val="32"/>
        </w:rPr>
        <w:t>(2</w:t>
      </w:r>
      <w:r>
        <w:rPr>
          <w:rFonts w:hint="eastAsia" w:eastAsia="宋体"/>
          <w:sz w:val="24"/>
          <w:szCs w:val="32"/>
          <w:lang w:val="en-US" w:eastAsia="zh-CN"/>
        </w:rPr>
        <w:t>4</w:t>
      </w:r>
      <w:r>
        <w:rPr>
          <w:rFonts w:eastAsia="宋体"/>
          <w:sz w:val="24"/>
          <w:szCs w:val="32"/>
        </w:rPr>
        <w:t>)生态环境部，环办环评【2018】31号《关于做好畜禽规模养殖项目环境影响评价管理工作的通知》（2018年10月15日）</w:t>
      </w:r>
      <w:r>
        <w:rPr>
          <w:rFonts w:hint="eastAsia" w:eastAsia="宋体"/>
          <w:sz w:val="24"/>
          <w:szCs w:val="32"/>
        </w:rPr>
        <w:t>；</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w:t>
      </w:r>
      <w:r>
        <w:rPr>
          <w:rFonts w:hint="eastAsia" w:ascii="Times New Roman" w:hAnsi="Times New Roman"/>
          <w:sz w:val="24"/>
          <w:szCs w:val="32"/>
          <w:lang w:val="en-US" w:eastAsia="zh-CN"/>
        </w:rPr>
        <w:t>5</w:t>
      </w:r>
      <w:r>
        <w:rPr>
          <w:rFonts w:ascii="Times New Roman" w:hAnsi="Times New Roman"/>
          <w:sz w:val="24"/>
          <w:szCs w:val="32"/>
        </w:rPr>
        <w:t>)农业部办公厅关于印发畜禽规模养殖场粪污资源化利用设施建设规范（试行）的通知（2018.1.5）</w:t>
      </w:r>
      <w:r>
        <w:rPr>
          <w:rFonts w:hint="eastAsia" w:ascii="Times New Roman" w:hAnsi="Times New Roman"/>
          <w:sz w:val="24"/>
          <w:szCs w:val="32"/>
        </w:rPr>
        <w:t>；</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rPr>
        <w:t>2</w:t>
      </w:r>
      <w:r>
        <w:rPr>
          <w:rFonts w:hint="eastAsia" w:ascii="Times New Roman" w:hAnsi="Times New Roman"/>
          <w:sz w:val="24"/>
          <w:szCs w:val="32"/>
          <w:lang w:val="en-US" w:eastAsia="zh-CN"/>
        </w:rPr>
        <w:t>6</w:t>
      </w:r>
      <w:r>
        <w:rPr>
          <w:rFonts w:ascii="Times New Roman" w:hAnsi="Times New Roman"/>
          <w:sz w:val="24"/>
          <w:szCs w:val="32"/>
        </w:rPr>
        <w:t>)农业部办公厅《畜禽粪污土地承载能力测算技术指南》</w:t>
      </w:r>
      <w:r>
        <w:rPr>
          <w:rFonts w:hint="eastAsia" w:ascii="Times New Roman" w:hAnsi="Times New Roman"/>
          <w:sz w:val="24"/>
          <w:szCs w:val="32"/>
          <w:lang w:val="zh-CN"/>
        </w:rPr>
        <w:t>（农办牧</w:t>
      </w:r>
      <w:r>
        <w:rPr>
          <w:rFonts w:ascii="Times New Roman" w:hAnsi="Times New Roman"/>
          <w:sz w:val="24"/>
          <w:szCs w:val="32"/>
          <w:lang w:val="zh-CN"/>
        </w:rPr>
        <w:t xml:space="preserve">[2018]1 </w:t>
      </w:r>
      <w:r>
        <w:rPr>
          <w:rFonts w:hint="eastAsia" w:ascii="Times New Roman" w:hAnsi="Times New Roman"/>
          <w:sz w:val="24"/>
          <w:szCs w:val="32"/>
          <w:lang w:val="zh-CN"/>
        </w:rPr>
        <w:t>号）（</w:t>
      </w:r>
      <w:r>
        <w:rPr>
          <w:rFonts w:ascii="Times New Roman" w:hAnsi="Times New Roman"/>
          <w:sz w:val="24"/>
          <w:szCs w:val="32"/>
          <w:lang w:val="zh-CN"/>
        </w:rPr>
        <w:t>2018</w:t>
      </w:r>
      <w:r>
        <w:rPr>
          <w:rFonts w:hint="eastAsia" w:ascii="Times New Roman" w:hAnsi="Times New Roman"/>
          <w:sz w:val="24"/>
          <w:szCs w:val="32"/>
          <w:lang w:val="zh-CN"/>
        </w:rPr>
        <w:t>年</w:t>
      </w:r>
      <w:r>
        <w:rPr>
          <w:rFonts w:ascii="Times New Roman" w:hAnsi="Times New Roman"/>
          <w:sz w:val="24"/>
          <w:szCs w:val="32"/>
          <w:lang w:val="zh-CN"/>
        </w:rPr>
        <w:t>1</w:t>
      </w:r>
      <w:r>
        <w:rPr>
          <w:rFonts w:hint="eastAsia" w:ascii="Times New Roman" w:hAnsi="Times New Roman"/>
          <w:sz w:val="24"/>
          <w:szCs w:val="32"/>
          <w:lang w:val="zh-CN"/>
        </w:rPr>
        <w:t>月</w:t>
      </w:r>
      <w:r>
        <w:rPr>
          <w:rFonts w:ascii="Times New Roman" w:hAnsi="Times New Roman"/>
          <w:sz w:val="24"/>
          <w:szCs w:val="32"/>
          <w:lang w:val="zh-CN"/>
        </w:rPr>
        <w:t>15</w:t>
      </w:r>
      <w:r>
        <w:rPr>
          <w:rFonts w:hint="eastAsia" w:ascii="Times New Roman" w:hAnsi="Times New Roman"/>
          <w:sz w:val="24"/>
          <w:szCs w:val="32"/>
          <w:lang w:val="zh-CN"/>
        </w:rPr>
        <w:t>日）</w:t>
      </w:r>
      <w:r>
        <w:rPr>
          <w:rFonts w:hint="eastAsia" w:ascii="Times New Roman" w:hAnsi="Times New Roman"/>
          <w:sz w:val="24"/>
          <w:szCs w:val="32"/>
        </w:rPr>
        <w:t>。</w:t>
      </w:r>
    </w:p>
    <w:p>
      <w:pPr>
        <w:pStyle w:val="2"/>
        <w:adjustRightInd w:val="0"/>
        <w:spacing w:line="540" w:lineRule="exact"/>
        <w:ind w:firstLine="480" w:firstLineChars="200"/>
        <w:rPr>
          <w:rFonts w:ascii="Times New Roman" w:hAnsi="Times New Roman"/>
        </w:rPr>
      </w:pPr>
      <w:r>
        <w:rPr>
          <w:rFonts w:ascii="Times New Roman" w:hAnsi="Times New Roman"/>
          <w:sz w:val="24"/>
          <w:szCs w:val="32"/>
        </w:rPr>
        <w:t>(</w:t>
      </w:r>
      <w:r>
        <w:rPr>
          <w:rFonts w:hint="eastAsia" w:ascii="Times New Roman" w:hAnsi="Times New Roman"/>
          <w:sz w:val="24"/>
          <w:szCs w:val="32"/>
        </w:rPr>
        <w:t>2</w:t>
      </w:r>
      <w:r>
        <w:rPr>
          <w:rFonts w:hint="eastAsia" w:ascii="Times New Roman" w:hAnsi="Times New Roman"/>
          <w:sz w:val="24"/>
          <w:szCs w:val="32"/>
          <w:lang w:val="en-US" w:eastAsia="zh-CN"/>
        </w:rPr>
        <w:t>7</w:t>
      </w:r>
      <w:r>
        <w:rPr>
          <w:rFonts w:ascii="Times New Roman" w:hAnsi="Times New Roman"/>
          <w:sz w:val="24"/>
          <w:szCs w:val="32"/>
        </w:rPr>
        <w:t>)</w:t>
      </w:r>
      <w:r>
        <w:rPr>
          <w:rFonts w:hint="eastAsia" w:ascii="Times New Roman" w:hAnsi="Times New Roman"/>
          <w:sz w:val="24"/>
          <w:szCs w:val="32"/>
          <w:lang w:val="zh-CN"/>
        </w:rPr>
        <w:t>农业农村部办公厅、态环境部办公厅《关于进一步明确畜禽粪污还田利用要求强化养殖污染监管的通知》（农办牧〔</w:t>
      </w:r>
      <w:r>
        <w:rPr>
          <w:rFonts w:ascii="Times New Roman" w:hAnsi="Times New Roman"/>
          <w:sz w:val="24"/>
          <w:szCs w:val="32"/>
          <w:lang w:val="zh-CN"/>
        </w:rPr>
        <w:t>2020</w:t>
      </w:r>
      <w:r>
        <w:rPr>
          <w:rFonts w:hint="eastAsia" w:ascii="Times New Roman" w:hAnsi="Times New Roman"/>
          <w:sz w:val="24"/>
          <w:szCs w:val="32"/>
          <w:lang w:val="zh-CN"/>
        </w:rPr>
        <w:t>〕</w:t>
      </w:r>
      <w:r>
        <w:rPr>
          <w:rFonts w:ascii="Times New Roman" w:hAnsi="Times New Roman"/>
          <w:sz w:val="24"/>
          <w:szCs w:val="32"/>
          <w:lang w:val="zh-CN"/>
        </w:rPr>
        <w:t>23</w:t>
      </w:r>
      <w:r>
        <w:rPr>
          <w:rFonts w:hint="eastAsia" w:ascii="Times New Roman" w:hAnsi="Times New Roman"/>
          <w:sz w:val="24"/>
          <w:szCs w:val="32"/>
          <w:lang w:val="zh-CN"/>
        </w:rPr>
        <w:t>号）（</w:t>
      </w:r>
      <w:r>
        <w:rPr>
          <w:rFonts w:ascii="Times New Roman" w:hAnsi="Times New Roman"/>
          <w:sz w:val="24"/>
          <w:szCs w:val="32"/>
          <w:lang w:val="zh-CN"/>
        </w:rPr>
        <w:t>2020</w:t>
      </w:r>
      <w:r>
        <w:rPr>
          <w:rFonts w:hint="eastAsia" w:ascii="Times New Roman" w:hAnsi="Times New Roman"/>
          <w:sz w:val="24"/>
          <w:szCs w:val="32"/>
          <w:lang w:val="zh-CN"/>
        </w:rPr>
        <w:t>年</w:t>
      </w:r>
      <w:r>
        <w:rPr>
          <w:rFonts w:ascii="Times New Roman" w:hAnsi="Times New Roman"/>
          <w:sz w:val="24"/>
          <w:szCs w:val="32"/>
          <w:lang w:val="zh-CN"/>
        </w:rPr>
        <w:t>6</w:t>
      </w:r>
      <w:r>
        <w:rPr>
          <w:rFonts w:hint="eastAsia" w:ascii="Times New Roman" w:hAnsi="Times New Roman"/>
          <w:sz w:val="24"/>
          <w:szCs w:val="32"/>
          <w:lang w:val="zh-CN"/>
        </w:rPr>
        <w:t>月</w:t>
      </w:r>
      <w:r>
        <w:rPr>
          <w:rFonts w:ascii="Times New Roman" w:hAnsi="Times New Roman"/>
          <w:sz w:val="24"/>
          <w:szCs w:val="32"/>
          <w:lang w:val="zh-CN"/>
        </w:rPr>
        <w:t>17</w:t>
      </w:r>
      <w:r>
        <w:rPr>
          <w:rFonts w:hint="eastAsia" w:ascii="Times New Roman" w:hAnsi="Times New Roman"/>
          <w:sz w:val="24"/>
          <w:szCs w:val="32"/>
          <w:lang w:val="zh-CN"/>
        </w:rPr>
        <w:t>日）。</w:t>
      </w:r>
    </w:p>
    <w:p>
      <w:pPr>
        <w:pStyle w:val="27"/>
        <w:widowControl w:val="0"/>
        <w:tabs>
          <w:tab w:val="left" w:pos="1110"/>
        </w:tabs>
        <w:autoSpaceDE w:val="0"/>
        <w:autoSpaceDN w:val="0"/>
        <w:spacing w:before="5" w:beforeAutospacing="0" w:after="0" w:afterAutospacing="0" w:line="540" w:lineRule="exact"/>
        <w:ind w:right="227" w:firstLine="420" w:firstLineChars="175"/>
        <w:rPr>
          <w:rFonts w:ascii="Times New Roman" w:hAnsi="Times New Roman"/>
        </w:rPr>
      </w:pPr>
      <w:r>
        <w:rPr>
          <w:rFonts w:ascii="Times New Roman" w:hAnsi="Times New Roman"/>
          <w:kern w:val="2"/>
          <w:szCs w:val="32"/>
        </w:rPr>
        <w:t>(</w:t>
      </w:r>
      <w:r>
        <w:rPr>
          <w:rFonts w:hint="eastAsia" w:ascii="Times New Roman" w:hAnsi="Times New Roman"/>
          <w:kern w:val="2"/>
          <w:szCs w:val="32"/>
          <w:lang w:val="en-US" w:eastAsia="zh-CN"/>
        </w:rPr>
        <w:t>28</w:t>
      </w:r>
      <w:r>
        <w:rPr>
          <w:rFonts w:ascii="Times New Roman" w:hAnsi="Times New Roman"/>
          <w:kern w:val="2"/>
          <w:szCs w:val="32"/>
        </w:rPr>
        <w:t>)</w:t>
      </w:r>
      <w:r>
        <w:rPr>
          <w:rFonts w:hint="eastAsia" w:ascii="Times New Roman" w:hAnsi="Times New Roman"/>
          <w:kern w:val="2"/>
          <w:szCs w:val="32"/>
        </w:rPr>
        <w:t>农业农村部办公厅财政部办公厅《关于做好</w:t>
      </w:r>
      <w:r>
        <w:rPr>
          <w:rFonts w:ascii="Times New Roman" w:hAnsi="Times New Roman"/>
          <w:kern w:val="2"/>
          <w:szCs w:val="32"/>
        </w:rPr>
        <w:t>2020</w:t>
      </w:r>
      <w:r>
        <w:rPr>
          <w:rFonts w:hint="eastAsia" w:ascii="Times New Roman" w:hAnsi="Times New Roman"/>
          <w:kern w:val="2"/>
          <w:szCs w:val="32"/>
        </w:rPr>
        <w:t>年畜禽粪污资源化利用工作的通知》（农办牧〔</w:t>
      </w:r>
      <w:r>
        <w:rPr>
          <w:rFonts w:ascii="Times New Roman" w:hAnsi="Times New Roman"/>
          <w:kern w:val="2"/>
          <w:szCs w:val="32"/>
        </w:rPr>
        <w:t>2020</w:t>
      </w:r>
      <w:r>
        <w:rPr>
          <w:rFonts w:hint="eastAsia" w:ascii="Times New Roman" w:hAnsi="Times New Roman"/>
          <w:kern w:val="2"/>
          <w:szCs w:val="32"/>
        </w:rPr>
        <w:t>〕</w:t>
      </w:r>
      <w:r>
        <w:rPr>
          <w:rFonts w:ascii="Times New Roman" w:hAnsi="Times New Roman"/>
          <w:kern w:val="2"/>
          <w:szCs w:val="32"/>
        </w:rPr>
        <w:t>32</w:t>
      </w:r>
      <w:r>
        <w:rPr>
          <w:rFonts w:hint="eastAsia" w:ascii="Times New Roman" w:hAnsi="Times New Roman"/>
          <w:kern w:val="2"/>
          <w:szCs w:val="32"/>
        </w:rPr>
        <w:t>号）（</w:t>
      </w:r>
      <w:r>
        <w:rPr>
          <w:rFonts w:ascii="Times New Roman" w:hAnsi="Times New Roman"/>
          <w:kern w:val="2"/>
          <w:szCs w:val="32"/>
        </w:rPr>
        <w:t>2020</w:t>
      </w:r>
      <w:r>
        <w:rPr>
          <w:rFonts w:hint="eastAsia" w:ascii="Times New Roman" w:hAnsi="Times New Roman"/>
          <w:kern w:val="2"/>
          <w:szCs w:val="32"/>
        </w:rPr>
        <w:t>年</w:t>
      </w:r>
      <w:r>
        <w:rPr>
          <w:rFonts w:ascii="Times New Roman" w:hAnsi="Times New Roman"/>
          <w:kern w:val="2"/>
          <w:szCs w:val="32"/>
        </w:rPr>
        <w:t>7</w:t>
      </w:r>
      <w:r>
        <w:rPr>
          <w:rFonts w:hint="eastAsia" w:ascii="Times New Roman" w:hAnsi="Times New Roman"/>
          <w:kern w:val="2"/>
          <w:szCs w:val="32"/>
        </w:rPr>
        <w:t>月</w:t>
      </w:r>
      <w:r>
        <w:rPr>
          <w:rFonts w:ascii="Times New Roman" w:hAnsi="Times New Roman"/>
          <w:kern w:val="2"/>
          <w:szCs w:val="32"/>
        </w:rPr>
        <w:t>3</w:t>
      </w:r>
      <w:r>
        <w:rPr>
          <w:rFonts w:hint="eastAsia" w:ascii="Times New Roman" w:hAnsi="Times New Roman"/>
          <w:kern w:val="2"/>
          <w:szCs w:val="32"/>
        </w:rPr>
        <w:t>日）。</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60" w:name="_Toc15986"/>
      <w:bookmarkStart w:id="61" w:name="_Toc22087"/>
      <w:bookmarkStart w:id="62" w:name="_Toc29027"/>
      <w:bookmarkStart w:id="63" w:name="_Toc15131"/>
      <w:bookmarkStart w:id="64" w:name="_Toc2382"/>
      <w:r>
        <w:rPr>
          <w:rFonts w:hint="eastAsia" w:cs="Times New Roman"/>
          <w:bCs w:val="0"/>
          <w:snapToGrid w:val="0"/>
          <w:kern w:val="0"/>
          <w:sz w:val="28"/>
          <w:szCs w:val="28"/>
        </w:rPr>
        <w:t>1</w:t>
      </w:r>
      <w:r>
        <w:rPr>
          <w:rFonts w:cs="Times New Roman"/>
          <w:bCs w:val="0"/>
          <w:snapToGrid w:val="0"/>
          <w:kern w:val="0"/>
          <w:sz w:val="28"/>
          <w:szCs w:val="28"/>
        </w:rPr>
        <w:t>.1.3地方规定</w:t>
      </w:r>
      <w:bookmarkEnd w:id="54"/>
      <w:bookmarkEnd w:id="55"/>
      <w:bookmarkEnd w:id="56"/>
      <w:bookmarkEnd w:id="57"/>
      <w:bookmarkEnd w:id="58"/>
      <w:bookmarkEnd w:id="59"/>
      <w:bookmarkEnd w:id="60"/>
      <w:bookmarkEnd w:id="61"/>
      <w:bookmarkEnd w:id="62"/>
      <w:bookmarkEnd w:id="63"/>
      <w:bookmarkEnd w:id="64"/>
    </w:p>
    <w:p>
      <w:pPr>
        <w:pStyle w:val="2"/>
        <w:adjustRightInd w:val="0"/>
        <w:spacing w:line="540" w:lineRule="exact"/>
        <w:ind w:firstLine="480" w:firstLineChars="200"/>
        <w:rPr>
          <w:rFonts w:ascii="Times New Roman" w:hAnsi="Times New Roman"/>
          <w:sz w:val="24"/>
          <w:szCs w:val="32"/>
        </w:rPr>
      </w:pPr>
      <w:bookmarkStart w:id="65" w:name="_Toc491609950"/>
      <w:bookmarkStart w:id="66" w:name="_Toc31211"/>
      <w:bookmarkStart w:id="67" w:name="_Toc18238"/>
      <w:bookmarkStart w:id="68" w:name="_Toc30663"/>
      <w:bookmarkStart w:id="69" w:name="_Toc3862"/>
      <w:bookmarkStart w:id="70" w:name="_Toc484463374"/>
      <w:bookmarkStart w:id="71" w:name="_Toc313025596"/>
      <w:bookmarkStart w:id="72" w:name="_Toc316889319"/>
      <w:r>
        <w:rPr>
          <w:rFonts w:ascii="Times New Roman" w:hAnsi="Times New Roman"/>
          <w:sz w:val="24"/>
          <w:szCs w:val="32"/>
        </w:rPr>
        <w:t>(1)宁夏回族自治区人大常委会，第39号公告《宁夏回族自治区节约用水条例(修订)》(2012年3月29日)；</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(2)宁夏回族自治区人大常委会，第38号公告《宁夏回族自治区环境保护条例》(修正)(2016年5月27日)；</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(3)宁夏回族自治区人大常委会，第三十三次会议通过《宁夏回族自治区大气污染防治条例》(2017年11月1日)；</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(4)宁夏回族自治区人大常委会，第三次会议通过《宁夏回族自治区污染物排放管理条例》(2018年5月29日)；</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(5)宁夏回族自治区人民政府，第32号令《宁夏回族自治区危险废物管理办法》(2011年4月1日)；</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(6)宁夏回族自治区人民政府，宁政发【2016】108号《关于印发土壤污染防治工作实施方案的通知》(2016年12月30日)；</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(7)宁夏回族自治区人民政府，宁政发【2018】23号《关于发布宁夏回族自治区生态保护红线的通知》(2018年6月30日)；</w:t>
      </w:r>
    </w:p>
    <w:p>
      <w:pPr>
        <w:pStyle w:val="41"/>
        <w:spacing w:line="540" w:lineRule="exact"/>
        <w:ind w:firstLine="480" w:firstLineChars="200"/>
      </w:pPr>
      <w:r>
        <w:rPr>
          <w:rFonts w:eastAsia="宋体"/>
          <w:sz w:val="24"/>
          <w:szCs w:val="32"/>
        </w:rPr>
        <w:t>(</w:t>
      </w:r>
      <w:r>
        <w:rPr>
          <w:rFonts w:hint="eastAsia" w:eastAsia="宋体"/>
          <w:sz w:val="24"/>
          <w:szCs w:val="32"/>
        </w:rPr>
        <w:t>8</w:t>
      </w:r>
      <w:r>
        <w:rPr>
          <w:rFonts w:eastAsia="宋体"/>
          <w:sz w:val="24"/>
          <w:szCs w:val="32"/>
        </w:rPr>
        <w:t>)</w:t>
      </w:r>
      <w:r>
        <w:rPr>
          <w:rFonts w:eastAsia="宋体"/>
          <w:sz w:val="24"/>
          <w:szCs w:val="24"/>
        </w:rPr>
        <w:t>宁夏回族自治区人民政府，宁政发【20</w:t>
      </w:r>
      <w:r>
        <w:rPr>
          <w:rFonts w:hint="eastAsia" w:eastAsia="宋体"/>
          <w:sz w:val="24"/>
          <w:szCs w:val="24"/>
        </w:rPr>
        <w:t>20</w:t>
      </w:r>
      <w:r>
        <w:rPr>
          <w:rFonts w:eastAsia="宋体"/>
          <w:sz w:val="24"/>
          <w:szCs w:val="24"/>
        </w:rPr>
        <w:t>】</w:t>
      </w:r>
      <w:r>
        <w:rPr>
          <w:rFonts w:hint="eastAsia" w:eastAsia="宋体"/>
          <w:sz w:val="24"/>
          <w:szCs w:val="24"/>
        </w:rPr>
        <w:t>37</w:t>
      </w:r>
      <w:r>
        <w:rPr>
          <w:rFonts w:eastAsia="宋体"/>
          <w:sz w:val="24"/>
          <w:szCs w:val="24"/>
        </w:rPr>
        <w:t>号《关于</w:t>
      </w:r>
      <w:r>
        <w:rPr>
          <w:rFonts w:hint="eastAsia" w:eastAsia="宋体"/>
          <w:sz w:val="24"/>
          <w:szCs w:val="24"/>
        </w:rPr>
        <w:t>实施三线一单生态环境分区管控</w:t>
      </w:r>
      <w:r>
        <w:rPr>
          <w:rFonts w:eastAsia="宋体"/>
          <w:sz w:val="24"/>
          <w:szCs w:val="24"/>
        </w:rPr>
        <w:t>的通知》(20</w:t>
      </w:r>
      <w:r>
        <w:rPr>
          <w:rFonts w:hint="eastAsia" w:eastAsia="宋体"/>
          <w:sz w:val="24"/>
          <w:szCs w:val="24"/>
        </w:rPr>
        <w:t>20</w:t>
      </w:r>
      <w:r>
        <w:rPr>
          <w:rFonts w:eastAsia="宋体"/>
          <w:sz w:val="24"/>
          <w:szCs w:val="24"/>
        </w:rPr>
        <w:t>年</w:t>
      </w:r>
      <w:r>
        <w:rPr>
          <w:rFonts w:hint="eastAsia" w:eastAsia="宋体"/>
          <w:sz w:val="24"/>
          <w:szCs w:val="24"/>
        </w:rPr>
        <w:t>12</w:t>
      </w:r>
      <w:r>
        <w:rPr>
          <w:rFonts w:eastAsia="宋体"/>
          <w:sz w:val="24"/>
          <w:szCs w:val="24"/>
        </w:rPr>
        <w:t>月</w:t>
      </w:r>
      <w:r>
        <w:rPr>
          <w:rFonts w:hint="eastAsia" w:eastAsia="宋体"/>
          <w:sz w:val="24"/>
          <w:szCs w:val="24"/>
        </w:rPr>
        <w:t>25</w:t>
      </w:r>
      <w:r>
        <w:rPr>
          <w:rFonts w:eastAsia="宋体"/>
          <w:sz w:val="24"/>
          <w:szCs w:val="24"/>
        </w:rPr>
        <w:t>日)；</w:t>
      </w:r>
    </w:p>
    <w:p>
      <w:pPr>
        <w:pStyle w:val="41"/>
        <w:spacing w:line="540" w:lineRule="exact"/>
        <w:ind w:firstLine="480" w:firstLineChars="200"/>
      </w:pPr>
      <w:r>
        <w:rPr>
          <w:rFonts w:hint="eastAsia" w:eastAsia="宋体"/>
          <w:sz w:val="24"/>
          <w:szCs w:val="24"/>
        </w:rPr>
        <w:t>(9)固原市人民政府，固政规发〔2021〕6号《关于实施“三线一单”生态环境分区管控的意见》(2021年8月10日)；</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rPr>
        <w:t>10</w:t>
      </w:r>
      <w:r>
        <w:rPr>
          <w:rFonts w:ascii="Times New Roman" w:hAnsi="Times New Roman"/>
          <w:sz w:val="24"/>
          <w:szCs w:val="32"/>
        </w:rPr>
        <w:t>)原宁夏回族自治区环境保护厅，宁环发【2014】13号《宁夏污染源排放口规范化管理办法(试行)》(2014年1月26日)；</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rPr>
        <w:t>11</w:t>
      </w:r>
      <w:r>
        <w:rPr>
          <w:rFonts w:ascii="Times New Roman" w:hAnsi="Times New Roman"/>
          <w:sz w:val="24"/>
          <w:szCs w:val="32"/>
        </w:rPr>
        <w:t>)宁夏</w:t>
      </w:r>
      <w:r>
        <w:rPr>
          <w:rFonts w:hint="eastAsia" w:ascii="Times New Roman" w:hAnsi="Times New Roman"/>
          <w:sz w:val="24"/>
          <w:szCs w:val="32"/>
          <w:lang w:eastAsia="zh-CN"/>
        </w:rPr>
        <w:t>回族</w:t>
      </w:r>
      <w:bookmarkStart w:id="1106" w:name="_GoBack"/>
      <w:bookmarkEnd w:id="1106"/>
      <w:r>
        <w:rPr>
          <w:rFonts w:ascii="Times New Roman" w:hAnsi="Times New Roman"/>
          <w:sz w:val="24"/>
          <w:szCs w:val="32"/>
        </w:rPr>
        <w:t>自治区人民政府办公厅，宁政办发[2017]202号《宁夏加快推进畜禽养殖废弃物资源化利用工作方案（2017-2020年）》（2018.12.1）</w:t>
      </w:r>
      <w:r>
        <w:rPr>
          <w:rFonts w:hint="eastAsia" w:ascii="Times New Roman" w:hAnsi="Times New Roman"/>
          <w:sz w:val="24"/>
          <w:szCs w:val="32"/>
        </w:rPr>
        <w:t>；</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rPr>
        <w:t>12</w:t>
      </w:r>
      <w:r>
        <w:rPr>
          <w:rFonts w:ascii="Times New Roman" w:hAnsi="Times New Roman"/>
          <w:sz w:val="24"/>
          <w:szCs w:val="32"/>
        </w:rPr>
        <w:t>)宁夏回族自治区人民政府，宁政发〔2015〕106号《宁夏回族自治区水污染防治行动计划》；</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w:t>
      </w:r>
      <w:r>
        <w:rPr>
          <w:rFonts w:hint="eastAsia" w:ascii="Times New Roman" w:hAnsi="Times New Roman"/>
          <w:sz w:val="24"/>
          <w:szCs w:val="32"/>
        </w:rPr>
        <w:t>13</w:t>
      </w:r>
      <w:r>
        <w:rPr>
          <w:rFonts w:ascii="Times New Roman" w:hAnsi="Times New Roman"/>
          <w:sz w:val="24"/>
          <w:szCs w:val="32"/>
        </w:rPr>
        <w:t>)</w:t>
      </w:r>
      <w:r>
        <w:rPr>
          <w:rFonts w:hint="eastAsia" w:ascii="Times New Roman" w:hAnsi="Times New Roman"/>
          <w:sz w:val="24"/>
          <w:szCs w:val="32"/>
        </w:rPr>
        <w:t>宁夏回族自治区人民政府办公厅，宁政办发〔2021〕59号《宁夏回族自治区生态环境保护“十四五”规划》；</w:t>
      </w:r>
    </w:p>
    <w:p>
      <w:pPr>
        <w:pStyle w:val="2"/>
        <w:adjustRightInd w:val="0"/>
        <w:spacing w:line="540" w:lineRule="exact"/>
        <w:ind w:firstLine="480" w:firstLineChars="200"/>
        <w:rPr>
          <w:rFonts w:hint="eastAsia" w:ascii="Times New Roman" w:hAnsi="Times New Roman"/>
          <w:sz w:val="24"/>
          <w:szCs w:val="32"/>
        </w:rPr>
      </w:pPr>
      <w:bookmarkStart w:id="73" w:name="_Toc12765"/>
      <w:bookmarkStart w:id="74" w:name="_Toc20053"/>
      <w:bookmarkStart w:id="75" w:name="_Toc26892"/>
      <w:bookmarkStart w:id="76" w:name="_Toc32086"/>
      <w:r>
        <w:rPr>
          <w:rFonts w:ascii="Times New Roman" w:hAnsi="Times New Roman"/>
          <w:sz w:val="24"/>
          <w:szCs w:val="32"/>
        </w:rPr>
        <w:t>(</w:t>
      </w:r>
      <w:r>
        <w:rPr>
          <w:rFonts w:hint="eastAsia" w:ascii="Times New Roman" w:hAnsi="Times New Roman"/>
          <w:sz w:val="24"/>
          <w:szCs w:val="32"/>
        </w:rPr>
        <w:t>14</w:t>
      </w:r>
      <w:r>
        <w:rPr>
          <w:rFonts w:ascii="Times New Roman" w:hAnsi="Times New Roman"/>
          <w:color w:val="FF0000"/>
          <w:sz w:val="24"/>
          <w:szCs w:val="32"/>
        </w:rPr>
        <w:t>)</w:t>
      </w:r>
      <w:r>
        <w:rPr>
          <w:rFonts w:hint="eastAsia" w:ascii="Times New Roman" w:hAnsi="Times New Roman"/>
          <w:color w:val="FF0000"/>
          <w:sz w:val="24"/>
          <w:szCs w:val="32"/>
        </w:rPr>
        <w:t>宁夏回族自治区</w:t>
      </w:r>
      <w:r>
        <w:rPr>
          <w:rFonts w:hint="eastAsia" w:ascii="Times New Roman" w:hAnsi="Times New Roman"/>
          <w:color w:val="FF0000"/>
          <w:sz w:val="24"/>
          <w:szCs w:val="32"/>
          <w:lang w:eastAsia="zh-CN"/>
        </w:rPr>
        <w:t>农业农村厅</w:t>
      </w:r>
      <w:r>
        <w:rPr>
          <w:rFonts w:hint="eastAsia" w:ascii="Times New Roman" w:hAnsi="Times New Roman"/>
          <w:color w:val="FF0000"/>
          <w:sz w:val="24"/>
          <w:szCs w:val="32"/>
        </w:rPr>
        <w:t>，</w:t>
      </w:r>
      <w:r>
        <w:rPr>
          <w:rFonts w:hint="eastAsia" w:ascii="Times New Roman" w:hAnsi="Times New Roman"/>
          <w:color w:val="FF0000"/>
          <w:sz w:val="24"/>
          <w:szCs w:val="32"/>
          <w:lang w:eastAsia="zh-CN"/>
        </w:rPr>
        <w:t>宁农（牧）发</w:t>
      </w:r>
      <w:r>
        <w:rPr>
          <w:rFonts w:hint="eastAsia" w:ascii="Times New Roman" w:hAnsi="Times New Roman"/>
          <w:color w:val="FF0000"/>
          <w:sz w:val="24"/>
          <w:szCs w:val="32"/>
        </w:rPr>
        <w:t>〔</w:t>
      </w:r>
      <w:r>
        <w:rPr>
          <w:rFonts w:hint="eastAsia" w:ascii="Times New Roman" w:hAnsi="Times New Roman"/>
          <w:color w:val="FF0000"/>
          <w:sz w:val="24"/>
          <w:szCs w:val="32"/>
          <w:lang w:val="en-US" w:eastAsia="zh-CN"/>
        </w:rPr>
        <w:t>2022</w:t>
      </w:r>
      <w:r>
        <w:rPr>
          <w:rFonts w:hint="eastAsia" w:ascii="Times New Roman" w:hAnsi="Times New Roman"/>
          <w:color w:val="FF0000"/>
          <w:sz w:val="24"/>
          <w:szCs w:val="32"/>
        </w:rPr>
        <w:t>〕</w:t>
      </w:r>
      <w:r>
        <w:rPr>
          <w:rFonts w:hint="eastAsia" w:ascii="Times New Roman" w:hAnsi="Times New Roman"/>
          <w:color w:val="FF0000"/>
          <w:sz w:val="24"/>
          <w:szCs w:val="32"/>
          <w:lang w:val="en-US" w:eastAsia="zh-CN"/>
        </w:rPr>
        <w:t>4</w:t>
      </w:r>
      <w:r>
        <w:rPr>
          <w:rFonts w:hint="eastAsia" w:ascii="Times New Roman" w:hAnsi="Times New Roman"/>
          <w:color w:val="FF0000"/>
          <w:sz w:val="24"/>
          <w:szCs w:val="32"/>
        </w:rPr>
        <w:t>号《2022年全区动物疫病强制免疫工作方案》。</w:t>
      </w:r>
    </w:p>
    <w:p>
      <w:pPr>
        <w:pStyle w:val="2"/>
        <w:adjustRightInd w:val="0"/>
        <w:spacing w:line="540" w:lineRule="exact"/>
        <w:ind w:firstLine="480" w:firstLineChars="200"/>
        <w:rPr>
          <w:rFonts w:hint="eastAsia" w:ascii="Times New Roman" w:hAnsi="Times New Roman" w:eastAsia="宋体"/>
          <w:color w:val="FF0000"/>
          <w:sz w:val="24"/>
          <w:szCs w:val="32"/>
        </w:rPr>
      </w:pPr>
      <w:r>
        <w:rPr>
          <w:rFonts w:hint="eastAsia" w:ascii="Times New Roman" w:hAnsi="Times New Roman" w:eastAsia="宋体"/>
          <w:color w:val="FF0000"/>
          <w:sz w:val="24"/>
          <w:szCs w:val="32"/>
        </w:rPr>
        <w:t>（15）固原市人民政府办公室，固政办发〔2022〕3号《关于加快推进“出户入园”促进全市肉牛产业转型升级的实施意见》的通知。</w:t>
      </w:r>
    </w:p>
    <w:p>
      <w:pPr>
        <w:pStyle w:val="2"/>
        <w:adjustRightInd w:val="0"/>
        <w:spacing w:line="540" w:lineRule="exact"/>
        <w:ind w:firstLine="480" w:firstLineChars="200"/>
        <w:rPr>
          <w:rFonts w:hint="default" w:ascii="Times New Roman" w:hAnsi="Times New Roman" w:eastAsia="宋体"/>
          <w:color w:val="FF0000"/>
          <w:sz w:val="24"/>
          <w:szCs w:val="32"/>
          <w:lang w:val="en-US" w:eastAsia="zh-CN"/>
        </w:rPr>
      </w:pPr>
      <w:r>
        <w:rPr>
          <w:rFonts w:hint="eastAsia" w:ascii="Times New Roman" w:hAnsi="Times New Roman" w:eastAsia="宋体"/>
          <w:color w:val="FF0000"/>
          <w:sz w:val="24"/>
          <w:szCs w:val="32"/>
          <w:lang w:eastAsia="zh-CN"/>
        </w:rPr>
        <w:t>（</w:t>
      </w:r>
      <w:r>
        <w:rPr>
          <w:rFonts w:hint="eastAsia" w:ascii="Times New Roman" w:hAnsi="Times New Roman" w:eastAsia="宋体"/>
          <w:color w:val="FF0000"/>
          <w:sz w:val="24"/>
          <w:szCs w:val="32"/>
          <w:lang w:val="en-US" w:eastAsia="zh-CN"/>
        </w:rPr>
        <w:t>16</w:t>
      </w:r>
      <w:r>
        <w:rPr>
          <w:rFonts w:hint="eastAsia" w:ascii="Times New Roman" w:hAnsi="Times New Roman" w:eastAsia="宋体"/>
          <w:color w:val="FF0000"/>
          <w:sz w:val="24"/>
          <w:szCs w:val="32"/>
          <w:lang w:eastAsia="zh-CN"/>
        </w:rPr>
        <w:t>）</w:t>
      </w:r>
      <w:r>
        <w:rPr>
          <w:rFonts w:hint="default" w:ascii="Times New Roman" w:hAnsi="Times New Roman" w:eastAsia="宋体"/>
          <w:color w:val="FF0000"/>
          <w:sz w:val="24"/>
          <w:szCs w:val="32"/>
          <w:lang w:eastAsia="zh-CN"/>
        </w:rPr>
        <w:t>自治区人民政府办公厅《关于建立病死畜禽无害化处理机制的实施意见》（宁政办发[2016]24号）</w:t>
      </w:r>
      <w:r>
        <w:rPr>
          <w:rFonts w:hint="default" w:ascii="Times New Roman" w:hAnsi="Times New Roman" w:eastAsia="宋体"/>
          <w:color w:val="FF0000"/>
          <w:sz w:val="24"/>
          <w:szCs w:val="32"/>
          <w:lang w:val="en-US" w:eastAsia="zh-CN"/>
        </w:rPr>
        <w:t>（2016年2月1日）</w:t>
      </w:r>
    </w:p>
    <w:p>
      <w:pPr>
        <w:pStyle w:val="2"/>
        <w:adjustRightInd w:val="0"/>
        <w:spacing w:line="540" w:lineRule="exact"/>
        <w:ind w:firstLine="480" w:firstLineChars="200"/>
        <w:rPr>
          <w:rFonts w:hint="default" w:ascii="Times New Roman" w:hAnsi="Times New Roman" w:eastAsia="宋体"/>
          <w:color w:val="FF0000"/>
          <w:sz w:val="24"/>
          <w:szCs w:val="32"/>
          <w:lang w:eastAsia="zh-CN"/>
        </w:rPr>
      </w:pPr>
      <w:r>
        <w:rPr>
          <w:rFonts w:hint="eastAsia" w:ascii="Times New Roman" w:hAnsi="Times New Roman" w:eastAsia="宋体"/>
          <w:color w:val="FF0000"/>
          <w:sz w:val="24"/>
          <w:szCs w:val="32"/>
          <w:lang w:eastAsia="zh-CN"/>
        </w:rPr>
        <w:t>（</w:t>
      </w:r>
      <w:r>
        <w:rPr>
          <w:rFonts w:hint="eastAsia" w:ascii="Times New Roman" w:hAnsi="Times New Roman" w:eastAsia="宋体"/>
          <w:color w:val="FF0000"/>
          <w:sz w:val="24"/>
          <w:szCs w:val="32"/>
          <w:lang w:val="en-US" w:eastAsia="zh-CN"/>
        </w:rPr>
        <w:t>17</w:t>
      </w:r>
      <w:r>
        <w:rPr>
          <w:rFonts w:hint="eastAsia" w:ascii="Times New Roman" w:hAnsi="Times New Roman" w:eastAsia="宋体"/>
          <w:color w:val="FF0000"/>
          <w:sz w:val="24"/>
          <w:szCs w:val="32"/>
          <w:lang w:eastAsia="zh-CN"/>
        </w:rPr>
        <w:t>）</w:t>
      </w:r>
      <w:r>
        <w:rPr>
          <w:rFonts w:hint="default" w:ascii="Times New Roman" w:hAnsi="Times New Roman" w:eastAsia="宋体"/>
          <w:color w:val="FF0000"/>
          <w:sz w:val="24"/>
          <w:szCs w:val="32"/>
          <w:lang w:eastAsia="zh-CN"/>
        </w:rPr>
        <w:t>宁夏回族自治区农业农村厅《关于印发宁夏兴办动物养殖场等场所选址动物防疫风险评估暂行办法的通知》（宁农</w:t>
      </w:r>
      <w:r>
        <w:rPr>
          <w:rFonts w:hint="default" w:ascii="Times New Roman" w:hAnsi="Times New Roman" w:eastAsia="宋体"/>
          <w:color w:val="FF0000"/>
          <w:sz w:val="24"/>
          <w:szCs w:val="32"/>
          <w:lang w:val="en-US" w:eastAsia="zh-CN"/>
        </w:rPr>
        <w:t>[牧]发[2020年16号]</w:t>
      </w:r>
      <w:r>
        <w:rPr>
          <w:rFonts w:hint="default" w:ascii="Times New Roman" w:hAnsi="Times New Roman" w:eastAsia="宋体"/>
          <w:color w:val="FF0000"/>
          <w:sz w:val="24"/>
          <w:szCs w:val="32"/>
          <w:lang w:eastAsia="zh-CN"/>
        </w:rPr>
        <w:t>）（</w:t>
      </w:r>
      <w:r>
        <w:rPr>
          <w:rFonts w:hint="default" w:ascii="Times New Roman" w:hAnsi="Times New Roman" w:eastAsia="宋体"/>
          <w:color w:val="FF0000"/>
          <w:sz w:val="24"/>
          <w:szCs w:val="32"/>
          <w:lang w:val="en-US" w:eastAsia="zh-CN"/>
        </w:rPr>
        <w:t>2020年6月2日</w:t>
      </w:r>
      <w:r>
        <w:rPr>
          <w:rFonts w:hint="default" w:ascii="Times New Roman" w:hAnsi="Times New Roman" w:eastAsia="宋体"/>
          <w:color w:val="FF0000"/>
          <w:sz w:val="24"/>
          <w:szCs w:val="32"/>
          <w:lang w:eastAsia="zh-CN"/>
        </w:rPr>
        <w:t>）</w:t>
      </w:r>
    </w:p>
    <w:p>
      <w:pPr>
        <w:pStyle w:val="2"/>
        <w:adjustRightInd w:val="0"/>
        <w:spacing w:line="540" w:lineRule="exact"/>
        <w:ind w:firstLine="480" w:firstLineChars="200"/>
        <w:rPr>
          <w:rFonts w:hint="eastAsia" w:ascii="Times New Roman" w:hAnsi="Times New Roman" w:eastAsia="宋体"/>
          <w:color w:val="FF0000"/>
          <w:sz w:val="24"/>
          <w:szCs w:val="32"/>
        </w:rPr>
      </w:pPr>
      <w:r>
        <w:rPr>
          <w:rFonts w:hint="eastAsia" w:ascii="Times New Roman" w:hAnsi="Times New Roman" w:eastAsia="宋体"/>
          <w:color w:val="FF0000"/>
          <w:sz w:val="24"/>
          <w:szCs w:val="32"/>
          <w:lang w:eastAsia="zh-CN"/>
        </w:rPr>
        <w:t>（</w:t>
      </w:r>
      <w:r>
        <w:rPr>
          <w:rFonts w:hint="eastAsia" w:ascii="Times New Roman" w:hAnsi="Times New Roman" w:eastAsia="宋体"/>
          <w:color w:val="FF0000"/>
          <w:sz w:val="24"/>
          <w:szCs w:val="32"/>
          <w:lang w:val="en-US" w:eastAsia="zh-CN"/>
        </w:rPr>
        <w:t>18</w:t>
      </w:r>
      <w:r>
        <w:rPr>
          <w:rFonts w:hint="eastAsia" w:ascii="Times New Roman" w:hAnsi="Times New Roman" w:eastAsia="宋体"/>
          <w:color w:val="FF0000"/>
          <w:sz w:val="24"/>
          <w:szCs w:val="32"/>
          <w:lang w:eastAsia="zh-CN"/>
        </w:rPr>
        <w:t>）</w:t>
      </w:r>
      <w:r>
        <w:rPr>
          <w:rFonts w:hint="default" w:ascii="Times New Roman" w:hAnsi="Times New Roman" w:eastAsia="宋体"/>
          <w:color w:val="FF0000"/>
          <w:sz w:val="24"/>
          <w:szCs w:val="32"/>
        </w:rPr>
        <w:t>《宁夏农村畜牧养殖业污染防治技术规范》（DB84/702-2011）</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77" w:name="_Toc7500"/>
      <w:r>
        <w:rPr>
          <w:rFonts w:hint="eastAsia" w:cs="Times New Roman"/>
          <w:bCs w:val="0"/>
          <w:snapToGrid w:val="0"/>
          <w:kern w:val="0"/>
          <w:sz w:val="28"/>
          <w:szCs w:val="28"/>
        </w:rPr>
        <w:t>1</w:t>
      </w:r>
      <w:r>
        <w:rPr>
          <w:rFonts w:cs="Times New Roman"/>
          <w:bCs w:val="0"/>
          <w:snapToGrid w:val="0"/>
          <w:kern w:val="0"/>
          <w:sz w:val="28"/>
          <w:szCs w:val="28"/>
        </w:rPr>
        <w:t>.1.4相关规划</w:t>
      </w:r>
      <w:bookmarkEnd w:id="65"/>
      <w:bookmarkEnd w:id="66"/>
      <w:bookmarkEnd w:id="67"/>
      <w:bookmarkEnd w:id="68"/>
      <w:bookmarkEnd w:id="69"/>
      <w:bookmarkEnd w:id="70"/>
      <w:bookmarkEnd w:id="73"/>
      <w:bookmarkEnd w:id="74"/>
      <w:bookmarkEnd w:id="75"/>
      <w:bookmarkEnd w:id="76"/>
      <w:bookmarkEnd w:id="77"/>
    </w:p>
    <w:p>
      <w:pPr>
        <w:pStyle w:val="2"/>
        <w:adjustRightInd w:val="0"/>
        <w:spacing w:line="540" w:lineRule="exact"/>
        <w:ind w:firstLine="480" w:firstLineChars="200"/>
        <w:rPr>
          <w:rFonts w:hint="eastAsia" w:ascii="Times New Roman" w:hAnsi="Times New Roman" w:eastAsia="宋体"/>
          <w:sz w:val="24"/>
          <w:szCs w:val="32"/>
          <w:lang w:eastAsia="zh-CN"/>
        </w:rPr>
      </w:pPr>
      <w:r>
        <w:rPr>
          <w:rFonts w:hint="eastAsia" w:ascii="Times New Roman" w:hAnsi="Times New Roman" w:eastAsia="宋体"/>
          <w:color w:val="FF0000"/>
          <w:sz w:val="24"/>
          <w:szCs w:val="32"/>
          <w:lang w:eastAsia="zh-CN"/>
        </w:rPr>
        <w:t>（</w:t>
      </w:r>
      <w:r>
        <w:rPr>
          <w:rFonts w:hint="eastAsia" w:ascii="Times New Roman" w:hAnsi="Times New Roman" w:eastAsia="宋体"/>
          <w:color w:val="FF0000"/>
          <w:sz w:val="24"/>
          <w:szCs w:val="32"/>
          <w:lang w:val="en-US" w:eastAsia="zh-CN"/>
        </w:rPr>
        <w:t>1</w:t>
      </w:r>
      <w:r>
        <w:rPr>
          <w:rFonts w:hint="eastAsia" w:ascii="Times New Roman" w:hAnsi="Times New Roman" w:eastAsia="宋体"/>
          <w:color w:val="FF0000"/>
          <w:sz w:val="24"/>
          <w:szCs w:val="32"/>
          <w:lang w:eastAsia="zh-CN"/>
        </w:rPr>
        <w:t>）</w:t>
      </w:r>
      <w:r>
        <w:rPr>
          <w:rFonts w:hint="default" w:ascii="Times New Roman" w:hAnsi="Times New Roman" w:eastAsia="宋体"/>
          <w:color w:val="FF0000"/>
          <w:sz w:val="24"/>
          <w:szCs w:val="32"/>
          <w:lang w:eastAsia="zh-CN"/>
        </w:rPr>
        <w:t>《“十四五”全国农业绿色发展规划》（农规发〔2021〕8号</w:t>
      </w:r>
      <w:r>
        <w:rPr>
          <w:rFonts w:hint="eastAsia" w:ascii="Times New Roman" w:hAnsi="Times New Roman" w:eastAsia="宋体"/>
          <w:color w:val="FF0000"/>
          <w:sz w:val="24"/>
          <w:szCs w:val="32"/>
          <w:lang w:eastAsia="zh-CN"/>
        </w:rPr>
        <w:t>）</w:t>
      </w:r>
      <w:r>
        <w:rPr>
          <w:rFonts w:hint="eastAsia" w:ascii="Times New Roman" w:hAnsi="Times New Roman" w:eastAsia="宋体"/>
          <w:sz w:val="24"/>
          <w:szCs w:val="32"/>
          <w:lang w:eastAsia="zh-CN"/>
        </w:rPr>
        <w:t>；</w:t>
      </w:r>
    </w:p>
    <w:p>
      <w:pPr>
        <w:pStyle w:val="2"/>
        <w:adjustRightInd w:val="0"/>
        <w:spacing w:line="540" w:lineRule="exact"/>
        <w:ind w:firstLine="480" w:firstLineChars="200"/>
        <w:rPr>
          <w:rFonts w:hint="eastAsia" w:ascii="Times New Roman" w:hAnsi="Times New Roman" w:eastAsia="宋体"/>
          <w:sz w:val="24"/>
          <w:szCs w:val="32"/>
          <w:lang w:eastAsia="zh-CN"/>
        </w:rPr>
      </w:pPr>
      <w:r>
        <w:rPr>
          <w:rFonts w:hint="eastAsia" w:ascii="Times New Roman" w:hAnsi="Times New Roman" w:eastAsia="宋体"/>
          <w:sz w:val="24"/>
          <w:szCs w:val="32"/>
          <w:lang w:eastAsia="zh-CN"/>
        </w:rPr>
        <w:t>（</w:t>
      </w:r>
      <w:r>
        <w:rPr>
          <w:rFonts w:hint="eastAsia" w:ascii="Times New Roman" w:hAnsi="Times New Roman" w:eastAsia="宋体"/>
          <w:sz w:val="24"/>
          <w:szCs w:val="32"/>
          <w:lang w:val="en-US" w:eastAsia="zh-CN"/>
        </w:rPr>
        <w:t>2</w:t>
      </w:r>
      <w:r>
        <w:rPr>
          <w:rFonts w:hint="eastAsia" w:ascii="Times New Roman" w:hAnsi="Times New Roman" w:eastAsia="宋体"/>
          <w:sz w:val="24"/>
          <w:szCs w:val="32"/>
          <w:lang w:eastAsia="zh-CN"/>
        </w:rPr>
        <w:t>）《宁夏回族自治区主体功能区规划》；</w:t>
      </w:r>
    </w:p>
    <w:p>
      <w:pPr>
        <w:pStyle w:val="2"/>
        <w:adjustRightInd w:val="0"/>
        <w:spacing w:line="540" w:lineRule="exact"/>
        <w:ind w:firstLine="480" w:firstLineChars="200"/>
        <w:rPr>
          <w:rFonts w:hint="eastAsia" w:ascii="Times New Roman" w:hAnsi="Times New Roman" w:eastAsia="宋体"/>
          <w:sz w:val="24"/>
          <w:szCs w:val="32"/>
          <w:lang w:eastAsia="zh-CN"/>
        </w:rPr>
      </w:pPr>
      <w:r>
        <w:rPr>
          <w:rFonts w:hint="eastAsia" w:ascii="Times New Roman" w:hAnsi="Times New Roman" w:eastAsia="宋体"/>
          <w:sz w:val="24"/>
          <w:szCs w:val="32"/>
          <w:lang w:eastAsia="zh-CN"/>
        </w:rPr>
        <w:t>（</w:t>
      </w:r>
      <w:r>
        <w:rPr>
          <w:rFonts w:hint="eastAsia" w:ascii="Times New Roman" w:hAnsi="Times New Roman" w:eastAsia="宋体"/>
          <w:sz w:val="24"/>
          <w:szCs w:val="32"/>
          <w:lang w:val="en-US" w:eastAsia="zh-CN"/>
        </w:rPr>
        <w:t>3</w:t>
      </w:r>
      <w:r>
        <w:rPr>
          <w:rFonts w:hint="eastAsia" w:ascii="Times New Roman" w:hAnsi="Times New Roman" w:eastAsia="宋体"/>
          <w:sz w:val="24"/>
          <w:szCs w:val="32"/>
          <w:lang w:eastAsia="zh-CN"/>
        </w:rPr>
        <w:t>）《宁夏沿黄城市带发展规划》《固原市城市总体规划(2011-2030)》；</w:t>
      </w:r>
    </w:p>
    <w:p>
      <w:pPr>
        <w:pStyle w:val="2"/>
        <w:adjustRightInd w:val="0"/>
        <w:spacing w:line="540" w:lineRule="exact"/>
        <w:ind w:firstLine="480" w:firstLineChars="200"/>
        <w:rPr>
          <w:rFonts w:ascii="Times New Roman" w:hAnsi="Times New Roman"/>
          <w:sz w:val="24"/>
          <w:szCs w:val="32"/>
        </w:rPr>
      </w:pPr>
      <w:r>
        <w:rPr>
          <w:rFonts w:hint="eastAsia" w:ascii="Times New Roman" w:hAnsi="Times New Roman" w:eastAsia="宋体"/>
          <w:sz w:val="24"/>
          <w:szCs w:val="32"/>
          <w:lang w:eastAsia="zh-CN"/>
        </w:rPr>
        <w:t>（</w:t>
      </w:r>
      <w:r>
        <w:rPr>
          <w:rFonts w:hint="eastAsia" w:ascii="Times New Roman" w:hAnsi="Times New Roman" w:eastAsia="宋体"/>
          <w:sz w:val="24"/>
          <w:szCs w:val="32"/>
          <w:lang w:val="en-US" w:eastAsia="zh-CN"/>
        </w:rPr>
        <w:t>4</w:t>
      </w:r>
      <w:r>
        <w:rPr>
          <w:rFonts w:hint="eastAsia" w:ascii="Times New Roman" w:hAnsi="Times New Roman" w:eastAsia="宋体"/>
          <w:sz w:val="24"/>
          <w:szCs w:val="32"/>
          <w:lang w:eastAsia="zh-CN"/>
        </w:rPr>
        <w:t>）《宁夏主体功能区规划》</w:t>
      </w:r>
      <w:r>
        <w:rPr>
          <w:rFonts w:ascii="Times New Roman" w:hAnsi="Times New Roman"/>
          <w:sz w:val="24"/>
          <w:szCs w:val="32"/>
        </w:rPr>
        <w:t>；</w:t>
      </w:r>
    </w:p>
    <w:p>
      <w:pPr>
        <w:pStyle w:val="2"/>
        <w:adjustRightInd w:val="0"/>
        <w:spacing w:line="540" w:lineRule="exact"/>
        <w:ind w:firstLine="480" w:firstLineChars="200"/>
        <w:rPr>
          <w:rFonts w:hint="default" w:ascii="Times New Roman" w:hAnsi="Times New Roman" w:eastAsia="宋体"/>
          <w:color w:val="FF0000"/>
          <w:sz w:val="24"/>
          <w:szCs w:val="32"/>
        </w:rPr>
      </w:pPr>
      <w:r>
        <w:rPr>
          <w:rFonts w:hint="eastAsia" w:ascii="Times New Roman" w:hAnsi="Times New Roman" w:eastAsia="宋体"/>
          <w:color w:val="FF0000"/>
          <w:sz w:val="24"/>
          <w:szCs w:val="32"/>
          <w:lang w:eastAsia="zh-CN"/>
        </w:rPr>
        <w:t>（</w:t>
      </w:r>
      <w:r>
        <w:rPr>
          <w:rFonts w:hint="eastAsia" w:ascii="Times New Roman" w:hAnsi="Times New Roman" w:eastAsia="宋体"/>
          <w:color w:val="FF0000"/>
          <w:sz w:val="24"/>
          <w:szCs w:val="32"/>
          <w:lang w:val="en-US" w:eastAsia="zh-CN"/>
        </w:rPr>
        <w:t>5</w:t>
      </w:r>
      <w:r>
        <w:rPr>
          <w:rFonts w:hint="eastAsia" w:ascii="Times New Roman" w:hAnsi="Times New Roman" w:eastAsia="宋体"/>
          <w:color w:val="FF0000"/>
          <w:sz w:val="24"/>
          <w:szCs w:val="32"/>
          <w:lang w:eastAsia="zh-CN"/>
        </w:rPr>
        <w:t>）</w:t>
      </w:r>
      <w:r>
        <w:rPr>
          <w:rFonts w:hint="default" w:ascii="Times New Roman" w:hAnsi="Times New Roman" w:eastAsia="宋体"/>
          <w:color w:val="FF0000"/>
          <w:sz w:val="24"/>
          <w:szCs w:val="32"/>
        </w:rPr>
        <w:t>《宁夏回族自治区国民经济和社会发展第十四个五年规划和2035年远景目标纲要》（2021年2月26日）</w:t>
      </w:r>
    </w:p>
    <w:p>
      <w:pPr>
        <w:pStyle w:val="2"/>
        <w:adjustRightInd w:val="0"/>
        <w:spacing w:line="540" w:lineRule="exact"/>
        <w:ind w:firstLine="480" w:firstLineChars="200"/>
        <w:rPr>
          <w:rFonts w:hint="default" w:ascii="Times New Roman" w:hAnsi="Times New Roman" w:eastAsia="宋体"/>
          <w:color w:val="FF0000"/>
          <w:sz w:val="24"/>
          <w:szCs w:val="32"/>
        </w:rPr>
      </w:pPr>
      <w:r>
        <w:rPr>
          <w:rFonts w:hint="eastAsia" w:ascii="Times New Roman" w:hAnsi="Times New Roman" w:eastAsia="宋体"/>
          <w:color w:val="FF0000"/>
          <w:sz w:val="24"/>
          <w:szCs w:val="32"/>
          <w:lang w:eastAsia="zh-CN"/>
        </w:rPr>
        <w:t>（</w:t>
      </w:r>
      <w:r>
        <w:rPr>
          <w:rFonts w:hint="eastAsia" w:ascii="Times New Roman" w:hAnsi="Times New Roman" w:eastAsia="宋体"/>
          <w:color w:val="FF0000"/>
          <w:sz w:val="24"/>
          <w:szCs w:val="32"/>
          <w:lang w:val="en-US" w:eastAsia="zh-CN"/>
        </w:rPr>
        <w:t>6</w:t>
      </w:r>
      <w:r>
        <w:rPr>
          <w:rFonts w:hint="eastAsia" w:ascii="Times New Roman" w:hAnsi="Times New Roman" w:eastAsia="宋体"/>
          <w:color w:val="FF0000"/>
          <w:sz w:val="24"/>
          <w:szCs w:val="32"/>
          <w:lang w:eastAsia="zh-CN"/>
        </w:rPr>
        <w:t>）</w:t>
      </w:r>
      <w:r>
        <w:rPr>
          <w:rFonts w:hint="default" w:ascii="Times New Roman" w:hAnsi="Times New Roman" w:eastAsia="宋体"/>
          <w:color w:val="FF0000"/>
          <w:sz w:val="24"/>
          <w:szCs w:val="32"/>
        </w:rPr>
        <w:t>《宁夏回族自治区农业农村现代化发展“十四五”规划》（宁政办发〔2021〕87号）</w:t>
      </w:r>
    </w:p>
    <w:p>
      <w:pPr>
        <w:pStyle w:val="2"/>
        <w:adjustRightInd w:val="0"/>
        <w:spacing w:line="540" w:lineRule="exact"/>
        <w:ind w:firstLine="480" w:firstLineChars="200"/>
        <w:rPr>
          <w:rFonts w:hint="default" w:ascii="Times New Roman" w:hAnsi="Times New Roman" w:eastAsia="宋体"/>
          <w:color w:val="FF0000"/>
          <w:sz w:val="24"/>
          <w:szCs w:val="32"/>
        </w:rPr>
      </w:pPr>
      <w:r>
        <w:rPr>
          <w:rFonts w:hint="eastAsia" w:ascii="Times New Roman" w:hAnsi="Times New Roman" w:eastAsia="宋体"/>
          <w:color w:val="FF0000"/>
          <w:sz w:val="24"/>
          <w:szCs w:val="32"/>
          <w:lang w:val="en-US" w:eastAsia="zh-CN"/>
        </w:rPr>
        <w:t>（7）</w:t>
      </w:r>
      <w:r>
        <w:rPr>
          <w:rFonts w:hint="default" w:ascii="Times New Roman" w:hAnsi="Times New Roman" w:eastAsia="宋体"/>
          <w:color w:val="FF0000"/>
          <w:sz w:val="24"/>
          <w:szCs w:val="32"/>
          <w:lang w:val="en-US" w:eastAsia="zh-CN"/>
        </w:rPr>
        <w:t>《宁夏回族自治区生态环境保护“十四五”规划》（宁政办发〔2021〕59号）；</w:t>
      </w:r>
    </w:p>
    <w:p>
      <w:pPr>
        <w:pStyle w:val="2"/>
        <w:adjustRightInd w:val="0"/>
        <w:spacing w:line="540" w:lineRule="exact"/>
        <w:ind w:firstLine="480" w:firstLineChars="200"/>
        <w:rPr>
          <w:rFonts w:hint="eastAsia" w:ascii="Times New Roman" w:hAnsi="Times New Roman" w:eastAsia="宋体"/>
          <w:color w:val="FF0000"/>
          <w:sz w:val="24"/>
          <w:szCs w:val="32"/>
        </w:rPr>
      </w:pPr>
      <w:r>
        <w:rPr>
          <w:rFonts w:hint="eastAsia" w:ascii="Times New Roman" w:hAnsi="Times New Roman" w:eastAsia="宋体"/>
          <w:color w:val="FF0000"/>
          <w:sz w:val="24"/>
          <w:szCs w:val="32"/>
          <w:lang w:eastAsia="zh-CN"/>
        </w:rPr>
        <w:t>（</w:t>
      </w:r>
      <w:r>
        <w:rPr>
          <w:rFonts w:hint="eastAsia" w:ascii="Times New Roman" w:hAnsi="Times New Roman" w:eastAsia="宋体"/>
          <w:color w:val="FF0000"/>
          <w:sz w:val="24"/>
          <w:szCs w:val="32"/>
          <w:lang w:val="en-US" w:eastAsia="zh-CN"/>
        </w:rPr>
        <w:t>8</w:t>
      </w:r>
      <w:r>
        <w:rPr>
          <w:rFonts w:hint="eastAsia" w:ascii="Times New Roman" w:hAnsi="Times New Roman" w:eastAsia="宋体"/>
          <w:color w:val="FF0000"/>
          <w:sz w:val="24"/>
          <w:szCs w:val="32"/>
          <w:lang w:eastAsia="zh-CN"/>
        </w:rPr>
        <w:t>）</w:t>
      </w:r>
      <w:r>
        <w:rPr>
          <w:rFonts w:hint="eastAsia" w:ascii="Times New Roman" w:hAnsi="Times New Roman" w:eastAsia="宋体"/>
          <w:color w:val="FF0000"/>
          <w:sz w:val="24"/>
          <w:szCs w:val="32"/>
        </w:rPr>
        <w:t>《固原市特色农业发展“十四五”规划》(政办发〔2021〕5</w:t>
      </w:r>
      <w:r>
        <w:rPr>
          <w:rFonts w:ascii="Times New Roman" w:hAnsi="Times New Roman" w:eastAsia="宋体"/>
          <w:color w:val="FF0000"/>
          <w:sz w:val="24"/>
          <w:szCs w:val="32"/>
        </w:rPr>
        <w:t>2</w:t>
      </w:r>
      <w:r>
        <w:rPr>
          <w:rFonts w:hint="eastAsia" w:ascii="Times New Roman" w:hAnsi="Times New Roman" w:eastAsia="宋体"/>
          <w:color w:val="FF0000"/>
          <w:sz w:val="24"/>
          <w:szCs w:val="32"/>
        </w:rPr>
        <w:t>号，</w:t>
      </w:r>
      <w:r>
        <w:rPr>
          <w:rFonts w:ascii="Times New Roman" w:hAnsi="Times New Roman" w:eastAsia="宋体"/>
          <w:color w:val="FF0000"/>
          <w:sz w:val="24"/>
          <w:szCs w:val="32"/>
        </w:rPr>
        <w:t>2021</w:t>
      </w:r>
      <w:r>
        <w:rPr>
          <w:rFonts w:hint="eastAsia" w:ascii="Times New Roman" w:hAnsi="Times New Roman" w:eastAsia="宋体"/>
          <w:color w:val="FF0000"/>
          <w:sz w:val="24"/>
          <w:szCs w:val="32"/>
        </w:rPr>
        <w:t>年</w:t>
      </w:r>
      <w:r>
        <w:rPr>
          <w:rFonts w:ascii="Times New Roman" w:hAnsi="Times New Roman" w:eastAsia="宋体"/>
          <w:color w:val="FF0000"/>
          <w:sz w:val="24"/>
          <w:szCs w:val="32"/>
        </w:rPr>
        <w:t>12</w:t>
      </w:r>
      <w:r>
        <w:rPr>
          <w:rFonts w:hint="eastAsia" w:ascii="Times New Roman" w:hAnsi="Times New Roman" w:eastAsia="宋体"/>
          <w:color w:val="FF0000"/>
          <w:sz w:val="24"/>
          <w:szCs w:val="32"/>
        </w:rPr>
        <w:t>月</w:t>
      </w:r>
      <w:r>
        <w:rPr>
          <w:rFonts w:ascii="Times New Roman" w:hAnsi="Times New Roman" w:eastAsia="宋体"/>
          <w:color w:val="FF0000"/>
          <w:sz w:val="24"/>
          <w:szCs w:val="32"/>
        </w:rPr>
        <w:t>7</w:t>
      </w:r>
      <w:r>
        <w:rPr>
          <w:rFonts w:hint="eastAsia" w:ascii="Times New Roman" w:hAnsi="Times New Roman" w:eastAsia="宋体"/>
          <w:color w:val="FF0000"/>
          <w:sz w:val="24"/>
          <w:szCs w:val="32"/>
        </w:rPr>
        <w:t>日</w:t>
      </w:r>
      <w:r>
        <w:rPr>
          <w:rFonts w:ascii="Times New Roman" w:hAnsi="Times New Roman" w:eastAsia="宋体"/>
          <w:color w:val="FF0000"/>
          <w:sz w:val="24"/>
          <w:szCs w:val="32"/>
        </w:rPr>
        <w:t>)</w:t>
      </w:r>
      <w:r>
        <w:rPr>
          <w:rFonts w:hint="eastAsia" w:ascii="Times New Roman" w:hAnsi="Times New Roman" w:eastAsia="宋体"/>
          <w:color w:val="FF0000"/>
          <w:sz w:val="24"/>
          <w:szCs w:val="32"/>
        </w:rPr>
        <w:t>：</w:t>
      </w:r>
    </w:p>
    <w:p>
      <w:pPr>
        <w:pStyle w:val="2"/>
        <w:adjustRightInd w:val="0"/>
        <w:spacing w:line="540" w:lineRule="exact"/>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sz w:val="24"/>
          <w:szCs w:val="32"/>
          <w:lang w:eastAsia="zh-CN"/>
        </w:rPr>
        <w:t>（</w:t>
      </w:r>
      <w:r>
        <w:rPr>
          <w:rFonts w:hint="eastAsia" w:ascii="Times New Roman" w:hAnsi="Times New Roman" w:eastAsia="宋体"/>
          <w:sz w:val="24"/>
          <w:szCs w:val="32"/>
          <w:lang w:val="en-US" w:eastAsia="zh-CN"/>
        </w:rPr>
        <w:t>9</w:t>
      </w:r>
      <w:r>
        <w:rPr>
          <w:rFonts w:hint="eastAsia" w:ascii="Times New Roman" w:hAnsi="Times New Roman" w:eastAsia="宋体"/>
          <w:sz w:val="24"/>
          <w:szCs w:val="32"/>
          <w:lang w:eastAsia="zh-CN"/>
        </w:rPr>
        <w:t>）</w:t>
      </w:r>
      <w:r>
        <w:rPr>
          <w:rFonts w:hint="eastAsia" w:ascii="Times New Roman" w:hAnsi="Times New Roman" w:eastAsia="宋体"/>
          <w:sz w:val="24"/>
          <w:szCs w:val="32"/>
        </w:rPr>
        <w:t>《固原市特色农业发展“十四五”规划》</w:t>
      </w:r>
    </w:p>
    <w:bookmarkEnd w:id="71"/>
    <w:bookmarkEnd w:id="72"/>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78" w:name="_Toc18554"/>
      <w:bookmarkStart w:id="79" w:name="_Toc5517"/>
      <w:bookmarkStart w:id="80" w:name="_Toc22331"/>
      <w:bookmarkStart w:id="81" w:name="_Toc21823"/>
      <w:bookmarkStart w:id="82" w:name="_Toc18752"/>
      <w:bookmarkStart w:id="83" w:name="_Toc8822"/>
      <w:r>
        <w:rPr>
          <w:rFonts w:hint="eastAsia" w:cs="Times New Roman"/>
          <w:bCs w:val="0"/>
          <w:snapToGrid w:val="0"/>
          <w:kern w:val="0"/>
          <w:sz w:val="28"/>
          <w:szCs w:val="28"/>
        </w:rPr>
        <w:t>1</w:t>
      </w:r>
      <w:r>
        <w:rPr>
          <w:rFonts w:cs="Times New Roman"/>
          <w:bCs w:val="0"/>
          <w:snapToGrid w:val="0"/>
          <w:kern w:val="0"/>
          <w:sz w:val="28"/>
          <w:szCs w:val="28"/>
        </w:rPr>
        <w:t>.1.5相关导则及技术规范</w:t>
      </w:r>
      <w:bookmarkEnd w:id="78"/>
      <w:bookmarkEnd w:id="79"/>
      <w:bookmarkEnd w:id="80"/>
      <w:bookmarkEnd w:id="81"/>
      <w:bookmarkEnd w:id="82"/>
      <w:bookmarkEnd w:id="83"/>
    </w:p>
    <w:p>
      <w:pPr>
        <w:pStyle w:val="2"/>
        <w:adjustRightInd w:val="0"/>
        <w:spacing w:line="540" w:lineRule="exact"/>
        <w:ind w:firstLine="480" w:firstLineChars="200"/>
        <w:rPr>
          <w:rFonts w:ascii="Times New Roman" w:hAnsi="Times New Roman"/>
          <w:sz w:val="24"/>
          <w:szCs w:val="32"/>
        </w:rPr>
      </w:pPr>
      <w:bookmarkStart w:id="84" w:name="_Toc24680"/>
      <w:r>
        <w:rPr>
          <w:rFonts w:ascii="Times New Roman" w:hAnsi="Times New Roman"/>
          <w:sz w:val="24"/>
          <w:szCs w:val="32"/>
        </w:rPr>
        <w:t>(1)《建设项目环境影响评价技术导则 总纲》（HJ2.1-2016）；</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(2)《环境影响评价技术导则 大气环境》（HJ2.2-2018）；</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(3)《环境影响评价技术导则 地表水环境》（HJ 2.3-2018）；</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(4)《环境影响评价技术导则 地下水环境》（HJ630.13-2016）；</w:t>
      </w:r>
    </w:p>
    <w:p>
      <w:pPr>
        <w:pStyle w:val="2"/>
        <w:adjustRightInd w:val="0"/>
        <w:spacing w:line="540" w:lineRule="exact"/>
        <w:ind w:firstLine="480" w:firstLineChars="200"/>
        <w:rPr>
          <w:rFonts w:ascii="Times New Roman" w:hAnsi="Times New Roman"/>
          <w:color w:val="auto"/>
          <w:sz w:val="24"/>
          <w:szCs w:val="32"/>
        </w:rPr>
      </w:pPr>
      <w:r>
        <w:rPr>
          <w:rFonts w:ascii="Times New Roman" w:hAnsi="Times New Roman"/>
          <w:color w:val="auto"/>
          <w:sz w:val="24"/>
          <w:szCs w:val="32"/>
        </w:rPr>
        <w:t>(5)《环境影响评价技术导则 声环境》（HJ2.4-2021）；</w:t>
      </w:r>
    </w:p>
    <w:p>
      <w:pPr>
        <w:pStyle w:val="2"/>
        <w:adjustRightInd w:val="0"/>
        <w:spacing w:line="540" w:lineRule="exact"/>
        <w:ind w:firstLine="480" w:firstLineChars="200"/>
        <w:rPr>
          <w:rFonts w:ascii="Times New Roman" w:hAnsi="Times New Roman"/>
          <w:color w:val="auto"/>
          <w:sz w:val="24"/>
          <w:szCs w:val="32"/>
        </w:rPr>
      </w:pPr>
      <w:r>
        <w:rPr>
          <w:rFonts w:ascii="Times New Roman" w:hAnsi="Times New Roman"/>
          <w:color w:val="auto"/>
          <w:sz w:val="24"/>
          <w:szCs w:val="32"/>
        </w:rPr>
        <w:t>(6)《环境影响评价技术导则 生态影响》（HJ19-2022）；</w:t>
      </w:r>
    </w:p>
    <w:p>
      <w:pPr>
        <w:pStyle w:val="2"/>
        <w:adjustRightInd w:val="0"/>
        <w:spacing w:line="540" w:lineRule="exact"/>
        <w:ind w:firstLine="480" w:firstLineChars="200"/>
        <w:rPr>
          <w:rFonts w:ascii="Times New Roman" w:hAnsi="Times New Roman"/>
          <w:sz w:val="24"/>
          <w:szCs w:val="32"/>
        </w:rPr>
      </w:pPr>
      <w:r>
        <w:rPr>
          <w:rFonts w:ascii="Times New Roman" w:hAnsi="Times New Roman"/>
          <w:color w:val="auto"/>
          <w:sz w:val="24"/>
          <w:szCs w:val="32"/>
        </w:rPr>
        <w:t>(7)《环境影响评价技术导则 土壤影响（试行）》（HJ96</w:t>
      </w:r>
      <w:r>
        <w:rPr>
          <w:rFonts w:ascii="Times New Roman" w:hAnsi="Times New Roman"/>
          <w:sz w:val="24"/>
          <w:szCs w:val="32"/>
        </w:rPr>
        <w:t>4-2018）；</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(8)《建设项目环境风险评价技术导则》（HJ 169-2018）；</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(9)《污染源源强核算技术指南 准则》（</w:t>
      </w:r>
      <w:r>
        <w:fldChar w:fldCharType="begin"/>
      </w:r>
      <w:r>
        <w:instrText xml:space="preserve"> HYPERLINK "http://kjs.mee.gov.cn/hjbhbz/bzwb/wrfzjszc/201803/W020180329581021613517.pdf" </w:instrText>
      </w:r>
      <w:r>
        <w:fldChar w:fldCharType="separate"/>
      </w:r>
      <w:r>
        <w:rPr>
          <w:rFonts w:ascii="Times New Roman" w:hAnsi="Times New Roman"/>
          <w:sz w:val="24"/>
          <w:szCs w:val="32"/>
        </w:rPr>
        <w:t>HJ884-2018</w:t>
      </w:r>
      <w:r>
        <w:rPr>
          <w:rFonts w:ascii="Times New Roman" w:hAnsi="Times New Roman"/>
          <w:sz w:val="24"/>
          <w:szCs w:val="32"/>
        </w:rPr>
        <w:fldChar w:fldCharType="end"/>
      </w:r>
      <w:r>
        <w:rPr>
          <w:rFonts w:ascii="Times New Roman" w:hAnsi="Times New Roman"/>
          <w:sz w:val="24"/>
          <w:szCs w:val="32"/>
        </w:rPr>
        <w:t>）；</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(10)《建设项目危险废物环境影响评价指南》（环保部办公厅2017年9月1日印发）；</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(11)《畜禽养殖产地环境评价规范》（HJ 568-2010）；</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(12)《畜禽养殖业污染物防治技术规范》（HJ/T81-2001）；</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(13)《畜禽产地检疫规范》(GB16549-</w:t>
      </w:r>
      <w:r>
        <w:rPr>
          <w:rFonts w:hint="eastAsia" w:ascii="Times New Roman" w:hAnsi="Times New Roman"/>
          <w:sz w:val="24"/>
          <w:szCs w:val="32"/>
          <w:lang w:val="en-US" w:eastAsia="zh-CN"/>
        </w:rPr>
        <w:t>1996</w:t>
      </w:r>
      <w:r>
        <w:rPr>
          <w:rFonts w:ascii="Times New Roman" w:hAnsi="Times New Roman"/>
          <w:sz w:val="24"/>
          <w:szCs w:val="32"/>
        </w:rPr>
        <w:t>)；</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(14)《病害动物和病害动物产品生物安全处理规程》(GB16548-2006)；</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(15)《畜禽养殖业污染治理工程技术规范》（HJ497-2009）；</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(16)</w:t>
      </w:r>
      <w:r>
        <w:rPr>
          <w:rFonts w:ascii="Times New Roman" w:hAnsi="Times New Roman"/>
          <w:sz w:val="24"/>
          <w:szCs w:val="32"/>
          <w:lang w:val="zh-CN"/>
        </w:rPr>
        <w:t>《排污许可证申请与核发技术规范畜禽养殖行业》</w:t>
      </w:r>
      <w:r>
        <w:rPr>
          <w:rFonts w:ascii="Times New Roman" w:hAnsi="Times New Roman"/>
          <w:sz w:val="24"/>
          <w:szCs w:val="32"/>
        </w:rPr>
        <w:t>（HJ1029-2019）；</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(17)《畜禽场环境质量评价准则》（GB/T19525.2-2004）；</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(18)《畜禽场环境质量标准》（</w:t>
      </w:r>
      <w:r>
        <w:rPr>
          <w:rFonts w:hint="eastAsia" w:ascii="Times New Roman" w:hAnsi="Times New Roman"/>
          <w:sz w:val="24"/>
          <w:szCs w:val="32"/>
          <w:lang w:val="en-US" w:eastAsia="zh-CN"/>
        </w:rPr>
        <w:t>NY</w:t>
      </w:r>
      <w:r>
        <w:rPr>
          <w:rFonts w:ascii="Times New Roman" w:hAnsi="Times New Roman"/>
          <w:sz w:val="24"/>
          <w:szCs w:val="32"/>
        </w:rPr>
        <w:t>/T388-1999）；</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(19)《畜禽场环境质量及卫生控制规范》(NY/T1167-2006)；</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(20)《畜禽场环境污染控制技术规范》(NY/T1169-2006)；</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(21)《规模畜禽养殖场污染防治最佳可行技术指南》（ HJ-BAT-10 ）；</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(22)《畜禽粪便农田利用环境影响评价准则》（GB/T26622-2011）；</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(23)《畜禽粪便贮存设施设计要求》（GB/T272622-2011）；</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(24)《畜禽养殖污水贮存设施设计要求》（GB/T26624-2011）；</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(25)《农村畜禽养殖污染防治技术规范》（DB64/T702-2011）；</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(26)《畜禽粪便无害化处理技术规范》(</w:t>
      </w:r>
      <w:r>
        <w:rPr>
          <w:rFonts w:hint="eastAsia" w:ascii="Times New Roman" w:hAnsi="Times New Roman"/>
          <w:sz w:val="24"/>
          <w:szCs w:val="32"/>
          <w:lang w:val="en-US" w:eastAsia="zh-CN"/>
        </w:rPr>
        <w:t>GB/T36195-2018</w:t>
      </w:r>
      <w:r>
        <w:rPr>
          <w:rFonts w:ascii="Times New Roman" w:hAnsi="Times New Roman"/>
          <w:sz w:val="24"/>
          <w:szCs w:val="32"/>
        </w:rPr>
        <w:t>)；</w:t>
      </w:r>
    </w:p>
    <w:p>
      <w:pPr>
        <w:pStyle w:val="2"/>
        <w:adjustRightInd w:val="0"/>
        <w:spacing w:line="540" w:lineRule="exact"/>
        <w:ind w:firstLine="480" w:firstLineChars="200"/>
        <w:rPr>
          <w:rFonts w:ascii="Times New Roman" w:hAnsi="Times New Roman"/>
          <w:sz w:val="24"/>
          <w:szCs w:val="32"/>
        </w:rPr>
      </w:pPr>
      <w:r>
        <w:rPr>
          <w:rFonts w:ascii="Times New Roman" w:hAnsi="Times New Roman"/>
          <w:sz w:val="24"/>
          <w:szCs w:val="32"/>
        </w:rPr>
        <w:t>(27)《畜禽粪便还田技术规范》（GB/T25246-2010）。</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85" w:name="_Toc13261"/>
      <w:bookmarkStart w:id="86" w:name="_Toc17055"/>
      <w:bookmarkStart w:id="87" w:name="_Toc23504"/>
      <w:bookmarkStart w:id="88" w:name="_Toc10986"/>
      <w:bookmarkStart w:id="89" w:name="_Toc21707"/>
      <w:r>
        <w:rPr>
          <w:rFonts w:hint="eastAsia" w:cs="Times New Roman"/>
          <w:bCs w:val="0"/>
          <w:snapToGrid w:val="0"/>
          <w:kern w:val="0"/>
          <w:sz w:val="28"/>
          <w:szCs w:val="28"/>
        </w:rPr>
        <w:t>1</w:t>
      </w:r>
      <w:r>
        <w:rPr>
          <w:rFonts w:cs="Times New Roman"/>
          <w:bCs w:val="0"/>
          <w:snapToGrid w:val="0"/>
          <w:kern w:val="0"/>
          <w:sz w:val="28"/>
          <w:szCs w:val="28"/>
        </w:rPr>
        <w:t>.1.6项目有关技术文件及工作文件</w:t>
      </w:r>
      <w:bookmarkEnd w:id="84"/>
      <w:bookmarkEnd w:id="85"/>
      <w:bookmarkEnd w:id="86"/>
      <w:bookmarkEnd w:id="87"/>
      <w:bookmarkEnd w:id="88"/>
      <w:bookmarkEnd w:id="89"/>
    </w:p>
    <w:p>
      <w:pPr>
        <w:snapToGrid w:val="0"/>
        <w:spacing w:line="540" w:lineRule="exact"/>
        <w:ind w:firstLine="480" w:firstLineChars="200"/>
        <w:rPr>
          <w:rFonts w:ascii="Times New Roman" w:hAnsi="Times New Roman"/>
          <w:sz w:val="24"/>
          <w:szCs w:val="32"/>
        </w:rPr>
      </w:pPr>
      <w:r>
        <w:rPr>
          <w:rFonts w:hint="eastAsia" w:ascii="Times New Roman" w:hAnsi="Times New Roman"/>
          <w:sz w:val="24"/>
          <w:szCs w:val="32"/>
        </w:rPr>
        <w:t>（</w:t>
      </w:r>
      <w:r>
        <w:rPr>
          <w:rFonts w:ascii="Times New Roman" w:hAnsi="Times New Roman"/>
          <w:sz w:val="24"/>
          <w:szCs w:val="32"/>
        </w:rPr>
        <w:t>1</w:t>
      </w:r>
      <w:r>
        <w:rPr>
          <w:rFonts w:hint="eastAsia" w:ascii="Times New Roman" w:hAnsi="Times New Roman"/>
          <w:sz w:val="24"/>
          <w:szCs w:val="32"/>
        </w:rPr>
        <w:t>）宁夏腾发农业科技有限公司千头基础母牛养殖场建设项目，</w:t>
      </w:r>
      <w:r>
        <w:rPr>
          <w:rFonts w:ascii="Times New Roman" w:hAnsi="Times New Roman"/>
          <w:sz w:val="24"/>
          <w:szCs w:val="32"/>
        </w:rPr>
        <w:t>“</w:t>
      </w:r>
      <w:r>
        <w:rPr>
          <w:rFonts w:hint="eastAsia" w:ascii="Times New Roman" w:hAnsi="Times New Roman"/>
          <w:sz w:val="24"/>
          <w:szCs w:val="32"/>
        </w:rPr>
        <w:t>环境影响评价委托书</w:t>
      </w:r>
      <w:r>
        <w:rPr>
          <w:rFonts w:ascii="Times New Roman" w:hAnsi="Times New Roman"/>
          <w:sz w:val="24"/>
          <w:szCs w:val="32"/>
        </w:rPr>
        <w:t>”</w:t>
      </w:r>
      <w:r>
        <w:rPr>
          <w:rFonts w:hint="eastAsia" w:ascii="Times New Roman" w:hAnsi="Times New Roman"/>
          <w:sz w:val="24"/>
          <w:szCs w:val="32"/>
        </w:rPr>
        <w:t>；</w:t>
      </w:r>
    </w:p>
    <w:p>
      <w:pPr>
        <w:snapToGrid w:val="0"/>
        <w:spacing w:line="540" w:lineRule="exact"/>
        <w:ind w:firstLine="480" w:firstLineChars="200"/>
        <w:rPr>
          <w:rFonts w:ascii="Times New Roman" w:hAnsi="Times New Roman"/>
          <w:sz w:val="24"/>
          <w:szCs w:val="32"/>
        </w:rPr>
      </w:pPr>
      <w:r>
        <w:rPr>
          <w:rFonts w:hint="eastAsia" w:ascii="Times New Roman" w:hAnsi="Times New Roman"/>
          <w:sz w:val="24"/>
          <w:szCs w:val="32"/>
        </w:rPr>
        <w:t>（2）</w:t>
      </w:r>
      <w:r>
        <w:rPr>
          <w:rFonts w:hint="eastAsia" w:ascii="Times New Roman" w:hAnsi="Times New Roman"/>
          <w:sz w:val="24"/>
          <w:szCs w:val="32"/>
          <w:lang w:eastAsia="zh-CN"/>
        </w:rPr>
        <w:t>土地使用说明</w:t>
      </w:r>
      <w:r>
        <w:rPr>
          <w:rFonts w:hint="eastAsia" w:ascii="Times New Roman" w:hAnsi="Times New Roman"/>
          <w:sz w:val="24"/>
          <w:szCs w:val="32"/>
        </w:rPr>
        <w:t>；</w:t>
      </w:r>
    </w:p>
    <w:p>
      <w:pPr>
        <w:snapToGrid w:val="0"/>
        <w:spacing w:line="540" w:lineRule="exact"/>
        <w:ind w:firstLine="480" w:firstLineChars="200"/>
        <w:rPr>
          <w:rFonts w:ascii="Times New Roman" w:hAnsi="Times New Roman"/>
          <w:sz w:val="24"/>
          <w:szCs w:val="32"/>
        </w:rPr>
      </w:pPr>
      <w:r>
        <w:rPr>
          <w:rFonts w:hint="eastAsia" w:ascii="Times New Roman" w:hAnsi="Times New Roman"/>
          <w:sz w:val="24"/>
          <w:szCs w:val="32"/>
        </w:rPr>
        <w:t>（3）宁夏腾发农业科技有限公司千头基础母牛养殖场建设项目</w:t>
      </w:r>
      <w:r>
        <w:rPr>
          <w:rFonts w:hint="eastAsia" w:ascii="Times New Roman" w:hAnsi="Times New Roman"/>
          <w:spacing w:val="-6"/>
          <w:sz w:val="24"/>
          <w:szCs w:val="32"/>
        </w:rPr>
        <w:t>总平规划图；</w:t>
      </w:r>
    </w:p>
    <w:p>
      <w:pPr>
        <w:pStyle w:val="2"/>
        <w:adjustRightInd w:val="0"/>
        <w:spacing w:line="540" w:lineRule="exact"/>
        <w:ind w:firstLine="480" w:firstLineChars="200"/>
        <w:rPr>
          <w:rFonts w:ascii="Times New Roman" w:hAnsi="Times New Roman"/>
          <w:sz w:val="24"/>
          <w:szCs w:val="32"/>
        </w:rPr>
      </w:pPr>
      <w:r>
        <w:rPr>
          <w:rFonts w:hint="eastAsia" w:ascii="Times New Roman" w:hAnsi="Times New Roman"/>
          <w:sz w:val="24"/>
          <w:szCs w:val="32"/>
        </w:rPr>
        <w:t>（4）项目备案证；</w:t>
      </w:r>
    </w:p>
    <w:p>
      <w:pPr>
        <w:snapToGrid w:val="0"/>
        <w:spacing w:line="540" w:lineRule="exact"/>
        <w:ind w:firstLine="480" w:firstLineChars="200"/>
        <w:rPr>
          <w:rFonts w:hint="eastAsia" w:ascii="Times New Roman" w:hAnsi="Times New Roman"/>
          <w:sz w:val="24"/>
          <w:szCs w:val="32"/>
        </w:rPr>
      </w:pPr>
      <w:r>
        <w:rPr>
          <w:rFonts w:hint="eastAsia" w:ascii="Times New Roman" w:hAnsi="Times New Roman"/>
          <w:sz w:val="24"/>
          <w:szCs w:val="32"/>
        </w:rPr>
        <w:t>（5）病死畜禽无害化处理协议；</w:t>
      </w:r>
    </w:p>
    <w:p>
      <w:pPr>
        <w:pStyle w:val="2"/>
        <w:keepNext w:val="0"/>
        <w:keepLines w:val="0"/>
        <w:pageBreakBefore w:val="0"/>
        <w:widowControl w:val="0"/>
        <w:kinsoku/>
        <w:wordWrap/>
        <w:overflowPunct/>
        <w:topLinePunct w:val="0"/>
        <w:autoSpaceDE/>
        <w:autoSpaceDN/>
        <w:bidi w:val="0"/>
        <w:adjustRightInd/>
        <w:snapToGrid w:val="0"/>
        <w:spacing w:line="540" w:lineRule="exact"/>
        <w:ind w:firstLine="480" w:firstLineChars="200"/>
        <w:textAlignment w:val="auto"/>
        <w:rPr>
          <w:rFonts w:hint="eastAsia"/>
          <w:lang w:val="en-US" w:eastAsia="zh-CN"/>
        </w:rPr>
      </w:pPr>
      <w:r>
        <w:rPr>
          <w:rFonts w:hint="eastAsia" w:ascii="Times New Roman" w:hAnsi="Times New Roman" w:eastAsia="宋体" w:cs="Times New Roman"/>
          <w:kern w:val="2"/>
          <w:sz w:val="24"/>
          <w:szCs w:val="32"/>
          <w:lang w:val="en-US" w:eastAsia="zh-CN" w:bidi="ar-SA"/>
        </w:rPr>
        <w:t>（6）土地勘测定界报告</w:t>
      </w:r>
      <w:r>
        <w:rPr>
          <w:rFonts w:hint="eastAsia" w:ascii="Times New Roman" w:hAnsi="Times New Roman" w:cs="Times New Roman"/>
          <w:kern w:val="2"/>
          <w:sz w:val="24"/>
          <w:szCs w:val="32"/>
          <w:lang w:val="en-US" w:eastAsia="zh-CN" w:bidi="ar-SA"/>
        </w:rPr>
        <w:t>；</w:t>
      </w:r>
    </w:p>
    <w:p>
      <w:pPr>
        <w:pStyle w:val="2"/>
        <w:adjustRightInd w:val="0"/>
        <w:spacing w:line="540" w:lineRule="exact"/>
        <w:ind w:firstLine="480" w:firstLineChars="200"/>
        <w:rPr>
          <w:rFonts w:hint="eastAsia" w:ascii="Times New Roman" w:hAnsi="Times New Roman" w:eastAsia="宋体"/>
          <w:sz w:val="24"/>
          <w:szCs w:val="32"/>
          <w:lang w:eastAsia="zh-CN"/>
        </w:rPr>
      </w:pPr>
      <w:r>
        <w:rPr>
          <w:rFonts w:hint="eastAsia" w:ascii="Times New Roman" w:hAnsi="Times New Roman"/>
          <w:sz w:val="24"/>
          <w:szCs w:val="32"/>
          <w:lang w:eastAsia="zh-CN"/>
        </w:rPr>
        <w:t>（</w:t>
      </w:r>
      <w:r>
        <w:rPr>
          <w:rFonts w:hint="eastAsia" w:ascii="Times New Roman" w:hAnsi="Times New Roman"/>
          <w:sz w:val="24"/>
          <w:szCs w:val="32"/>
          <w:lang w:val="en-US" w:eastAsia="zh-CN"/>
        </w:rPr>
        <w:t>7</w:t>
      </w:r>
      <w:r>
        <w:rPr>
          <w:rFonts w:hint="eastAsia" w:ascii="Times New Roman" w:hAnsi="Times New Roman"/>
          <w:sz w:val="24"/>
          <w:szCs w:val="32"/>
          <w:lang w:eastAsia="zh-CN"/>
        </w:rPr>
        <w:t>）动物防疫风险评估表和水务局说明；</w:t>
      </w:r>
    </w:p>
    <w:p>
      <w:pPr>
        <w:pStyle w:val="2"/>
        <w:adjustRightInd w:val="0"/>
        <w:spacing w:line="540" w:lineRule="exact"/>
        <w:ind w:firstLine="480" w:firstLineChars="200"/>
      </w:pPr>
      <w:r>
        <w:rPr>
          <w:rFonts w:hint="eastAsia" w:ascii="Times New Roman" w:hAnsi="Times New Roman"/>
          <w:sz w:val="24"/>
          <w:szCs w:val="32"/>
        </w:rPr>
        <w:t>（</w:t>
      </w:r>
      <w:r>
        <w:rPr>
          <w:rFonts w:hint="eastAsia" w:ascii="Times New Roman" w:hAnsi="Times New Roman"/>
          <w:sz w:val="24"/>
          <w:szCs w:val="32"/>
          <w:lang w:val="en-US" w:eastAsia="zh-CN"/>
        </w:rPr>
        <w:t>8</w:t>
      </w:r>
      <w:r>
        <w:rPr>
          <w:rFonts w:hint="eastAsia" w:ascii="Times New Roman" w:hAnsi="Times New Roman"/>
          <w:sz w:val="24"/>
          <w:szCs w:val="32"/>
        </w:rPr>
        <w:t>）</w:t>
      </w:r>
      <w:r>
        <w:rPr>
          <w:rFonts w:ascii="Times New Roman" w:hAnsi="Times New Roman"/>
          <w:sz w:val="24"/>
          <w:szCs w:val="32"/>
        </w:rPr>
        <w:t>建设单位提供的其它相关资料</w:t>
      </w:r>
      <w:r>
        <w:rPr>
          <w:rFonts w:hint="eastAsia" w:ascii="Times New Roman" w:hAnsi="Times New Roman"/>
          <w:sz w:val="24"/>
          <w:szCs w:val="32"/>
        </w:rPr>
        <w:t>。</w:t>
      </w:r>
    </w:p>
    <w:p>
      <w:pPr>
        <w:pStyle w:val="51"/>
        <w:snapToGrid w:val="0"/>
        <w:spacing w:before="120" w:beforeLines="50" w:after="120" w:afterLines="50" w:line="540" w:lineRule="exact"/>
        <w:contextualSpacing/>
        <w:rPr>
          <w:rFonts w:cs="Times New Roman"/>
          <w:bCs w:val="0"/>
          <w:snapToGrid w:val="0"/>
          <w:kern w:val="0"/>
          <w:sz w:val="30"/>
          <w:szCs w:val="30"/>
        </w:rPr>
      </w:pPr>
      <w:bookmarkStart w:id="90" w:name="_Toc25632"/>
      <w:bookmarkStart w:id="91" w:name="_Toc26455"/>
      <w:bookmarkStart w:id="92" w:name="_Toc28155"/>
      <w:bookmarkStart w:id="93" w:name="_Toc14131"/>
      <w:bookmarkStart w:id="94" w:name="_Toc27250"/>
      <w:bookmarkStart w:id="95" w:name="_Toc14530"/>
      <w:bookmarkStart w:id="96" w:name="_Toc10328"/>
      <w:bookmarkStart w:id="97" w:name="_Toc3554"/>
      <w:bookmarkStart w:id="98" w:name="_Toc10542"/>
      <w:bookmarkStart w:id="99" w:name="_Toc26024"/>
      <w:bookmarkStart w:id="100" w:name="_Toc1280"/>
      <w:bookmarkStart w:id="101" w:name="_Toc23692"/>
      <w:bookmarkStart w:id="102" w:name="_Toc387745555"/>
      <w:bookmarkStart w:id="103" w:name="_Toc491609956"/>
      <w:bookmarkStart w:id="104" w:name="_Toc299368840"/>
      <w:bookmarkStart w:id="105" w:name="_Toc332203163"/>
      <w:r>
        <w:rPr>
          <w:rFonts w:hint="eastAsia" w:cs="Times New Roman"/>
          <w:bCs w:val="0"/>
          <w:snapToGrid w:val="0"/>
          <w:kern w:val="0"/>
          <w:sz w:val="30"/>
          <w:szCs w:val="30"/>
        </w:rPr>
        <w:t>1</w:t>
      </w:r>
      <w:r>
        <w:rPr>
          <w:rFonts w:cs="Times New Roman"/>
          <w:bCs w:val="0"/>
          <w:snapToGrid w:val="0"/>
          <w:kern w:val="0"/>
          <w:sz w:val="30"/>
          <w:szCs w:val="30"/>
        </w:rPr>
        <w:t>.</w:t>
      </w:r>
      <w:bookmarkEnd w:id="90"/>
      <w:r>
        <w:rPr>
          <w:rFonts w:cs="Times New Roman"/>
          <w:bCs w:val="0"/>
          <w:snapToGrid w:val="0"/>
          <w:kern w:val="0"/>
          <w:sz w:val="30"/>
          <w:szCs w:val="30"/>
        </w:rPr>
        <w:t>2</w:t>
      </w:r>
      <w:bookmarkEnd w:id="91"/>
      <w:bookmarkEnd w:id="92"/>
      <w:r>
        <w:rPr>
          <w:rFonts w:cs="Times New Roman"/>
          <w:bCs w:val="0"/>
          <w:snapToGrid w:val="0"/>
          <w:kern w:val="0"/>
          <w:sz w:val="30"/>
          <w:szCs w:val="30"/>
        </w:rPr>
        <w:t>环境影响因素识别和评价因子筛选</w:t>
      </w:r>
      <w:bookmarkEnd w:id="93"/>
      <w:bookmarkEnd w:id="94"/>
      <w:bookmarkEnd w:id="95"/>
      <w:bookmarkEnd w:id="96"/>
      <w:bookmarkEnd w:id="97"/>
      <w:bookmarkEnd w:id="98"/>
      <w:bookmarkEnd w:id="99"/>
      <w:bookmarkEnd w:id="100"/>
      <w:bookmarkEnd w:id="101"/>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106" w:name="_Toc19637"/>
      <w:bookmarkStart w:id="107" w:name="_Toc8066"/>
      <w:bookmarkStart w:id="108" w:name="_Toc10342"/>
      <w:bookmarkStart w:id="109" w:name="_Toc27386"/>
      <w:bookmarkStart w:id="110" w:name="_Toc30973"/>
      <w:bookmarkStart w:id="111" w:name="_Toc27886"/>
      <w:bookmarkStart w:id="112" w:name="_Toc1253"/>
      <w:bookmarkStart w:id="113" w:name="_Toc5139"/>
      <w:bookmarkStart w:id="114" w:name="_Toc2822"/>
      <w:bookmarkStart w:id="115" w:name="_Toc10008"/>
      <w:r>
        <w:rPr>
          <w:rFonts w:hint="eastAsia" w:cs="Times New Roman"/>
          <w:bCs w:val="0"/>
          <w:snapToGrid w:val="0"/>
          <w:kern w:val="0"/>
          <w:sz w:val="28"/>
          <w:szCs w:val="28"/>
        </w:rPr>
        <w:t>1</w:t>
      </w:r>
      <w:r>
        <w:rPr>
          <w:rFonts w:cs="Times New Roman"/>
          <w:bCs w:val="0"/>
          <w:snapToGrid w:val="0"/>
          <w:kern w:val="0"/>
          <w:sz w:val="28"/>
          <w:szCs w:val="28"/>
        </w:rPr>
        <w:t>.2.1</w:t>
      </w:r>
      <w:bookmarkEnd w:id="106"/>
      <w:bookmarkEnd w:id="107"/>
      <w:bookmarkEnd w:id="108"/>
      <w:r>
        <w:rPr>
          <w:rFonts w:cs="Times New Roman"/>
          <w:bCs w:val="0"/>
          <w:snapToGrid w:val="0"/>
          <w:kern w:val="0"/>
          <w:sz w:val="28"/>
          <w:szCs w:val="28"/>
        </w:rPr>
        <w:t>环境影响因素识别</w:t>
      </w:r>
      <w:bookmarkEnd w:id="109"/>
      <w:bookmarkEnd w:id="110"/>
      <w:bookmarkEnd w:id="111"/>
      <w:bookmarkEnd w:id="112"/>
      <w:bookmarkEnd w:id="113"/>
      <w:bookmarkEnd w:id="114"/>
      <w:bookmarkEnd w:id="115"/>
    </w:p>
    <w:p>
      <w:pPr>
        <w:pStyle w:val="6"/>
        <w:snapToGrid w:val="0"/>
        <w:spacing w:before="120" w:after="120" w:line="540" w:lineRule="exact"/>
        <w:contextualSpacing/>
        <w:rPr>
          <w:rFonts w:ascii="Times New Roman" w:hAnsi="Times New Roman" w:eastAsia="宋体"/>
          <w:bCs w:val="0"/>
          <w:sz w:val="24"/>
        </w:rPr>
      </w:pPr>
      <w:bookmarkStart w:id="116" w:name="_Toc10690"/>
      <w:bookmarkStart w:id="117" w:name="_Toc27126"/>
      <w:bookmarkStart w:id="118" w:name="_Toc5184"/>
      <w:bookmarkStart w:id="119" w:name="_Toc18800_WPSOffice_Level2"/>
      <w:bookmarkStart w:id="120" w:name="_Toc24087_WPSOffice_Level2"/>
      <w:r>
        <w:rPr>
          <w:rFonts w:hint="eastAsia" w:ascii="Times New Roman" w:hAnsi="Times New Roman" w:eastAsia="宋体"/>
          <w:bCs w:val="0"/>
          <w:sz w:val="24"/>
        </w:rPr>
        <w:t>1</w:t>
      </w:r>
      <w:r>
        <w:rPr>
          <w:rFonts w:ascii="Times New Roman" w:hAnsi="Times New Roman" w:eastAsia="宋体"/>
          <w:bCs w:val="0"/>
          <w:sz w:val="24"/>
        </w:rPr>
        <w:t>.2.1.1施工期环境影响要素识别</w:t>
      </w:r>
      <w:bookmarkEnd w:id="116"/>
      <w:bookmarkEnd w:id="117"/>
      <w:bookmarkEnd w:id="118"/>
      <w:bookmarkEnd w:id="119"/>
      <w:bookmarkEnd w:id="120"/>
    </w:p>
    <w:p>
      <w:pPr>
        <w:pStyle w:val="2"/>
        <w:adjustRightInd w:val="0"/>
        <w:spacing w:line="540" w:lineRule="exact"/>
        <w:ind w:firstLine="480" w:firstLineChars="200"/>
        <w:rPr>
          <w:rFonts w:ascii="Times New Roman" w:hAnsi="Times New Roman"/>
          <w:bCs/>
          <w:sz w:val="24"/>
        </w:rPr>
      </w:pPr>
      <w:r>
        <w:rPr>
          <w:rFonts w:ascii="Times New Roman" w:hAnsi="Times New Roman"/>
          <w:bCs/>
          <w:sz w:val="24"/>
        </w:rPr>
        <w:t>本项目施工期对环境造成的影响因素主要有：场地平整、建筑物基础开挖，建筑物砌筑及建筑材料运输、装卸等将产生的扬尘，施工机械设备排放的废气等会对环境空气产生不利影响；施工人员产生的生活污水，建设过程中产生的生产污水对水环境产生不利影响；工程建设中各类施工机械运行和作业产生的噪声，运输车辆产生的噪声等对声环境的影响；施工人员产生的生活垃圾和工程建筑垃圾的不合理处置，会对生态环境产生影响。本项目建设施工期的环境影响具有阶段性，是短期影响，会随着施工建设阶段结束而消失。</w:t>
      </w:r>
    </w:p>
    <w:p>
      <w:pPr>
        <w:pStyle w:val="6"/>
        <w:snapToGrid w:val="0"/>
        <w:spacing w:before="120" w:after="120" w:line="540" w:lineRule="exact"/>
        <w:contextualSpacing/>
        <w:rPr>
          <w:rFonts w:ascii="Times New Roman" w:hAnsi="Times New Roman" w:eastAsia="宋体"/>
          <w:bCs w:val="0"/>
          <w:sz w:val="24"/>
        </w:rPr>
      </w:pPr>
      <w:bookmarkStart w:id="121" w:name="_Toc20348"/>
      <w:bookmarkStart w:id="122" w:name="_Toc11376_WPSOffice_Level2"/>
      <w:bookmarkStart w:id="123" w:name="_Toc23490_WPSOffice_Level2"/>
      <w:bookmarkStart w:id="124" w:name="_Toc17787"/>
      <w:bookmarkStart w:id="125" w:name="_Toc31117"/>
      <w:r>
        <w:rPr>
          <w:rFonts w:hint="eastAsia" w:ascii="Times New Roman" w:hAnsi="Times New Roman" w:eastAsia="宋体"/>
          <w:bCs w:val="0"/>
          <w:sz w:val="24"/>
        </w:rPr>
        <w:t>1</w:t>
      </w:r>
      <w:r>
        <w:rPr>
          <w:rFonts w:ascii="Times New Roman" w:hAnsi="Times New Roman" w:eastAsia="宋体"/>
          <w:bCs w:val="0"/>
          <w:sz w:val="24"/>
        </w:rPr>
        <w:t>.2.1.2营运期环境影响要素识别</w:t>
      </w:r>
      <w:bookmarkEnd w:id="121"/>
      <w:bookmarkEnd w:id="122"/>
      <w:bookmarkEnd w:id="123"/>
      <w:bookmarkEnd w:id="124"/>
      <w:bookmarkEnd w:id="125"/>
    </w:p>
    <w:p>
      <w:pPr>
        <w:pStyle w:val="2"/>
        <w:adjustRightInd w:val="0"/>
        <w:spacing w:line="540" w:lineRule="exact"/>
        <w:ind w:firstLine="480" w:firstLineChars="200"/>
        <w:rPr>
          <w:rFonts w:ascii="Times New Roman" w:hAnsi="Times New Roman"/>
          <w:bCs/>
          <w:sz w:val="24"/>
        </w:rPr>
      </w:pPr>
      <w:r>
        <w:rPr>
          <w:rFonts w:ascii="Times New Roman" w:hAnsi="Times New Roman"/>
          <w:bCs/>
          <w:sz w:val="24"/>
        </w:rPr>
        <w:t>在初步工程分析的基础上，结合本项目采用的原料和产品输送方式等技术情况，本项目各牛舍及辅助设施产污、排污途径及周围环境特点，本项目在营运期产生的主要影响识别有：</w:t>
      </w:r>
    </w:p>
    <w:p>
      <w:pPr>
        <w:pStyle w:val="2"/>
        <w:adjustRightInd w:val="0"/>
        <w:spacing w:line="540" w:lineRule="exact"/>
        <w:ind w:firstLine="480" w:firstLineChars="200"/>
        <w:rPr>
          <w:rFonts w:ascii="Times New Roman" w:hAnsi="Times New Roman"/>
          <w:bCs/>
          <w:sz w:val="24"/>
        </w:rPr>
      </w:pPr>
      <w:r>
        <w:rPr>
          <w:rFonts w:ascii="Times New Roman" w:hAnsi="Times New Roman"/>
          <w:bCs/>
          <w:sz w:val="24"/>
        </w:rPr>
        <w:t>废气包括饲料破碎加工粉尘和养殖场产生的恶臭，养殖场恶臭异味产生源主要为牛舍、</w:t>
      </w:r>
      <w:r>
        <w:rPr>
          <w:rFonts w:hint="eastAsia" w:ascii="Times New Roman" w:hAnsi="Times New Roman"/>
          <w:bCs/>
          <w:sz w:val="24"/>
        </w:rPr>
        <w:t>积</w:t>
      </w:r>
      <w:r>
        <w:rPr>
          <w:rFonts w:ascii="Times New Roman" w:hAnsi="Times New Roman"/>
          <w:bCs/>
          <w:sz w:val="24"/>
        </w:rPr>
        <w:t>粪场恶臭等；废水包括生活污水；噪声源主要包括移动式全混合日粮搅拌机、</w:t>
      </w:r>
      <w:r>
        <w:rPr>
          <w:rFonts w:hint="eastAsia" w:ascii="Times New Roman" w:hAnsi="Times New Roman"/>
          <w:bCs/>
          <w:sz w:val="24"/>
        </w:rPr>
        <w:t>粉碎机</w:t>
      </w:r>
      <w:r>
        <w:rPr>
          <w:rFonts w:ascii="Times New Roman" w:hAnsi="Times New Roman"/>
          <w:bCs/>
          <w:sz w:val="24"/>
        </w:rPr>
        <w:t>、风机、牛群活动叫声等；</w:t>
      </w:r>
      <w:r>
        <w:rPr>
          <w:rFonts w:hint="eastAsia" w:ascii="Times New Roman" w:hAnsi="Times New Roman"/>
          <w:bCs/>
          <w:sz w:val="24"/>
          <w:lang w:eastAsia="zh-CN"/>
        </w:rPr>
        <w:t>固体废物</w:t>
      </w:r>
      <w:r>
        <w:rPr>
          <w:rFonts w:ascii="Times New Roman" w:hAnsi="Times New Roman"/>
          <w:bCs/>
          <w:sz w:val="24"/>
        </w:rPr>
        <w:t>包括牛粪、病死牛尸体、兽医站少量医疗废物及生活垃圾等。以上这些影响在整个生产营运期间都长期存在，需要通过有效的环保治理措施降低其影响程度。</w:t>
      </w:r>
    </w:p>
    <w:p>
      <w:pPr>
        <w:pStyle w:val="2"/>
        <w:adjustRightInd w:val="0"/>
        <w:spacing w:line="540" w:lineRule="exact"/>
        <w:ind w:firstLine="480" w:firstLineChars="200"/>
        <w:rPr>
          <w:rFonts w:ascii="Times New Roman" w:hAnsi="Times New Roman"/>
          <w:bCs/>
          <w:sz w:val="24"/>
        </w:rPr>
      </w:pPr>
      <w:r>
        <w:rPr>
          <w:rFonts w:ascii="Times New Roman" w:hAnsi="Times New Roman"/>
          <w:bCs/>
          <w:sz w:val="24"/>
        </w:rPr>
        <w:t>根据以上分析，确定本次评价将工程建设影响划分为施工期和营运期两个方面，根据分析可知，施工期及营运期的主要不利环境影响要素为：</w:t>
      </w:r>
    </w:p>
    <w:p>
      <w:pPr>
        <w:pStyle w:val="2"/>
        <w:adjustRightInd w:val="0"/>
        <w:spacing w:line="540" w:lineRule="exact"/>
        <w:ind w:firstLine="480" w:firstLineChars="200"/>
        <w:rPr>
          <w:rFonts w:ascii="宋体" w:hAnsi="宋体" w:cs="宋体"/>
          <w:bCs/>
          <w:sz w:val="24"/>
        </w:rPr>
      </w:pPr>
      <w:bookmarkStart w:id="126" w:name="_Toc1686_WPSOffice_Level3"/>
      <w:bookmarkStart w:id="127" w:name="_Toc26174_WPSOffice_Level3"/>
      <w:bookmarkStart w:id="128" w:name="_Toc48"/>
      <w:bookmarkStart w:id="129" w:name="_Toc29158"/>
      <w:bookmarkStart w:id="130" w:name="_Toc32167"/>
      <w:bookmarkStart w:id="131" w:name="_Toc12882"/>
      <w:bookmarkStart w:id="132" w:name="_Toc2868"/>
      <w:bookmarkStart w:id="133" w:name="_Toc6259"/>
      <w:r>
        <w:rPr>
          <w:rFonts w:hint="eastAsia" w:ascii="宋体" w:hAnsi="宋体" w:cs="宋体"/>
          <w:bCs/>
          <w:sz w:val="24"/>
        </w:rPr>
        <w:t>(1)施工期场地平整产生的扬尘对周围环境的影响；</w:t>
      </w:r>
      <w:bookmarkEnd w:id="126"/>
      <w:bookmarkEnd w:id="127"/>
    </w:p>
    <w:p>
      <w:pPr>
        <w:pStyle w:val="2"/>
        <w:adjustRightInd w:val="0"/>
        <w:spacing w:line="540" w:lineRule="exact"/>
        <w:ind w:firstLine="480" w:firstLineChars="200"/>
        <w:rPr>
          <w:rFonts w:ascii="宋体" w:hAnsi="宋体" w:cs="宋体"/>
          <w:bCs/>
          <w:sz w:val="24"/>
        </w:rPr>
      </w:pPr>
      <w:r>
        <w:rPr>
          <w:rFonts w:hint="eastAsia" w:ascii="宋体" w:hAnsi="宋体" w:cs="宋体"/>
          <w:bCs/>
          <w:sz w:val="24"/>
        </w:rPr>
        <w:t>(2)施工期废水对周围环境可能产生影响；</w:t>
      </w:r>
    </w:p>
    <w:p>
      <w:pPr>
        <w:pStyle w:val="2"/>
        <w:adjustRightInd w:val="0"/>
        <w:spacing w:line="540" w:lineRule="exact"/>
        <w:ind w:firstLine="480" w:firstLineChars="200"/>
        <w:rPr>
          <w:rFonts w:ascii="宋体" w:hAnsi="宋体" w:cs="宋体"/>
          <w:bCs/>
          <w:sz w:val="24"/>
        </w:rPr>
      </w:pPr>
      <w:r>
        <w:rPr>
          <w:rFonts w:hint="eastAsia" w:ascii="宋体" w:hAnsi="宋体" w:cs="宋体"/>
          <w:bCs/>
          <w:sz w:val="24"/>
        </w:rPr>
        <w:t>(3)施工期由于施工机械产生的噪声对周围环境的影响；</w:t>
      </w:r>
    </w:p>
    <w:p>
      <w:pPr>
        <w:adjustRightInd w:val="0"/>
        <w:snapToGrid w:val="0"/>
        <w:spacing w:line="540" w:lineRule="exact"/>
        <w:ind w:firstLine="480" w:firstLineChars="200"/>
        <w:rPr>
          <w:rFonts w:ascii="宋体" w:hAnsi="宋体" w:cs="宋体"/>
          <w:kern w:val="1"/>
          <w:sz w:val="24"/>
        </w:rPr>
      </w:pPr>
      <w:r>
        <w:rPr>
          <w:rFonts w:hint="eastAsia" w:ascii="宋体" w:hAnsi="宋体" w:cs="宋体"/>
          <w:kern w:val="1"/>
          <w:sz w:val="24"/>
        </w:rPr>
        <w:t>(4)施工期固体废物对周围环境可能产生影响；</w:t>
      </w:r>
    </w:p>
    <w:p>
      <w:pPr>
        <w:adjustRightInd w:val="0"/>
        <w:snapToGrid w:val="0"/>
        <w:spacing w:line="540" w:lineRule="exact"/>
        <w:ind w:firstLine="480" w:firstLineChars="200"/>
        <w:rPr>
          <w:rFonts w:ascii="宋体" w:hAnsi="宋体" w:cs="宋体"/>
          <w:kern w:val="1"/>
          <w:sz w:val="24"/>
        </w:rPr>
      </w:pPr>
      <w:r>
        <w:rPr>
          <w:rFonts w:hint="eastAsia" w:ascii="宋体" w:hAnsi="宋体" w:cs="宋体"/>
          <w:kern w:val="1"/>
          <w:sz w:val="24"/>
        </w:rPr>
        <w:t>(5)施工期机动运输车辆、施工人员等对周围生态环境的影响；</w:t>
      </w:r>
    </w:p>
    <w:p>
      <w:pPr>
        <w:adjustRightInd w:val="0"/>
        <w:snapToGrid w:val="0"/>
        <w:spacing w:line="540" w:lineRule="exact"/>
        <w:ind w:firstLine="480" w:firstLineChars="200"/>
        <w:rPr>
          <w:rFonts w:ascii="宋体" w:hAnsi="宋体" w:cs="宋体"/>
          <w:kern w:val="1"/>
          <w:sz w:val="24"/>
        </w:rPr>
      </w:pPr>
      <w:r>
        <w:rPr>
          <w:rFonts w:hint="eastAsia" w:ascii="宋体" w:hAnsi="宋体" w:cs="宋体"/>
          <w:kern w:val="1"/>
          <w:sz w:val="24"/>
        </w:rPr>
        <w:t>(6)营运期废气对周围大气环境产生的影响；</w:t>
      </w:r>
    </w:p>
    <w:p>
      <w:pPr>
        <w:adjustRightInd w:val="0"/>
        <w:snapToGrid w:val="0"/>
        <w:spacing w:line="540" w:lineRule="exact"/>
        <w:ind w:firstLine="480" w:firstLineChars="200"/>
        <w:rPr>
          <w:rFonts w:ascii="宋体" w:hAnsi="宋体" w:cs="宋体"/>
          <w:kern w:val="1"/>
          <w:sz w:val="24"/>
        </w:rPr>
      </w:pPr>
      <w:r>
        <w:rPr>
          <w:rFonts w:hint="eastAsia" w:ascii="宋体" w:hAnsi="宋体" w:cs="宋体"/>
          <w:kern w:val="1"/>
          <w:sz w:val="24"/>
        </w:rPr>
        <w:t>(7)营运期废水对水环境产生的影响；</w:t>
      </w:r>
    </w:p>
    <w:p>
      <w:pPr>
        <w:adjustRightInd w:val="0"/>
        <w:snapToGrid w:val="0"/>
        <w:spacing w:line="540" w:lineRule="exact"/>
        <w:ind w:firstLine="480" w:firstLineChars="200"/>
        <w:rPr>
          <w:rFonts w:ascii="宋体" w:hAnsi="宋体" w:cs="宋体"/>
          <w:kern w:val="1"/>
          <w:sz w:val="24"/>
        </w:rPr>
      </w:pPr>
      <w:r>
        <w:rPr>
          <w:rFonts w:hint="eastAsia" w:ascii="宋体" w:hAnsi="宋体" w:cs="宋体"/>
          <w:kern w:val="1"/>
          <w:sz w:val="24"/>
        </w:rPr>
        <w:t>(8)营运期噪声对场区周围声环境的影响；</w:t>
      </w:r>
    </w:p>
    <w:p>
      <w:pPr>
        <w:adjustRightInd w:val="0"/>
        <w:snapToGrid w:val="0"/>
        <w:spacing w:line="540" w:lineRule="exact"/>
        <w:ind w:firstLine="480" w:firstLineChars="200"/>
        <w:rPr>
          <w:rFonts w:ascii="宋体" w:hAnsi="宋体" w:cs="宋体"/>
          <w:kern w:val="1"/>
          <w:sz w:val="24"/>
        </w:rPr>
      </w:pPr>
      <w:r>
        <w:rPr>
          <w:rFonts w:hint="eastAsia" w:ascii="宋体" w:hAnsi="宋体" w:cs="宋体"/>
          <w:kern w:val="1"/>
          <w:sz w:val="24"/>
        </w:rPr>
        <w:t>(9)营运期固体废物对周围环境的影响；</w:t>
      </w:r>
    </w:p>
    <w:p>
      <w:pPr>
        <w:adjustRightInd w:val="0"/>
        <w:snapToGrid w:val="0"/>
        <w:spacing w:line="540" w:lineRule="exact"/>
        <w:ind w:firstLine="480" w:firstLineChars="200"/>
        <w:rPr>
          <w:rFonts w:ascii="宋体" w:hAnsi="宋体" w:cs="宋体"/>
          <w:kern w:val="1"/>
          <w:sz w:val="24"/>
        </w:rPr>
      </w:pPr>
      <w:bookmarkStart w:id="134" w:name="_Toc8474_WPSOffice_Level3"/>
      <w:bookmarkStart w:id="135" w:name="_Toc8168_WPSOffice_Level3"/>
      <w:r>
        <w:rPr>
          <w:rFonts w:hint="eastAsia" w:ascii="宋体" w:hAnsi="宋体" w:cs="宋体"/>
          <w:kern w:val="1"/>
          <w:sz w:val="24"/>
        </w:rPr>
        <w:t>(10)营运期事故风险对周围环境的影响。</w:t>
      </w:r>
      <w:bookmarkEnd w:id="134"/>
      <w:bookmarkEnd w:id="135"/>
    </w:p>
    <w:p>
      <w:pPr>
        <w:adjustRightInd w:val="0"/>
        <w:snapToGrid w:val="0"/>
        <w:spacing w:line="540" w:lineRule="exact"/>
        <w:outlineLvl w:val="2"/>
        <w:rPr>
          <w:rFonts w:ascii="Times New Roman" w:hAnsi="Times New Roman"/>
          <w:bCs/>
          <w:sz w:val="28"/>
          <w:szCs w:val="28"/>
        </w:rPr>
      </w:pPr>
      <w:r>
        <w:rPr>
          <w:rFonts w:ascii="Times New Roman" w:hAnsi="Times New Roman"/>
          <w:b/>
          <w:bCs/>
          <w:snapToGrid w:val="0"/>
          <w:kern w:val="0"/>
          <w:sz w:val="28"/>
          <w:szCs w:val="28"/>
        </w:rPr>
        <w:t>1.2.2评价因子筛选</w:t>
      </w:r>
      <w:bookmarkEnd w:id="128"/>
      <w:bookmarkEnd w:id="129"/>
      <w:bookmarkEnd w:id="130"/>
      <w:bookmarkEnd w:id="131"/>
      <w:bookmarkEnd w:id="132"/>
      <w:bookmarkEnd w:id="133"/>
      <w:r>
        <w:rPr>
          <w:rFonts w:ascii="Times New Roman" w:hAnsi="Times New Roman"/>
          <w:b/>
          <w:bCs/>
          <w:sz w:val="28"/>
          <w:szCs w:val="28"/>
        </w:rPr>
        <w:t>地平整产生的扬尘对周围环境的影响</w:t>
      </w:r>
      <w:r>
        <w:rPr>
          <w:rFonts w:ascii="Times New Roman" w:hAnsi="Times New Roman"/>
          <w:bCs/>
          <w:sz w:val="28"/>
          <w:szCs w:val="28"/>
        </w:rPr>
        <w:t>；</w:t>
      </w:r>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根据环境影响评价技术导则，依据环境影响因素识别结果，结合本项目的场址选址、营运工艺特点、施工方面的因素及主要原辅材料用量、污染物排放强度、排放方式和排放去向，确定本项目各排污环节可能出现的主要污染因子见表1.2-1。</w:t>
      </w:r>
    </w:p>
    <w:p>
      <w:pPr>
        <w:adjustRightInd w:val="0"/>
        <w:snapToGrid w:val="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.2-</w:t>
      </w:r>
      <w:r>
        <w:rPr>
          <w:rFonts w:hint="eastAsia" w:ascii="Times New Roman" w:hAnsi="Times New Roman"/>
          <w:b/>
          <w:sz w:val="24"/>
        </w:rPr>
        <w:t>1</w:t>
      </w:r>
      <w:r>
        <w:rPr>
          <w:rFonts w:ascii="Times New Roman" w:hAnsi="Times New Roman"/>
          <w:b/>
          <w:sz w:val="24"/>
        </w:rPr>
        <w:t xml:space="preserve">    项目环境评价因子筛选一览表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1"/>
        <w:gridCol w:w="1087"/>
        <w:gridCol w:w="1620"/>
        <w:gridCol w:w="559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Align w:val="center"/>
          </w:tcPr>
          <w:p>
            <w:pPr>
              <w:jc w:val="center"/>
              <w:rPr>
                <w:rFonts w:ascii="Times New Roman" w:hAnsi="Times New Roman"/>
                <w:b/>
                <w:bCs/>
                <w:color w:val="000000"/>
                <w:szCs w:val="21"/>
              </w:rPr>
            </w:pPr>
            <w:r>
              <w:rPr>
                <w:rFonts w:ascii="Times New Roman" w:hAnsi="Times New Roman"/>
                <w:b/>
                <w:bCs/>
                <w:color w:val="000000"/>
                <w:szCs w:val="21"/>
              </w:rPr>
              <w:t>阶段</w:t>
            </w:r>
          </w:p>
        </w:tc>
        <w:tc>
          <w:tcPr>
            <w:tcW w:w="1087" w:type="dxa"/>
            <w:vAlign w:val="center"/>
          </w:tcPr>
          <w:p>
            <w:pPr>
              <w:jc w:val="center"/>
              <w:rPr>
                <w:rFonts w:ascii="Times New Roman" w:hAnsi="Times New Roman"/>
                <w:b/>
                <w:bCs/>
                <w:color w:val="000000"/>
                <w:szCs w:val="21"/>
              </w:rPr>
            </w:pPr>
            <w:r>
              <w:rPr>
                <w:rFonts w:ascii="Times New Roman" w:hAnsi="Times New Roman"/>
                <w:b/>
                <w:bCs/>
                <w:color w:val="000000"/>
                <w:szCs w:val="21"/>
              </w:rPr>
              <w:t>环境要素</w:t>
            </w:r>
          </w:p>
        </w:tc>
        <w:tc>
          <w:tcPr>
            <w:tcW w:w="1620" w:type="dxa"/>
            <w:vAlign w:val="center"/>
          </w:tcPr>
          <w:p>
            <w:pPr>
              <w:jc w:val="center"/>
              <w:rPr>
                <w:rFonts w:ascii="Times New Roman" w:hAnsi="Times New Roman"/>
                <w:b/>
                <w:bCs/>
                <w:color w:val="000000"/>
                <w:szCs w:val="21"/>
              </w:rPr>
            </w:pPr>
            <w:r>
              <w:rPr>
                <w:rFonts w:ascii="Times New Roman" w:hAnsi="Times New Roman"/>
                <w:b/>
                <w:bCs/>
                <w:color w:val="000000"/>
                <w:szCs w:val="21"/>
              </w:rPr>
              <w:t>评价类别</w:t>
            </w:r>
          </w:p>
        </w:tc>
        <w:tc>
          <w:tcPr>
            <w:tcW w:w="5593" w:type="dxa"/>
            <w:vAlign w:val="center"/>
          </w:tcPr>
          <w:p>
            <w:pPr>
              <w:jc w:val="center"/>
              <w:rPr>
                <w:rFonts w:ascii="Times New Roman" w:hAnsi="Times New Roman"/>
                <w:b/>
                <w:bCs/>
                <w:color w:val="000000"/>
                <w:szCs w:val="21"/>
              </w:rPr>
            </w:pPr>
            <w:r>
              <w:rPr>
                <w:rFonts w:ascii="Times New Roman" w:hAnsi="Times New Roman"/>
                <w:b/>
                <w:bCs/>
                <w:color w:val="000000"/>
                <w:szCs w:val="21"/>
              </w:rPr>
              <w:t>评价因子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restart"/>
            <w:vAlign w:val="center"/>
          </w:tcPr>
          <w:p>
            <w:pPr>
              <w:jc w:val="center"/>
              <w:rPr>
                <w:rFonts w:ascii="Times New Roman" w:hAnsi="Times New Roman"/>
                <w:bCs/>
                <w:color w:val="000000"/>
                <w:szCs w:val="21"/>
              </w:rPr>
            </w:pPr>
            <w:r>
              <w:rPr>
                <w:rFonts w:ascii="Times New Roman" w:hAnsi="Times New Roman"/>
                <w:bCs/>
                <w:color w:val="000000"/>
                <w:szCs w:val="21"/>
              </w:rPr>
              <w:t>施</w:t>
            </w:r>
          </w:p>
          <w:p>
            <w:pPr>
              <w:jc w:val="center"/>
              <w:rPr>
                <w:rFonts w:ascii="Times New Roman" w:hAnsi="Times New Roman"/>
                <w:bCs/>
                <w:color w:val="000000"/>
                <w:szCs w:val="21"/>
              </w:rPr>
            </w:pPr>
            <w:r>
              <w:rPr>
                <w:rFonts w:ascii="Times New Roman" w:hAnsi="Times New Roman"/>
                <w:bCs/>
                <w:color w:val="000000"/>
                <w:szCs w:val="21"/>
              </w:rPr>
              <w:t>工</w:t>
            </w:r>
          </w:p>
          <w:p>
            <w:pPr>
              <w:jc w:val="center"/>
              <w:rPr>
                <w:rFonts w:ascii="Times New Roman" w:hAnsi="Times New Roman"/>
                <w:bCs/>
                <w:color w:val="000000"/>
                <w:szCs w:val="21"/>
              </w:rPr>
            </w:pPr>
            <w:r>
              <w:rPr>
                <w:rFonts w:ascii="Times New Roman" w:hAnsi="Times New Roman"/>
                <w:bCs/>
                <w:color w:val="000000"/>
                <w:szCs w:val="21"/>
              </w:rPr>
              <w:t>期</w:t>
            </w:r>
          </w:p>
        </w:tc>
        <w:tc>
          <w:tcPr>
            <w:tcW w:w="1087" w:type="dxa"/>
            <w:vAlign w:val="center"/>
          </w:tcPr>
          <w:p>
            <w:pPr>
              <w:jc w:val="center"/>
              <w:rPr>
                <w:rFonts w:ascii="Times New Roman" w:hAnsi="Times New Roman"/>
                <w:color w:val="000000"/>
                <w:szCs w:val="21"/>
              </w:rPr>
            </w:pPr>
            <w:r>
              <w:rPr>
                <w:rFonts w:ascii="Times New Roman" w:hAnsi="Times New Roman"/>
                <w:color w:val="000000"/>
                <w:szCs w:val="21"/>
              </w:rPr>
              <w:t>大气环境</w:t>
            </w:r>
          </w:p>
        </w:tc>
        <w:tc>
          <w:tcPr>
            <w:tcW w:w="1620" w:type="dxa"/>
            <w:vMerge w:val="restart"/>
            <w:vAlign w:val="center"/>
          </w:tcPr>
          <w:p>
            <w:pPr>
              <w:jc w:val="center"/>
              <w:rPr>
                <w:rFonts w:ascii="Times New Roman" w:hAnsi="Times New Roman"/>
                <w:color w:val="000000"/>
                <w:szCs w:val="21"/>
              </w:rPr>
            </w:pPr>
            <w:r>
              <w:rPr>
                <w:rFonts w:ascii="Times New Roman" w:hAnsi="Times New Roman"/>
                <w:color w:val="000000"/>
                <w:szCs w:val="21"/>
              </w:rPr>
              <w:t>影响分析</w:t>
            </w:r>
          </w:p>
        </w:tc>
        <w:tc>
          <w:tcPr>
            <w:tcW w:w="5593" w:type="dxa"/>
            <w:vAlign w:val="center"/>
          </w:tcPr>
          <w:p>
            <w:pPr>
              <w:jc w:val="center"/>
              <w:rPr>
                <w:rFonts w:ascii="Times New Roman" w:hAnsi="Times New Roman"/>
                <w:color w:val="000000"/>
                <w:szCs w:val="21"/>
              </w:rPr>
            </w:pPr>
            <w:r>
              <w:rPr>
                <w:rFonts w:ascii="Times New Roman" w:hAnsi="Times New Roman"/>
                <w:color w:val="000000"/>
                <w:szCs w:val="21"/>
              </w:rPr>
              <w:t>施工扬尘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jc w:val="center"/>
              <w:rPr>
                <w:rFonts w:ascii="Times New Roman" w:hAnsi="Times New Roman"/>
                <w:bCs/>
                <w:color w:val="000000"/>
                <w:szCs w:val="21"/>
              </w:rPr>
            </w:pPr>
          </w:p>
        </w:tc>
        <w:tc>
          <w:tcPr>
            <w:tcW w:w="1087" w:type="dxa"/>
            <w:vAlign w:val="center"/>
          </w:tcPr>
          <w:p>
            <w:pPr>
              <w:jc w:val="center"/>
              <w:rPr>
                <w:rFonts w:ascii="Times New Roman" w:hAnsi="Times New Roman"/>
                <w:color w:val="000000"/>
                <w:szCs w:val="21"/>
              </w:rPr>
            </w:pPr>
            <w:r>
              <w:rPr>
                <w:rFonts w:ascii="Times New Roman" w:hAnsi="Times New Roman"/>
                <w:color w:val="000000"/>
                <w:szCs w:val="21"/>
              </w:rPr>
              <w:t>声环境</w:t>
            </w:r>
          </w:p>
        </w:tc>
        <w:tc>
          <w:tcPr>
            <w:tcW w:w="1620" w:type="dxa"/>
            <w:vMerge w:val="continue"/>
            <w:vAlign w:val="center"/>
          </w:tcPr>
          <w:p>
            <w:pPr>
              <w:jc w:val="center"/>
              <w:rPr>
                <w:rFonts w:ascii="Times New Roman" w:hAnsi="Times New Roman"/>
                <w:color w:val="000000"/>
                <w:szCs w:val="21"/>
              </w:rPr>
            </w:pPr>
          </w:p>
        </w:tc>
        <w:tc>
          <w:tcPr>
            <w:tcW w:w="5593" w:type="dxa"/>
            <w:vAlign w:val="center"/>
          </w:tcPr>
          <w:p>
            <w:pPr>
              <w:jc w:val="center"/>
              <w:rPr>
                <w:rFonts w:ascii="Times New Roman" w:hAnsi="Times New Roman"/>
                <w:color w:val="000000"/>
                <w:szCs w:val="21"/>
              </w:rPr>
            </w:pPr>
            <w:r>
              <w:rPr>
                <w:rFonts w:ascii="Times New Roman" w:hAnsi="Times New Roman"/>
                <w:color w:val="000000"/>
                <w:szCs w:val="21"/>
              </w:rPr>
              <w:t>施工场界噪声（L</w:t>
            </w:r>
            <w:r>
              <w:rPr>
                <w:rFonts w:ascii="Times New Roman" w:hAnsi="Times New Roman"/>
                <w:color w:val="000000"/>
                <w:szCs w:val="21"/>
                <w:vertAlign w:val="subscript"/>
              </w:rPr>
              <w:t>Aeq</w:t>
            </w:r>
            <w:r>
              <w:rPr>
                <w:rFonts w:ascii="Times New Roman" w:hAnsi="Times New Roman"/>
                <w:color w:val="00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jc w:val="center"/>
              <w:rPr>
                <w:rFonts w:ascii="Times New Roman" w:hAnsi="Times New Roman"/>
                <w:bCs/>
                <w:color w:val="000000"/>
                <w:szCs w:val="21"/>
              </w:rPr>
            </w:pPr>
          </w:p>
        </w:tc>
        <w:tc>
          <w:tcPr>
            <w:tcW w:w="1087" w:type="dxa"/>
            <w:vAlign w:val="center"/>
          </w:tcPr>
          <w:p>
            <w:pPr>
              <w:jc w:val="center"/>
              <w:rPr>
                <w:rFonts w:ascii="Times New Roman" w:hAnsi="Times New Roman"/>
                <w:color w:val="000000"/>
                <w:szCs w:val="21"/>
              </w:rPr>
            </w:pPr>
            <w:r>
              <w:rPr>
                <w:rFonts w:ascii="Times New Roman" w:hAnsi="Times New Roman"/>
                <w:color w:val="000000"/>
                <w:szCs w:val="21"/>
              </w:rPr>
              <w:t>水环境</w:t>
            </w:r>
          </w:p>
        </w:tc>
        <w:tc>
          <w:tcPr>
            <w:tcW w:w="1620" w:type="dxa"/>
            <w:vMerge w:val="continue"/>
            <w:vAlign w:val="center"/>
          </w:tcPr>
          <w:p>
            <w:pPr>
              <w:jc w:val="center"/>
              <w:rPr>
                <w:rFonts w:ascii="Times New Roman" w:hAnsi="Times New Roman"/>
                <w:color w:val="000000"/>
                <w:szCs w:val="21"/>
              </w:rPr>
            </w:pPr>
          </w:p>
        </w:tc>
        <w:tc>
          <w:tcPr>
            <w:tcW w:w="5593" w:type="dxa"/>
            <w:vAlign w:val="center"/>
          </w:tcPr>
          <w:p>
            <w:pPr>
              <w:jc w:val="center"/>
              <w:rPr>
                <w:rFonts w:ascii="Times New Roman" w:hAnsi="Times New Roman"/>
                <w:color w:val="000000"/>
                <w:szCs w:val="21"/>
              </w:rPr>
            </w:pPr>
            <w:r>
              <w:rPr>
                <w:rFonts w:ascii="Times New Roman" w:hAnsi="Times New Roman"/>
                <w:color w:val="000000"/>
                <w:szCs w:val="21"/>
              </w:rPr>
              <w:t>施工废水、生活废水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jc w:val="center"/>
              <w:rPr>
                <w:rFonts w:ascii="Times New Roman" w:hAnsi="Times New Roman"/>
                <w:bCs/>
                <w:color w:val="000000"/>
                <w:szCs w:val="21"/>
              </w:rPr>
            </w:pPr>
          </w:p>
        </w:tc>
        <w:tc>
          <w:tcPr>
            <w:tcW w:w="1087" w:type="dxa"/>
            <w:vAlign w:val="center"/>
          </w:tcPr>
          <w:p>
            <w:pPr>
              <w:jc w:val="center"/>
              <w:rPr>
                <w:rFonts w:ascii="Times New Roman" w:hAnsi="Times New Roman"/>
                <w:color w:val="000000"/>
                <w:szCs w:val="21"/>
              </w:rPr>
            </w:pPr>
            <w:r>
              <w:rPr>
                <w:rFonts w:ascii="Times New Roman" w:hAnsi="Times New Roman"/>
                <w:color w:val="000000"/>
                <w:szCs w:val="21"/>
              </w:rPr>
              <w:t>固体废物</w:t>
            </w:r>
          </w:p>
        </w:tc>
        <w:tc>
          <w:tcPr>
            <w:tcW w:w="1620" w:type="dxa"/>
            <w:vMerge w:val="continue"/>
            <w:vAlign w:val="center"/>
          </w:tcPr>
          <w:p>
            <w:pPr>
              <w:jc w:val="center"/>
              <w:rPr>
                <w:rFonts w:ascii="Times New Roman" w:hAnsi="Times New Roman"/>
                <w:color w:val="000000"/>
                <w:szCs w:val="21"/>
              </w:rPr>
            </w:pPr>
          </w:p>
        </w:tc>
        <w:tc>
          <w:tcPr>
            <w:tcW w:w="5593" w:type="dxa"/>
            <w:vAlign w:val="center"/>
          </w:tcPr>
          <w:p>
            <w:pPr>
              <w:jc w:val="center"/>
              <w:rPr>
                <w:rFonts w:ascii="Times New Roman" w:hAnsi="Times New Roman"/>
                <w:color w:val="000000"/>
                <w:szCs w:val="21"/>
              </w:rPr>
            </w:pPr>
            <w:r>
              <w:rPr>
                <w:rFonts w:ascii="Times New Roman" w:hAnsi="Times New Roman"/>
                <w:color w:val="000000"/>
                <w:szCs w:val="21"/>
              </w:rPr>
              <w:t>建筑垃圾、弃土、生活垃圾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jc w:val="center"/>
              <w:rPr>
                <w:rFonts w:ascii="Times New Roman" w:hAnsi="Times New Roman"/>
                <w:bCs/>
                <w:color w:val="000000"/>
                <w:szCs w:val="21"/>
              </w:rPr>
            </w:pPr>
          </w:p>
        </w:tc>
        <w:tc>
          <w:tcPr>
            <w:tcW w:w="1087" w:type="dxa"/>
            <w:vAlign w:val="center"/>
          </w:tcPr>
          <w:p>
            <w:pPr>
              <w:jc w:val="center"/>
              <w:rPr>
                <w:rFonts w:ascii="Times New Roman" w:hAnsi="Times New Roman"/>
                <w:color w:val="000000"/>
                <w:szCs w:val="21"/>
              </w:rPr>
            </w:pPr>
            <w:r>
              <w:rPr>
                <w:rFonts w:ascii="Times New Roman" w:hAnsi="Times New Roman"/>
                <w:color w:val="000000"/>
                <w:szCs w:val="21"/>
              </w:rPr>
              <w:t>生态环境</w:t>
            </w:r>
          </w:p>
        </w:tc>
        <w:tc>
          <w:tcPr>
            <w:tcW w:w="1620" w:type="dxa"/>
            <w:vMerge w:val="continue"/>
            <w:vAlign w:val="center"/>
          </w:tcPr>
          <w:p>
            <w:pPr>
              <w:jc w:val="center"/>
              <w:rPr>
                <w:rFonts w:ascii="Times New Roman" w:hAnsi="Times New Roman"/>
                <w:color w:val="000000"/>
                <w:szCs w:val="21"/>
              </w:rPr>
            </w:pPr>
          </w:p>
        </w:tc>
        <w:tc>
          <w:tcPr>
            <w:tcW w:w="5593" w:type="dxa"/>
            <w:vAlign w:val="center"/>
          </w:tcPr>
          <w:p>
            <w:pPr>
              <w:jc w:val="center"/>
              <w:rPr>
                <w:rFonts w:ascii="Times New Roman" w:hAnsi="Times New Roman"/>
                <w:color w:val="000000"/>
                <w:szCs w:val="21"/>
              </w:rPr>
            </w:pPr>
            <w:r>
              <w:rPr>
                <w:rFonts w:ascii="Times New Roman" w:hAnsi="Times New Roman"/>
                <w:color w:val="000000"/>
                <w:szCs w:val="21"/>
              </w:rPr>
              <w:t>植被、水土流失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restart"/>
            <w:vAlign w:val="center"/>
          </w:tcPr>
          <w:p>
            <w:pPr>
              <w:ind w:right="-26"/>
              <w:jc w:val="center"/>
              <w:rPr>
                <w:rFonts w:ascii="Times New Roman" w:hAnsi="Times New Roman"/>
                <w:bCs/>
                <w:color w:val="000000"/>
                <w:szCs w:val="21"/>
              </w:rPr>
            </w:pPr>
            <w:bookmarkStart w:id="136" w:name="_Toc108232574"/>
            <w:bookmarkStart w:id="137" w:name="_Toc107017776"/>
            <w:bookmarkStart w:id="138" w:name="_Toc107198585"/>
            <w:bookmarkStart w:id="139" w:name="_Toc108866881"/>
            <w:bookmarkStart w:id="140" w:name="_Toc138133780"/>
            <w:bookmarkStart w:id="141" w:name="_Toc107623022"/>
            <w:bookmarkStart w:id="142" w:name="_Toc130883558"/>
            <w:bookmarkStart w:id="143" w:name="_Toc107994828"/>
            <w:bookmarkStart w:id="144" w:name="_Toc107198794"/>
            <w:bookmarkStart w:id="145" w:name="_Toc140304622"/>
            <w:bookmarkStart w:id="146" w:name="_Toc130812439"/>
            <w:bookmarkStart w:id="147" w:name="_Toc107018168"/>
            <w:bookmarkStart w:id="148" w:name="_Toc137911609"/>
            <w:bookmarkStart w:id="149" w:name="_Toc107017971"/>
            <w:bookmarkStart w:id="150" w:name="_Toc130886263"/>
            <w:bookmarkStart w:id="151" w:name="_Toc107018069"/>
            <w:bookmarkStart w:id="152" w:name="_Toc107017654"/>
            <w:r>
              <w:rPr>
                <w:rFonts w:ascii="Times New Roman" w:hAnsi="Times New Roman"/>
                <w:bCs/>
                <w:color w:val="000000"/>
                <w:szCs w:val="21"/>
              </w:rPr>
              <w:t>运</w:t>
            </w:r>
          </w:p>
          <w:p>
            <w:pPr>
              <w:ind w:right="-26"/>
              <w:jc w:val="center"/>
              <w:rPr>
                <w:rFonts w:ascii="Times New Roman" w:hAnsi="Times New Roman"/>
                <w:bCs/>
                <w:color w:val="000000"/>
                <w:szCs w:val="21"/>
              </w:rPr>
            </w:pPr>
            <w:r>
              <w:rPr>
                <w:rFonts w:ascii="Times New Roman" w:hAnsi="Times New Roman"/>
                <w:bCs/>
                <w:color w:val="000000"/>
                <w:szCs w:val="21"/>
              </w:rPr>
              <w:t>营</w:t>
            </w:r>
          </w:p>
          <w:p>
            <w:pPr>
              <w:ind w:right="-26"/>
              <w:jc w:val="center"/>
              <w:rPr>
                <w:rFonts w:ascii="Times New Roman" w:hAnsi="Times New Roman"/>
                <w:bCs/>
                <w:color w:val="000000"/>
                <w:szCs w:val="21"/>
              </w:rPr>
            </w:pPr>
            <w:r>
              <w:rPr>
                <w:rFonts w:ascii="Times New Roman" w:hAnsi="Times New Roman"/>
                <w:bCs/>
                <w:color w:val="000000"/>
                <w:szCs w:val="21"/>
              </w:rPr>
              <w:t>期</w:t>
            </w:r>
          </w:p>
        </w:tc>
        <w:tc>
          <w:tcPr>
            <w:tcW w:w="1087" w:type="dxa"/>
            <w:vMerge w:val="restart"/>
            <w:vAlign w:val="center"/>
          </w:tcPr>
          <w:p>
            <w:pPr>
              <w:ind w:right="-26"/>
              <w:jc w:val="center"/>
              <w:rPr>
                <w:rFonts w:ascii="Times New Roman" w:hAnsi="Times New Roman"/>
                <w:color w:val="000000"/>
                <w:szCs w:val="21"/>
              </w:rPr>
            </w:pPr>
            <w:r>
              <w:rPr>
                <w:rFonts w:ascii="Times New Roman" w:hAnsi="Times New Roman"/>
                <w:color w:val="000000"/>
                <w:szCs w:val="21"/>
              </w:rPr>
              <w:t>环境空气</w:t>
            </w:r>
          </w:p>
        </w:tc>
        <w:tc>
          <w:tcPr>
            <w:tcW w:w="1620" w:type="dxa"/>
            <w:vAlign w:val="center"/>
          </w:tcPr>
          <w:p>
            <w:pPr>
              <w:jc w:val="center"/>
              <w:rPr>
                <w:rFonts w:ascii="Times New Roman" w:hAnsi="Times New Roman"/>
                <w:color w:val="000000"/>
                <w:szCs w:val="21"/>
              </w:rPr>
            </w:pPr>
            <w:r>
              <w:rPr>
                <w:rFonts w:ascii="Times New Roman" w:hAnsi="Times New Roman"/>
                <w:color w:val="000000"/>
                <w:szCs w:val="21"/>
              </w:rPr>
              <w:t>现状评价</w:t>
            </w:r>
          </w:p>
        </w:tc>
        <w:tc>
          <w:tcPr>
            <w:tcW w:w="5593" w:type="dxa"/>
            <w:vAlign w:val="center"/>
          </w:tcPr>
          <w:p>
            <w:pPr>
              <w:jc w:val="left"/>
              <w:rPr>
                <w:rFonts w:ascii="Times New Roman" w:hAnsi="Times New Roman"/>
                <w:color w:val="000000"/>
                <w:szCs w:val="21"/>
              </w:rPr>
            </w:pPr>
            <w:r>
              <w:rPr>
                <w:rFonts w:ascii="Times New Roman" w:hAnsi="Times New Roman"/>
                <w:color w:val="000000"/>
                <w:szCs w:val="21"/>
              </w:rPr>
              <w:t>PM</w:t>
            </w:r>
            <w:r>
              <w:rPr>
                <w:rFonts w:ascii="Times New Roman" w:hAnsi="Times New Roman"/>
                <w:color w:val="000000"/>
                <w:szCs w:val="21"/>
                <w:vertAlign w:val="subscript"/>
              </w:rPr>
              <w:t>2.5</w:t>
            </w:r>
            <w:r>
              <w:rPr>
                <w:rFonts w:ascii="Times New Roman" w:hAnsi="Times New Roman"/>
                <w:color w:val="000000"/>
                <w:szCs w:val="21"/>
              </w:rPr>
              <w:t>、PM</w:t>
            </w:r>
            <w:r>
              <w:rPr>
                <w:rFonts w:ascii="Times New Roman" w:hAnsi="Times New Roman"/>
                <w:color w:val="000000"/>
                <w:szCs w:val="21"/>
                <w:vertAlign w:val="subscript"/>
              </w:rPr>
              <w:t>10</w:t>
            </w:r>
            <w:r>
              <w:rPr>
                <w:rFonts w:ascii="Times New Roman" w:hAnsi="Times New Roman"/>
                <w:color w:val="000000"/>
                <w:szCs w:val="21"/>
              </w:rPr>
              <w:t>、SO</w:t>
            </w:r>
            <w:r>
              <w:rPr>
                <w:rFonts w:ascii="Times New Roman" w:hAnsi="Times New Roman"/>
                <w:color w:val="000000"/>
                <w:szCs w:val="21"/>
                <w:vertAlign w:val="subscript"/>
              </w:rPr>
              <w:t>2</w:t>
            </w:r>
            <w:r>
              <w:rPr>
                <w:rFonts w:ascii="Times New Roman" w:hAnsi="Times New Roman"/>
                <w:color w:val="000000"/>
                <w:szCs w:val="21"/>
              </w:rPr>
              <w:t>、NO</w:t>
            </w:r>
            <w:r>
              <w:rPr>
                <w:rFonts w:ascii="Times New Roman" w:hAnsi="Times New Roman"/>
                <w:color w:val="000000"/>
                <w:szCs w:val="21"/>
                <w:vertAlign w:val="subscript"/>
              </w:rPr>
              <w:t>2</w:t>
            </w:r>
            <w:r>
              <w:rPr>
                <w:rFonts w:ascii="Times New Roman" w:hAnsi="Times New Roman"/>
                <w:color w:val="000000"/>
                <w:szCs w:val="21"/>
              </w:rPr>
              <w:t>、CO、O</w:t>
            </w:r>
            <w:r>
              <w:rPr>
                <w:rFonts w:ascii="Times New Roman" w:hAnsi="Times New Roman"/>
                <w:color w:val="000000"/>
                <w:szCs w:val="21"/>
                <w:vertAlign w:val="subscript"/>
              </w:rPr>
              <w:t>3</w:t>
            </w:r>
            <w:r>
              <w:rPr>
                <w:rFonts w:ascii="Times New Roman" w:hAnsi="Times New Roman"/>
                <w:color w:val="000000"/>
                <w:kern w:val="0"/>
                <w:szCs w:val="21"/>
              </w:rPr>
              <w:t>、NH</w:t>
            </w:r>
            <w:r>
              <w:rPr>
                <w:rFonts w:ascii="Times New Roman" w:hAnsi="Times New Roman"/>
                <w:color w:val="000000"/>
                <w:kern w:val="0"/>
                <w:szCs w:val="21"/>
                <w:vertAlign w:val="subscript"/>
              </w:rPr>
              <w:t>3</w:t>
            </w:r>
            <w:r>
              <w:rPr>
                <w:rFonts w:ascii="Times New Roman" w:hAnsi="Times New Roman"/>
                <w:color w:val="000000"/>
                <w:kern w:val="0"/>
                <w:szCs w:val="21"/>
              </w:rPr>
              <w:t>、</w:t>
            </w:r>
            <w:r>
              <w:rPr>
                <w:rFonts w:ascii="Times New Roman" w:hAnsi="Times New Roman"/>
                <w:bCs/>
                <w:color w:val="000000"/>
                <w:szCs w:val="21"/>
              </w:rPr>
              <w:t>H</w:t>
            </w:r>
            <w:r>
              <w:rPr>
                <w:rFonts w:ascii="Times New Roman" w:hAnsi="Times New Roman"/>
                <w:bCs/>
                <w:color w:val="000000"/>
                <w:szCs w:val="21"/>
                <w:vertAlign w:val="subscript"/>
              </w:rPr>
              <w:t>2</w:t>
            </w:r>
            <w:r>
              <w:rPr>
                <w:rFonts w:ascii="Times New Roman" w:hAnsi="Times New Roman"/>
                <w:bCs/>
                <w:color w:val="000000"/>
                <w:szCs w:val="21"/>
              </w:rPr>
              <w:t>S</w:t>
            </w:r>
            <w:r>
              <w:rPr>
                <w:rFonts w:ascii="Times New Roman" w:hAnsi="Times New Roman"/>
                <w:color w:val="000000"/>
                <w:szCs w:val="21"/>
              </w:rPr>
              <w:t>、臭气浓度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ind w:right="-26"/>
              <w:jc w:val="center"/>
              <w:rPr>
                <w:rFonts w:ascii="Times New Roman" w:hAnsi="Times New Roman"/>
                <w:bCs/>
                <w:color w:val="000000"/>
                <w:szCs w:val="21"/>
              </w:rPr>
            </w:pPr>
          </w:p>
        </w:tc>
        <w:tc>
          <w:tcPr>
            <w:tcW w:w="1087" w:type="dxa"/>
            <w:vMerge w:val="continue"/>
            <w:vAlign w:val="center"/>
          </w:tcPr>
          <w:p>
            <w:pPr>
              <w:ind w:right="-26"/>
              <w:jc w:val="center"/>
              <w:rPr>
                <w:rFonts w:ascii="Times New Roman" w:hAnsi="Times New Roman"/>
                <w:color w:val="000000"/>
                <w:szCs w:val="21"/>
              </w:rPr>
            </w:pPr>
          </w:p>
        </w:tc>
        <w:tc>
          <w:tcPr>
            <w:tcW w:w="1620" w:type="dxa"/>
            <w:vAlign w:val="center"/>
          </w:tcPr>
          <w:p>
            <w:pPr>
              <w:jc w:val="center"/>
              <w:rPr>
                <w:rFonts w:ascii="Times New Roman" w:hAnsi="Times New Roman"/>
                <w:color w:val="000000"/>
                <w:szCs w:val="21"/>
              </w:rPr>
            </w:pPr>
            <w:r>
              <w:rPr>
                <w:rFonts w:ascii="Times New Roman" w:hAnsi="Times New Roman"/>
                <w:color w:val="000000"/>
                <w:szCs w:val="21"/>
              </w:rPr>
              <w:t>影响评价</w:t>
            </w:r>
          </w:p>
        </w:tc>
        <w:tc>
          <w:tcPr>
            <w:tcW w:w="5593" w:type="dxa"/>
            <w:vAlign w:val="center"/>
          </w:tcPr>
          <w:p>
            <w:pPr>
              <w:jc w:val="left"/>
              <w:rPr>
                <w:rFonts w:ascii="Times New Roman" w:hAnsi="Times New Roman"/>
                <w:color w:val="000000"/>
                <w:spacing w:val="-10"/>
                <w:szCs w:val="21"/>
              </w:rPr>
            </w:pPr>
            <w:r>
              <w:rPr>
                <w:rFonts w:hint="eastAsia" w:ascii="Times New Roman" w:hAnsi="Times New Roman"/>
                <w:color w:val="000000"/>
                <w:szCs w:val="21"/>
              </w:rPr>
              <w:t>TSP、PM</w:t>
            </w:r>
            <w:r>
              <w:rPr>
                <w:rFonts w:hint="eastAsia" w:ascii="Times New Roman" w:hAnsi="Times New Roman"/>
                <w:color w:val="000000"/>
                <w:szCs w:val="21"/>
                <w:vertAlign w:val="subscript"/>
              </w:rPr>
              <w:t>10</w:t>
            </w:r>
            <w:r>
              <w:rPr>
                <w:rFonts w:ascii="Times New Roman" w:hAnsi="Times New Roman"/>
                <w:color w:val="000000"/>
                <w:szCs w:val="21"/>
              </w:rPr>
              <w:t>、</w:t>
            </w:r>
            <w:r>
              <w:rPr>
                <w:rFonts w:ascii="Times New Roman" w:hAnsi="Times New Roman"/>
                <w:color w:val="000000"/>
                <w:kern w:val="0"/>
                <w:szCs w:val="21"/>
              </w:rPr>
              <w:t>NH</w:t>
            </w:r>
            <w:r>
              <w:rPr>
                <w:rFonts w:ascii="Times New Roman" w:hAnsi="Times New Roman"/>
                <w:color w:val="000000"/>
                <w:kern w:val="0"/>
                <w:szCs w:val="21"/>
                <w:vertAlign w:val="subscript"/>
              </w:rPr>
              <w:t>3</w:t>
            </w:r>
            <w:r>
              <w:rPr>
                <w:rFonts w:ascii="Times New Roman" w:hAnsi="Times New Roman"/>
                <w:color w:val="000000"/>
                <w:kern w:val="0"/>
                <w:szCs w:val="21"/>
              </w:rPr>
              <w:t>、</w:t>
            </w:r>
            <w:r>
              <w:rPr>
                <w:rFonts w:ascii="Times New Roman" w:hAnsi="Times New Roman"/>
                <w:bCs/>
                <w:color w:val="000000"/>
                <w:szCs w:val="21"/>
              </w:rPr>
              <w:t>H</w:t>
            </w:r>
            <w:r>
              <w:rPr>
                <w:rFonts w:ascii="Times New Roman" w:hAnsi="Times New Roman"/>
                <w:bCs/>
                <w:color w:val="000000"/>
                <w:szCs w:val="21"/>
                <w:vertAlign w:val="subscript"/>
              </w:rPr>
              <w:t>2</w:t>
            </w:r>
            <w:r>
              <w:rPr>
                <w:rFonts w:ascii="Times New Roman" w:hAnsi="Times New Roman"/>
                <w:bCs/>
                <w:color w:val="000000"/>
                <w:szCs w:val="21"/>
              </w:rPr>
              <w:t>S</w:t>
            </w:r>
            <w:r>
              <w:rPr>
                <w:rFonts w:ascii="Times New Roman" w:hAnsi="Times New Roman"/>
                <w:color w:val="000000"/>
                <w:szCs w:val="21"/>
              </w:rPr>
              <w:t>、臭气浓度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ind w:right="-26"/>
              <w:jc w:val="center"/>
              <w:rPr>
                <w:rFonts w:ascii="Times New Roman" w:hAnsi="Times New Roman"/>
                <w:bCs/>
                <w:color w:val="000000"/>
                <w:szCs w:val="21"/>
              </w:rPr>
            </w:pPr>
          </w:p>
        </w:tc>
        <w:tc>
          <w:tcPr>
            <w:tcW w:w="1087" w:type="dxa"/>
            <w:vMerge w:val="continue"/>
            <w:vAlign w:val="center"/>
          </w:tcPr>
          <w:p>
            <w:pPr>
              <w:ind w:right="-26"/>
              <w:jc w:val="center"/>
              <w:rPr>
                <w:rFonts w:ascii="Times New Roman" w:hAnsi="Times New Roman"/>
                <w:color w:val="000000"/>
                <w:szCs w:val="21"/>
              </w:rPr>
            </w:pPr>
          </w:p>
        </w:tc>
        <w:tc>
          <w:tcPr>
            <w:tcW w:w="1620" w:type="dxa"/>
            <w:vAlign w:val="center"/>
          </w:tcPr>
          <w:p>
            <w:pPr>
              <w:jc w:val="center"/>
              <w:rPr>
                <w:rFonts w:ascii="Times New Roman" w:hAnsi="Times New Roman"/>
                <w:color w:val="000000"/>
                <w:szCs w:val="21"/>
              </w:rPr>
            </w:pPr>
            <w:r>
              <w:rPr>
                <w:rFonts w:ascii="Times New Roman" w:hAnsi="Times New Roman"/>
                <w:color w:val="000000"/>
                <w:szCs w:val="21"/>
              </w:rPr>
              <w:t>总量控制建议</w:t>
            </w:r>
          </w:p>
          <w:p>
            <w:pPr>
              <w:jc w:val="center"/>
              <w:rPr>
                <w:rFonts w:ascii="Times New Roman" w:hAnsi="Times New Roman"/>
                <w:color w:val="000000"/>
                <w:szCs w:val="21"/>
              </w:rPr>
            </w:pPr>
            <w:r>
              <w:rPr>
                <w:rFonts w:ascii="Times New Roman" w:hAnsi="Times New Roman"/>
                <w:color w:val="000000"/>
                <w:szCs w:val="21"/>
              </w:rPr>
              <w:t>指标</w:t>
            </w:r>
          </w:p>
        </w:tc>
        <w:tc>
          <w:tcPr>
            <w:tcW w:w="5593" w:type="dxa"/>
            <w:vAlign w:val="center"/>
          </w:tcPr>
          <w:p>
            <w:pPr>
              <w:jc w:val="left"/>
              <w:rPr>
                <w:rFonts w:ascii="Times New Roman" w:hAnsi="Times New Roman"/>
                <w:color w:val="000000"/>
                <w:szCs w:val="21"/>
              </w:rPr>
            </w:pPr>
            <w:r>
              <w:rPr>
                <w:rFonts w:hint="eastAsia" w:ascii="Times New Roman" w:hAnsi="Times New Roman"/>
                <w:color w:val="00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ind w:right="-26"/>
              <w:jc w:val="center"/>
              <w:rPr>
                <w:rFonts w:ascii="Times New Roman" w:hAnsi="Times New Roman"/>
                <w:bCs/>
                <w:color w:val="000000"/>
                <w:szCs w:val="21"/>
              </w:rPr>
            </w:pPr>
          </w:p>
        </w:tc>
        <w:tc>
          <w:tcPr>
            <w:tcW w:w="1087" w:type="dxa"/>
            <w:vMerge w:val="restart"/>
            <w:vAlign w:val="center"/>
          </w:tcPr>
          <w:p>
            <w:pPr>
              <w:ind w:right="-26"/>
              <w:jc w:val="center"/>
              <w:rPr>
                <w:rFonts w:ascii="Times New Roman" w:hAnsi="Times New Roman"/>
                <w:color w:val="000000"/>
                <w:szCs w:val="21"/>
              </w:rPr>
            </w:pPr>
            <w:r>
              <w:rPr>
                <w:rFonts w:ascii="Times New Roman" w:hAnsi="Times New Roman"/>
                <w:color w:val="000000"/>
                <w:szCs w:val="21"/>
              </w:rPr>
              <w:t>地下水</w:t>
            </w:r>
          </w:p>
        </w:tc>
        <w:tc>
          <w:tcPr>
            <w:tcW w:w="1620" w:type="dxa"/>
            <w:vAlign w:val="center"/>
          </w:tcPr>
          <w:p>
            <w:pPr>
              <w:jc w:val="center"/>
              <w:rPr>
                <w:rFonts w:ascii="Times New Roman" w:hAnsi="Times New Roman"/>
                <w:color w:val="000000"/>
                <w:szCs w:val="21"/>
              </w:rPr>
            </w:pPr>
            <w:r>
              <w:rPr>
                <w:rFonts w:ascii="Times New Roman" w:hAnsi="Times New Roman"/>
                <w:color w:val="000000"/>
                <w:szCs w:val="21"/>
              </w:rPr>
              <w:t>现状评价</w:t>
            </w:r>
          </w:p>
        </w:tc>
        <w:tc>
          <w:tcPr>
            <w:tcW w:w="5593" w:type="dxa"/>
            <w:vAlign w:val="center"/>
          </w:tcPr>
          <w:p>
            <w:pPr>
              <w:jc w:val="left"/>
              <w:rPr>
                <w:rFonts w:ascii="Times New Roman" w:hAnsi="Times New Roman"/>
                <w:color w:val="000000"/>
                <w:szCs w:val="21"/>
              </w:rPr>
            </w:pPr>
            <w:r>
              <w:rPr>
                <w:rFonts w:ascii="Times New Roman" w:hAnsi="Times New Roman"/>
                <w:color w:val="000000"/>
                <w:kern w:val="0"/>
                <w:szCs w:val="21"/>
              </w:rPr>
              <w:t>pH、氨氮、硝酸盐、亚硝酸盐、挥发性酚类、氰化物、砷、汞、铬(六价)、总硬度、铅、氟、镉、铁、锰、溶解性总固体、</w:t>
            </w:r>
            <w:r>
              <w:rPr>
                <w:rFonts w:hint="eastAsia" w:ascii="Times New Roman" w:hAnsi="Times New Roman"/>
                <w:color w:val="000000"/>
                <w:kern w:val="0"/>
                <w:szCs w:val="21"/>
              </w:rPr>
              <w:t>耗氧量</w:t>
            </w:r>
            <w:r>
              <w:rPr>
                <w:rFonts w:ascii="Times New Roman" w:hAnsi="Times New Roman"/>
                <w:color w:val="000000"/>
                <w:kern w:val="0"/>
                <w:szCs w:val="21"/>
              </w:rPr>
              <w:t>、硫酸盐、氯化物、总大肠菌群、细菌总数、甲苯、K</w:t>
            </w:r>
            <w:r>
              <w:rPr>
                <w:rFonts w:ascii="Times New Roman" w:hAnsi="Times New Roman"/>
                <w:color w:val="000000"/>
                <w:kern w:val="0"/>
                <w:szCs w:val="21"/>
                <w:vertAlign w:val="superscript"/>
              </w:rPr>
              <w:t>+</w:t>
            </w:r>
            <w:r>
              <w:rPr>
                <w:rFonts w:ascii="Times New Roman" w:hAnsi="Times New Roman"/>
                <w:color w:val="000000"/>
                <w:kern w:val="0"/>
                <w:szCs w:val="21"/>
              </w:rPr>
              <w:t>、Na</w:t>
            </w:r>
            <w:r>
              <w:rPr>
                <w:rFonts w:ascii="Times New Roman" w:hAnsi="Times New Roman"/>
                <w:color w:val="000000"/>
                <w:kern w:val="0"/>
                <w:szCs w:val="21"/>
                <w:vertAlign w:val="superscript"/>
              </w:rPr>
              <w:t>+</w:t>
            </w:r>
            <w:r>
              <w:rPr>
                <w:rFonts w:ascii="Times New Roman" w:hAnsi="Times New Roman"/>
                <w:color w:val="000000"/>
                <w:kern w:val="0"/>
                <w:szCs w:val="21"/>
              </w:rPr>
              <w:t>、Ca</w:t>
            </w:r>
            <w:r>
              <w:rPr>
                <w:rFonts w:ascii="Times New Roman" w:hAnsi="Times New Roman"/>
                <w:color w:val="000000"/>
                <w:kern w:val="0"/>
                <w:szCs w:val="21"/>
                <w:vertAlign w:val="superscript"/>
              </w:rPr>
              <w:t>2+</w:t>
            </w:r>
            <w:r>
              <w:rPr>
                <w:rFonts w:ascii="Times New Roman" w:hAnsi="Times New Roman"/>
                <w:color w:val="000000"/>
                <w:kern w:val="0"/>
                <w:szCs w:val="21"/>
              </w:rPr>
              <w:t>、Mg</w:t>
            </w:r>
            <w:r>
              <w:rPr>
                <w:rFonts w:ascii="Times New Roman" w:hAnsi="Times New Roman"/>
                <w:color w:val="000000"/>
                <w:kern w:val="0"/>
                <w:szCs w:val="21"/>
                <w:vertAlign w:val="superscript"/>
              </w:rPr>
              <w:t>2+</w:t>
            </w:r>
            <w:r>
              <w:rPr>
                <w:rFonts w:ascii="Times New Roman" w:hAnsi="Times New Roman"/>
                <w:color w:val="000000"/>
                <w:kern w:val="0"/>
                <w:szCs w:val="21"/>
              </w:rPr>
              <w:t>、CO</w:t>
            </w:r>
            <w:r>
              <w:rPr>
                <w:rFonts w:ascii="Times New Roman" w:hAnsi="Times New Roman"/>
                <w:color w:val="000000"/>
                <w:kern w:val="0"/>
                <w:szCs w:val="21"/>
                <w:vertAlign w:val="subscript"/>
              </w:rPr>
              <w:t>3</w:t>
            </w:r>
            <w:r>
              <w:rPr>
                <w:rFonts w:ascii="Times New Roman" w:hAnsi="Times New Roman"/>
                <w:color w:val="000000"/>
                <w:kern w:val="0"/>
                <w:szCs w:val="21"/>
                <w:vertAlign w:val="superscript"/>
              </w:rPr>
              <w:t>2-</w:t>
            </w:r>
            <w:r>
              <w:rPr>
                <w:rFonts w:ascii="Times New Roman" w:hAnsi="Times New Roman"/>
                <w:color w:val="000000"/>
                <w:kern w:val="0"/>
                <w:szCs w:val="21"/>
              </w:rPr>
              <w:t>、HCO</w:t>
            </w:r>
            <w:r>
              <w:rPr>
                <w:rFonts w:ascii="Times New Roman" w:hAnsi="Times New Roman"/>
                <w:color w:val="000000"/>
                <w:kern w:val="0"/>
                <w:szCs w:val="21"/>
                <w:vertAlign w:val="superscript"/>
              </w:rPr>
              <w:t>3-</w:t>
            </w:r>
            <w:r>
              <w:rPr>
                <w:rFonts w:ascii="Times New Roman" w:hAnsi="Times New Roman"/>
                <w:color w:val="000000"/>
                <w:kern w:val="0"/>
                <w:szCs w:val="21"/>
              </w:rPr>
              <w:t>、Cl-、SO</w:t>
            </w:r>
            <w:r>
              <w:rPr>
                <w:rFonts w:ascii="Times New Roman" w:hAnsi="Times New Roman"/>
                <w:color w:val="000000"/>
                <w:kern w:val="0"/>
                <w:szCs w:val="21"/>
                <w:vertAlign w:val="subscript"/>
              </w:rPr>
              <w:t>4</w:t>
            </w:r>
            <w:r>
              <w:rPr>
                <w:rFonts w:ascii="Times New Roman" w:hAnsi="Times New Roman"/>
                <w:color w:val="000000"/>
                <w:kern w:val="0"/>
                <w:szCs w:val="21"/>
              </w:rPr>
              <w:t>离子浓度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ind w:right="-26"/>
              <w:jc w:val="center"/>
              <w:rPr>
                <w:rFonts w:ascii="Times New Roman" w:hAnsi="Times New Roman"/>
                <w:bCs/>
                <w:color w:val="000000"/>
                <w:szCs w:val="21"/>
              </w:rPr>
            </w:pPr>
          </w:p>
        </w:tc>
        <w:tc>
          <w:tcPr>
            <w:tcW w:w="1087" w:type="dxa"/>
            <w:vMerge w:val="continue"/>
            <w:vAlign w:val="center"/>
          </w:tcPr>
          <w:p>
            <w:pPr>
              <w:ind w:right="-26"/>
              <w:jc w:val="center"/>
              <w:rPr>
                <w:rFonts w:ascii="Times New Roman" w:hAnsi="Times New Roman"/>
                <w:color w:val="000000"/>
                <w:szCs w:val="21"/>
              </w:rPr>
            </w:pPr>
          </w:p>
        </w:tc>
        <w:tc>
          <w:tcPr>
            <w:tcW w:w="1620" w:type="dxa"/>
            <w:vAlign w:val="center"/>
          </w:tcPr>
          <w:p>
            <w:pPr>
              <w:jc w:val="center"/>
              <w:rPr>
                <w:rFonts w:ascii="Times New Roman" w:hAnsi="Times New Roman"/>
                <w:color w:val="000000"/>
                <w:szCs w:val="21"/>
              </w:rPr>
            </w:pPr>
            <w:r>
              <w:rPr>
                <w:rFonts w:ascii="Times New Roman" w:hAnsi="Times New Roman"/>
                <w:color w:val="000000"/>
                <w:szCs w:val="21"/>
              </w:rPr>
              <w:t>影响评价</w:t>
            </w:r>
          </w:p>
        </w:tc>
        <w:tc>
          <w:tcPr>
            <w:tcW w:w="5593" w:type="dxa"/>
            <w:vAlign w:val="center"/>
          </w:tcPr>
          <w:p>
            <w:pPr>
              <w:jc w:val="left"/>
              <w:rPr>
                <w:rFonts w:hint="default" w:ascii="Times New Roman" w:hAnsi="Times New Roman" w:eastAsia="宋体"/>
                <w:color w:val="000000"/>
                <w:szCs w:val="21"/>
                <w:lang w:val="en-US" w:eastAsia="zh-CN"/>
              </w:rPr>
            </w:pPr>
            <w:r>
              <w:rPr>
                <w:rFonts w:ascii="Times New Roman" w:hAnsi="Times New Roman"/>
                <w:color w:val="000000"/>
                <w:kern w:val="0"/>
                <w:szCs w:val="21"/>
                <w:highlight w:val="none"/>
              </w:rPr>
              <w:t>NH</w:t>
            </w:r>
            <w:r>
              <w:rPr>
                <w:rFonts w:ascii="Times New Roman" w:hAnsi="Times New Roman"/>
                <w:color w:val="000000"/>
                <w:kern w:val="0"/>
                <w:szCs w:val="21"/>
                <w:highlight w:val="none"/>
                <w:vertAlign w:val="subscript"/>
              </w:rPr>
              <w:t>3</w:t>
            </w:r>
            <w:r>
              <w:rPr>
                <w:rFonts w:ascii="Times New Roman" w:hAnsi="Times New Roman"/>
                <w:color w:val="000000"/>
                <w:kern w:val="0"/>
                <w:szCs w:val="21"/>
                <w:highlight w:val="none"/>
              </w:rPr>
              <w:t>-N、</w:t>
            </w:r>
            <w:r>
              <w:rPr>
                <w:rFonts w:ascii="Times New Roman" w:hAnsi="Times New Roman"/>
                <w:color w:val="000000"/>
                <w:szCs w:val="21"/>
                <w:highlight w:val="none"/>
              </w:rPr>
              <w:t>COD</w:t>
            </w:r>
            <w:r>
              <w:rPr>
                <w:rFonts w:hint="eastAsia" w:ascii="Times New Roman" w:hAnsi="Times New Roman"/>
                <w:color w:val="000000"/>
                <w:szCs w:val="21"/>
                <w:highlight w:val="none"/>
                <w:lang w:eastAsia="zh-CN"/>
              </w:rPr>
              <w:t>、</w:t>
            </w:r>
            <w:r>
              <w:rPr>
                <w:rFonts w:hint="eastAsia" w:ascii="Times New Roman" w:hAnsi="Times New Roman"/>
                <w:color w:val="000000"/>
                <w:szCs w:val="21"/>
                <w:highlight w:val="none"/>
                <w:lang w:val="en-US" w:eastAsia="zh-CN"/>
              </w:rPr>
              <w:t>BOD、SS</w:t>
            </w:r>
          </w:p>
        </w:tc>
      </w:t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ind w:right="-26"/>
              <w:jc w:val="center"/>
              <w:rPr>
                <w:rFonts w:ascii="Times New Roman" w:hAnsi="Times New Roman"/>
                <w:bCs/>
                <w:color w:val="000000"/>
                <w:szCs w:val="21"/>
              </w:rPr>
            </w:pPr>
          </w:p>
        </w:tc>
        <w:tc>
          <w:tcPr>
            <w:tcW w:w="1087" w:type="dxa"/>
            <w:vMerge w:val="restart"/>
            <w:vAlign w:val="center"/>
          </w:tcPr>
          <w:p>
            <w:pPr>
              <w:ind w:right="-26"/>
              <w:jc w:val="center"/>
              <w:rPr>
                <w:rFonts w:ascii="Times New Roman" w:hAnsi="Times New Roman"/>
                <w:color w:val="000000"/>
                <w:szCs w:val="21"/>
              </w:rPr>
            </w:pPr>
            <w:r>
              <w:rPr>
                <w:rFonts w:ascii="Times New Roman" w:hAnsi="Times New Roman"/>
                <w:color w:val="000000"/>
                <w:szCs w:val="21"/>
              </w:rPr>
              <w:t>地表水</w:t>
            </w:r>
          </w:p>
        </w:tc>
        <w:tc>
          <w:tcPr>
            <w:tcW w:w="1620" w:type="dxa"/>
            <w:vAlign w:val="center"/>
          </w:tcPr>
          <w:p>
            <w:pPr>
              <w:jc w:val="center"/>
              <w:rPr>
                <w:rFonts w:ascii="Times New Roman" w:hAnsi="Times New Roman"/>
                <w:color w:val="000000"/>
                <w:szCs w:val="21"/>
              </w:rPr>
            </w:pPr>
            <w:r>
              <w:rPr>
                <w:rFonts w:ascii="Times New Roman" w:hAnsi="Times New Roman"/>
                <w:color w:val="000000"/>
                <w:szCs w:val="21"/>
              </w:rPr>
              <w:t>现状评价</w:t>
            </w:r>
          </w:p>
        </w:tc>
        <w:tc>
          <w:tcPr>
            <w:tcW w:w="5593" w:type="dxa"/>
            <w:vAlign w:val="center"/>
          </w:tcPr>
          <w:p>
            <w:pPr>
              <w:jc w:val="left"/>
              <w:rPr>
                <w:rFonts w:ascii="Times New Roman" w:hAnsi="Times New Roman"/>
                <w:color w:val="000000"/>
                <w:szCs w:val="21"/>
              </w:rPr>
            </w:pPr>
            <w:r>
              <w:rPr>
                <w:rFonts w:ascii="Times New Roman" w:hAnsi="Times New Roman"/>
                <w:bCs/>
                <w:kern w:val="0"/>
                <w:szCs w:val="21"/>
              </w:rPr>
              <w:t>水温、pH、溶解氧、高锰酸盐指数、COD、BOD</w:t>
            </w:r>
            <w:r>
              <w:rPr>
                <w:rFonts w:ascii="Times New Roman" w:hAnsi="Times New Roman"/>
                <w:bCs/>
                <w:kern w:val="0"/>
                <w:szCs w:val="21"/>
                <w:vertAlign w:val="subscript"/>
              </w:rPr>
              <w:t>5</w:t>
            </w:r>
            <w:r>
              <w:rPr>
                <w:rFonts w:ascii="Times New Roman" w:hAnsi="Times New Roman"/>
                <w:bCs/>
                <w:kern w:val="0"/>
                <w:szCs w:val="21"/>
              </w:rPr>
              <w:t>、</w:t>
            </w:r>
            <w:r>
              <w:rPr>
                <w:rFonts w:ascii="Times New Roman" w:hAnsi="Times New Roman"/>
                <w:szCs w:val="21"/>
              </w:rPr>
              <w:t>NH</w:t>
            </w:r>
            <w:r>
              <w:rPr>
                <w:rFonts w:ascii="Times New Roman" w:hAnsi="Times New Roman"/>
                <w:szCs w:val="21"/>
                <w:vertAlign w:val="subscript"/>
              </w:rPr>
              <w:t>3</w:t>
            </w:r>
            <w:r>
              <w:rPr>
                <w:rFonts w:ascii="Times New Roman" w:hAnsi="Times New Roman"/>
                <w:szCs w:val="21"/>
              </w:rPr>
              <w:t>-N</w:t>
            </w:r>
            <w:r>
              <w:rPr>
                <w:rFonts w:ascii="Times New Roman" w:hAnsi="Times New Roman"/>
                <w:bCs/>
                <w:kern w:val="0"/>
                <w:szCs w:val="21"/>
              </w:rPr>
              <w:t>、总氮、总磷、铜、锌、氟化物、硒、砷、汞、镉、铬、铅、氰化物、挥发酚、石油类、阴离子表面活性剂、硫化物、粪大肠菌群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jc w:val="center"/>
              <w:rPr>
                <w:rFonts w:ascii="Times New Roman" w:hAnsi="Times New Roman"/>
                <w:color w:val="000000"/>
                <w:szCs w:val="21"/>
              </w:rPr>
            </w:pPr>
          </w:p>
        </w:tc>
        <w:tc>
          <w:tcPr>
            <w:tcW w:w="1087" w:type="dxa"/>
            <w:vMerge w:val="continue"/>
            <w:vAlign w:val="center"/>
          </w:tcPr>
          <w:p>
            <w:pPr>
              <w:ind w:right="-26"/>
              <w:jc w:val="center"/>
              <w:rPr>
                <w:rFonts w:ascii="Times New Roman" w:hAnsi="Times New Roman"/>
                <w:color w:val="000000"/>
                <w:szCs w:val="21"/>
              </w:rPr>
            </w:pPr>
          </w:p>
        </w:tc>
        <w:tc>
          <w:tcPr>
            <w:tcW w:w="1620" w:type="dxa"/>
            <w:vAlign w:val="center"/>
          </w:tcPr>
          <w:p>
            <w:pPr>
              <w:jc w:val="center"/>
              <w:rPr>
                <w:rFonts w:ascii="Times New Roman" w:hAnsi="Times New Roman"/>
                <w:color w:val="000000"/>
                <w:szCs w:val="21"/>
              </w:rPr>
            </w:pPr>
            <w:r>
              <w:rPr>
                <w:rFonts w:ascii="Times New Roman" w:hAnsi="Times New Roman"/>
                <w:color w:val="000000"/>
                <w:szCs w:val="21"/>
              </w:rPr>
              <w:t>影响评价</w:t>
            </w:r>
          </w:p>
        </w:tc>
        <w:tc>
          <w:tcPr>
            <w:tcW w:w="5593" w:type="dxa"/>
            <w:vAlign w:val="center"/>
          </w:tcPr>
          <w:p>
            <w:pPr>
              <w:jc w:val="left"/>
              <w:rPr>
                <w:rFonts w:ascii="Times New Roman" w:hAnsi="Times New Roman"/>
                <w:color w:val="000000"/>
                <w:szCs w:val="21"/>
              </w:rPr>
            </w:pPr>
            <w:r>
              <w:rPr>
                <w:rFonts w:ascii="Times New Roman" w:hAnsi="Times New Roman"/>
                <w:color w:val="000000"/>
                <w:szCs w:val="21"/>
              </w:rPr>
              <w:t>BOD</w:t>
            </w:r>
            <w:r>
              <w:rPr>
                <w:rFonts w:ascii="Times New Roman" w:hAnsi="Times New Roman"/>
                <w:color w:val="000000"/>
                <w:szCs w:val="21"/>
                <w:vertAlign w:val="subscript"/>
              </w:rPr>
              <w:t>5</w:t>
            </w:r>
            <w:r>
              <w:rPr>
                <w:rFonts w:ascii="Times New Roman" w:hAnsi="Times New Roman"/>
                <w:color w:val="000000"/>
                <w:szCs w:val="21"/>
              </w:rPr>
              <w:t>、COD、SS、NH</w:t>
            </w:r>
            <w:r>
              <w:rPr>
                <w:rFonts w:ascii="Times New Roman" w:hAnsi="Times New Roman"/>
                <w:color w:val="000000"/>
                <w:szCs w:val="21"/>
                <w:vertAlign w:val="subscript"/>
              </w:rPr>
              <w:t>3</w:t>
            </w:r>
            <w:r>
              <w:rPr>
                <w:rFonts w:ascii="Times New Roman" w:hAnsi="Times New Roman"/>
                <w:color w:val="000000"/>
                <w:szCs w:val="21"/>
              </w:rPr>
              <w:t>-N、TP、粪大肠菌群数、蛔虫卵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jc w:val="center"/>
              <w:rPr>
                <w:rFonts w:ascii="Times New Roman" w:hAnsi="Times New Roman"/>
                <w:color w:val="000000"/>
                <w:szCs w:val="21"/>
              </w:rPr>
            </w:pPr>
          </w:p>
        </w:tc>
        <w:tc>
          <w:tcPr>
            <w:tcW w:w="1087" w:type="dxa"/>
            <w:vMerge w:val="continue"/>
            <w:vAlign w:val="center"/>
          </w:tcPr>
          <w:p>
            <w:pPr>
              <w:ind w:right="-26"/>
              <w:jc w:val="center"/>
              <w:rPr>
                <w:rFonts w:ascii="Times New Roman" w:hAnsi="Times New Roman"/>
                <w:color w:val="000000"/>
                <w:szCs w:val="21"/>
              </w:rPr>
            </w:pPr>
          </w:p>
        </w:tc>
        <w:tc>
          <w:tcPr>
            <w:tcW w:w="1620" w:type="dxa"/>
            <w:vAlign w:val="center"/>
          </w:tcPr>
          <w:p>
            <w:pPr>
              <w:jc w:val="center"/>
              <w:rPr>
                <w:rFonts w:ascii="Times New Roman" w:hAnsi="Times New Roman"/>
                <w:color w:val="000000"/>
                <w:szCs w:val="21"/>
              </w:rPr>
            </w:pPr>
            <w:r>
              <w:rPr>
                <w:rFonts w:ascii="Times New Roman" w:hAnsi="Times New Roman"/>
                <w:color w:val="000000"/>
                <w:szCs w:val="21"/>
              </w:rPr>
              <w:t>总量控制建议指标</w:t>
            </w:r>
          </w:p>
        </w:tc>
        <w:tc>
          <w:tcPr>
            <w:tcW w:w="5593" w:type="dxa"/>
            <w:vAlign w:val="center"/>
          </w:tcPr>
          <w:p>
            <w:pPr>
              <w:jc w:val="left"/>
              <w:rPr>
                <w:rFonts w:ascii="Times New Roman" w:hAnsi="Times New Roman"/>
                <w:color w:val="000000"/>
                <w:szCs w:val="21"/>
              </w:rPr>
            </w:pPr>
            <w:r>
              <w:rPr>
                <w:rFonts w:ascii="Times New Roman" w:hAnsi="Times New Roman"/>
                <w:color w:val="000000"/>
                <w:szCs w:val="21"/>
              </w:rPr>
              <w:t>COD、NH</w:t>
            </w:r>
            <w:r>
              <w:rPr>
                <w:rFonts w:ascii="Times New Roman" w:hAnsi="Times New Roman"/>
                <w:color w:val="000000"/>
                <w:szCs w:val="21"/>
                <w:vertAlign w:val="subscript"/>
              </w:rPr>
              <w:t>3</w:t>
            </w:r>
            <w:r>
              <w:rPr>
                <w:rFonts w:ascii="Times New Roman" w:hAnsi="Times New Roman"/>
                <w:color w:val="000000"/>
                <w:szCs w:val="21"/>
              </w:rPr>
              <w:t>-N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jc w:val="center"/>
              <w:rPr>
                <w:rFonts w:ascii="Times New Roman" w:hAnsi="Times New Roman"/>
                <w:color w:val="000000"/>
                <w:szCs w:val="21"/>
              </w:rPr>
            </w:pPr>
          </w:p>
        </w:tc>
        <w:tc>
          <w:tcPr>
            <w:tcW w:w="1087" w:type="dxa"/>
            <w:vMerge w:val="restart"/>
            <w:vAlign w:val="center"/>
          </w:tcPr>
          <w:p>
            <w:pPr>
              <w:ind w:right="-26"/>
              <w:jc w:val="center"/>
              <w:rPr>
                <w:rFonts w:ascii="Times New Roman" w:hAnsi="Times New Roman"/>
                <w:szCs w:val="21"/>
              </w:rPr>
            </w:pPr>
            <w:r>
              <w:rPr>
                <w:rFonts w:ascii="Times New Roman" w:hAnsi="Times New Roman"/>
                <w:szCs w:val="21"/>
              </w:rPr>
              <w:t>声环境</w:t>
            </w:r>
          </w:p>
        </w:tc>
        <w:tc>
          <w:tcPr>
            <w:tcW w:w="1620" w:type="dxa"/>
            <w:vAlign w:val="center"/>
          </w:tcPr>
          <w:p>
            <w:pPr>
              <w:jc w:val="center"/>
              <w:rPr>
                <w:rFonts w:ascii="Times New Roman" w:hAnsi="Times New Roman"/>
                <w:szCs w:val="21"/>
              </w:rPr>
            </w:pPr>
            <w:r>
              <w:rPr>
                <w:rFonts w:ascii="Times New Roman" w:hAnsi="Times New Roman"/>
                <w:szCs w:val="21"/>
              </w:rPr>
              <w:t>现状评价</w:t>
            </w:r>
          </w:p>
        </w:tc>
        <w:tc>
          <w:tcPr>
            <w:tcW w:w="5593" w:type="dxa"/>
            <w:vAlign w:val="center"/>
          </w:tcPr>
          <w:p>
            <w:pPr>
              <w:jc w:val="left"/>
              <w:rPr>
                <w:rFonts w:ascii="Times New Roman" w:hAnsi="Times New Roman"/>
                <w:szCs w:val="21"/>
              </w:rPr>
            </w:pPr>
            <w:r>
              <w:rPr>
                <w:rFonts w:ascii="Times New Roman" w:hAnsi="Times New Roman"/>
                <w:szCs w:val="21"/>
              </w:rPr>
              <w:t>等效连续A声级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jc w:val="center"/>
              <w:rPr>
                <w:rFonts w:ascii="Times New Roman" w:hAnsi="Times New Roman"/>
                <w:color w:val="FF0000"/>
                <w:szCs w:val="21"/>
              </w:rPr>
            </w:pPr>
          </w:p>
        </w:tc>
        <w:tc>
          <w:tcPr>
            <w:tcW w:w="1087" w:type="dxa"/>
            <w:vMerge w:val="continue"/>
            <w:vAlign w:val="center"/>
          </w:tcPr>
          <w:p>
            <w:pPr>
              <w:ind w:right="-26"/>
              <w:jc w:val="center"/>
              <w:rPr>
                <w:rFonts w:ascii="Times New Roman" w:hAnsi="Times New Roman"/>
                <w:szCs w:val="21"/>
              </w:rPr>
            </w:pPr>
          </w:p>
        </w:tc>
        <w:tc>
          <w:tcPr>
            <w:tcW w:w="1620" w:type="dxa"/>
            <w:vAlign w:val="center"/>
          </w:tcPr>
          <w:p>
            <w:pPr>
              <w:jc w:val="center"/>
              <w:rPr>
                <w:rFonts w:ascii="Times New Roman" w:hAnsi="Times New Roman"/>
                <w:szCs w:val="21"/>
              </w:rPr>
            </w:pPr>
            <w:r>
              <w:rPr>
                <w:rFonts w:ascii="Times New Roman" w:hAnsi="Times New Roman"/>
                <w:szCs w:val="21"/>
              </w:rPr>
              <w:t>影响评价</w:t>
            </w:r>
          </w:p>
        </w:tc>
        <w:tc>
          <w:tcPr>
            <w:tcW w:w="5593" w:type="dxa"/>
            <w:vAlign w:val="center"/>
          </w:tcPr>
          <w:p>
            <w:pPr>
              <w:ind w:right="-105" w:rightChars="-50"/>
              <w:jc w:val="left"/>
              <w:rPr>
                <w:rFonts w:ascii="Times New Roman" w:hAnsi="Times New Roman"/>
                <w:szCs w:val="21"/>
              </w:rPr>
            </w:pPr>
            <w:r>
              <w:rPr>
                <w:rFonts w:ascii="Times New Roman" w:hAnsi="Times New Roman"/>
                <w:szCs w:val="21"/>
              </w:rPr>
              <w:t>等效连续A声级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jc w:val="center"/>
              <w:rPr>
                <w:rFonts w:ascii="Times New Roman" w:hAnsi="Times New Roman"/>
                <w:color w:val="FF0000"/>
                <w:szCs w:val="21"/>
              </w:rPr>
            </w:pPr>
          </w:p>
        </w:tc>
        <w:tc>
          <w:tcPr>
            <w:tcW w:w="1087" w:type="dxa"/>
            <w:vAlign w:val="center"/>
          </w:tcPr>
          <w:p>
            <w:pPr>
              <w:ind w:right="-26"/>
              <w:jc w:val="center"/>
              <w:rPr>
                <w:rFonts w:ascii="Times New Roman" w:hAnsi="Times New Roman"/>
                <w:szCs w:val="21"/>
              </w:rPr>
            </w:pPr>
            <w:r>
              <w:rPr>
                <w:rFonts w:ascii="Times New Roman" w:hAnsi="Times New Roman"/>
                <w:szCs w:val="21"/>
              </w:rPr>
              <w:t>固体废物</w:t>
            </w:r>
          </w:p>
        </w:tc>
        <w:tc>
          <w:tcPr>
            <w:tcW w:w="1620" w:type="dxa"/>
            <w:vAlign w:val="center"/>
          </w:tcPr>
          <w:p>
            <w:pPr>
              <w:jc w:val="center"/>
              <w:rPr>
                <w:rFonts w:ascii="Times New Roman" w:hAnsi="Times New Roman"/>
                <w:szCs w:val="21"/>
              </w:rPr>
            </w:pPr>
            <w:r>
              <w:rPr>
                <w:rFonts w:ascii="Times New Roman" w:hAnsi="Times New Roman"/>
                <w:szCs w:val="21"/>
              </w:rPr>
              <w:t>影响评价</w:t>
            </w:r>
          </w:p>
        </w:tc>
        <w:tc>
          <w:tcPr>
            <w:tcW w:w="5593" w:type="dxa"/>
            <w:vAlign w:val="center"/>
          </w:tcPr>
          <w:p>
            <w:pPr>
              <w:ind w:left="-105" w:leftChars="-50" w:right="-105" w:rightChars="-50"/>
              <w:jc w:val="left"/>
              <w:rPr>
                <w:rFonts w:ascii="Times New Roman" w:hAnsi="Times New Roman"/>
                <w:szCs w:val="21"/>
              </w:rPr>
            </w:pPr>
            <w:r>
              <w:rPr>
                <w:rFonts w:ascii="Times New Roman" w:hAnsi="Times New Roman"/>
                <w:snapToGrid w:val="0"/>
                <w:kern w:val="0"/>
                <w:szCs w:val="21"/>
              </w:rPr>
              <w:t>生活垃圾、</w:t>
            </w:r>
            <w:r>
              <w:rPr>
                <w:rFonts w:ascii="Times New Roman" w:hAnsi="Times New Roman"/>
                <w:szCs w:val="21"/>
              </w:rPr>
              <w:t>牛粪及垫土、病死牛尸体</w:t>
            </w:r>
            <w:r>
              <w:rPr>
                <w:rFonts w:hint="eastAsia" w:ascii="Times New Roman" w:hAnsi="Times New Roman"/>
                <w:szCs w:val="21"/>
                <w:lang w:eastAsia="zh-CN"/>
              </w:rPr>
              <w:t>及胎盘</w:t>
            </w:r>
            <w:r>
              <w:rPr>
                <w:rFonts w:ascii="Times New Roman" w:hAnsi="Times New Roman"/>
                <w:szCs w:val="21"/>
              </w:rPr>
              <w:t>、医疗垃圾、废包装袋、生活垃圾</w:t>
            </w:r>
            <w:r>
              <w:rPr>
                <w:rFonts w:ascii="Times New Roman" w:hAnsi="Times New Roman"/>
                <w:snapToGrid w:val="0"/>
                <w:kern w:val="0"/>
                <w:szCs w:val="21"/>
              </w:rPr>
              <w:t>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ind w:right="-26"/>
              <w:jc w:val="center"/>
              <w:rPr>
                <w:rFonts w:ascii="Times New Roman" w:hAnsi="Times New Roman"/>
                <w:color w:val="FF0000"/>
                <w:szCs w:val="21"/>
              </w:rPr>
            </w:pPr>
          </w:p>
        </w:tc>
        <w:tc>
          <w:tcPr>
            <w:tcW w:w="1087" w:type="dxa"/>
            <w:vAlign w:val="center"/>
          </w:tcPr>
          <w:p>
            <w:pPr>
              <w:ind w:right="-26"/>
              <w:jc w:val="center"/>
              <w:rPr>
                <w:rFonts w:ascii="Times New Roman" w:hAnsi="Times New Roman"/>
                <w:szCs w:val="21"/>
              </w:rPr>
            </w:pPr>
            <w:r>
              <w:rPr>
                <w:rFonts w:ascii="Times New Roman" w:hAnsi="Times New Roman"/>
                <w:szCs w:val="21"/>
              </w:rPr>
              <w:t>土壤环境</w:t>
            </w:r>
          </w:p>
        </w:tc>
        <w:tc>
          <w:tcPr>
            <w:tcW w:w="1620" w:type="dxa"/>
            <w:vAlign w:val="center"/>
          </w:tcPr>
          <w:p>
            <w:pPr>
              <w:jc w:val="center"/>
              <w:rPr>
                <w:rFonts w:ascii="Times New Roman" w:hAnsi="Times New Roman"/>
                <w:szCs w:val="21"/>
              </w:rPr>
            </w:pPr>
            <w:r>
              <w:rPr>
                <w:rFonts w:ascii="Times New Roman" w:hAnsi="Times New Roman"/>
                <w:szCs w:val="21"/>
              </w:rPr>
              <w:t>现状评价</w:t>
            </w:r>
          </w:p>
        </w:tc>
        <w:tc>
          <w:tcPr>
            <w:tcW w:w="5593" w:type="dxa"/>
            <w:vAlign w:val="center"/>
          </w:tcPr>
          <w:p>
            <w:pPr>
              <w:ind w:left="-105" w:leftChars="-50" w:right="-105" w:rightChars="-50"/>
              <w:jc w:val="left"/>
              <w:rPr>
                <w:rFonts w:ascii="Times New Roman" w:hAnsi="Times New Roman"/>
                <w:szCs w:val="21"/>
              </w:rPr>
            </w:pPr>
            <w:r>
              <w:rPr>
                <w:rFonts w:ascii="Times New Roman" w:hAnsi="Times New Roman"/>
                <w:szCs w:val="21"/>
              </w:rPr>
              <w:t>pH、镉、汞、砷、铅、铬、铜、镍、锌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ind w:right="-26"/>
              <w:jc w:val="center"/>
              <w:rPr>
                <w:rFonts w:ascii="Times New Roman" w:hAnsi="Times New Roman"/>
                <w:color w:val="FF0000"/>
                <w:szCs w:val="21"/>
              </w:rPr>
            </w:pPr>
          </w:p>
        </w:tc>
        <w:tc>
          <w:tcPr>
            <w:tcW w:w="1087" w:type="dxa"/>
            <w:vMerge w:val="restart"/>
            <w:vAlign w:val="center"/>
          </w:tcPr>
          <w:p>
            <w:pPr>
              <w:ind w:right="-26"/>
              <w:jc w:val="center"/>
              <w:rPr>
                <w:rFonts w:ascii="Times New Roman" w:hAnsi="Times New Roman"/>
                <w:szCs w:val="21"/>
              </w:rPr>
            </w:pPr>
            <w:r>
              <w:rPr>
                <w:rFonts w:ascii="Times New Roman" w:hAnsi="Times New Roman"/>
                <w:szCs w:val="21"/>
              </w:rPr>
              <w:t>生态环境</w:t>
            </w:r>
          </w:p>
        </w:tc>
        <w:tc>
          <w:tcPr>
            <w:tcW w:w="1620" w:type="dxa"/>
            <w:vAlign w:val="center"/>
          </w:tcPr>
          <w:p>
            <w:pPr>
              <w:jc w:val="center"/>
              <w:rPr>
                <w:rFonts w:hint="eastAsia" w:ascii="Times New Roman" w:hAnsi="Times New Roman" w:eastAsia="宋体"/>
                <w:szCs w:val="21"/>
                <w:lang w:eastAsia="zh-CN"/>
              </w:rPr>
            </w:pPr>
            <w:r>
              <w:rPr>
                <w:rFonts w:hint="eastAsia" w:ascii="Times New Roman" w:hAnsi="Times New Roman"/>
                <w:szCs w:val="21"/>
                <w:lang w:eastAsia="zh-CN"/>
              </w:rPr>
              <w:t>物种</w:t>
            </w:r>
          </w:p>
        </w:tc>
        <w:tc>
          <w:tcPr>
            <w:tcW w:w="5593" w:type="dxa"/>
            <w:vAlign w:val="center"/>
          </w:tcPr>
          <w:p>
            <w:pPr>
              <w:ind w:left="-105" w:leftChars="-50" w:right="-105" w:rightChars="-50"/>
              <w:jc w:val="left"/>
              <w:rPr>
                <w:rFonts w:hint="eastAsia" w:ascii="Times New Roman" w:hAnsi="Times New Roman" w:eastAsia="宋体"/>
                <w:szCs w:val="21"/>
                <w:lang w:eastAsia="zh-CN"/>
              </w:rPr>
            </w:pPr>
            <w:r>
              <w:rPr>
                <w:rFonts w:hint="eastAsia" w:ascii="Times New Roman" w:hAnsi="Times New Roman"/>
                <w:szCs w:val="21"/>
                <w:lang w:eastAsia="zh-CN"/>
              </w:rPr>
              <w:t>分布范围、种群数量、种群结构、行为等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ind w:right="-26"/>
              <w:jc w:val="center"/>
              <w:rPr>
                <w:rFonts w:ascii="Times New Roman" w:hAnsi="Times New Roman"/>
                <w:color w:val="FF0000"/>
                <w:szCs w:val="21"/>
              </w:rPr>
            </w:pPr>
            <w:bookmarkStart w:id="153" w:name="_Toc31472"/>
            <w:bookmarkStart w:id="154" w:name="_Toc4941_WPSOffice_Level1"/>
            <w:bookmarkStart w:id="155" w:name="_Toc21435"/>
            <w:bookmarkStart w:id="156" w:name="_Toc7054_WPSOffice_Level1"/>
            <w:bookmarkStart w:id="157" w:name="_Toc15978"/>
            <w:bookmarkStart w:id="158" w:name="_Toc17756"/>
            <w:bookmarkStart w:id="159" w:name="_Toc4849"/>
            <w:bookmarkStart w:id="160" w:name="_Toc20975"/>
            <w:bookmarkStart w:id="161" w:name="_Toc25543"/>
            <w:bookmarkStart w:id="162" w:name="_Toc12058"/>
            <w:bookmarkStart w:id="163" w:name="_Toc8972"/>
            <w:bookmarkStart w:id="164" w:name="_Toc19519"/>
            <w:bookmarkStart w:id="165" w:name="_Toc9989"/>
            <w:bookmarkStart w:id="166" w:name="_Toc10223"/>
            <w:bookmarkStart w:id="167" w:name="_Toc2349"/>
            <w:bookmarkStart w:id="168" w:name="_Toc5454"/>
          </w:p>
        </w:tc>
        <w:tc>
          <w:tcPr>
            <w:tcW w:w="1087" w:type="dxa"/>
            <w:vMerge w:val="continue"/>
            <w:vAlign w:val="center"/>
          </w:tcPr>
          <w:p>
            <w:pPr>
              <w:ind w:right="-26"/>
              <w:jc w:val="center"/>
              <w:rPr>
                <w:rFonts w:ascii="Times New Roman" w:hAnsi="Times New Roman"/>
                <w:szCs w:val="21"/>
              </w:rPr>
            </w:pPr>
          </w:p>
        </w:tc>
        <w:tc>
          <w:tcPr>
            <w:tcW w:w="1620" w:type="dxa"/>
            <w:vAlign w:val="center"/>
          </w:tcPr>
          <w:p>
            <w:pPr>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生境</w:t>
            </w:r>
          </w:p>
        </w:tc>
        <w:tc>
          <w:tcPr>
            <w:tcW w:w="5593" w:type="dxa"/>
            <w:vAlign w:val="center"/>
          </w:tcPr>
          <w:p>
            <w:pPr>
              <w:ind w:left="-105" w:leftChars="-50" w:right="-105" w:rightChars="-50"/>
              <w:jc w:val="left"/>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生境面积、质量、连通性等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ind w:right="-26"/>
              <w:jc w:val="center"/>
              <w:rPr>
                <w:rFonts w:ascii="Times New Roman" w:hAnsi="Times New Roman"/>
                <w:color w:val="FF0000"/>
                <w:szCs w:val="21"/>
              </w:rPr>
            </w:pPr>
          </w:p>
        </w:tc>
        <w:tc>
          <w:tcPr>
            <w:tcW w:w="1087" w:type="dxa"/>
            <w:vMerge w:val="continue"/>
            <w:vAlign w:val="center"/>
          </w:tcPr>
          <w:p>
            <w:pPr>
              <w:ind w:right="-26"/>
              <w:jc w:val="center"/>
              <w:rPr>
                <w:rFonts w:ascii="Times New Roman" w:hAnsi="Times New Roman"/>
                <w:szCs w:val="21"/>
              </w:rPr>
            </w:pPr>
          </w:p>
        </w:tc>
        <w:tc>
          <w:tcPr>
            <w:tcW w:w="1620" w:type="dxa"/>
            <w:vAlign w:val="center"/>
          </w:tcPr>
          <w:p>
            <w:pPr>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生物群落</w:t>
            </w:r>
          </w:p>
        </w:tc>
        <w:tc>
          <w:tcPr>
            <w:tcW w:w="5593" w:type="dxa"/>
            <w:vAlign w:val="center"/>
          </w:tcPr>
          <w:p>
            <w:pPr>
              <w:ind w:left="-105" w:leftChars="-50" w:right="-105" w:rightChars="-50"/>
              <w:jc w:val="left"/>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物种组成、群落结构等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ind w:right="-26"/>
              <w:jc w:val="center"/>
              <w:rPr>
                <w:rFonts w:ascii="Times New Roman" w:hAnsi="Times New Roman"/>
                <w:color w:val="FF0000"/>
                <w:szCs w:val="21"/>
              </w:rPr>
            </w:pPr>
          </w:p>
        </w:tc>
        <w:tc>
          <w:tcPr>
            <w:tcW w:w="1087" w:type="dxa"/>
            <w:vMerge w:val="continue"/>
            <w:vAlign w:val="center"/>
          </w:tcPr>
          <w:p>
            <w:pPr>
              <w:ind w:right="-26"/>
              <w:jc w:val="center"/>
              <w:rPr>
                <w:rFonts w:ascii="Times New Roman" w:hAnsi="Times New Roman"/>
                <w:szCs w:val="21"/>
              </w:rPr>
            </w:pPr>
          </w:p>
        </w:tc>
        <w:tc>
          <w:tcPr>
            <w:tcW w:w="1620" w:type="dxa"/>
            <w:vAlign w:val="center"/>
          </w:tcPr>
          <w:p>
            <w:pPr>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生态系统</w:t>
            </w:r>
          </w:p>
        </w:tc>
        <w:tc>
          <w:tcPr>
            <w:tcW w:w="5593" w:type="dxa"/>
            <w:vAlign w:val="center"/>
          </w:tcPr>
          <w:p>
            <w:pPr>
              <w:ind w:left="-105" w:leftChars="-50" w:right="-105" w:rightChars="-50"/>
              <w:jc w:val="left"/>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植被覆盖度、生产力、生物量、生态系统功能等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1" w:type="dxa"/>
            <w:vMerge w:val="continue"/>
            <w:vAlign w:val="center"/>
          </w:tcPr>
          <w:p>
            <w:pPr>
              <w:ind w:right="-26"/>
              <w:jc w:val="center"/>
              <w:rPr>
                <w:rFonts w:ascii="Times New Roman" w:hAnsi="Times New Roman"/>
                <w:color w:val="FF0000"/>
                <w:szCs w:val="21"/>
              </w:rPr>
            </w:pPr>
          </w:p>
        </w:tc>
        <w:tc>
          <w:tcPr>
            <w:tcW w:w="1087" w:type="dxa"/>
            <w:vMerge w:val="continue"/>
            <w:vAlign w:val="center"/>
          </w:tcPr>
          <w:p>
            <w:pPr>
              <w:ind w:right="-26"/>
              <w:jc w:val="center"/>
              <w:rPr>
                <w:rFonts w:ascii="Times New Roman" w:hAnsi="Times New Roman"/>
                <w:szCs w:val="21"/>
              </w:rPr>
            </w:pPr>
          </w:p>
        </w:tc>
        <w:tc>
          <w:tcPr>
            <w:tcW w:w="1620" w:type="dxa"/>
            <w:vAlign w:val="center"/>
          </w:tcPr>
          <w:p>
            <w:pPr>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生物多样性</w:t>
            </w:r>
          </w:p>
        </w:tc>
        <w:tc>
          <w:tcPr>
            <w:tcW w:w="5593" w:type="dxa"/>
            <w:vAlign w:val="center"/>
          </w:tcPr>
          <w:p>
            <w:pPr>
              <w:ind w:left="-105" w:leftChars="-50" w:right="-105" w:rightChars="-50"/>
              <w:jc w:val="left"/>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物种丰富度、均匀度、优势度等</w:t>
            </w:r>
          </w:p>
        </w:tc>
      </w:tr>
      <w:bookmarkEnd w:id="102"/>
      <w:bookmarkEnd w:id="103"/>
      <w:bookmarkEnd w:id="104"/>
      <w:bookmarkEnd w:id="105"/>
    </w:tbl>
    <w:p>
      <w:pPr>
        <w:pStyle w:val="51"/>
        <w:snapToGrid w:val="0"/>
        <w:spacing w:before="120" w:beforeLines="50" w:after="120" w:afterLines="50" w:line="540" w:lineRule="exact"/>
        <w:contextualSpacing/>
        <w:rPr>
          <w:rFonts w:cs="Times New Roman"/>
          <w:bCs w:val="0"/>
          <w:snapToGrid w:val="0"/>
          <w:kern w:val="0"/>
          <w:sz w:val="30"/>
          <w:szCs w:val="30"/>
        </w:rPr>
      </w:pPr>
      <w:bookmarkStart w:id="169" w:name="_Toc7430"/>
      <w:r>
        <w:rPr>
          <w:rFonts w:hint="eastAsia" w:cs="Times New Roman"/>
          <w:bCs w:val="0"/>
          <w:snapToGrid w:val="0"/>
          <w:kern w:val="0"/>
          <w:sz w:val="30"/>
          <w:szCs w:val="30"/>
        </w:rPr>
        <w:t>1</w:t>
      </w:r>
      <w:r>
        <w:rPr>
          <w:rFonts w:cs="Times New Roman"/>
          <w:bCs w:val="0"/>
          <w:snapToGrid w:val="0"/>
          <w:kern w:val="0"/>
          <w:sz w:val="30"/>
          <w:szCs w:val="30"/>
        </w:rPr>
        <w:t>.3评价原则</w:t>
      </w:r>
      <w:bookmarkEnd w:id="153"/>
      <w:bookmarkEnd w:id="154"/>
      <w:bookmarkEnd w:id="155"/>
      <w:bookmarkEnd w:id="156"/>
      <w:bookmarkEnd w:id="157"/>
      <w:bookmarkEnd w:id="158"/>
      <w:bookmarkEnd w:id="159"/>
      <w:bookmarkEnd w:id="160"/>
      <w:bookmarkEnd w:id="169"/>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(1)环境影响评价将根据本项目的工程特点和污染特征，坚持为项目建设的环保工作优化和决策服务，为环境管理服务，注重评价工作的政策性、针对性、客观性、公正性及实用性。评价内容做到重点突出，对策可行，结论明确；</w:t>
      </w:r>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(2)认真贯彻“循环经济”原则，注重变末端治理为生产的全过程控制，最大限度地减少污染物排放；</w:t>
      </w:r>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(3)在充分调研和评价建设项目对环境产生的影响基础上，提出切实可行的污染防治对策，并使其成为环境管理的依据；</w:t>
      </w:r>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(4)在实际工作中，既要严格按照生态环境部关于建设项目环境影响评价的要求，又要充分考虑建设项目特点和有关因素，缩短评价周期，尽量利用已有监测数据和资料；</w:t>
      </w:r>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(5)充分利用近年来在建设项目所在地取得的环境监测、环境管理等方面的成果，进行该项目的环境影响评价工作。</w:t>
      </w:r>
    </w:p>
    <w:p>
      <w:pPr>
        <w:pStyle w:val="51"/>
        <w:snapToGrid w:val="0"/>
        <w:spacing w:before="120" w:beforeLines="50" w:after="120" w:afterLines="50" w:line="540" w:lineRule="exact"/>
        <w:contextualSpacing/>
        <w:rPr>
          <w:rFonts w:cs="Times New Roman"/>
          <w:bCs w:val="0"/>
          <w:snapToGrid w:val="0"/>
          <w:kern w:val="0"/>
          <w:sz w:val="30"/>
          <w:szCs w:val="30"/>
        </w:rPr>
      </w:pPr>
      <w:bookmarkStart w:id="170" w:name="_Toc21167_WPSOffice_Level1"/>
      <w:bookmarkStart w:id="171" w:name="_Toc19939"/>
      <w:bookmarkStart w:id="172" w:name="_Toc1097"/>
      <w:bookmarkStart w:id="173" w:name="_Toc12384"/>
      <w:bookmarkStart w:id="174" w:name="_Toc12321"/>
      <w:bookmarkStart w:id="175" w:name="_Toc6568"/>
      <w:bookmarkStart w:id="176" w:name="_Toc25068"/>
      <w:bookmarkStart w:id="177" w:name="_Toc16220_WPSOffice_Level1"/>
      <w:bookmarkStart w:id="178" w:name="_Toc7652"/>
      <w:r>
        <w:rPr>
          <w:rFonts w:hint="eastAsia" w:cs="Times New Roman"/>
          <w:bCs w:val="0"/>
          <w:snapToGrid w:val="0"/>
          <w:kern w:val="0"/>
          <w:sz w:val="30"/>
          <w:szCs w:val="30"/>
        </w:rPr>
        <w:t>1</w:t>
      </w:r>
      <w:r>
        <w:rPr>
          <w:rFonts w:cs="Times New Roman"/>
          <w:bCs w:val="0"/>
          <w:snapToGrid w:val="0"/>
          <w:kern w:val="0"/>
          <w:sz w:val="30"/>
          <w:szCs w:val="30"/>
        </w:rPr>
        <w:t>.4评价标准</w:t>
      </w:r>
      <w:bookmarkEnd w:id="170"/>
      <w:bookmarkEnd w:id="171"/>
      <w:bookmarkEnd w:id="172"/>
      <w:bookmarkEnd w:id="173"/>
      <w:bookmarkEnd w:id="174"/>
      <w:bookmarkEnd w:id="175"/>
      <w:bookmarkEnd w:id="176"/>
      <w:bookmarkEnd w:id="177"/>
      <w:bookmarkEnd w:id="178"/>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179" w:name="_Toc21130"/>
      <w:bookmarkStart w:id="180" w:name="_Toc19347"/>
      <w:bookmarkStart w:id="181" w:name="_Toc9361"/>
      <w:bookmarkStart w:id="182" w:name="_Toc23469"/>
      <w:bookmarkStart w:id="183" w:name="_Toc32219"/>
      <w:bookmarkStart w:id="184" w:name="_Toc10176_WPSOffice_Level2"/>
      <w:bookmarkStart w:id="185" w:name="_Toc32241_WPSOffice_Level2"/>
      <w:bookmarkStart w:id="186" w:name="_Toc15359"/>
      <w:bookmarkStart w:id="187" w:name="_Toc12781"/>
      <w:bookmarkStart w:id="188" w:name="_Toc7561"/>
      <w:r>
        <w:rPr>
          <w:rFonts w:hint="eastAsia" w:cs="Times New Roman"/>
          <w:bCs w:val="0"/>
          <w:snapToGrid w:val="0"/>
          <w:kern w:val="0"/>
          <w:sz w:val="28"/>
          <w:szCs w:val="28"/>
        </w:rPr>
        <w:t>1</w:t>
      </w:r>
      <w:r>
        <w:rPr>
          <w:rFonts w:cs="Times New Roman"/>
          <w:bCs w:val="0"/>
          <w:snapToGrid w:val="0"/>
          <w:kern w:val="0"/>
          <w:sz w:val="28"/>
          <w:szCs w:val="28"/>
        </w:rPr>
        <w:t>.4.1区域环境功能区划</w:t>
      </w:r>
      <w:bookmarkEnd w:id="179"/>
      <w:bookmarkEnd w:id="180"/>
      <w:bookmarkEnd w:id="181"/>
      <w:bookmarkEnd w:id="182"/>
      <w:bookmarkEnd w:id="183"/>
      <w:bookmarkEnd w:id="184"/>
      <w:bookmarkEnd w:id="185"/>
      <w:bookmarkEnd w:id="186"/>
      <w:bookmarkEnd w:id="187"/>
      <w:bookmarkEnd w:id="188"/>
    </w:p>
    <w:p>
      <w:pPr>
        <w:adjustRightInd w:val="0"/>
        <w:snapToGrid w:val="0"/>
        <w:spacing w:line="540" w:lineRule="exact"/>
        <w:ind w:firstLine="480" w:firstLineChars="200"/>
        <w:rPr>
          <w:rFonts w:ascii="Times New Roman" w:hAnsi="Times New Roman"/>
          <w:kern w:val="1"/>
          <w:sz w:val="24"/>
        </w:rPr>
      </w:pPr>
      <w:bookmarkStart w:id="189" w:name="_Toc4941_WPSOffice_Level3"/>
      <w:bookmarkStart w:id="190" w:name="_Toc7054_WPSOffice_Level3"/>
      <w:r>
        <w:rPr>
          <w:rFonts w:ascii="Times New Roman" w:hAnsi="Times New Roman"/>
          <w:kern w:val="1"/>
          <w:sz w:val="24"/>
        </w:rPr>
        <w:fldChar w:fldCharType="begin"/>
      </w:r>
      <w:r>
        <w:rPr>
          <w:rFonts w:ascii="Times New Roman" w:hAnsi="Times New Roman"/>
          <w:kern w:val="1"/>
          <w:sz w:val="24"/>
        </w:rPr>
        <w:instrText xml:space="preserve"> = 1 \* GB2 \* MERGEFORMAT </w:instrText>
      </w:r>
      <w:r>
        <w:rPr>
          <w:rFonts w:ascii="Times New Roman" w:hAnsi="Times New Roman"/>
          <w:kern w:val="1"/>
          <w:sz w:val="24"/>
        </w:rPr>
        <w:fldChar w:fldCharType="separate"/>
      </w:r>
      <w:r>
        <w:rPr>
          <w:rFonts w:ascii="Times New Roman" w:hAnsi="Times New Roman"/>
          <w:kern w:val="1"/>
          <w:sz w:val="24"/>
        </w:rPr>
        <w:t>⑴</w:t>
      </w:r>
      <w:r>
        <w:rPr>
          <w:rFonts w:ascii="Times New Roman" w:hAnsi="Times New Roman"/>
          <w:kern w:val="1"/>
          <w:sz w:val="24"/>
        </w:rPr>
        <w:fldChar w:fldCharType="end"/>
      </w:r>
      <w:r>
        <w:rPr>
          <w:rFonts w:ascii="Times New Roman" w:hAnsi="Times New Roman"/>
          <w:kern w:val="1"/>
          <w:sz w:val="24"/>
        </w:rPr>
        <w:t>大气环境功能区划</w:t>
      </w:r>
      <w:bookmarkEnd w:id="189"/>
      <w:bookmarkEnd w:id="190"/>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根据《宁夏回族自治区环境功能区划》，本项目位于</w:t>
      </w:r>
      <w:r>
        <w:rPr>
          <w:rFonts w:hint="eastAsia" w:ascii="Times New Roman" w:hAnsi="Times New Roman"/>
          <w:kern w:val="1"/>
          <w:sz w:val="24"/>
        </w:rPr>
        <w:t>固原市隆德县神林乡神林村</w:t>
      </w:r>
      <w:r>
        <w:rPr>
          <w:rFonts w:ascii="Times New Roman" w:hAnsi="Times New Roman"/>
          <w:kern w:val="1"/>
          <w:sz w:val="24"/>
        </w:rPr>
        <w:t>，所在区域属于环境空气二类功能区。</w:t>
      </w:r>
    </w:p>
    <w:p>
      <w:pPr>
        <w:adjustRightInd w:val="0"/>
        <w:snapToGrid w:val="0"/>
        <w:spacing w:line="540" w:lineRule="exact"/>
        <w:ind w:firstLine="480" w:firstLineChars="200"/>
        <w:rPr>
          <w:rFonts w:ascii="Times New Roman" w:hAnsi="Times New Roman"/>
          <w:kern w:val="1"/>
          <w:sz w:val="24"/>
        </w:rPr>
      </w:pPr>
      <w:bookmarkStart w:id="191" w:name="_Toc21167_WPSOffice_Level3"/>
      <w:bookmarkStart w:id="192" w:name="_Toc16220_WPSOffice_Level3"/>
      <w:r>
        <w:rPr>
          <w:rFonts w:ascii="Times New Roman" w:hAnsi="Times New Roman"/>
          <w:kern w:val="1"/>
          <w:sz w:val="24"/>
        </w:rPr>
        <w:fldChar w:fldCharType="begin"/>
      </w:r>
      <w:r>
        <w:rPr>
          <w:rFonts w:ascii="Times New Roman" w:hAnsi="Times New Roman"/>
          <w:kern w:val="1"/>
          <w:sz w:val="24"/>
        </w:rPr>
        <w:instrText xml:space="preserve"> = 2 \* GB2 \* MERGEFORMAT </w:instrText>
      </w:r>
      <w:r>
        <w:rPr>
          <w:rFonts w:ascii="Times New Roman" w:hAnsi="Times New Roman"/>
          <w:kern w:val="1"/>
          <w:sz w:val="24"/>
        </w:rPr>
        <w:fldChar w:fldCharType="separate"/>
      </w:r>
      <w:r>
        <w:rPr>
          <w:rFonts w:ascii="Times New Roman" w:hAnsi="Times New Roman"/>
          <w:kern w:val="1"/>
          <w:sz w:val="24"/>
        </w:rPr>
        <w:t>⑵</w:t>
      </w:r>
      <w:r>
        <w:rPr>
          <w:rFonts w:ascii="Times New Roman" w:hAnsi="Times New Roman"/>
          <w:kern w:val="1"/>
          <w:sz w:val="24"/>
        </w:rPr>
        <w:fldChar w:fldCharType="end"/>
      </w:r>
      <w:r>
        <w:rPr>
          <w:rFonts w:ascii="Times New Roman" w:hAnsi="Times New Roman"/>
          <w:kern w:val="1"/>
          <w:sz w:val="24"/>
        </w:rPr>
        <w:t>地表水环境功能区划</w:t>
      </w:r>
      <w:bookmarkEnd w:id="191"/>
      <w:bookmarkEnd w:id="192"/>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本项目评价范围内主要地表水体为</w:t>
      </w:r>
      <w:r>
        <w:rPr>
          <w:rFonts w:hint="eastAsia" w:ascii="Times New Roman" w:hAnsi="Times New Roman"/>
          <w:kern w:val="1"/>
          <w:sz w:val="24"/>
        </w:rPr>
        <w:t>渝河，渝河水环境质量类别为《地表水环境质量标准》（GB3838-2002)IV类水体，为</w:t>
      </w:r>
      <w:r>
        <w:rPr>
          <w:rFonts w:ascii="Times New Roman" w:hAnsi="Times New Roman"/>
          <w:kern w:val="1"/>
          <w:sz w:val="24"/>
        </w:rPr>
        <w:t>根据《宁夏回族自治区人民政府关于印发宁夏回族自治区水污染防治工作方案的通知》（宁政发[2015]106号），建议执行IV类水体标准。</w:t>
      </w:r>
    </w:p>
    <w:p>
      <w:pPr>
        <w:adjustRightInd w:val="0"/>
        <w:snapToGrid w:val="0"/>
        <w:spacing w:line="540" w:lineRule="exact"/>
        <w:ind w:firstLine="480" w:firstLineChars="200"/>
        <w:rPr>
          <w:rFonts w:ascii="Times New Roman" w:hAnsi="Times New Roman"/>
          <w:kern w:val="1"/>
          <w:sz w:val="24"/>
        </w:rPr>
      </w:pPr>
      <w:bookmarkStart w:id="193" w:name="_Toc6026_WPSOffice_Level3"/>
      <w:bookmarkStart w:id="194" w:name="_Toc1634_WPSOffice_Level3"/>
      <w:r>
        <w:rPr>
          <w:rFonts w:ascii="Times New Roman" w:hAnsi="Times New Roman"/>
          <w:kern w:val="1"/>
          <w:sz w:val="24"/>
        </w:rPr>
        <w:fldChar w:fldCharType="begin"/>
      </w:r>
      <w:r>
        <w:rPr>
          <w:rFonts w:ascii="Times New Roman" w:hAnsi="Times New Roman"/>
          <w:kern w:val="1"/>
          <w:sz w:val="24"/>
        </w:rPr>
        <w:instrText xml:space="preserve"> = 3 \* GB2 \* MERGEFORMAT </w:instrText>
      </w:r>
      <w:r>
        <w:rPr>
          <w:rFonts w:ascii="Times New Roman" w:hAnsi="Times New Roman"/>
          <w:kern w:val="1"/>
          <w:sz w:val="24"/>
        </w:rPr>
        <w:fldChar w:fldCharType="separate"/>
      </w:r>
      <w:r>
        <w:rPr>
          <w:rFonts w:ascii="Times New Roman" w:hAnsi="Times New Roman"/>
          <w:kern w:val="1"/>
          <w:sz w:val="24"/>
        </w:rPr>
        <w:t>⑶</w:t>
      </w:r>
      <w:r>
        <w:rPr>
          <w:rFonts w:ascii="Times New Roman" w:hAnsi="Times New Roman"/>
          <w:kern w:val="1"/>
          <w:sz w:val="24"/>
        </w:rPr>
        <w:fldChar w:fldCharType="end"/>
      </w:r>
      <w:r>
        <w:rPr>
          <w:rFonts w:ascii="Times New Roman" w:hAnsi="Times New Roman"/>
          <w:kern w:val="1"/>
          <w:sz w:val="24"/>
        </w:rPr>
        <w:t>地下水环境功能区划</w:t>
      </w:r>
      <w:bookmarkEnd w:id="193"/>
      <w:bookmarkEnd w:id="194"/>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根据《地下水质量标准》（GB/T14848-2017）地下水质量分类“以人体健康基准值为依据”的要求，主要适用于集中式生活饮用水水源及工、农业用水的地下水为Ⅲ类水质，所以本项目区域地下水执行《地下水质量标准》（GB/T14848-2017）中的Ⅲ类标准。</w:t>
      </w:r>
    </w:p>
    <w:p>
      <w:pPr>
        <w:adjustRightInd w:val="0"/>
        <w:snapToGrid w:val="0"/>
        <w:spacing w:line="540" w:lineRule="exact"/>
        <w:ind w:firstLine="480" w:firstLineChars="200"/>
        <w:rPr>
          <w:rFonts w:ascii="Times New Roman" w:hAnsi="Times New Roman"/>
          <w:kern w:val="1"/>
          <w:sz w:val="24"/>
        </w:rPr>
      </w:pPr>
      <w:bookmarkStart w:id="195" w:name="_Toc4329_WPSOffice_Level3"/>
      <w:bookmarkStart w:id="196" w:name="_Toc5676_WPSOffice_Level3"/>
      <w:r>
        <w:rPr>
          <w:rFonts w:ascii="Times New Roman" w:hAnsi="Times New Roman"/>
          <w:kern w:val="1"/>
          <w:sz w:val="24"/>
        </w:rPr>
        <w:fldChar w:fldCharType="begin"/>
      </w:r>
      <w:r>
        <w:rPr>
          <w:rFonts w:ascii="Times New Roman" w:hAnsi="Times New Roman"/>
          <w:kern w:val="1"/>
          <w:sz w:val="24"/>
        </w:rPr>
        <w:instrText xml:space="preserve"> = 4 \* GB2 \* MERGEFORMAT </w:instrText>
      </w:r>
      <w:r>
        <w:rPr>
          <w:rFonts w:ascii="Times New Roman" w:hAnsi="Times New Roman"/>
          <w:kern w:val="1"/>
          <w:sz w:val="24"/>
        </w:rPr>
        <w:fldChar w:fldCharType="separate"/>
      </w:r>
      <w:r>
        <w:rPr>
          <w:rFonts w:ascii="Times New Roman" w:hAnsi="Times New Roman"/>
          <w:kern w:val="1"/>
          <w:sz w:val="24"/>
        </w:rPr>
        <w:t>⑷</w:t>
      </w:r>
      <w:r>
        <w:rPr>
          <w:rFonts w:ascii="Times New Roman" w:hAnsi="Times New Roman"/>
          <w:kern w:val="1"/>
          <w:sz w:val="24"/>
        </w:rPr>
        <w:fldChar w:fldCharType="end"/>
      </w:r>
      <w:r>
        <w:rPr>
          <w:rFonts w:ascii="Times New Roman" w:hAnsi="Times New Roman"/>
          <w:kern w:val="1"/>
          <w:sz w:val="24"/>
        </w:rPr>
        <w:t>声环境功能区划</w:t>
      </w:r>
      <w:bookmarkEnd w:id="195"/>
      <w:bookmarkEnd w:id="196"/>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本项目位于</w:t>
      </w:r>
      <w:r>
        <w:rPr>
          <w:rFonts w:hint="eastAsia" w:ascii="Times New Roman" w:hAnsi="Times New Roman"/>
          <w:kern w:val="0"/>
          <w:sz w:val="24"/>
          <w:szCs w:val="20"/>
        </w:rPr>
        <w:t>固原市隆德县神林乡神林村</w:t>
      </w:r>
      <w:r>
        <w:rPr>
          <w:rFonts w:ascii="Times New Roman" w:hAnsi="Times New Roman"/>
          <w:kern w:val="1"/>
          <w:sz w:val="24"/>
        </w:rPr>
        <w:t>，根据《声环境质量标准》（GB3096-2008）的规定和项目周围的环境状况，项目区域属于2类声环境功能区。</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197" w:name="_Toc20496"/>
      <w:bookmarkStart w:id="198" w:name="_Toc31790"/>
      <w:bookmarkStart w:id="199" w:name="_Toc8168_WPSOffice_Level2"/>
      <w:bookmarkStart w:id="200" w:name="_Toc31862"/>
      <w:bookmarkStart w:id="201" w:name="_Toc23344"/>
      <w:bookmarkStart w:id="202" w:name="_Toc17552"/>
      <w:bookmarkStart w:id="203" w:name="_Toc8474_WPSOffice_Level2"/>
      <w:bookmarkStart w:id="204" w:name="_Toc14292"/>
      <w:bookmarkStart w:id="205" w:name="_Toc9380"/>
      <w:bookmarkStart w:id="206" w:name="_Toc28883"/>
      <w:r>
        <w:rPr>
          <w:rFonts w:hint="eastAsia" w:cs="Times New Roman"/>
          <w:bCs w:val="0"/>
          <w:snapToGrid w:val="0"/>
          <w:kern w:val="0"/>
          <w:sz w:val="28"/>
          <w:szCs w:val="28"/>
        </w:rPr>
        <w:t>1</w:t>
      </w:r>
      <w:r>
        <w:rPr>
          <w:rFonts w:cs="Times New Roman"/>
          <w:bCs w:val="0"/>
          <w:snapToGrid w:val="0"/>
          <w:kern w:val="0"/>
          <w:sz w:val="28"/>
          <w:szCs w:val="28"/>
        </w:rPr>
        <w:t>.4.2环境质量标准</w:t>
      </w:r>
      <w:bookmarkEnd w:id="197"/>
      <w:bookmarkEnd w:id="198"/>
      <w:bookmarkEnd w:id="199"/>
      <w:bookmarkEnd w:id="200"/>
      <w:bookmarkEnd w:id="201"/>
      <w:bookmarkEnd w:id="202"/>
      <w:bookmarkEnd w:id="203"/>
      <w:bookmarkEnd w:id="204"/>
      <w:bookmarkEnd w:id="205"/>
      <w:bookmarkEnd w:id="206"/>
    </w:p>
    <w:p>
      <w:pPr>
        <w:pStyle w:val="6"/>
        <w:snapToGrid w:val="0"/>
        <w:spacing w:before="120" w:after="120" w:line="540" w:lineRule="exact"/>
        <w:contextualSpacing/>
        <w:rPr>
          <w:rFonts w:ascii="Times New Roman" w:hAnsi="Times New Roman" w:eastAsia="宋体"/>
          <w:bCs w:val="0"/>
          <w:sz w:val="24"/>
        </w:rPr>
      </w:pPr>
      <w:bookmarkStart w:id="207" w:name="_Toc937_WPSOffice_Level3"/>
      <w:bookmarkStart w:id="208" w:name="_Toc6694_WPSOffice_Level3"/>
      <w:r>
        <w:rPr>
          <w:rFonts w:hint="eastAsia" w:ascii="Times New Roman" w:hAnsi="Times New Roman" w:eastAsia="宋体"/>
          <w:bCs w:val="0"/>
          <w:sz w:val="24"/>
        </w:rPr>
        <w:t>1</w:t>
      </w:r>
      <w:r>
        <w:rPr>
          <w:rFonts w:ascii="Times New Roman" w:hAnsi="Times New Roman" w:eastAsia="宋体"/>
          <w:bCs w:val="0"/>
          <w:sz w:val="24"/>
        </w:rPr>
        <w:t>.4.2.1环境空气质量标准</w:t>
      </w:r>
      <w:bookmarkEnd w:id="207"/>
      <w:bookmarkEnd w:id="208"/>
    </w:p>
    <w:bookmarkEnd w:id="161"/>
    <w:bookmarkEnd w:id="162"/>
    <w:bookmarkEnd w:id="163"/>
    <w:bookmarkEnd w:id="164"/>
    <w:bookmarkEnd w:id="165"/>
    <w:bookmarkEnd w:id="166"/>
    <w:bookmarkEnd w:id="167"/>
    <w:bookmarkEnd w:id="168"/>
    <w:p>
      <w:pPr>
        <w:adjustRightInd w:val="0"/>
        <w:snapToGrid w:val="0"/>
        <w:spacing w:line="540" w:lineRule="exact"/>
        <w:ind w:firstLine="480" w:firstLineChars="200"/>
        <w:rPr>
          <w:rFonts w:ascii="宋体" w:hAnsi="宋体" w:cs="宋体"/>
          <w:b/>
          <w:kern w:val="1"/>
          <w:sz w:val="24"/>
        </w:rPr>
      </w:pPr>
      <w:r>
        <w:rPr>
          <w:rFonts w:ascii="Times New Roman" w:hAnsi="Times New Roman"/>
          <w:kern w:val="1"/>
          <w:sz w:val="24"/>
        </w:rPr>
        <w:t>本次大气环境影响评价，评价区域环境空气质量因子SO</w:t>
      </w:r>
      <w:r>
        <w:rPr>
          <w:rFonts w:ascii="Times New Roman" w:hAnsi="Times New Roman"/>
          <w:kern w:val="1"/>
          <w:sz w:val="24"/>
          <w:vertAlign w:val="subscript"/>
        </w:rPr>
        <w:t>2</w:t>
      </w:r>
      <w:r>
        <w:rPr>
          <w:rFonts w:ascii="Times New Roman" w:hAnsi="Times New Roman"/>
          <w:kern w:val="1"/>
          <w:sz w:val="24"/>
        </w:rPr>
        <w:t>、NO</w:t>
      </w:r>
      <w:r>
        <w:rPr>
          <w:rFonts w:ascii="Times New Roman" w:hAnsi="Times New Roman"/>
          <w:kern w:val="1"/>
          <w:sz w:val="24"/>
          <w:vertAlign w:val="subscript"/>
        </w:rPr>
        <w:t>2</w:t>
      </w:r>
      <w:r>
        <w:rPr>
          <w:rFonts w:ascii="Times New Roman" w:hAnsi="Times New Roman"/>
          <w:kern w:val="1"/>
          <w:sz w:val="24"/>
        </w:rPr>
        <w:t>、PM</w:t>
      </w:r>
      <w:r>
        <w:rPr>
          <w:rFonts w:ascii="Times New Roman" w:hAnsi="Times New Roman"/>
          <w:kern w:val="1"/>
          <w:sz w:val="24"/>
          <w:vertAlign w:val="subscript"/>
        </w:rPr>
        <w:t>2.5</w:t>
      </w:r>
      <w:r>
        <w:rPr>
          <w:rFonts w:ascii="Times New Roman" w:hAnsi="Times New Roman"/>
          <w:kern w:val="1"/>
          <w:sz w:val="24"/>
        </w:rPr>
        <w:t>、PM</w:t>
      </w:r>
      <w:r>
        <w:rPr>
          <w:rFonts w:ascii="Times New Roman" w:hAnsi="Times New Roman"/>
          <w:kern w:val="1"/>
          <w:sz w:val="24"/>
          <w:vertAlign w:val="subscript"/>
        </w:rPr>
        <w:t>10</w:t>
      </w:r>
      <w:r>
        <w:rPr>
          <w:rFonts w:ascii="Times New Roman" w:hAnsi="Times New Roman"/>
          <w:kern w:val="1"/>
          <w:sz w:val="24"/>
        </w:rPr>
        <w:t>、TSP、CO、O</w:t>
      </w:r>
      <w:r>
        <w:rPr>
          <w:rFonts w:ascii="Times New Roman" w:hAnsi="Times New Roman"/>
          <w:kern w:val="1"/>
          <w:sz w:val="24"/>
          <w:vertAlign w:val="subscript"/>
        </w:rPr>
        <w:t>3</w:t>
      </w:r>
      <w:r>
        <w:rPr>
          <w:rFonts w:ascii="Times New Roman" w:hAnsi="Times New Roman"/>
          <w:kern w:val="1"/>
          <w:sz w:val="24"/>
        </w:rPr>
        <w:t>执行《环境空气质量标准》(GB3095-2012)及2018年修改单中二级标准，</w:t>
      </w:r>
      <w:r>
        <w:rPr>
          <w:rFonts w:ascii="Times New Roman" w:hAnsi="Times New Roman"/>
          <w:sz w:val="24"/>
        </w:rPr>
        <w:t>H</w:t>
      </w:r>
      <w:r>
        <w:rPr>
          <w:rFonts w:ascii="Times New Roman" w:hAnsi="Times New Roman"/>
          <w:sz w:val="24"/>
          <w:vertAlign w:val="subscript"/>
        </w:rPr>
        <w:t>2</w:t>
      </w:r>
      <w:r>
        <w:rPr>
          <w:rFonts w:ascii="Times New Roman" w:hAnsi="Times New Roman"/>
          <w:sz w:val="24"/>
        </w:rPr>
        <w:t>S、NH</w:t>
      </w:r>
      <w:r>
        <w:rPr>
          <w:rFonts w:ascii="Times New Roman" w:hAnsi="Times New Roman"/>
          <w:sz w:val="24"/>
          <w:vertAlign w:val="subscript"/>
        </w:rPr>
        <w:t>3</w:t>
      </w:r>
      <w:r>
        <w:rPr>
          <w:rFonts w:ascii="Times New Roman" w:hAnsi="Times New Roman"/>
          <w:sz w:val="24"/>
        </w:rPr>
        <w:t>参照《环境影响评价技术导则 大气环境》（HJ2.2-2018）中附录D其他污染物空气质量浓度限值</w:t>
      </w:r>
      <w:r>
        <w:rPr>
          <w:rFonts w:ascii="Times New Roman" w:hAnsi="Times New Roman"/>
          <w:kern w:val="1"/>
          <w:sz w:val="24"/>
        </w:rPr>
        <w:t>。环境空气质量评价因子执行标准见表1.4-1。</w:t>
      </w:r>
    </w:p>
    <w:p>
      <w:pPr>
        <w:adjustRightInd w:val="0"/>
        <w:snapToGrid w:val="0"/>
        <w:ind w:firstLine="481" w:firstLineChars="200"/>
        <w:jc w:val="center"/>
        <w:rPr>
          <w:rFonts w:ascii="宋体" w:hAnsi="宋体" w:cs="宋体"/>
          <w:bCs/>
          <w:kern w:val="1"/>
          <w:position w:val="-2"/>
          <w:sz w:val="24"/>
          <w:vertAlign w:val="superscript"/>
        </w:rPr>
      </w:pPr>
      <w:r>
        <w:rPr>
          <w:rFonts w:hint="eastAsia" w:ascii="宋体" w:hAnsi="宋体" w:cs="宋体"/>
          <w:b/>
          <w:kern w:val="1"/>
          <w:sz w:val="24"/>
        </w:rPr>
        <w:t>表</w:t>
      </w:r>
      <w:r>
        <w:rPr>
          <w:rFonts w:ascii="Times New Roman" w:hAnsi="Times New Roman"/>
          <w:b/>
          <w:kern w:val="1"/>
          <w:sz w:val="24"/>
        </w:rPr>
        <w:t>1.4-1</w:t>
      </w:r>
      <w:r>
        <w:rPr>
          <w:rFonts w:hint="eastAsia" w:ascii="宋体" w:hAnsi="宋体" w:cs="宋体"/>
          <w:b/>
          <w:kern w:val="1"/>
          <w:sz w:val="24"/>
        </w:rPr>
        <w:t xml:space="preserve">  环境空气质量评价因子执行标准一览表</w:t>
      </w:r>
    </w:p>
    <w:tbl>
      <w:tblPr>
        <w:tblStyle w:val="29"/>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603"/>
        <w:gridCol w:w="1950"/>
        <w:gridCol w:w="1575"/>
        <w:gridCol w:w="1335"/>
        <w:gridCol w:w="260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Align w:val="center"/>
          </w:tcPr>
          <w:p>
            <w:pPr>
              <w:adjustRightInd w:val="0"/>
              <w:snapToGrid w:val="0"/>
              <w:jc w:val="center"/>
              <w:rPr>
                <w:rFonts w:ascii="Times New Roman" w:hAnsi="Times New Roman"/>
                <w:b/>
                <w:bCs/>
                <w:szCs w:val="21"/>
              </w:rPr>
            </w:pPr>
            <w:r>
              <w:rPr>
                <w:rFonts w:ascii="Times New Roman" w:hAnsi="Times New Roman"/>
                <w:b/>
                <w:bCs/>
                <w:szCs w:val="21"/>
              </w:rPr>
              <w:t>污染物名称</w:t>
            </w:r>
          </w:p>
        </w:tc>
        <w:tc>
          <w:tcPr>
            <w:tcW w:w="1950" w:type="dxa"/>
            <w:vAlign w:val="center"/>
          </w:tcPr>
          <w:p>
            <w:pPr>
              <w:adjustRightInd w:val="0"/>
              <w:snapToGrid w:val="0"/>
              <w:jc w:val="center"/>
              <w:rPr>
                <w:rFonts w:ascii="Times New Roman" w:hAnsi="Times New Roman"/>
                <w:b/>
                <w:bCs/>
                <w:szCs w:val="21"/>
              </w:rPr>
            </w:pPr>
            <w:r>
              <w:rPr>
                <w:rFonts w:ascii="Times New Roman" w:hAnsi="Times New Roman"/>
                <w:b/>
                <w:bCs/>
                <w:szCs w:val="21"/>
              </w:rPr>
              <w:t>取值时间</w:t>
            </w:r>
          </w:p>
        </w:tc>
        <w:tc>
          <w:tcPr>
            <w:tcW w:w="1575" w:type="dxa"/>
            <w:vAlign w:val="center"/>
          </w:tcPr>
          <w:p>
            <w:pPr>
              <w:adjustRightInd w:val="0"/>
              <w:snapToGrid w:val="0"/>
              <w:jc w:val="center"/>
              <w:rPr>
                <w:rFonts w:ascii="Times New Roman" w:hAnsi="Times New Roman"/>
                <w:b/>
                <w:bCs/>
                <w:szCs w:val="21"/>
              </w:rPr>
            </w:pPr>
            <w:r>
              <w:rPr>
                <w:rFonts w:ascii="Times New Roman" w:hAnsi="Times New Roman"/>
                <w:b/>
                <w:bCs/>
                <w:szCs w:val="21"/>
              </w:rPr>
              <w:t>浓度限值</w:t>
            </w:r>
          </w:p>
        </w:tc>
        <w:tc>
          <w:tcPr>
            <w:tcW w:w="1335" w:type="dxa"/>
            <w:vAlign w:val="center"/>
          </w:tcPr>
          <w:p>
            <w:pPr>
              <w:adjustRightInd w:val="0"/>
              <w:snapToGrid w:val="0"/>
              <w:jc w:val="center"/>
              <w:rPr>
                <w:rFonts w:ascii="Times New Roman" w:hAnsi="Times New Roman"/>
                <w:b/>
                <w:bCs/>
                <w:szCs w:val="21"/>
              </w:rPr>
            </w:pPr>
            <w:r>
              <w:rPr>
                <w:rFonts w:ascii="Times New Roman" w:hAnsi="Times New Roman"/>
                <w:b/>
                <w:bCs/>
                <w:szCs w:val="21"/>
              </w:rPr>
              <w:t>单位</w:t>
            </w:r>
          </w:p>
        </w:tc>
        <w:tc>
          <w:tcPr>
            <w:tcW w:w="2608" w:type="dxa"/>
            <w:vAlign w:val="center"/>
          </w:tcPr>
          <w:p>
            <w:pPr>
              <w:adjustRightInd w:val="0"/>
              <w:snapToGrid w:val="0"/>
              <w:jc w:val="center"/>
              <w:rPr>
                <w:rFonts w:ascii="Times New Roman" w:hAnsi="Times New Roman"/>
                <w:b/>
                <w:bCs/>
                <w:szCs w:val="21"/>
              </w:rPr>
            </w:pPr>
            <w:r>
              <w:rPr>
                <w:rFonts w:ascii="Times New Roman" w:hAnsi="Times New Roman"/>
                <w:b/>
                <w:bCs/>
                <w:kern w:val="1"/>
                <w:szCs w:val="21"/>
              </w:rPr>
              <w:t>标准来源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restart"/>
            <w:vAlign w:val="center"/>
          </w:tcPr>
          <w:p>
            <w:pPr>
              <w:adjustRightInd w:val="0"/>
              <w:snapToGrid w:val="0"/>
              <w:jc w:val="center"/>
              <w:rPr>
                <w:rFonts w:ascii="Times New Roman" w:hAnsi="Times New Roman"/>
                <w:szCs w:val="21"/>
              </w:rPr>
            </w:pPr>
            <w:r>
              <w:rPr>
                <w:rFonts w:ascii="Times New Roman" w:hAnsi="Times New Roman"/>
                <w:szCs w:val="21"/>
              </w:rPr>
              <w:t>SO</w:t>
            </w:r>
            <w:r>
              <w:rPr>
                <w:rFonts w:ascii="Times New Roman" w:hAnsi="Times New Roman"/>
                <w:szCs w:val="21"/>
                <w:vertAlign w:val="subscript"/>
              </w:rPr>
              <w:t>2</w:t>
            </w: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年均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60</w:t>
            </w:r>
          </w:p>
        </w:tc>
        <w:tc>
          <w:tcPr>
            <w:tcW w:w="1335" w:type="dxa"/>
            <w:vMerge w:val="restart"/>
            <w:vAlign w:val="center"/>
          </w:tcPr>
          <w:p>
            <w:pPr>
              <w:adjustRightInd w:val="0"/>
              <w:snapToGrid w:val="0"/>
              <w:jc w:val="center"/>
              <w:rPr>
                <w:rFonts w:ascii="Times New Roman" w:hAnsi="Times New Roman"/>
                <w:szCs w:val="21"/>
              </w:rPr>
            </w:pPr>
            <w:r>
              <w:rPr>
                <w:rFonts w:ascii="Times New Roman" w:hAnsi="Times New Roman"/>
                <w:szCs w:val="21"/>
              </w:rPr>
              <w:t>μg/m</w:t>
            </w:r>
            <w:r>
              <w:rPr>
                <w:rFonts w:ascii="Times New Roman" w:hAnsi="Times New Roman"/>
                <w:szCs w:val="21"/>
                <w:vertAlign w:val="superscript"/>
              </w:rPr>
              <w:t>3</w:t>
            </w:r>
          </w:p>
        </w:tc>
        <w:tc>
          <w:tcPr>
            <w:tcW w:w="2608" w:type="dxa"/>
            <w:vMerge w:val="restart"/>
            <w:vAlign w:val="center"/>
          </w:tcPr>
          <w:p>
            <w:pPr>
              <w:adjustRightInd w:val="0"/>
              <w:snapToGrid w:val="0"/>
              <w:jc w:val="center"/>
              <w:rPr>
                <w:rFonts w:ascii="Times New Roman" w:hAnsi="Times New Roman"/>
                <w:szCs w:val="21"/>
              </w:rPr>
            </w:pPr>
            <w:r>
              <w:rPr>
                <w:rFonts w:ascii="Times New Roman" w:hAnsi="Times New Roman"/>
                <w:szCs w:val="21"/>
              </w:rPr>
              <w:t>《环境空气质量标准》</w:t>
            </w:r>
          </w:p>
          <w:p>
            <w:pPr>
              <w:adjustRightInd w:val="0"/>
              <w:snapToGrid w:val="0"/>
              <w:jc w:val="center"/>
              <w:rPr>
                <w:rFonts w:ascii="Times New Roman" w:hAnsi="Times New Roman"/>
                <w:szCs w:val="21"/>
              </w:rPr>
            </w:pPr>
            <w:r>
              <w:rPr>
                <w:rFonts w:ascii="Times New Roman" w:hAnsi="Times New Roman"/>
                <w:szCs w:val="21"/>
              </w:rPr>
              <w:t>(GB3095-2012)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continue"/>
            <w:vAlign w:val="center"/>
          </w:tcPr>
          <w:p>
            <w:pPr>
              <w:adjustRightInd w:val="0"/>
              <w:snapToGrid w:val="0"/>
              <w:jc w:val="left"/>
              <w:rPr>
                <w:rFonts w:ascii="Times New Roman" w:hAnsi="Times New Roman"/>
                <w:szCs w:val="21"/>
              </w:rPr>
            </w:pP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24小时平均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150</w:t>
            </w:r>
          </w:p>
        </w:tc>
        <w:tc>
          <w:tcPr>
            <w:tcW w:w="1335" w:type="dxa"/>
            <w:vMerge w:val="continue"/>
            <w:vAlign w:val="center"/>
          </w:tcPr>
          <w:p>
            <w:pPr>
              <w:adjustRightInd w:val="0"/>
              <w:snapToGrid w:val="0"/>
              <w:jc w:val="left"/>
              <w:rPr>
                <w:rFonts w:ascii="Times New Roman" w:hAnsi="Times New Roman"/>
                <w:szCs w:val="21"/>
              </w:rPr>
            </w:pPr>
          </w:p>
        </w:tc>
        <w:tc>
          <w:tcPr>
            <w:tcW w:w="2608" w:type="dxa"/>
            <w:vMerge w:val="continue"/>
            <w:vAlign w:val="center"/>
          </w:tcPr>
          <w:p>
            <w:pPr>
              <w:adjustRightInd w:val="0"/>
              <w:snapToGrid w:val="0"/>
              <w:jc w:val="left"/>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continue"/>
            <w:vAlign w:val="center"/>
          </w:tcPr>
          <w:p>
            <w:pPr>
              <w:adjustRightInd w:val="0"/>
              <w:snapToGrid w:val="0"/>
              <w:jc w:val="left"/>
              <w:rPr>
                <w:rFonts w:ascii="Times New Roman" w:hAnsi="Times New Roman"/>
                <w:szCs w:val="21"/>
              </w:rPr>
            </w:pP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500</w:t>
            </w:r>
          </w:p>
        </w:tc>
        <w:tc>
          <w:tcPr>
            <w:tcW w:w="1335" w:type="dxa"/>
            <w:vMerge w:val="continue"/>
            <w:vAlign w:val="center"/>
          </w:tcPr>
          <w:p>
            <w:pPr>
              <w:adjustRightInd w:val="0"/>
              <w:snapToGrid w:val="0"/>
              <w:jc w:val="left"/>
              <w:rPr>
                <w:rFonts w:ascii="Times New Roman" w:hAnsi="Times New Roman"/>
                <w:szCs w:val="21"/>
              </w:rPr>
            </w:pPr>
          </w:p>
        </w:tc>
        <w:tc>
          <w:tcPr>
            <w:tcW w:w="2608" w:type="dxa"/>
            <w:vMerge w:val="continue"/>
            <w:vAlign w:val="center"/>
          </w:tcPr>
          <w:p>
            <w:pPr>
              <w:adjustRightInd w:val="0"/>
              <w:snapToGrid w:val="0"/>
              <w:jc w:val="left"/>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restart"/>
            <w:vAlign w:val="center"/>
          </w:tcPr>
          <w:p>
            <w:pPr>
              <w:adjustRightInd w:val="0"/>
              <w:snapToGrid w:val="0"/>
              <w:jc w:val="center"/>
              <w:rPr>
                <w:rFonts w:ascii="Times New Roman" w:hAnsi="Times New Roman"/>
                <w:szCs w:val="21"/>
              </w:rPr>
            </w:pPr>
            <w:r>
              <w:rPr>
                <w:rFonts w:ascii="Times New Roman" w:hAnsi="Times New Roman"/>
                <w:szCs w:val="21"/>
              </w:rPr>
              <w:t>PM</w:t>
            </w:r>
            <w:r>
              <w:rPr>
                <w:rFonts w:ascii="Times New Roman" w:hAnsi="Times New Roman"/>
                <w:szCs w:val="21"/>
                <w:vertAlign w:val="subscript"/>
              </w:rPr>
              <w:t>2.5</w:t>
            </w: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年均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35</w:t>
            </w:r>
          </w:p>
        </w:tc>
        <w:tc>
          <w:tcPr>
            <w:tcW w:w="1335" w:type="dxa"/>
            <w:vMerge w:val="continue"/>
            <w:vAlign w:val="center"/>
          </w:tcPr>
          <w:p>
            <w:pPr>
              <w:adjustRightInd w:val="0"/>
              <w:snapToGrid w:val="0"/>
              <w:jc w:val="left"/>
              <w:rPr>
                <w:rFonts w:ascii="Times New Roman" w:hAnsi="Times New Roman"/>
                <w:szCs w:val="21"/>
              </w:rPr>
            </w:pPr>
          </w:p>
        </w:tc>
        <w:tc>
          <w:tcPr>
            <w:tcW w:w="2608" w:type="dxa"/>
            <w:vMerge w:val="continue"/>
            <w:vAlign w:val="center"/>
          </w:tcPr>
          <w:p>
            <w:pPr>
              <w:adjustRightInd w:val="0"/>
              <w:snapToGrid w:val="0"/>
              <w:jc w:val="left"/>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continue"/>
            <w:vAlign w:val="center"/>
          </w:tcPr>
          <w:p>
            <w:pPr>
              <w:adjustRightInd w:val="0"/>
              <w:snapToGrid w:val="0"/>
              <w:jc w:val="center"/>
              <w:rPr>
                <w:rFonts w:ascii="Times New Roman" w:hAnsi="Times New Roman"/>
                <w:szCs w:val="21"/>
              </w:rPr>
            </w:pP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24小时平均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75</w:t>
            </w:r>
          </w:p>
        </w:tc>
        <w:tc>
          <w:tcPr>
            <w:tcW w:w="1335" w:type="dxa"/>
            <w:vMerge w:val="continue"/>
            <w:vAlign w:val="center"/>
          </w:tcPr>
          <w:p>
            <w:pPr>
              <w:adjustRightInd w:val="0"/>
              <w:snapToGrid w:val="0"/>
              <w:jc w:val="left"/>
              <w:rPr>
                <w:rFonts w:ascii="Times New Roman" w:hAnsi="Times New Roman"/>
                <w:szCs w:val="21"/>
              </w:rPr>
            </w:pPr>
          </w:p>
        </w:tc>
        <w:tc>
          <w:tcPr>
            <w:tcW w:w="2608" w:type="dxa"/>
            <w:vMerge w:val="continue"/>
            <w:vAlign w:val="center"/>
          </w:tcPr>
          <w:p>
            <w:pPr>
              <w:adjustRightInd w:val="0"/>
              <w:snapToGrid w:val="0"/>
              <w:jc w:val="left"/>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restart"/>
            <w:vAlign w:val="center"/>
          </w:tcPr>
          <w:p>
            <w:pPr>
              <w:adjustRightInd w:val="0"/>
              <w:snapToGrid w:val="0"/>
              <w:jc w:val="center"/>
              <w:rPr>
                <w:rFonts w:ascii="Times New Roman" w:hAnsi="Times New Roman"/>
                <w:szCs w:val="21"/>
              </w:rPr>
            </w:pPr>
            <w:r>
              <w:rPr>
                <w:rFonts w:ascii="Times New Roman" w:hAnsi="Times New Roman"/>
                <w:szCs w:val="21"/>
              </w:rPr>
              <w:t>PM</w:t>
            </w:r>
            <w:r>
              <w:rPr>
                <w:rFonts w:ascii="Times New Roman" w:hAnsi="Times New Roman"/>
                <w:szCs w:val="21"/>
                <w:vertAlign w:val="subscript"/>
              </w:rPr>
              <w:t>10</w:t>
            </w: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年均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70</w:t>
            </w:r>
          </w:p>
        </w:tc>
        <w:tc>
          <w:tcPr>
            <w:tcW w:w="1335" w:type="dxa"/>
            <w:vMerge w:val="continue"/>
            <w:vAlign w:val="center"/>
          </w:tcPr>
          <w:p>
            <w:pPr>
              <w:adjustRightInd w:val="0"/>
              <w:snapToGrid w:val="0"/>
              <w:jc w:val="left"/>
              <w:rPr>
                <w:rFonts w:ascii="Times New Roman" w:hAnsi="Times New Roman"/>
                <w:szCs w:val="21"/>
              </w:rPr>
            </w:pPr>
          </w:p>
        </w:tc>
        <w:tc>
          <w:tcPr>
            <w:tcW w:w="2608" w:type="dxa"/>
            <w:vMerge w:val="continue"/>
            <w:vAlign w:val="center"/>
          </w:tcPr>
          <w:p>
            <w:pPr>
              <w:adjustRightInd w:val="0"/>
              <w:snapToGrid w:val="0"/>
              <w:jc w:val="left"/>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continue"/>
            <w:vAlign w:val="center"/>
          </w:tcPr>
          <w:p>
            <w:pPr>
              <w:adjustRightInd w:val="0"/>
              <w:snapToGrid w:val="0"/>
              <w:jc w:val="left"/>
              <w:rPr>
                <w:rFonts w:ascii="Times New Roman" w:hAnsi="Times New Roman"/>
                <w:szCs w:val="21"/>
              </w:rPr>
            </w:pP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24小时平均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150</w:t>
            </w:r>
          </w:p>
        </w:tc>
        <w:tc>
          <w:tcPr>
            <w:tcW w:w="1335" w:type="dxa"/>
            <w:vMerge w:val="continue"/>
            <w:vAlign w:val="center"/>
          </w:tcPr>
          <w:p>
            <w:pPr>
              <w:adjustRightInd w:val="0"/>
              <w:snapToGrid w:val="0"/>
              <w:jc w:val="left"/>
              <w:rPr>
                <w:rFonts w:ascii="Times New Roman" w:hAnsi="Times New Roman"/>
                <w:szCs w:val="21"/>
              </w:rPr>
            </w:pPr>
          </w:p>
        </w:tc>
        <w:tc>
          <w:tcPr>
            <w:tcW w:w="2608" w:type="dxa"/>
            <w:vMerge w:val="continue"/>
            <w:vAlign w:val="center"/>
          </w:tcPr>
          <w:p>
            <w:pPr>
              <w:adjustRightInd w:val="0"/>
              <w:snapToGrid w:val="0"/>
              <w:jc w:val="left"/>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restart"/>
            <w:vAlign w:val="center"/>
          </w:tcPr>
          <w:p>
            <w:pPr>
              <w:adjustRightInd w:val="0"/>
              <w:snapToGrid w:val="0"/>
              <w:jc w:val="center"/>
              <w:rPr>
                <w:rFonts w:ascii="Times New Roman" w:hAnsi="Times New Roman"/>
                <w:szCs w:val="21"/>
              </w:rPr>
            </w:pPr>
            <w:r>
              <w:rPr>
                <w:rFonts w:ascii="Times New Roman" w:hAnsi="Times New Roman"/>
                <w:szCs w:val="21"/>
              </w:rPr>
              <w:t>NO</w:t>
            </w:r>
            <w:r>
              <w:rPr>
                <w:rFonts w:ascii="Times New Roman" w:hAnsi="Times New Roman"/>
                <w:szCs w:val="21"/>
                <w:vertAlign w:val="subscript"/>
              </w:rPr>
              <w:t>2</w:t>
            </w: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年均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40</w:t>
            </w:r>
          </w:p>
        </w:tc>
        <w:tc>
          <w:tcPr>
            <w:tcW w:w="1335" w:type="dxa"/>
            <w:vMerge w:val="continue"/>
            <w:vAlign w:val="center"/>
          </w:tcPr>
          <w:p>
            <w:pPr>
              <w:adjustRightInd w:val="0"/>
              <w:snapToGrid w:val="0"/>
              <w:jc w:val="left"/>
              <w:rPr>
                <w:rFonts w:ascii="Times New Roman" w:hAnsi="Times New Roman"/>
                <w:szCs w:val="21"/>
              </w:rPr>
            </w:pPr>
          </w:p>
        </w:tc>
        <w:tc>
          <w:tcPr>
            <w:tcW w:w="2608" w:type="dxa"/>
            <w:vMerge w:val="continue"/>
            <w:vAlign w:val="center"/>
          </w:tcPr>
          <w:p>
            <w:pPr>
              <w:adjustRightInd w:val="0"/>
              <w:snapToGrid w:val="0"/>
              <w:jc w:val="left"/>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continue"/>
            <w:vAlign w:val="center"/>
          </w:tcPr>
          <w:p>
            <w:pPr>
              <w:adjustRightInd w:val="0"/>
              <w:snapToGrid w:val="0"/>
              <w:jc w:val="left"/>
              <w:rPr>
                <w:rFonts w:ascii="Times New Roman" w:hAnsi="Times New Roman"/>
                <w:szCs w:val="21"/>
              </w:rPr>
            </w:pP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24小时平均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80</w:t>
            </w:r>
          </w:p>
        </w:tc>
        <w:tc>
          <w:tcPr>
            <w:tcW w:w="1335" w:type="dxa"/>
            <w:vMerge w:val="continue"/>
            <w:vAlign w:val="center"/>
          </w:tcPr>
          <w:p>
            <w:pPr>
              <w:adjustRightInd w:val="0"/>
              <w:snapToGrid w:val="0"/>
              <w:jc w:val="left"/>
              <w:rPr>
                <w:rFonts w:ascii="Times New Roman" w:hAnsi="Times New Roman"/>
                <w:szCs w:val="21"/>
              </w:rPr>
            </w:pPr>
          </w:p>
        </w:tc>
        <w:tc>
          <w:tcPr>
            <w:tcW w:w="2608" w:type="dxa"/>
            <w:vMerge w:val="continue"/>
            <w:vAlign w:val="center"/>
          </w:tcPr>
          <w:p>
            <w:pPr>
              <w:adjustRightInd w:val="0"/>
              <w:snapToGrid w:val="0"/>
              <w:jc w:val="left"/>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continue"/>
            <w:vAlign w:val="center"/>
          </w:tcPr>
          <w:p>
            <w:pPr>
              <w:adjustRightInd w:val="0"/>
              <w:snapToGrid w:val="0"/>
              <w:jc w:val="left"/>
              <w:rPr>
                <w:rFonts w:ascii="Times New Roman" w:hAnsi="Times New Roman"/>
                <w:szCs w:val="21"/>
              </w:rPr>
            </w:pP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200</w:t>
            </w:r>
          </w:p>
        </w:tc>
        <w:tc>
          <w:tcPr>
            <w:tcW w:w="1335" w:type="dxa"/>
            <w:vMerge w:val="continue"/>
            <w:vAlign w:val="center"/>
          </w:tcPr>
          <w:p>
            <w:pPr>
              <w:adjustRightInd w:val="0"/>
              <w:snapToGrid w:val="0"/>
              <w:jc w:val="left"/>
              <w:rPr>
                <w:rFonts w:ascii="Times New Roman" w:hAnsi="Times New Roman"/>
                <w:szCs w:val="21"/>
              </w:rPr>
            </w:pPr>
          </w:p>
        </w:tc>
        <w:tc>
          <w:tcPr>
            <w:tcW w:w="2608" w:type="dxa"/>
            <w:vMerge w:val="continue"/>
            <w:vAlign w:val="center"/>
          </w:tcPr>
          <w:p>
            <w:pPr>
              <w:adjustRightInd w:val="0"/>
              <w:snapToGrid w:val="0"/>
              <w:jc w:val="left"/>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restart"/>
            <w:vAlign w:val="center"/>
          </w:tcPr>
          <w:p>
            <w:pPr>
              <w:adjustRightInd w:val="0"/>
              <w:snapToGrid w:val="0"/>
              <w:jc w:val="center"/>
              <w:rPr>
                <w:rFonts w:ascii="Times New Roman" w:hAnsi="Times New Roman"/>
                <w:szCs w:val="21"/>
              </w:rPr>
            </w:pPr>
            <w:r>
              <w:rPr>
                <w:rFonts w:ascii="Times New Roman" w:hAnsi="Times New Roman"/>
                <w:szCs w:val="21"/>
              </w:rPr>
              <w:t>TSP</w:t>
            </w: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年均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200</w:t>
            </w:r>
          </w:p>
        </w:tc>
        <w:tc>
          <w:tcPr>
            <w:tcW w:w="1335" w:type="dxa"/>
            <w:vMerge w:val="continue"/>
            <w:vAlign w:val="center"/>
          </w:tcPr>
          <w:p>
            <w:pPr>
              <w:adjustRightInd w:val="0"/>
              <w:snapToGrid w:val="0"/>
              <w:jc w:val="center"/>
              <w:rPr>
                <w:rFonts w:ascii="Times New Roman" w:hAnsi="Times New Roman"/>
                <w:szCs w:val="21"/>
              </w:rPr>
            </w:pPr>
          </w:p>
        </w:tc>
        <w:tc>
          <w:tcPr>
            <w:tcW w:w="2608" w:type="dxa"/>
            <w:vMerge w:val="continue"/>
            <w:vAlign w:val="center"/>
          </w:tcPr>
          <w:p>
            <w:pPr>
              <w:adjustRightInd w:val="0"/>
              <w:snapToGrid w:val="0"/>
              <w:jc w:val="center"/>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continue"/>
            <w:vAlign w:val="center"/>
          </w:tcPr>
          <w:p>
            <w:pPr>
              <w:adjustRightInd w:val="0"/>
              <w:snapToGrid w:val="0"/>
              <w:jc w:val="center"/>
              <w:rPr>
                <w:rFonts w:ascii="Times New Roman" w:hAnsi="Times New Roman"/>
                <w:szCs w:val="21"/>
              </w:rPr>
            </w:pP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24小时平均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300</w:t>
            </w:r>
          </w:p>
        </w:tc>
        <w:tc>
          <w:tcPr>
            <w:tcW w:w="1335" w:type="dxa"/>
            <w:vMerge w:val="continue"/>
            <w:vAlign w:val="center"/>
          </w:tcPr>
          <w:p>
            <w:pPr>
              <w:adjustRightInd w:val="0"/>
              <w:snapToGrid w:val="0"/>
              <w:jc w:val="center"/>
              <w:rPr>
                <w:rFonts w:ascii="Times New Roman" w:hAnsi="Times New Roman"/>
                <w:szCs w:val="21"/>
              </w:rPr>
            </w:pPr>
          </w:p>
        </w:tc>
        <w:tc>
          <w:tcPr>
            <w:tcW w:w="2608" w:type="dxa"/>
            <w:vMerge w:val="continue"/>
            <w:vAlign w:val="center"/>
          </w:tcPr>
          <w:p>
            <w:pPr>
              <w:adjustRightInd w:val="0"/>
              <w:snapToGrid w:val="0"/>
              <w:jc w:val="center"/>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restart"/>
            <w:vAlign w:val="center"/>
          </w:tcPr>
          <w:p>
            <w:pPr>
              <w:adjustRightInd w:val="0"/>
              <w:snapToGrid w:val="0"/>
              <w:jc w:val="center"/>
              <w:rPr>
                <w:rFonts w:ascii="Times New Roman" w:hAnsi="Times New Roman"/>
                <w:szCs w:val="21"/>
              </w:rPr>
            </w:pPr>
            <w:r>
              <w:rPr>
                <w:rFonts w:ascii="Times New Roman" w:hAnsi="Times New Roman"/>
                <w:szCs w:val="21"/>
              </w:rPr>
              <w:t>CO</w:t>
            </w: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24小时平均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4</w:t>
            </w:r>
          </w:p>
        </w:tc>
        <w:tc>
          <w:tcPr>
            <w:tcW w:w="1335" w:type="dxa"/>
            <w:vMerge w:val="restart"/>
            <w:vAlign w:val="center"/>
          </w:tcPr>
          <w:p>
            <w:pPr>
              <w:adjustRightInd w:val="0"/>
              <w:snapToGrid w:val="0"/>
              <w:jc w:val="center"/>
              <w:rPr>
                <w:rFonts w:ascii="Times New Roman" w:hAnsi="Times New Roman"/>
                <w:szCs w:val="21"/>
              </w:rPr>
            </w:pPr>
            <w:r>
              <w:rPr>
                <w:rFonts w:ascii="Times New Roman" w:hAnsi="Times New Roman"/>
                <w:szCs w:val="21"/>
              </w:rPr>
              <w:t>mg/m</w:t>
            </w:r>
            <w:r>
              <w:rPr>
                <w:rFonts w:ascii="Times New Roman" w:hAnsi="Times New Roman"/>
                <w:szCs w:val="21"/>
                <w:vertAlign w:val="superscript"/>
              </w:rPr>
              <w:t>3</w:t>
            </w:r>
          </w:p>
        </w:tc>
        <w:tc>
          <w:tcPr>
            <w:tcW w:w="2608" w:type="dxa"/>
            <w:vMerge w:val="continue"/>
            <w:vAlign w:val="center"/>
          </w:tcPr>
          <w:p>
            <w:pPr>
              <w:adjustRightInd w:val="0"/>
              <w:snapToGrid w:val="0"/>
              <w:jc w:val="center"/>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continue"/>
            <w:vAlign w:val="center"/>
          </w:tcPr>
          <w:p>
            <w:pPr>
              <w:adjustRightInd w:val="0"/>
              <w:snapToGrid w:val="0"/>
              <w:jc w:val="center"/>
              <w:rPr>
                <w:rFonts w:ascii="Times New Roman" w:hAnsi="Times New Roman"/>
                <w:szCs w:val="21"/>
              </w:rPr>
            </w:pP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1335" w:type="dxa"/>
            <w:vMerge w:val="continue"/>
            <w:vAlign w:val="center"/>
          </w:tcPr>
          <w:p>
            <w:pPr>
              <w:adjustRightInd w:val="0"/>
              <w:snapToGrid w:val="0"/>
              <w:jc w:val="center"/>
              <w:rPr>
                <w:rFonts w:ascii="Times New Roman" w:hAnsi="Times New Roman"/>
                <w:szCs w:val="21"/>
              </w:rPr>
            </w:pPr>
          </w:p>
        </w:tc>
        <w:tc>
          <w:tcPr>
            <w:tcW w:w="2608" w:type="dxa"/>
            <w:vMerge w:val="continue"/>
            <w:vAlign w:val="center"/>
          </w:tcPr>
          <w:p>
            <w:pPr>
              <w:adjustRightInd w:val="0"/>
              <w:snapToGrid w:val="0"/>
              <w:jc w:val="center"/>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restart"/>
            <w:vAlign w:val="center"/>
          </w:tcPr>
          <w:p>
            <w:pPr>
              <w:adjustRightInd w:val="0"/>
              <w:snapToGrid w:val="0"/>
              <w:jc w:val="center"/>
              <w:rPr>
                <w:rFonts w:ascii="Times New Roman" w:hAnsi="Times New Roman"/>
                <w:szCs w:val="21"/>
              </w:rPr>
            </w:pPr>
            <w:r>
              <w:rPr>
                <w:rFonts w:ascii="Times New Roman" w:hAnsi="Times New Roman"/>
                <w:szCs w:val="21"/>
              </w:rPr>
              <w:t>O</w:t>
            </w:r>
            <w:r>
              <w:rPr>
                <w:rFonts w:ascii="Times New Roman" w:hAnsi="Times New Roman"/>
                <w:szCs w:val="21"/>
                <w:vertAlign w:val="subscript"/>
              </w:rPr>
              <w:t>3</w:t>
            </w: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日最大8小时平均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160</w:t>
            </w:r>
          </w:p>
        </w:tc>
        <w:tc>
          <w:tcPr>
            <w:tcW w:w="1335" w:type="dxa"/>
            <w:vMerge w:val="restart"/>
            <w:vAlign w:val="center"/>
          </w:tcPr>
          <w:p>
            <w:pPr>
              <w:adjustRightInd w:val="0"/>
              <w:snapToGrid w:val="0"/>
              <w:jc w:val="center"/>
              <w:rPr>
                <w:rFonts w:ascii="Times New Roman" w:hAnsi="Times New Roman"/>
                <w:szCs w:val="21"/>
              </w:rPr>
            </w:pPr>
            <w:r>
              <w:rPr>
                <w:rFonts w:ascii="Times New Roman" w:hAnsi="Times New Roman"/>
                <w:szCs w:val="21"/>
              </w:rPr>
              <w:t>μg/m</w:t>
            </w:r>
            <w:r>
              <w:rPr>
                <w:rFonts w:ascii="Times New Roman" w:hAnsi="Times New Roman"/>
                <w:szCs w:val="21"/>
                <w:vertAlign w:val="superscript"/>
              </w:rPr>
              <w:t>3</w:t>
            </w:r>
          </w:p>
        </w:tc>
        <w:tc>
          <w:tcPr>
            <w:tcW w:w="2608" w:type="dxa"/>
            <w:vMerge w:val="continue"/>
            <w:vAlign w:val="center"/>
          </w:tcPr>
          <w:p>
            <w:pPr>
              <w:adjustRightInd w:val="0"/>
              <w:snapToGrid w:val="0"/>
              <w:jc w:val="center"/>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Merge w:val="continue"/>
            <w:vAlign w:val="center"/>
          </w:tcPr>
          <w:p>
            <w:pPr>
              <w:adjustRightInd w:val="0"/>
              <w:snapToGrid w:val="0"/>
              <w:jc w:val="center"/>
              <w:rPr>
                <w:rFonts w:ascii="Times New Roman" w:hAnsi="Times New Roman"/>
                <w:szCs w:val="21"/>
              </w:rPr>
            </w:pP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200</w:t>
            </w:r>
          </w:p>
        </w:tc>
        <w:tc>
          <w:tcPr>
            <w:tcW w:w="1335" w:type="dxa"/>
            <w:vMerge w:val="continue"/>
            <w:vAlign w:val="center"/>
          </w:tcPr>
          <w:p>
            <w:pPr>
              <w:adjustRightInd w:val="0"/>
              <w:snapToGrid w:val="0"/>
              <w:jc w:val="center"/>
              <w:rPr>
                <w:rFonts w:ascii="Times New Roman" w:hAnsi="Times New Roman"/>
                <w:szCs w:val="21"/>
              </w:rPr>
            </w:pPr>
          </w:p>
        </w:tc>
        <w:tc>
          <w:tcPr>
            <w:tcW w:w="2608" w:type="dxa"/>
            <w:vMerge w:val="continue"/>
            <w:vAlign w:val="center"/>
          </w:tcPr>
          <w:p>
            <w:pPr>
              <w:adjustRightInd w:val="0"/>
              <w:snapToGrid w:val="0"/>
              <w:jc w:val="center"/>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Align w:val="center"/>
          </w:tcPr>
          <w:p>
            <w:pPr>
              <w:adjustRightInd w:val="0"/>
              <w:snapToGrid w:val="0"/>
              <w:jc w:val="center"/>
              <w:rPr>
                <w:rFonts w:ascii="Times New Roman" w:hAnsi="Times New Roman"/>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1335" w:type="dxa"/>
            <w:vMerge w:val="continue"/>
            <w:vAlign w:val="center"/>
          </w:tcPr>
          <w:p>
            <w:pPr>
              <w:adjustRightInd w:val="0"/>
              <w:snapToGrid w:val="0"/>
              <w:jc w:val="center"/>
              <w:rPr>
                <w:rFonts w:ascii="Times New Roman" w:hAnsi="Times New Roman"/>
                <w:szCs w:val="21"/>
              </w:rPr>
            </w:pPr>
          </w:p>
        </w:tc>
        <w:tc>
          <w:tcPr>
            <w:tcW w:w="2608" w:type="dxa"/>
            <w:vMerge w:val="restart"/>
            <w:vAlign w:val="center"/>
          </w:tcPr>
          <w:p>
            <w:pPr>
              <w:adjustRightInd w:val="0"/>
              <w:snapToGrid w:val="0"/>
              <w:jc w:val="center"/>
              <w:rPr>
                <w:rFonts w:ascii="Times New Roman" w:hAnsi="Times New Roman"/>
                <w:szCs w:val="21"/>
              </w:rPr>
            </w:pPr>
            <w:r>
              <w:rPr>
                <w:rFonts w:ascii="Times New Roman" w:hAnsi="Times New Roman"/>
                <w:szCs w:val="21"/>
              </w:rPr>
              <w:t>参照《环境影响评价技术导则 大气环境》（HJ2.2-2018）中附录D</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603" w:type="dxa"/>
            <w:vAlign w:val="center"/>
          </w:tcPr>
          <w:p>
            <w:pPr>
              <w:adjustRightInd w:val="0"/>
              <w:snapToGrid w:val="0"/>
              <w:jc w:val="center"/>
              <w:rPr>
                <w:rFonts w:ascii="Times New Roman" w:hAnsi="Times New Roman"/>
                <w:szCs w:val="21"/>
              </w:rPr>
            </w:pPr>
            <w:r>
              <w:rPr>
                <w:rFonts w:ascii="Times New Roman" w:hAnsi="Times New Roman"/>
                <w:szCs w:val="21"/>
              </w:rPr>
              <w:t>NH</w:t>
            </w:r>
            <w:r>
              <w:rPr>
                <w:rFonts w:ascii="Times New Roman" w:hAnsi="Times New Roman"/>
                <w:szCs w:val="21"/>
                <w:vertAlign w:val="subscript"/>
              </w:rPr>
              <w:t>3</w:t>
            </w:r>
          </w:p>
        </w:tc>
        <w:tc>
          <w:tcPr>
            <w:tcW w:w="1950" w:type="dxa"/>
            <w:vAlign w:val="center"/>
          </w:tcPr>
          <w:p>
            <w:pPr>
              <w:adjustRightInd w:val="0"/>
              <w:snapToGrid w:val="0"/>
              <w:jc w:val="center"/>
              <w:rPr>
                <w:rFonts w:ascii="Times New Roman" w:hAnsi="Times New Roman"/>
                <w:szCs w:val="21"/>
              </w:rPr>
            </w:pPr>
            <w:r>
              <w:rPr>
                <w:rFonts w:ascii="Times New Roman" w:hAnsi="Times New Roman"/>
                <w:szCs w:val="21"/>
              </w:rPr>
              <w:t>小时平均</w:t>
            </w:r>
          </w:p>
        </w:tc>
        <w:tc>
          <w:tcPr>
            <w:tcW w:w="1575" w:type="dxa"/>
            <w:vAlign w:val="center"/>
          </w:tcPr>
          <w:p>
            <w:pPr>
              <w:adjustRightInd w:val="0"/>
              <w:snapToGrid w:val="0"/>
              <w:jc w:val="center"/>
              <w:rPr>
                <w:rFonts w:ascii="Times New Roman" w:hAnsi="Times New Roman"/>
                <w:szCs w:val="21"/>
              </w:rPr>
            </w:pPr>
            <w:r>
              <w:rPr>
                <w:rFonts w:ascii="Times New Roman" w:hAnsi="Times New Roman"/>
                <w:szCs w:val="21"/>
              </w:rPr>
              <w:t>200</w:t>
            </w:r>
          </w:p>
        </w:tc>
        <w:tc>
          <w:tcPr>
            <w:tcW w:w="1335" w:type="dxa"/>
            <w:vMerge w:val="continue"/>
            <w:vAlign w:val="center"/>
          </w:tcPr>
          <w:p>
            <w:pPr>
              <w:adjustRightInd w:val="0"/>
              <w:snapToGrid w:val="0"/>
              <w:jc w:val="center"/>
              <w:rPr>
                <w:rFonts w:ascii="Times New Roman" w:hAnsi="Times New Roman"/>
                <w:szCs w:val="21"/>
              </w:rPr>
            </w:pPr>
          </w:p>
        </w:tc>
        <w:tc>
          <w:tcPr>
            <w:tcW w:w="2608" w:type="dxa"/>
            <w:vMerge w:val="continue"/>
            <w:vAlign w:val="center"/>
          </w:tcPr>
          <w:p>
            <w:pPr>
              <w:adjustRightInd w:val="0"/>
              <w:snapToGrid w:val="0"/>
              <w:jc w:val="center"/>
              <w:rPr>
                <w:rFonts w:ascii="Times New Roman" w:hAnsi="Times New Roman"/>
                <w:szCs w:val="21"/>
              </w:rPr>
            </w:pPr>
          </w:p>
        </w:tc>
      </w:tr>
    </w:tbl>
    <w:p>
      <w:pPr>
        <w:pStyle w:val="6"/>
        <w:snapToGrid w:val="0"/>
        <w:spacing w:before="120" w:after="120" w:line="540" w:lineRule="exact"/>
        <w:contextualSpacing/>
        <w:rPr>
          <w:rFonts w:ascii="Times New Roman" w:hAnsi="Times New Roman" w:eastAsia="宋体"/>
          <w:bCs w:val="0"/>
          <w:sz w:val="24"/>
        </w:rPr>
      </w:pPr>
      <w:bookmarkStart w:id="209" w:name="_Toc30414_WPSOffice_Level3"/>
      <w:bookmarkStart w:id="210" w:name="_Toc16976_WPSOffice_Level3"/>
      <w:r>
        <w:rPr>
          <w:rFonts w:hint="eastAsia" w:ascii="Times New Roman" w:hAnsi="Times New Roman" w:eastAsia="宋体"/>
          <w:bCs w:val="0"/>
          <w:sz w:val="24"/>
        </w:rPr>
        <w:t>1</w:t>
      </w:r>
      <w:r>
        <w:rPr>
          <w:rFonts w:ascii="Times New Roman" w:hAnsi="Times New Roman" w:eastAsia="宋体"/>
          <w:bCs w:val="0"/>
          <w:sz w:val="24"/>
        </w:rPr>
        <w:t>.4.2.2地表水环境质量标准</w:t>
      </w:r>
      <w:bookmarkEnd w:id="209"/>
      <w:bookmarkEnd w:id="210"/>
    </w:p>
    <w:p>
      <w:pPr>
        <w:adjustRightInd w:val="0"/>
        <w:snapToGrid w:val="0"/>
        <w:spacing w:line="540" w:lineRule="exact"/>
        <w:ind w:firstLine="480" w:firstLineChars="200"/>
        <w:rPr>
          <w:rFonts w:hint="eastAsia"/>
        </w:rPr>
      </w:pPr>
      <w:r>
        <w:rPr>
          <w:rFonts w:ascii="Times New Roman" w:hAnsi="Times New Roman"/>
          <w:kern w:val="1"/>
          <w:sz w:val="24"/>
        </w:rPr>
        <w:t>评价区域地表水体主要为项目</w:t>
      </w:r>
      <w:r>
        <w:rPr>
          <w:rFonts w:hint="eastAsia" w:ascii="Times New Roman" w:hAnsi="Times New Roman"/>
          <w:kern w:val="1"/>
          <w:sz w:val="24"/>
        </w:rPr>
        <w:t>北侧</w:t>
      </w:r>
      <w:r>
        <w:rPr>
          <w:rFonts w:ascii="Times New Roman" w:hAnsi="Times New Roman"/>
          <w:kern w:val="1"/>
          <w:sz w:val="24"/>
        </w:rPr>
        <w:t>的</w:t>
      </w:r>
      <w:r>
        <w:rPr>
          <w:rFonts w:hint="eastAsia" w:ascii="Times New Roman" w:hAnsi="Times New Roman"/>
          <w:kern w:val="1"/>
          <w:sz w:val="24"/>
        </w:rPr>
        <w:t>渝</w:t>
      </w:r>
      <w:r>
        <w:rPr>
          <w:rFonts w:ascii="Times New Roman" w:hAnsi="Times New Roman"/>
          <w:kern w:val="1"/>
          <w:sz w:val="24"/>
        </w:rPr>
        <w:t>河，根据《宁夏回族自治区人民政府关于印发宁夏回族自治区水污染防治工作方案的通知》（宁政发[2015]106号），到2020年，黄河流域宁夏段水质优良（达到或优于Ⅲ类）比例总体达到73.3%以上（包括黄河、泾河、葫芦河、渝河、清水河及湖泊、水库等15个断面），因此</w:t>
      </w:r>
      <w:r>
        <w:rPr>
          <w:rFonts w:hint="eastAsia" w:ascii="Times New Roman" w:hAnsi="Times New Roman"/>
          <w:kern w:val="1"/>
          <w:sz w:val="24"/>
        </w:rPr>
        <w:t>渝</w:t>
      </w:r>
      <w:r>
        <w:rPr>
          <w:rFonts w:ascii="Times New Roman" w:hAnsi="Times New Roman"/>
          <w:kern w:val="1"/>
          <w:sz w:val="24"/>
        </w:rPr>
        <w:t>河的水环境质量目标类别为《地表水环境质量标准》（GB3838-2002)Ⅲ类，标准限值详见表1.4-2。</w:t>
      </w:r>
    </w:p>
    <w:p>
      <w:pPr>
        <w:adjustRightInd w:val="0"/>
        <w:snapToGrid w:val="0"/>
        <w:jc w:val="center"/>
        <w:rPr>
          <w:rFonts w:ascii="Times New Roman" w:hAnsi="Times New Roman"/>
          <w:b/>
          <w:sz w:val="24"/>
        </w:rPr>
      </w:pPr>
      <w:r>
        <w:rPr>
          <w:rFonts w:hint="eastAsia" w:ascii="Times New Roman" w:hAnsi="Times New Roman"/>
          <w:b/>
          <w:sz w:val="24"/>
        </w:rPr>
        <w:t>表1.4-2</w:t>
      </w:r>
      <w:r>
        <w:rPr>
          <w:rFonts w:ascii="Times New Roman" w:hAnsi="Times New Roman"/>
          <w:b/>
          <w:sz w:val="24"/>
        </w:rPr>
        <w:t xml:space="preserve">  </w:t>
      </w:r>
      <w:r>
        <w:rPr>
          <w:rFonts w:hint="eastAsia" w:ascii="Times New Roman" w:hAnsi="Times New Roman"/>
          <w:b/>
          <w:sz w:val="24"/>
        </w:rPr>
        <w:t xml:space="preserve"> 地表水环境质量评价执行标准</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26"/>
        <w:gridCol w:w="2340"/>
        <w:gridCol w:w="1905"/>
        <w:gridCol w:w="1830"/>
        <w:gridCol w:w="19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
                <w:szCs w:val="21"/>
              </w:rPr>
            </w:pPr>
            <w:r>
              <w:rPr>
                <w:rFonts w:ascii="Times New Roman" w:hAnsi="Times New Roman"/>
                <w:b/>
                <w:szCs w:val="21"/>
              </w:rPr>
              <w:t>序号</w:t>
            </w:r>
          </w:p>
        </w:tc>
        <w:tc>
          <w:tcPr>
            <w:tcW w:w="2340" w:type="dxa"/>
            <w:vAlign w:val="center"/>
          </w:tcPr>
          <w:p>
            <w:pPr>
              <w:jc w:val="center"/>
              <w:rPr>
                <w:rFonts w:ascii="Times New Roman" w:hAnsi="Times New Roman"/>
                <w:b/>
                <w:szCs w:val="21"/>
              </w:rPr>
            </w:pPr>
            <w:r>
              <w:rPr>
                <w:rFonts w:ascii="Times New Roman" w:hAnsi="Times New Roman"/>
                <w:b/>
                <w:szCs w:val="21"/>
              </w:rPr>
              <w:t>污染物</w:t>
            </w:r>
          </w:p>
        </w:tc>
        <w:tc>
          <w:tcPr>
            <w:tcW w:w="1905" w:type="dxa"/>
            <w:vAlign w:val="center"/>
          </w:tcPr>
          <w:p>
            <w:pPr>
              <w:jc w:val="center"/>
              <w:rPr>
                <w:rFonts w:ascii="Times New Roman" w:hAnsi="Times New Roman"/>
                <w:b/>
                <w:szCs w:val="21"/>
              </w:rPr>
            </w:pPr>
            <w:r>
              <w:rPr>
                <w:rFonts w:ascii="Times New Roman" w:hAnsi="Times New Roman"/>
                <w:b/>
                <w:szCs w:val="21"/>
              </w:rPr>
              <w:t>标准限值</w:t>
            </w:r>
          </w:p>
        </w:tc>
        <w:tc>
          <w:tcPr>
            <w:tcW w:w="1830" w:type="dxa"/>
            <w:vAlign w:val="center"/>
          </w:tcPr>
          <w:p>
            <w:pPr>
              <w:jc w:val="center"/>
              <w:rPr>
                <w:rFonts w:ascii="Times New Roman" w:hAnsi="Times New Roman"/>
                <w:b/>
                <w:szCs w:val="21"/>
              </w:rPr>
            </w:pPr>
            <w:r>
              <w:rPr>
                <w:rFonts w:ascii="Times New Roman" w:hAnsi="Times New Roman"/>
                <w:b/>
                <w:szCs w:val="21"/>
              </w:rPr>
              <w:t>单位</w:t>
            </w:r>
          </w:p>
        </w:tc>
        <w:tc>
          <w:tcPr>
            <w:tcW w:w="1970" w:type="dxa"/>
            <w:vAlign w:val="center"/>
          </w:tcPr>
          <w:p>
            <w:pPr>
              <w:jc w:val="center"/>
              <w:rPr>
                <w:rFonts w:ascii="Times New Roman" w:hAnsi="Times New Roman"/>
                <w:b/>
                <w:szCs w:val="21"/>
              </w:rPr>
            </w:pPr>
            <w:r>
              <w:rPr>
                <w:rFonts w:ascii="Times New Roman" w:hAnsi="Times New Roman"/>
                <w:b/>
                <w:szCs w:val="21"/>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1</w:t>
            </w:r>
          </w:p>
        </w:tc>
        <w:tc>
          <w:tcPr>
            <w:tcW w:w="2340" w:type="dxa"/>
            <w:vAlign w:val="center"/>
          </w:tcPr>
          <w:p>
            <w:pPr>
              <w:jc w:val="center"/>
              <w:rPr>
                <w:rFonts w:ascii="Times New Roman" w:hAnsi="Times New Roman"/>
                <w:bCs/>
                <w:szCs w:val="21"/>
              </w:rPr>
            </w:pPr>
            <w:r>
              <w:rPr>
                <w:rFonts w:ascii="Times New Roman" w:hAnsi="Times New Roman"/>
                <w:bCs/>
                <w:szCs w:val="21"/>
              </w:rPr>
              <w:t>水温</w:t>
            </w:r>
          </w:p>
        </w:tc>
        <w:tc>
          <w:tcPr>
            <w:tcW w:w="1905" w:type="dxa"/>
            <w:vAlign w:val="center"/>
          </w:tcPr>
          <w:p>
            <w:pPr>
              <w:overflowPunct w:val="0"/>
              <w:jc w:val="center"/>
              <w:rPr>
                <w:rFonts w:ascii="Times New Roman" w:hAnsi="Times New Roman"/>
                <w:bCs/>
                <w:kern w:val="21"/>
                <w:szCs w:val="21"/>
              </w:rPr>
            </w:pPr>
            <w:r>
              <w:rPr>
                <w:rFonts w:ascii="Times New Roman" w:hAnsi="Times New Roman"/>
                <w:bCs/>
                <w:kern w:val="21"/>
                <w:szCs w:val="21"/>
              </w:rPr>
              <w:t>/</w:t>
            </w:r>
          </w:p>
        </w:tc>
        <w:tc>
          <w:tcPr>
            <w:tcW w:w="1830" w:type="dxa"/>
            <w:vAlign w:val="center"/>
          </w:tcPr>
          <w:p>
            <w:pPr>
              <w:overflowPunct w:val="0"/>
              <w:jc w:val="center"/>
              <w:rPr>
                <w:rFonts w:ascii="Times New Roman" w:hAnsi="Times New Roman"/>
                <w:bCs/>
                <w:kern w:val="21"/>
                <w:szCs w:val="21"/>
              </w:rPr>
            </w:pPr>
            <w:r>
              <w:rPr>
                <w:rFonts w:ascii="Times New Roman" w:hAnsi="Times New Roman"/>
                <w:bCs/>
                <w:kern w:val="21"/>
                <w:szCs w:val="21"/>
              </w:rPr>
              <w:t>℃</w:t>
            </w:r>
          </w:p>
        </w:tc>
        <w:tc>
          <w:tcPr>
            <w:tcW w:w="1970" w:type="dxa"/>
            <w:vMerge w:val="restart"/>
            <w:vAlign w:val="center"/>
          </w:tcPr>
          <w:p>
            <w:pPr>
              <w:overflowPunct w:val="0"/>
              <w:jc w:val="center"/>
              <w:rPr>
                <w:rFonts w:ascii="Times New Roman" w:hAnsi="Times New Roman"/>
                <w:bCs/>
                <w:kern w:val="21"/>
                <w:szCs w:val="21"/>
              </w:rPr>
            </w:pPr>
          </w:p>
          <w:p>
            <w:pPr>
              <w:overflowPunct w:val="0"/>
              <w:jc w:val="center"/>
              <w:rPr>
                <w:rFonts w:ascii="Times New Roman" w:hAnsi="Times New Roman"/>
                <w:bCs/>
                <w:kern w:val="21"/>
                <w:szCs w:val="21"/>
              </w:rPr>
            </w:pPr>
          </w:p>
          <w:p>
            <w:pPr>
              <w:overflowPunct w:val="0"/>
              <w:jc w:val="center"/>
              <w:rPr>
                <w:rFonts w:ascii="Times New Roman" w:hAnsi="Times New Roman"/>
                <w:bCs/>
                <w:kern w:val="21"/>
                <w:szCs w:val="21"/>
              </w:rPr>
            </w:pPr>
          </w:p>
          <w:p>
            <w:pPr>
              <w:overflowPunct w:val="0"/>
              <w:jc w:val="center"/>
              <w:rPr>
                <w:rFonts w:ascii="Times New Roman" w:hAnsi="Times New Roman"/>
                <w:bCs/>
                <w:kern w:val="21"/>
                <w:szCs w:val="21"/>
              </w:rPr>
            </w:pPr>
          </w:p>
          <w:p>
            <w:pPr>
              <w:overflowPunct w:val="0"/>
              <w:jc w:val="center"/>
              <w:rPr>
                <w:rFonts w:ascii="Times New Roman" w:hAnsi="Times New Roman"/>
                <w:bCs/>
                <w:kern w:val="21"/>
                <w:szCs w:val="21"/>
              </w:rPr>
            </w:pPr>
          </w:p>
          <w:p>
            <w:pPr>
              <w:overflowPunct w:val="0"/>
              <w:jc w:val="center"/>
              <w:rPr>
                <w:rFonts w:ascii="Times New Roman" w:hAnsi="Times New Roman"/>
                <w:bCs/>
                <w:kern w:val="21"/>
                <w:szCs w:val="21"/>
              </w:rPr>
            </w:pPr>
          </w:p>
          <w:p>
            <w:pPr>
              <w:overflowPunct w:val="0"/>
              <w:jc w:val="center"/>
              <w:rPr>
                <w:rFonts w:ascii="Times New Roman" w:hAnsi="Times New Roman"/>
                <w:bCs/>
                <w:kern w:val="21"/>
                <w:szCs w:val="21"/>
              </w:rPr>
            </w:pPr>
          </w:p>
          <w:p>
            <w:pPr>
              <w:overflowPunct w:val="0"/>
              <w:jc w:val="center"/>
              <w:rPr>
                <w:rFonts w:ascii="Times New Roman" w:hAnsi="Times New Roman"/>
                <w:bCs/>
                <w:kern w:val="21"/>
                <w:szCs w:val="21"/>
              </w:rPr>
            </w:pPr>
          </w:p>
          <w:p>
            <w:pPr>
              <w:overflowPunct w:val="0"/>
              <w:jc w:val="center"/>
              <w:rPr>
                <w:rFonts w:ascii="Times New Roman" w:hAnsi="Times New Roman"/>
                <w:bCs/>
                <w:kern w:val="21"/>
                <w:szCs w:val="21"/>
              </w:rPr>
            </w:pPr>
          </w:p>
          <w:p>
            <w:pPr>
              <w:overflowPunct w:val="0"/>
              <w:jc w:val="center"/>
              <w:rPr>
                <w:rFonts w:ascii="Times New Roman" w:hAnsi="Times New Roman"/>
                <w:bCs/>
                <w:kern w:val="21"/>
                <w:szCs w:val="21"/>
              </w:rPr>
            </w:pPr>
          </w:p>
          <w:p>
            <w:pPr>
              <w:overflowPunct w:val="0"/>
              <w:jc w:val="center"/>
              <w:rPr>
                <w:rFonts w:ascii="Times New Roman" w:hAnsi="Times New Roman"/>
                <w:bCs/>
                <w:kern w:val="21"/>
                <w:szCs w:val="21"/>
              </w:rPr>
            </w:pPr>
            <w:r>
              <w:rPr>
                <w:rFonts w:ascii="Times New Roman" w:hAnsi="Times New Roman"/>
                <w:bCs/>
                <w:kern w:val="21"/>
                <w:szCs w:val="21"/>
              </w:rPr>
              <w:t>《地表水环境质量标准》（GB3838-2002）中的Ⅲ类标准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2</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pH</w:t>
            </w:r>
          </w:p>
        </w:tc>
        <w:tc>
          <w:tcPr>
            <w:tcW w:w="1905" w:type="dxa"/>
            <w:vAlign w:val="center"/>
          </w:tcPr>
          <w:p>
            <w:pPr>
              <w:widowControl/>
              <w:jc w:val="center"/>
              <w:textAlignment w:val="center"/>
              <w:rPr>
                <w:rFonts w:ascii="Times New Roman" w:hAnsi="Times New Roman"/>
                <w:bCs/>
                <w:kern w:val="21"/>
                <w:szCs w:val="21"/>
              </w:rPr>
            </w:pPr>
            <w:r>
              <w:rPr>
                <w:rFonts w:ascii="Times New Roman" w:hAnsi="Times New Roman"/>
                <w:kern w:val="0"/>
                <w:szCs w:val="21"/>
                <w:lang w:bidi="ar"/>
              </w:rPr>
              <w:t>6-9</w:t>
            </w:r>
            <w:r>
              <w:rPr>
                <w:rFonts w:hint="eastAsia" w:ascii="Times New Roman" w:hAnsi="Times New Roman"/>
                <w:kern w:val="0"/>
                <w:szCs w:val="21"/>
                <w:lang w:bidi="ar"/>
              </w:rPr>
              <w:t>（无量纲）</w:t>
            </w:r>
          </w:p>
        </w:tc>
        <w:tc>
          <w:tcPr>
            <w:tcW w:w="1830" w:type="dxa"/>
            <w:vAlign w:val="center"/>
          </w:tcPr>
          <w:p>
            <w:pPr>
              <w:overflowPunct w:val="0"/>
              <w:jc w:val="center"/>
              <w:rPr>
                <w:rFonts w:ascii="Times New Roman" w:hAnsi="Times New Roman"/>
                <w:bCs/>
                <w:kern w:val="21"/>
                <w:szCs w:val="21"/>
              </w:rPr>
            </w:pPr>
            <w:r>
              <w:rPr>
                <w:rFonts w:ascii="Times New Roman" w:hAnsi="Times New Roman"/>
                <w:bCs/>
                <w:kern w:val="21"/>
                <w:szCs w:val="21"/>
              </w:rPr>
              <w:t>无量纲</w:t>
            </w:r>
          </w:p>
        </w:tc>
        <w:tc>
          <w:tcPr>
            <w:tcW w:w="1970" w:type="dxa"/>
            <w:vMerge w:val="continue"/>
            <w:vAlign w:val="center"/>
          </w:tcPr>
          <w:p>
            <w:pPr>
              <w:overflowPunct w:val="0"/>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3</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溶解氧</w:t>
            </w:r>
          </w:p>
        </w:tc>
        <w:tc>
          <w:tcPr>
            <w:tcW w:w="1905" w:type="dxa"/>
            <w:vAlign w:val="center"/>
          </w:tcPr>
          <w:p>
            <w:pPr>
              <w:widowControl/>
              <w:jc w:val="center"/>
              <w:textAlignment w:val="center"/>
              <w:rPr>
                <w:rFonts w:ascii="Times New Roman" w:hAnsi="Times New Roman"/>
                <w:bCs/>
                <w:kern w:val="21"/>
                <w:szCs w:val="21"/>
              </w:rPr>
            </w:pPr>
            <w:r>
              <w:rPr>
                <w:rFonts w:hint="eastAsia" w:ascii="Times New Roman" w:hAnsi="Times New Roman"/>
                <w:kern w:val="0"/>
                <w:szCs w:val="21"/>
                <w:lang w:bidi="ar"/>
              </w:rPr>
              <w:t>5</w:t>
            </w:r>
          </w:p>
        </w:tc>
        <w:tc>
          <w:tcPr>
            <w:tcW w:w="1830" w:type="dxa"/>
            <w:vAlign w:val="center"/>
          </w:tcPr>
          <w:p>
            <w:pPr>
              <w:overflowPunct w:val="0"/>
              <w:jc w:val="center"/>
              <w:rPr>
                <w:rFonts w:ascii="Times New Roman" w:hAnsi="Times New Roman"/>
                <w:bCs/>
                <w:kern w:val="21"/>
                <w:szCs w:val="21"/>
              </w:rPr>
            </w:pPr>
            <w:r>
              <w:rPr>
                <w:rFonts w:ascii="Times New Roman" w:hAnsi="Times New Roman"/>
                <w:bCs/>
                <w:kern w:val="21"/>
                <w:szCs w:val="21"/>
              </w:rPr>
              <w:t>mg/L</w:t>
            </w:r>
          </w:p>
        </w:tc>
        <w:tc>
          <w:tcPr>
            <w:tcW w:w="1970" w:type="dxa"/>
            <w:vMerge w:val="continue"/>
            <w:vAlign w:val="center"/>
          </w:tcPr>
          <w:p>
            <w:pPr>
              <w:overflowPunct w:val="0"/>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4</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高锰酸盐指数</w:t>
            </w:r>
          </w:p>
        </w:tc>
        <w:tc>
          <w:tcPr>
            <w:tcW w:w="1905" w:type="dxa"/>
            <w:vAlign w:val="center"/>
          </w:tcPr>
          <w:p>
            <w:pPr>
              <w:widowControl/>
              <w:jc w:val="center"/>
              <w:textAlignment w:val="center"/>
              <w:rPr>
                <w:rFonts w:ascii="Times New Roman" w:hAnsi="Times New Roman"/>
                <w:bCs/>
                <w:szCs w:val="21"/>
              </w:rPr>
            </w:pPr>
            <w:r>
              <w:rPr>
                <w:rFonts w:hint="eastAsia" w:ascii="Times New Roman" w:hAnsi="Times New Roman"/>
                <w:kern w:val="0"/>
                <w:szCs w:val="21"/>
                <w:lang w:bidi="ar"/>
              </w:rPr>
              <w:t>6</w:t>
            </w:r>
          </w:p>
        </w:tc>
        <w:tc>
          <w:tcPr>
            <w:tcW w:w="1830" w:type="dxa"/>
            <w:vAlign w:val="center"/>
          </w:tcPr>
          <w:p>
            <w:pPr>
              <w:overflowPunct w:val="0"/>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overflowPunct w:val="0"/>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5</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化学需氧量</w:t>
            </w:r>
          </w:p>
        </w:tc>
        <w:tc>
          <w:tcPr>
            <w:tcW w:w="1905" w:type="dxa"/>
            <w:vAlign w:val="center"/>
          </w:tcPr>
          <w:p>
            <w:pPr>
              <w:widowControl/>
              <w:jc w:val="center"/>
              <w:textAlignment w:val="center"/>
              <w:rPr>
                <w:rFonts w:ascii="Times New Roman" w:hAnsi="Times New Roman"/>
                <w:bCs/>
                <w:szCs w:val="21"/>
              </w:rPr>
            </w:pPr>
            <w:r>
              <w:rPr>
                <w:rFonts w:hint="eastAsia" w:ascii="Times New Roman" w:hAnsi="Times New Roman"/>
                <w:kern w:val="0"/>
                <w:szCs w:val="21"/>
                <w:lang w:bidi="ar"/>
              </w:rPr>
              <w:t>20</w:t>
            </w:r>
          </w:p>
        </w:tc>
        <w:tc>
          <w:tcPr>
            <w:tcW w:w="1830" w:type="dxa"/>
            <w:vAlign w:val="center"/>
          </w:tcPr>
          <w:p>
            <w:pPr>
              <w:overflowPunct w:val="0"/>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overflowPunct w:val="0"/>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6</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氨氮</w:t>
            </w:r>
          </w:p>
        </w:tc>
        <w:tc>
          <w:tcPr>
            <w:tcW w:w="1905" w:type="dxa"/>
            <w:vAlign w:val="center"/>
          </w:tcPr>
          <w:p>
            <w:pPr>
              <w:widowControl/>
              <w:jc w:val="center"/>
              <w:textAlignment w:val="center"/>
              <w:rPr>
                <w:rFonts w:ascii="Times New Roman" w:hAnsi="Times New Roman"/>
                <w:bCs/>
                <w:szCs w:val="21"/>
              </w:rPr>
            </w:pPr>
            <w:r>
              <w:rPr>
                <w:rFonts w:hint="eastAsia" w:ascii="Times New Roman" w:hAnsi="Times New Roman"/>
                <w:kern w:val="0"/>
                <w:szCs w:val="21"/>
                <w:lang w:bidi="ar"/>
              </w:rPr>
              <w:t>1.0</w:t>
            </w:r>
          </w:p>
        </w:tc>
        <w:tc>
          <w:tcPr>
            <w:tcW w:w="1830" w:type="dxa"/>
            <w:vAlign w:val="center"/>
          </w:tcPr>
          <w:p>
            <w:pPr>
              <w:overflowPunct w:val="0"/>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overflowPunct w:val="0"/>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7</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总磷</w:t>
            </w:r>
          </w:p>
        </w:tc>
        <w:tc>
          <w:tcPr>
            <w:tcW w:w="1905" w:type="dxa"/>
            <w:vAlign w:val="center"/>
          </w:tcPr>
          <w:p>
            <w:pPr>
              <w:widowControl/>
              <w:jc w:val="center"/>
              <w:textAlignment w:val="center"/>
              <w:rPr>
                <w:rFonts w:ascii="Times New Roman" w:hAnsi="Times New Roman"/>
                <w:bCs/>
                <w:szCs w:val="21"/>
              </w:rPr>
            </w:pPr>
            <w:r>
              <w:rPr>
                <w:rFonts w:hint="eastAsia" w:ascii="Times New Roman" w:hAnsi="Times New Roman"/>
                <w:kern w:val="0"/>
                <w:szCs w:val="21"/>
                <w:lang w:bidi="ar"/>
              </w:rPr>
              <w:t>01</w:t>
            </w:r>
          </w:p>
        </w:tc>
        <w:tc>
          <w:tcPr>
            <w:tcW w:w="1830" w:type="dxa"/>
            <w:vAlign w:val="center"/>
          </w:tcPr>
          <w:p>
            <w:pPr>
              <w:overflowPunct w:val="0"/>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overflowPunct w:val="0"/>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8</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总氮</w:t>
            </w:r>
          </w:p>
        </w:tc>
        <w:tc>
          <w:tcPr>
            <w:tcW w:w="1905" w:type="dxa"/>
            <w:vAlign w:val="center"/>
          </w:tcPr>
          <w:p>
            <w:pPr>
              <w:widowControl/>
              <w:jc w:val="center"/>
              <w:textAlignment w:val="center"/>
              <w:rPr>
                <w:rFonts w:ascii="Times New Roman" w:hAnsi="Times New Roman"/>
                <w:bCs/>
                <w:szCs w:val="21"/>
              </w:rPr>
            </w:pPr>
            <w:r>
              <w:rPr>
                <w:rFonts w:hint="eastAsia" w:ascii="Times New Roman" w:hAnsi="Times New Roman"/>
                <w:kern w:val="0"/>
                <w:szCs w:val="21"/>
                <w:lang w:bidi="ar"/>
              </w:rPr>
              <w:t>0.2</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9</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铜</w:t>
            </w:r>
          </w:p>
        </w:tc>
        <w:tc>
          <w:tcPr>
            <w:tcW w:w="1905"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1</w:t>
            </w:r>
            <w:r>
              <w:rPr>
                <w:rFonts w:hint="eastAsia" w:ascii="Times New Roman" w:hAnsi="Times New Roman"/>
                <w:kern w:val="0"/>
                <w:szCs w:val="21"/>
                <w:lang w:bidi="ar"/>
              </w:rPr>
              <w:t>.0</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10</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锌</w:t>
            </w:r>
          </w:p>
        </w:tc>
        <w:tc>
          <w:tcPr>
            <w:tcW w:w="1905" w:type="dxa"/>
            <w:vAlign w:val="center"/>
          </w:tcPr>
          <w:p>
            <w:pPr>
              <w:widowControl/>
              <w:jc w:val="center"/>
              <w:textAlignment w:val="center"/>
              <w:rPr>
                <w:rFonts w:ascii="Times New Roman" w:hAnsi="Times New Roman"/>
                <w:bCs/>
                <w:szCs w:val="21"/>
              </w:rPr>
            </w:pPr>
            <w:r>
              <w:rPr>
                <w:rFonts w:hint="eastAsia" w:ascii="Times New Roman" w:hAnsi="Times New Roman"/>
                <w:kern w:val="0"/>
                <w:szCs w:val="21"/>
                <w:lang w:bidi="ar"/>
              </w:rPr>
              <w:t>1.0</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11</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铅</w:t>
            </w:r>
          </w:p>
        </w:tc>
        <w:tc>
          <w:tcPr>
            <w:tcW w:w="1905"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0.05</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12</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镉</w:t>
            </w:r>
          </w:p>
        </w:tc>
        <w:tc>
          <w:tcPr>
            <w:tcW w:w="1905" w:type="dxa"/>
            <w:vAlign w:val="center"/>
          </w:tcPr>
          <w:p>
            <w:pPr>
              <w:widowControl/>
              <w:jc w:val="center"/>
              <w:textAlignment w:val="center"/>
              <w:rPr>
                <w:rFonts w:ascii="Times New Roman" w:hAnsi="Times New Roman"/>
                <w:bCs/>
                <w:kern w:val="21"/>
                <w:szCs w:val="21"/>
              </w:rPr>
            </w:pPr>
            <w:r>
              <w:rPr>
                <w:rFonts w:ascii="Times New Roman" w:hAnsi="Times New Roman"/>
                <w:kern w:val="0"/>
                <w:szCs w:val="21"/>
                <w:lang w:bidi="ar"/>
              </w:rPr>
              <w:t>0.005</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13</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生化需氧量</w:t>
            </w:r>
          </w:p>
        </w:tc>
        <w:tc>
          <w:tcPr>
            <w:tcW w:w="1905" w:type="dxa"/>
            <w:vAlign w:val="center"/>
          </w:tcPr>
          <w:p>
            <w:pPr>
              <w:widowControl/>
              <w:jc w:val="center"/>
              <w:textAlignment w:val="center"/>
              <w:rPr>
                <w:rFonts w:ascii="Times New Roman" w:hAnsi="Times New Roman"/>
                <w:bCs/>
                <w:szCs w:val="21"/>
              </w:rPr>
            </w:pPr>
            <w:r>
              <w:rPr>
                <w:rFonts w:hint="eastAsia" w:ascii="Times New Roman" w:hAnsi="Times New Roman"/>
                <w:kern w:val="0"/>
                <w:szCs w:val="21"/>
                <w:lang w:bidi="ar"/>
              </w:rPr>
              <w:t>4</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14</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砷</w:t>
            </w:r>
          </w:p>
        </w:tc>
        <w:tc>
          <w:tcPr>
            <w:tcW w:w="1905" w:type="dxa"/>
            <w:vAlign w:val="center"/>
          </w:tcPr>
          <w:p>
            <w:pPr>
              <w:widowControl/>
              <w:jc w:val="center"/>
              <w:textAlignment w:val="center"/>
              <w:rPr>
                <w:rFonts w:ascii="Times New Roman" w:hAnsi="Times New Roman"/>
                <w:bCs/>
                <w:szCs w:val="21"/>
              </w:rPr>
            </w:pPr>
            <w:r>
              <w:rPr>
                <w:rFonts w:hint="eastAsia" w:ascii="Times New Roman" w:hAnsi="Times New Roman"/>
                <w:kern w:val="0"/>
                <w:szCs w:val="21"/>
                <w:lang w:bidi="ar"/>
              </w:rPr>
              <w:t>0.05</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15</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硒</w:t>
            </w:r>
          </w:p>
        </w:tc>
        <w:tc>
          <w:tcPr>
            <w:tcW w:w="1905"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0.0</w:t>
            </w:r>
            <w:r>
              <w:rPr>
                <w:rFonts w:hint="eastAsia" w:ascii="Times New Roman" w:hAnsi="Times New Roman"/>
                <w:kern w:val="0"/>
                <w:szCs w:val="21"/>
                <w:lang w:bidi="ar"/>
              </w:rPr>
              <w:t>1</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16</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汞</w:t>
            </w:r>
          </w:p>
        </w:tc>
        <w:tc>
          <w:tcPr>
            <w:tcW w:w="1905"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0.00</w:t>
            </w:r>
            <w:r>
              <w:rPr>
                <w:rFonts w:hint="eastAsia" w:ascii="Times New Roman" w:hAnsi="Times New Roman"/>
                <w:kern w:val="0"/>
                <w:szCs w:val="21"/>
                <w:lang w:bidi="ar"/>
              </w:rPr>
              <w:t>0</w:t>
            </w:r>
            <w:r>
              <w:rPr>
                <w:rFonts w:ascii="Times New Roman" w:hAnsi="Times New Roman"/>
                <w:kern w:val="0"/>
                <w:szCs w:val="21"/>
                <w:lang w:bidi="ar"/>
              </w:rPr>
              <w:t>1</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17</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六价铬</w:t>
            </w:r>
          </w:p>
        </w:tc>
        <w:tc>
          <w:tcPr>
            <w:tcW w:w="1905"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0.05</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18</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氟化物</w:t>
            </w:r>
          </w:p>
        </w:tc>
        <w:tc>
          <w:tcPr>
            <w:tcW w:w="1905" w:type="dxa"/>
            <w:vAlign w:val="center"/>
          </w:tcPr>
          <w:p>
            <w:pPr>
              <w:widowControl/>
              <w:jc w:val="center"/>
              <w:textAlignment w:val="center"/>
              <w:rPr>
                <w:rFonts w:ascii="Times New Roman" w:hAnsi="Times New Roman"/>
                <w:bCs/>
                <w:szCs w:val="21"/>
              </w:rPr>
            </w:pPr>
            <w:r>
              <w:rPr>
                <w:rFonts w:hint="eastAsia" w:ascii="Times New Roman" w:hAnsi="Times New Roman"/>
                <w:kern w:val="0"/>
                <w:szCs w:val="21"/>
                <w:lang w:bidi="ar"/>
              </w:rPr>
              <w:t>1.0</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19</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氰化物</w:t>
            </w:r>
          </w:p>
        </w:tc>
        <w:tc>
          <w:tcPr>
            <w:tcW w:w="1905"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0.2</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20</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挥发酚</w:t>
            </w:r>
          </w:p>
        </w:tc>
        <w:tc>
          <w:tcPr>
            <w:tcW w:w="1905"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0.0</w:t>
            </w:r>
            <w:r>
              <w:rPr>
                <w:rFonts w:hint="eastAsia" w:ascii="Times New Roman" w:hAnsi="Times New Roman"/>
                <w:kern w:val="0"/>
                <w:szCs w:val="21"/>
                <w:lang w:bidi="ar"/>
              </w:rPr>
              <w:t>05</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21</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石油类</w:t>
            </w:r>
          </w:p>
        </w:tc>
        <w:tc>
          <w:tcPr>
            <w:tcW w:w="1905"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0.</w:t>
            </w:r>
            <w:r>
              <w:rPr>
                <w:rFonts w:hint="eastAsia" w:ascii="Times New Roman" w:hAnsi="Times New Roman"/>
                <w:kern w:val="0"/>
                <w:szCs w:val="21"/>
                <w:lang w:bidi="ar"/>
              </w:rPr>
              <w:t>05</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22</w:t>
            </w:r>
          </w:p>
        </w:tc>
        <w:tc>
          <w:tcPr>
            <w:tcW w:w="2340" w:type="dxa"/>
            <w:vAlign w:val="center"/>
          </w:tcPr>
          <w:p>
            <w:pPr>
              <w:widowControl/>
              <w:jc w:val="center"/>
              <w:textAlignment w:val="center"/>
              <w:rPr>
                <w:rFonts w:ascii="Times New Roman" w:hAnsi="Times New Roman"/>
                <w:bCs/>
                <w:spacing w:val="-10"/>
                <w:szCs w:val="21"/>
              </w:rPr>
            </w:pPr>
            <w:r>
              <w:rPr>
                <w:rFonts w:ascii="Times New Roman" w:hAnsi="Times New Roman"/>
                <w:kern w:val="0"/>
                <w:szCs w:val="21"/>
                <w:lang w:bidi="ar"/>
              </w:rPr>
              <w:t>阴离子表面活性剂</w:t>
            </w:r>
          </w:p>
        </w:tc>
        <w:tc>
          <w:tcPr>
            <w:tcW w:w="1905"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0</w:t>
            </w:r>
            <w:r>
              <w:rPr>
                <w:rFonts w:hint="eastAsia" w:ascii="Times New Roman" w:hAnsi="Times New Roman"/>
                <w:kern w:val="0"/>
                <w:szCs w:val="21"/>
                <w:lang w:bidi="ar"/>
              </w:rPr>
              <w:t>2</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6" w:type="dxa"/>
            <w:vAlign w:val="center"/>
          </w:tcPr>
          <w:p>
            <w:pPr>
              <w:jc w:val="center"/>
              <w:rPr>
                <w:rFonts w:ascii="Times New Roman" w:hAnsi="Times New Roman"/>
                <w:bCs/>
                <w:szCs w:val="21"/>
              </w:rPr>
            </w:pPr>
            <w:r>
              <w:rPr>
                <w:rFonts w:ascii="Times New Roman" w:hAnsi="Times New Roman"/>
                <w:bCs/>
                <w:szCs w:val="21"/>
              </w:rPr>
              <w:t>23</w:t>
            </w:r>
          </w:p>
        </w:tc>
        <w:tc>
          <w:tcPr>
            <w:tcW w:w="2340"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硫化物</w:t>
            </w:r>
          </w:p>
        </w:tc>
        <w:tc>
          <w:tcPr>
            <w:tcW w:w="1905" w:type="dxa"/>
            <w:vAlign w:val="center"/>
          </w:tcPr>
          <w:p>
            <w:pPr>
              <w:widowControl/>
              <w:jc w:val="center"/>
              <w:textAlignment w:val="center"/>
              <w:rPr>
                <w:rFonts w:ascii="Times New Roman" w:hAnsi="Times New Roman"/>
                <w:bCs/>
                <w:szCs w:val="21"/>
              </w:rPr>
            </w:pPr>
            <w:r>
              <w:rPr>
                <w:rFonts w:ascii="Times New Roman" w:hAnsi="Times New Roman"/>
                <w:kern w:val="0"/>
                <w:szCs w:val="21"/>
                <w:lang w:bidi="ar"/>
              </w:rPr>
              <w:t>0.</w:t>
            </w:r>
            <w:r>
              <w:rPr>
                <w:rFonts w:hint="eastAsia" w:ascii="Times New Roman" w:hAnsi="Times New Roman"/>
                <w:kern w:val="0"/>
                <w:szCs w:val="21"/>
                <w:lang w:bidi="ar"/>
              </w:rPr>
              <w:t>2</w:t>
            </w:r>
          </w:p>
        </w:tc>
        <w:tc>
          <w:tcPr>
            <w:tcW w:w="1830" w:type="dxa"/>
            <w:vAlign w:val="center"/>
          </w:tcPr>
          <w:p>
            <w:pPr>
              <w:jc w:val="center"/>
              <w:rPr>
                <w:rFonts w:ascii="Times New Roman" w:hAnsi="Times New Roman"/>
                <w:bCs/>
                <w:kern w:val="21"/>
                <w:szCs w:val="21"/>
              </w:rPr>
            </w:pPr>
            <w:r>
              <w:rPr>
                <w:rFonts w:ascii="Times New Roman" w:hAnsi="Times New Roman"/>
                <w:szCs w:val="21"/>
              </w:rPr>
              <w:t>mg/L</w:t>
            </w:r>
          </w:p>
        </w:tc>
        <w:tc>
          <w:tcPr>
            <w:tcW w:w="1970" w:type="dxa"/>
            <w:vMerge w:val="continue"/>
            <w:vAlign w:val="center"/>
          </w:tcPr>
          <w:p>
            <w:pPr>
              <w:jc w:val="center"/>
              <w:rPr>
                <w:rFonts w:ascii="Times New Roman" w:hAnsi="Times New Roman"/>
                <w:bCs/>
                <w:kern w:val="21"/>
                <w:szCs w:val="21"/>
              </w:rPr>
            </w:pPr>
          </w:p>
        </w:tc>
      </w:tr>
    </w:tbl>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1.4.2.4声环境质量标准</w:t>
      </w:r>
    </w:p>
    <w:p>
      <w:pPr>
        <w:adjustRightInd w:val="0"/>
        <w:snapToGrid w:val="0"/>
        <w:spacing w:line="540" w:lineRule="exact"/>
        <w:ind w:firstLine="480" w:firstLineChars="200"/>
        <w:rPr>
          <w:rFonts w:ascii="Times New Roman" w:hAnsi="Times New Roman"/>
          <w:kern w:val="1"/>
          <w:sz w:val="24"/>
          <w:lang w:val="zh-CN"/>
        </w:rPr>
      </w:pPr>
      <w:r>
        <w:rPr>
          <w:rFonts w:ascii="Times New Roman" w:hAnsi="Times New Roman"/>
          <w:kern w:val="1"/>
          <w:sz w:val="24"/>
          <w:lang w:val="zh-CN"/>
        </w:rPr>
        <w:t>本次声环境影响评价区域声环境质量执行《声环境质量标准》(GB3096-2008)2类区标准。声环境质量评价因子执行标准见表1.4-</w:t>
      </w:r>
      <w:r>
        <w:rPr>
          <w:rFonts w:hint="eastAsia" w:ascii="Times New Roman" w:hAnsi="Times New Roman"/>
          <w:kern w:val="1"/>
          <w:sz w:val="24"/>
        </w:rPr>
        <w:t>3</w:t>
      </w:r>
      <w:r>
        <w:rPr>
          <w:rFonts w:ascii="Times New Roman" w:hAnsi="Times New Roman"/>
          <w:kern w:val="1"/>
          <w:sz w:val="24"/>
          <w:lang w:val="zh-CN"/>
        </w:rPr>
        <w:t>。</w:t>
      </w:r>
    </w:p>
    <w:p>
      <w:pPr>
        <w:adjustRightInd w:val="0"/>
        <w:snapToGrid w:val="0"/>
        <w:jc w:val="center"/>
        <w:rPr>
          <w:rFonts w:ascii="Times New Roman" w:hAnsi="Times New Roman"/>
          <w:b/>
          <w:sz w:val="24"/>
        </w:rPr>
      </w:pPr>
      <w:r>
        <w:rPr>
          <w:rFonts w:hint="eastAsia" w:ascii="Times New Roman" w:hAnsi="Times New Roman"/>
          <w:b/>
          <w:sz w:val="24"/>
        </w:rPr>
        <w:t>表1.4-3   声环境质量执行标准       单位：dB(A)</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92"/>
        <w:gridCol w:w="1805"/>
        <w:gridCol w:w="1892"/>
        <w:gridCol w:w="35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1797" w:type="dxa"/>
            <w:vAlign w:val="center"/>
          </w:tcPr>
          <w:p>
            <w:pPr>
              <w:pStyle w:val="9"/>
              <w:adjustRightInd w:val="0"/>
              <w:snapToGrid w:val="0"/>
              <w:ind w:firstLine="0"/>
              <w:jc w:val="center"/>
              <w:rPr>
                <w:rFonts w:ascii="Times New Roman" w:hAnsi="Times New Roman"/>
                <w:b/>
                <w:szCs w:val="21"/>
              </w:rPr>
            </w:pPr>
            <w:r>
              <w:rPr>
                <w:rFonts w:ascii="Times New Roman" w:hAnsi="Times New Roman"/>
                <w:b/>
                <w:szCs w:val="21"/>
              </w:rPr>
              <w:t>评价因子</w:t>
            </w:r>
          </w:p>
        </w:tc>
        <w:tc>
          <w:tcPr>
            <w:tcW w:w="1810" w:type="dxa"/>
            <w:vAlign w:val="center"/>
          </w:tcPr>
          <w:p>
            <w:pPr>
              <w:pStyle w:val="9"/>
              <w:adjustRightInd w:val="0"/>
              <w:snapToGrid w:val="0"/>
              <w:ind w:firstLine="0"/>
              <w:jc w:val="center"/>
              <w:rPr>
                <w:rFonts w:ascii="Times New Roman" w:hAnsi="Times New Roman"/>
                <w:b/>
                <w:szCs w:val="21"/>
              </w:rPr>
            </w:pPr>
            <w:r>
              <w:rPr>
                <w:rFonts w:ascii="Times New Roman" w:hAnsi="Times New Roman"/>
                <w:b/>
                <w:szCs w:val="21"/>
              </w:rPr>
              <w:t>标准限值</w:t>
            </w:r>
          </w:p>
        </w:tc>
        <w:tc>
          <w:tcPr>
            <w:tcW w:w="1898" w:type="dxa"/>
            <w:vAlign w:val="center"/>
          </w:tcPr>
          <w:p>
            <w:pPr>
              <w:pStyle w:val="9"/>
              <w:adjustRightInd w:val="0"/>
              <w:snapToGrid w:val="0"/>
              <w:ind w:firstLine="0"/>
              <w:jc w:val="center"/>
              <w:rPr>
                <w:rFonts w:ascii="Times New Roman" w:hAnsi="Times New Roman"/>
                <w:b/>
                <w:szCs w:val="21"/>
              </w:rPr>
            </w:pPr>
            <w:r>
              <w:rPr>
                <w:rFonts w:ascii="Times New Roman" w:hAnsi="Times New Roman"/>
                <w:b/>
                <w:szCs w:val="21"/>
              </w:rPr>
              <w:t>单位</w:t>
            </w:r>
          </w:p>
        </w:tc>
        <w:tc>
          <w:tcPr>
            <w:tcW w:w="3593" w:type="dxa"/>
            <w:vAlign w:val="center"/>
          </w:tcPr>
          <w:p>
            <w:pPr>
              <w:pStyle w:val="9"/>
              <w:adjustRightInd w:val="0"/>
              <w:snapToGrid w:val="0"/>
              <w:ind w:firstLine="0"/>
              <w:jc w:val="center"/>
              <w:rPr>
                <w:rFonts w:ascii="Times New Roman" w:hAnsi="Times New Roman"/>
                <w:b/>
                <w:szCs w:val="21"/>
              </w:rPr>
            </w:pPr>
            <w:r>
              <w:rPr>
                <w:rFonts w:ascii="Times New Roman" w:hAnsi="Times New Roman"/>
                <w:b/>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797" w:type="dxa"/>
            <w:vAlign w:val="center"/>
          </w:tcPr>
          <w:p>
            <w:pPr>
              <w:adjustRightInd w:val="0"/>
              <w:snapToGrid w:val="0"/>
              <w:jc w:val="center"/>
              <w:rPr>
                <w:rFonts w:ascii="Times New Roman" w:hAnsi="Times New Roman"/>
                <w:szCs w:val="21"/>
              </w:rPr>
            </w:pPr>
            <w:r>
              <w:rPr>
                <w:rFonts w:ascii="Times New Roman" w:hAnsi="Times New Roman"/>
                <w:szCs w:val="21"/>
              </w:rPr>
              <w:t>昼间</w:t>
            </w:r>
          </w:p>
        </w:tc>
        <w:tc>
          <w:tcPr>
            <w:tcW w:w="1810" w:type="dxa"/>
            <w:vAlign w:val="center"/>
          </w:tcPr>
          <w:p>
            <w:pPr>
              <w:adjustRightInd w:val="0"/>
              <w:snapToGrid w:val="0"/>
              <w:jc w:val="center"/>
              <w:rPr>
                <w:rFonts w:ascii="Times New Roman" w:hAnsi="Times New Roman"/>
                <w:szCs w:val="21"/>
              </w:rPr>
            </w:pPr>
            <w:r>
              <w:rPr>
                <w:rFonts w:ascii="Times New Roman" w:hAnsi="Times New Roman"/>
                <w:szCs w:val="21"/>
              </w:rPr>
              <w:t>60</w:t>
            </w:r>
          </w:p>
        </w:tc>
        <w:tc>
          <w:tcPr>
            <w:tcW w:w="1898" w:type="dxa"/>
            <w:vAlign w:val="center"/>
          </w:tcPr>
          <w:p>
            <w:pPr>
              <w:adjustRightInd w:val="0"/>
              <w:snapToGrid w:val="0"/>
              <w:jc w:val="center"/>
              <w:rPr>
                <w:rFonts w:ascii="Times New Roman" w:hAnsi="Times New Roman"/>
                <w:szCs w:val="21"/>
              </w:rPr>
            </w:pPr>
            <w:r>
              <w:rPr>
                <w:rFonts w:ascii="Times New Roman" w:hAnsi="Times New Roman"/>
                <w:szCs w:val="21"/>
              </w:rPr>
              <w:t>dB(A)</w:t>
            </w:r>
          </w:p>
        </w:tc>
        <w:tc>
          <w:tcPr>
            <w:tcW w:w="3593" w:type="dxa"/>
            <w:vMerge w:val="restart"/>
            <w:vAlign w:val="center"/>
          </w:tcPr>
          <w:p>
            <w:pPr>
              <w:adjustRightInd w:val="0"/>
              <w:snapToGrid w:val="0"/>
              <w:jc w:val="center"/>
              <w:rPr>
                <w:rFonts w:ascii="Times New Roman" w:hAnsi="Times New Roman"/>
                <w:szCs w:val="21"/>
              </w:rPr>
            </w:pPr>
            <w:r>
              <w:rPr>
                <w:rFonts w:ascii="Times New Roman" w:hAnsi="Times New Roman"/>
                <w:szCs w:val="21"/>
              </w:rPr>
              <w:t>《声环境质量标准》（GB3096-2008）中2类区标准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1797" w:type="dxa"/>
            <w:vAlign w:val="center"/>
          </w:tcPr>
          <w:p>
            <w:pPr>
              <w:adjustRightInd w:val="0"/>
              <w:snapToGrid w:val="0"/>
              <w:jc w:val="center"/>
              <w:rPr>
                <w:rFonts w:ascii="Times New Roman" w:hAnsi="Times New Roman"/>
                <w:szCs w:val="21"/>
              </w:rPr>
            </w:pPr>
            <w:r>
              <w:rPr>
                <w:rFonts w:ascii="Times New Roman" w:hAnsi="Times New Roman"/>
                <w:szCs w:val="21"/>
              </w:rPr>
              <w:t>夜间</w:t>
            </w:r>
          </w:p>
        </w:tc>
        <w:tc>
          <w:tcPr>
            <w:tcW w:w="1810" w:type="dxa"/>
            <w:vAlign w:val="center"/>
          </w:tcPr>
          <w:p>
            <w:pPr>
              <w:adjustRightInd w:val="0"/>
              <w:snapToGrid w:val="0"/>
              <w:jc w:val="center"/>
              <w:rPr>
                <w:rFonts w:ascii="Times New Roman" w:hAnsi="Times New Roman"/>
                <w:szCs w:val="21"/>
              </w:rPr>
            </w:pPr>
            <w:r>
              <w:rPr>
                <w:rFonts w:ascii="Times New Roman" w:hAnsi="Times New Roman"/>
                <w:szCs w:val="21"/>
              </w:rPr>
              <w:t>50</w:t>
            </w:r>
          </w:p>
        </w:tc>
        <w:tc>
          <w:tcPr>
            <w:tcW w:w="1898" w:type="dxa"/>
            <w:vAlign w:val="center"/>
          </w:tcPr>
          <w:p>
            <w:pPr>
              <w:adjustRightInd w:val="0"/>
              <w:snapToGrid w:val="0"/>
              <w:jc w:val="center"/>
              <w:rPr>
                <w:rFonts w:ascii="Times New Roman" w:hAnsi="Times New Roman"/>
                <w:szCs w:val="21"/>
              </w:rPr>
            </w:pPr>
            <w:r>
              <w:rPr>
                <w:rFonts w:ascii="Times New Roman" w:hAnsi="Times New Roman"/>
                <w:szCs w:val="21"/>
              </w:rPr>
              <w:t>dB(A)</w:t>
            </w:r>
          </w:p>
        </w:tc>
        <w:tc>
          <w:tcPr>
            <w:tcW w:w="3593" w:type="dxa"/>
            <w:vMerge w:val="continue"/>
            <w:vAlign w:val="center"/>
          </w:tcPr>
          <w:p>
            <w:pPr>
              <w:pStyle w:val="9"/>
              <w:adjustRightInd w:val="0"/>
              <w:snapToGrid w:val="0"/>
              <w:ind w:firstLine="0"/>
              <w:jc w:val="center"/>
              <w:rPr>
                <w:rFonts w:ascii="Times New Roman" w:hAnsi="Times New Roman"/>
                <w:szCs w:val="21"/>
              </w:rPr>
            </w:pPr>
          </w:p>
        </w:tc>
      </w:tr>
    </w:tbl>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1.4.2.5土壤环境质量标准</w:t>
      </w:r>
    </w:p>
    <w:p>
      <w:pPr>
        <w:pStyle w:val="2"/>
        <w:spacing w:line="540" w:lineRule="exact"/>
        <w:ind w:firstLine="480" w:firstLineChars="200"/>
        <w:rPr>
          <w:rFonts w:ascii="Times New Roman" w:hAnsi="Times New Roman"/>
          <w:kern w:val="1"/>
          <w:sz w:val="24"/>
          <w:lang w:val="zh-CN"/>
        </w:rPr>
      </w:pPr>
      <w:r>
        <w:rPr>
          <w:rFonts w:hint="eastAsia" w:ascii="Times New Roman" w:hAnsi="Times New Roman"/>
          <w:kern w:val="1"/>
          <w:sz w:val="24"/>
          <w:lang w:val="zh-CN"/>
        </w:rPr>
        <w:t>本项目主要进行畜禽养殖，结合《土地利用现状分类》(GB/T21010-2017)，畜禽养殖生产设施及附属设施用地属于“农用地”“1202设施农用地”，土壤环境质量评价执行</w:t>
      </w:r>
      <w:bookmarkStart w:id="211" w:name="_Hlk99018276"/>
      <w:r>
        <w:rPr>
          <w:rFonts w:hint="eastAsia" w:ascii="Times New Roman" w:hAnsi="Times New Roman"/>
          <w:kern w:val="1"/>
          <w:sz w:val="24"/>
          <w:lang w:val="zh-CN"/>
        </w:rPr>
        <w:t>《土壤环境质量 农用地土壤污染风险管控标准》(试行)(GB15618-2018)中筛选值标准</w:t>
      </w:r>
      <w:bookmarkEnd w:id="211"/>
      <w:r>
        <w:rPr>
          <w:rFonts w:hint="eastAsia" w:ascii="Times New Roman" w:hAnsi="Times New Roman"/>
          <w:kern w:val="1"/>
          <w:sz w:val="24"/>
          <w:lang w:val="zh-CN"/>
        </w:rPr>
        <w:t>，见</w:t>
      </w:r>
      <w:r>
        <w:rPr>
          <w:rFonts w:ascii="Times New Roman" w:hAnsi="Times New Roman"/>
          <w:kern w:val="1"/>
          <w:sz w:val="24"/>
          <w:lang w:val="zh-CN"/>
        </w:rPr>
        <w:t>表</w:t>
      </w:r>
      <w:r>
        <w:rPr>
          <w:rFonts w:hint="eastAsia" w:ascii="Times New Roman" w:hAnsi="Times New Roman"/>
          <w:kern w:val="1"/>
          <w:sz w:val="24"/>
        </w:rPr>
        <w:t>1</w:t>
      </w:r>
      <w:r>
        <w:rPr>
          <w:rFonts w:ascii="Times New Roman" w:hAnsi="Times New Roman"/>
          <w:kern w:val="1"/>
          <w:sz w:val="24"/>
          <w:lang w:val="zh-CN"/>
        </w:rPr>
        <w:t>.4-</w:t>
      </w:r>
      <w:r>
        <w:rPr>
          <w:rFonts w:hint="eastAsia" w:ascii="Times New Roman" w:hAnsi="Times New Roman"/>
          <w:kern w:val="1"/>
          <w:sz w:val="24"/>
        </w:rPr>
        <w:t>4</w:t>
      </w:r>
      <w:r>
        <w:rPr>
          <w:rFonts w:ascii="Times New Roman" w:hAnsi="Times New Roman"/>
          <w:kern w:val="1"/>
          <w:sz w:val="24"/>
          <w:lang w:val="zh-CN"/>
        </w:rPr>
        <w:t>。</w:t>
      </w:r>
    </w:p>
    <w:p>
      <w:pPr>
        <w:pStyle w:val="2"/>
        <w:spacing w:line="540" w:lineRule="exact"/>
        <w:ind w:firstLine="481" w:firstLineChars="200"/>
        <w:jc w:val="center"/>
        <w:rPr>
          <w:rFonts w:ascii="Times New Roman" w:hAnsi="Times New Roman"/>
          <w:b/>
          <w:bCs/>
          <w:kern w:val="1"/>
          <w:sz w:val="24"/>
        </w:rPr>
      </w:pPr>
      <w:r>
        <w:rPr>
          <w:rFonts w:hint="eastAsia" w:ascii="Times New Roman" w:hAnsi="Times New Roman"/>
          <w:b/>
          <w:sz w:val="24"/>
        </w:rPr>
        <w:t xml:space="preserve">表1.4-4   土壤环境质量评价执行标准    </w:t>
      </w:r>
      <w:bookmarkStart w:id="212" w:name="_Toc26731"/>
      <w:bookmarkStart w:id="213" w:name="_Toc5501"/>
      <w:bookmarkStart w:id="214" w:name="_Toc6099"/>
      <w:bookmarkStart w:id="215" w:name="_Toc31567"/>
      <w:bookmarkStart w:id="216" w:name="_Toc32059"/>
      <w:bookmarkStart w:id="217" w:name="_Toc20132"/>
      <w:bookmarkStart w:id="218" w:name="_Toc1858"/>
      <w:bookmarkStart w:id="219" w:name="_Toc31826"/>
      <w:r>
        <w:rPr>
          <w:rFonts w:ascii="Times New Roman" w:hAnsi="Times New Roman"/>
          <w:b/>
          <w:sz w:val="24"/>
        </w:rPr>
        <w:t xml:space="preserve"> </w:t>
      </w:r>
      <w:r>
        <w:rPr>
          <w:rFonts w:ascii="Times New Roman" w:hAnsi="Times New Roman"/>
          <w:b/>
          <w:bCs/>
          <w:kern w:val="1"/>
          <w:sz w:val="24"/>
        </w:rPr>
        <w:t>单位：mg/kg</w:t>
      </w:r>
    </w:p>
    <w:tbl>
      <w:tblPr>
        <w:tblStyle w:val="71"/>
        <w:tblW w:w="9014"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76"/>
        <w:gridCol w:w="2133"/>
        <w:gridCol w:w="1501"/>
        <w:gridCol w:w="1503"/>
        <w:gridCol w:w="1500"/>
        <w:gridCol w:w="150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exact"/>
          <w:jc w:val="center"/>
        </w:trPr>
        <w:tc>
          <w:tcPr>
            <w:tcW w:w="876" w:type="dxa"/>
            <w:vMerge w:val="restart"/>
            <w:tcBorders>
              <w:top w:val="single" w:color="000000" w:sz="12" w:space="0"/>
              <w:left w:val="single" w:color="000000" w:sz="12" w:space="0"/>
              <w:bottom w:val="single" w:color="000000" w:sz="4" w:space="0"/>
              <w:right w:val="single" w:color="000000" w:sz="4" w:space="0"/>
            </w:tcBorders>
            <w:shd w:val="clear" w:color="auto" w:fill="auto"/>
            <w:vAlign w:val="center"/>
          </w:tcPr>
          <w:p>
            <w:pPr>
              <w:pStyle w:val="27"/>
              <w:widowControl w:val="0"/>
              <w:autoSpaceDE w:val="0"/>
              <w:autoSpaceDN w:val="0"/>
              <w:spacing w:before="2" w:beforeAutospacing="0" w:after="0" w:afterAutospacing="0"/>
              <w:jc w:val="center"/>
              <w:rPr>
                <w:rFonts w:hint="default" w:ascii="Times New Roman" w:hAnsi="Times New Roman" w:eastAsia="宋体" w:cs="Times New Roman"/>
                <w:b/>
                <w:sz w:val="21"/>
                <w:szCs w:val="21"/>
                <w:lang w:eastAsia="zh-CN"/>
              </w:rPr>
            </w:pPr>
          </w:p>
          <w:p>
            <w:pPr>
              <w:pStyle w:val="27"/>
              <w:widowControl w:val="0"/>
              <w:autoSpaceDE w:val="0"/>
              <w:autoSpaceDN w:val="0"/>
              <w:spacing w:before="0" w:beforeAutospacing="0" w:after="0" w:afterAutospacing="0"/>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sz w:val="21"/>
                <w:szCs w:val="21"/>
                <w:lang w:eastAsia="en-US" w:bidi="ar"/>
              </w:rPr>
              <w:t>序号</w:t>
            </w:r>
          </w:p>
        </w:tc>
        <w:tc>
          <w:tcPr>
            <w:tcW w:w="2133" w:type="dxa"/>
            <w:vMerge w:val="restart"/>
            <w:tcBorders>
              <w:top w:val="single" w:color="000000" w:sz="12"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2" w:beforeAutospacing="0" w:after="0" w:afterAutospacing="0"/>
              <w:ind w:firstLine="361"/>
              <w:jc w:val="center"/>
              <w:rPr>
                <w:rFonts w:hint="default" w:ascii="Times New Roman" w:hAnsi="Times New Roman" w:eastAsia="宋体" w:cs="Times New Roman"/>
                <w:b/>
                <w:sz w:val="21"/>
                <w:szCs w:val="21"/>
                <w:lang w:eastAsia="en-US"/>
              </w:rPr>
            </w:pPr>
          </w:p>
          <w:p>
            <w:pPr>
              <w:pStyle w:val="27"/>
              <w:widowControl w:val="0"/>
              <w:autoSpaceDE w:val="0"/>
              <w:autoSpaceDN w:val="0"/>
              <w:spacing w:before="0" w:beforeAutospacing="0" w:after="0" w:afterAutospacing="0"/>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sz w:val="21"/>
                <w:szCs w:val="21"/>
                <w:lang w:eastAsia="en-US" w:bidi="ar"/>
              </w:rPr>
              <w:t>污染物项目</w:t>
            </w:r>
          </w:p>
        </w:tc>
        <w:tc>
          <w:tcPr>
            <w:tcW w:w="6005" w:type="dxa"/>
            <w:gridSpan w:val="4"/>
            <w:tcBorders>
              <w:top w:val="single" w:color="000000" w:sz="12" w:space="0"/>
              <w:left w:val="single" w:color="000000" w:sz="4" w:space="0"/>
              <w:bottom w:val="single" w:color="000000" w:sz="4" w:space="0"/>
              <w:right w:val="single" w:color="000000" w:sz="12" w:space="0"/>
            </w:tcBorders>
            <w:shd w:val="clear" w:color="auto" w:fill="auto"/>
            <w:vAlign w:val="center"/>
          </w:tcPr>
          <w:p>
            <w:pPr>
              <w:pStyle w:val="27"/>
              <w:widowControl w:val="0"/>
              <w:autoSpaceDE w:val="0"/>
              <w:autoSpaceDN w:val="0"/>
              <w:spacing w:before="33" w:beforeAutospacing="0" w:after="0" w:afterAutospacing="0"/>
              <w:ind w:left="2463" w:right="2426" w:firstLine="422"/>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sz w:val="21"/>
                <w:szCs w:val="21"/>
                <w:lang w:eastAsia="en-US" w:bidi="ar"/>
              </w:rPr>
              <w:t>风险筛选值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exact"/>
          <w:jc w:val="center"/>
        </w:trPr>
        <w:tc>
          <w:tcPr>
            <w:tcW w:w="876" w:type="dxa"/>
            <w:vMerge w:val="continue"/>
            <w:tcBorders>
              <w:top w:val="single" w:color="000000" w:sz="12" w:space="0"/>
              <w:left w:val="single" w:color="000000" w:sz="12" w:space="0"/>
              <w:bottom w:val="single" w:color="000000" w:sz="4" w:space="0"/>
              <w:right w:val="single" w:color="000000" w:sz="4" w:space="0"/>
            </w:tcBorders>
            <w:shd w:val="clear" w:color="auto" w:fill="auto"/>
            <w:vAlign w:val="center"/>
          </w:tcPr>
          <w:p>
            <w:pPr>
              <w:autoSpaceDE w:val="0"/>
              <w:autoSpaceDN w:val="0"/>
              <w:ind w:firstLine="440"/>
              <w:jc w:val="center"/>
              <w:rPr>
                <w:rFonts w:hint="default" w:ascii="Times New Roman" w:hAnsi="Times New Roman" w:eastAsia="宋体" w:cs="Times New Roman"/>
                <w:sz w:val="21"/>
                <w:szCs w:val="21"/>
                <w:lang w:eastAsia="en-US"/>
              </w:rPr>
            </w:pPr>
          </w:p>
        </w:tc>
        <w:tc>
          <w:tcPr>
            <w:tcW w:w="2133" w:type="dxa"/>
            <w:vMerge w:val="continue"/>
            <w:tcBorders>
              <w:top w:val="single" w:color="000000" w:sz="12" w:space="0"/>
              <w:left w:val="single" w:color="000000" w:sz="4" w:space="0"/>
              <w:bottom w:val="single" w:color="000000" w:sz="4" w:space="0"/>
              <w:right w:val="single" w:color="000000" w:sz="4" w:space="0"/>
            </w:tcBorders>
            <w:shd w:val="clear" w:color="auto" w:fill="auto"/>
            <w:vAlign w:val="center"/>
          </w:tcPr>
          <w:p>
            <w:pPr>
              <w:autoSpaceDE w:val="0"/>
              <w:autoSpaceDN w:val="0"/>
              <w:ind w:firstLine="440"/>
              <w:jc w:val="center"/>
              <w:rPr>
                <w:rFonts w:hint="default" w:ascii="Times New Roman" w:hAnsi="Times New Roman" w:eastAsia="宋体" w:cs="Times New Roman"/>
                <w:sz w:val="21"/>
                <w:szCs w:val="21"/>
                <w:lang w:eastAsia="en-US"/>
              </w:rPr>
            </w:pPr>
          </w:p>
        </w:tc>
        <w:tc>
          <w:tcPr>
            <w:tcW w:w="150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50" w:beforeAutospacing="0" w:after="0" w:afterAutospacing="0"/>
              <w:ind w:left="411" w:right="381" w:firstLine="422"/>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sz w:val="21"/>
                <w:szCs w:val="21"/>
                <w:lang w:eastAsia="en-US" w:bidi="ar"/>
              </w:rPr>
              <w:t>pH≤5.5</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34" w:beforeAutospacing="0" w:after="0" w:afterAutospacing="0"/>
              <w:ind w:left="176" w:right="145" w:firstLine="422"/>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sz w:val="21"/>
                <w:szCs w:val="21"/>
                <w:lang w:eastAsia="en-US" w:bidi="ar"/>
              </w:rPr>
              <w:t>5.5＜pH≤6.5</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34" w:beforeAutospacing="0" w:after="0" w:afterAutospacing="0"/>
              <w:ind w:left="174" w:right="144" w:firstLine="422"/>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sz w:val="21"/>
                <w:szCs w:val="21"/>
                <w:lang w:eastAsia="en-US" w:bidi="ar"/>
              </w:rPr>
              <w:t>6.5＜pH≤7.5</w:t>
            </w:r>
          </w:p>
        </w:tc>
        <w:tc>
          <w:tcPr>
            <w:tcW w:w="1501" w:type="dxa"/>
            <w:tcBorders>
              <w:top w:val="single" w:color="000000" w:sz="4" w:space="0"/>
              <w:left w:val="single" w:color="000000" w:sz="4" w:space="0"/>
              <w:bottom w:val="single" w:color="000000" w:sz="4" w:space="0"/>
              <w:right w:val="single" w:color="000000" w:sz="12" w:space="0"/>
            </w:tcBorders>
            <w:shd w:val="clear" w:color="auto" w:fill="auto"/>
            <w:vAlign w:val="center"/>
          </w:tcPr>
          <w:p>
            <w:pPr>
              <w:pStyle w:val="27"/>
              <w:widowControl w:val="0"/>
              <w:autoSpaceDE w:val="0"/>
              <w:autoSpaceDN w:val="0"/>
              <w:spacing w:before="34" w:beforeAutospacing="0" w:after="0" w:afterAutospacing="0"/>
              <w:ind w:left="363" w:right="324" w:firstLine="422"/>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sz w:val="21"/>
                <w:szCs w:val="21"/>
                <w:lang w:eastAsia="en-US" w:bidi="ar"/>
              </w:rPr>
              <w:t>pH＞7.5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exact"/>
          <w:jc w:val="center"/>
        </w:trPr>
        <w:tc>
          <w:tcPr>
            <w:tcW w:w="876" w:type="dxa"/>
            <w:tcBorders>
              <w:top w:val="single" w:color="000000" w:sz="4" w:space="0"/>
              <w:left w:val="single" w:color="000000" w:sz="12"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 w:firstLine="418"/>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w w:val="99"/>
                <w:sz w:val="21"/>
                <w:szCs w:val="21"/>
                <w:lang w:eastAsia="en-US" w:bidi="ar"/>
              </w:rPr>
              <w:t>1</w:t>
            </w:r>
          </w:p>
        </w:tc>
        <w:tc>
          <w:tcPr>
            <w:tcW w:w="21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34" w:beforeAutospacing="0" w:after="0" w:afterAutospacing="0"/>
              <w:ind w:right="19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镉</w:t>
            </w:r>
          </w:p>
        </w:tc>
        <w:tc>
          <w:tcPr>
            <w:tcW w:w="150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408" w:right="381"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0.3</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3" w:right="145"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0.3</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4" w:right="14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0.3</w:t>
            </w:r>
          </w:p>
        </w:tc>
        <w:tc>
          <w:tcPr>
            <w:tcW w:w="1501" w:type="dxa"/>
            <w:tcBorders>
              <w:top w:val="single" w:color="000000" w:sz="4" w:space="0"/>
              <w:left w:val="single" w:color="000000" w:sz="4" w:space="0"/>
              <w:bottom w:val="single" w:color="000000" w:sz="4" w:space="0"/>
              <w:right w:val="single" w:color="000000" w:sz="12" w:space="0"/>
            </w:tcBorders>
            <w:shd w:val="clear" w:color="auto" w:fill="auto"/>
            <w:vAlign w:val="center"/>
          </w:tcPr>
          <w:p>
            <w:pPr>
              <w:pStyle w:val="27"/>
              <w:widowControl w:val="0"/>
              <w:autoSpaceDE w:val="0"/>
              <w:autoSpaceDN w:val="0"/>
              <w:spacing w:before="48" w:beforeAutospacing="0" w:after="0" w:afterAutospacing="0"/>
              <w:ind w:left="363" w:right="32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0.6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exact"/>
          <w:jc w:val="center"/>
        </w:trPr>
        <w:tc>
          <w:tcPr>
            <w:tcW w:w="876" w:type="dxa"/>
            <w:tcBorders>
              <w:top w:val="single" w:color="000000" w:sz="4" w:space="0"/>
              <w:left w:val="single" w:color="000000" w:sz="12"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 w:firstLine="418"/>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w w:val="99"/>
                <w:sz w:val="21"/>
                <w:szCs w:val="21"/>
                <w:lang w:eastAsia="en-US" w:bidi="ar"/>
              </w:rPr>
              <w:t>2</w:t>
            </w:r>
          </w:p>
        </w:tc>
        <w:tc>
          <w:tcPr>
            <w:tcW w:w="21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34" w:beforeAutospacing="0" w:after="0" w:afterAutospacing="0"/>
              <w:ind w:right="19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汞</w:t>
            </w:r>
          </w:p>
        </w:tc>
        <w:tc>
          <w:tcPr>
            <w:tcW w:w="150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408" w:right="381"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1.3</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3" w:right="145"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1.8</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4" w:right="14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2.4</w:t>
            </w:r>
          </w:p>
        </w:tc>
        <w:tc>
          <w:tcPr>
            <w:tcW w:w="1501" w:type="dxa"/>
            <w:tcBorders>
              <w:top w:val="single" w:color="000000" w:sz="4" w:space="0"/>
              <w:left w:val="single" w:color="000000" w:sz="4" w:space="0"/>
              <w:bottom w:val="single" w:color="000000" w:sz="4" w:space="0"/>
              <w:right w:val="single" w:color="000000" w:sz="12" w:space="0"/>
            </w:tcBorders>
            <w:shd w:val="clear" w:color="auto" w:fill="auto"/>
            <w:vAlign w:val="center"/>
          </w:tcPr>
          <w:p>
            <w:pPr>
              <w:pStyle w:val="27"/>
              <w:widowControl w:val="0"/>
              <w:autoSpaceDE w:val="0"/>
              <w:autoSpaceDN w:val="0"/>
              <w:spacing w:before="48" w:beforeAutospacing="0" w:after="0" w:afterAutospacing="0"/>
              <w:ind w:left="363" w:right="32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3.4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exact"/>
          <w:jc w:val="center"/>
        </w:trPr>
        <w:tc>
          <w:tcPr>
            <w:tcW w:w="876" w:type="dxa"/>
            <w:tcBorders>
              <w:top w:val="single" w:color="000000" w:sz="4" w:space="0"/>
              <w:left w:val="single" w:color="000000" w:sz="12"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17" w:firstLine="418"/>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w w:val="99"/>
                <w:sz w:val="21"/>
                <w:szCs w:val="21"/>
                <w:lang w:eastAsia="en-US" w:bidi="ar"/>
              </w:rPr>
              <w:t>3</w:t>
            </w:r>
          </w:p>
        </w:tc>
        <w:tc>
          <w:tcPr>
            <w:tcW w:w="21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35" w:beforeAutospacing="0" w:after="0" w:afterAutospacing="0"/>
              <w:ind w:right="19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砷</w:t>
            </w:r>
          </w:p>
        </w:tc>
        <w:tc>
          <w:tcPr>
            <w:tcW w:w="150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408" w:right="381"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40</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173" w:right="145"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40</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174" w:right="14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30</w:t>
            </w:r>
          </w:p>
        </w:tc>
        <w:tc>
          <w:tcPr>
            <w:tcW w:w="1501" w:type="dxa"/>
            <w:tcBorders>
              <w:top w:val="single" w:color="000000" w:sz="4" w:space="0"/>
              <w:left w:val="single" w:color="000000" w:sz="4" w:space="0"/>
              <w:bottom w:val="single" w:color="000000" w:sz="4" w:space="0"/>
              <w:right w:val="single" w:color="000000" w:sz="12" w:space="0"/>
            </w:tcBorders>
            <w:shd w:val="clear" w:color="auto" w:fill="auto"/>
            <w:vAlign w:val="center"/>
          </w:tcPr>
          <w:p>
            <w:pPr>
              <w:pStyle w:val="27"/>
              <w:widowControl w:val="0"/>
              <w:autoSpaceDE w:val="0"/>
              <w:autoSpaceDN w:val="0"/>
              <w:spacing w:before="49" w:beforeAutospacing="0" w:after="0" w:afterAutospacing="0"/>
              <w:ind w:left="363" w:right="32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25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exact"/>
          <w:jc w:val="center"/>
        </w:trPr>
        <w:tc>
          <w:tcPr>
            <w:tcW w:w="876" w:type="dxa"/>
            <w:tcBorders>
              <w:top w:val="single" w:color="000000" w:sz="4" w:space="0"/>
              <w:left w:val="single" w:color="000000" w:sz="12"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17" w:firstLine="418"/>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w w:val="99"/>
                <w:sz w:val="21"/>
                <w:szCs w:val="21"/>
                <w:lang w:eastAsia="en-US" w:bidi="ar"/>
              </w:rPr>
              <w:t>4</w:t>
            </w:r>
          </w:p>
        </w:tc>
        <w:tc>
          <w:tcPr>
            <w:tcW w:w="21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35" w:beforeAutospacing="0" w:after="0" w:afterAutospacing="0"/>
              <w:ind w:right="19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铅</w:t>
            </w:r>
          </w:p>
        </w:tc>
        <w:tc>
          <w:tcPr>
            <w:tcW w:w="150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408" w:right="381"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70</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173" w:right="145"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90</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174" w:right="14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120</w:t>
            </w:r>
          </w:p>
        </w:tc>
        <w:tc>
          <w:tcPr>
            <w:tcW w:w="1501" w:type="dxa"/>
            <w:tcBorders>
              <w:top w:val="single" w:color="000000" w:sz="4" w:space="0"/>
              <w:left w:val="single" w:color="000000" w:sz="4" w:space="0"/>
              <w:bottom w:val="single" w:color="000000" w:sz="4" w:space="0"/>
              <w:right w:val="single" w:color="000000" w:sz="12" w:space="0"/>
            </w:tcBorders>
            <w:shd w:val="clear" w:color="auto" w:fill="auto"/>
            <w:vAlign w:val="center"/>
          </w:tcPr>
          <w:p>
            <w:pPr>
              <w:pStyle w:val="27"/>
              <w:widowControl w:val="0"/>
              <w:autoSpaceDE w:val="0"/>
              <w:autoSpaceDN w:val="0"/>
              <w:spacing w:before="49" w:beforeAutospacing="0" w:after="0" w:afterAutospacing="0"/>
              <w:ind w:left="363" w:right="32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170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exact"/>
          <w:jc w:val="center"/>
        </w:trPr>
        <w:tc>
          <w:tcPr>
            <w:tcW w:w="876" w:type="dxa"/>
            <w:tcBorders>
              <w:top w:val="single" w:color="000000" w:sz="4" w:space="0"/>
              <w:left w:val="single" w:color="000000" w:sz="12"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17" w:firstLine="418"/>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w w:val="99"/>
                <w:sz w:val="21"/>
                <w:szCs w:val="21"/>
                <w:lang w:eastAsia="en-US" w:bidi="ar"/>
              </w:rPr>
              <w:t>5</w:t>
            </w:r>
          </w:p>
        </w:tc>
        <w:tc>
          <w:tcPr>
            <w:tcW w:w="21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35" w:beforeAutospacing="0" w:after="0" w:afterAutospacing="0"/>
              <w:ind w:right="19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铬</w:t>
            </w:r>
          </w:p>
        </w:tc>
        <w:tc>
          <w:tcPr>
            <w:tcW w:w="150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408" w:right="381"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150</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173" w:right="145"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150</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9" w:beforeAutospacing="0" w:after="0" w:afterAutospacing="0"/>
              <w:ind w:left="174" w:right="14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200</w:t>
            </w:r>
          </w:p>
        </w:tc>
        <w:tc>
          <w:tcPr>
            <w:tcW w:w="1501" w:type="dxa"/>
            <w:tcBorders>
              <w:top w:val="single" w:color="000000" w:sz="4" w:space="0"/>
              <w:left w:val="single" w:color="000000" w:sz="4" w:space="0"/>
              <w:bottom w:val="single" w:color="000000" w:sz="4" w:space="0"/>
              <w:right w:val="single" w:color="000000" w:sz="12" w:space="0"/>
            </w:tcBorders>
            <w:shd w:val="clear" w:color="auto" w:fill="auto"/>
            <w:vAlign w:val="center"/>
          </w:tcPr>
          <w:p>
            <w:pPr>
              <w:pStyle w:val="27"/>
              <w:widowControl w:val="0"/>
              <w:autoSpaceDE w:val="0"/>
              <w:autoSpaceDN w:val="0"/>
              <w:spacing w:before="49" w:beforeAutospacing="0" w:after="0" w:afterAutospacing="0"/>
              <w:ind w:left="363" w:right="32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250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exact"/>
          <w:jc w:val="center"/>
        </w:trPr>
        <w:tc>
          <w:tcPr>
            <w:tcW w:w="876" w:type="dxa"/>
            <w:tcBorders>
              <w:top w:val="single" w:color="000000" w:sz="4" w:space="0"/>
              <w:left w:val="single" w:color="000000" w:sz="12" w:space="0"/>
              <w:bottom w:val="single" w:color="000000" w:sz="4" w:space="0"/>
              <w:right w:val="single" w:color="000000" w:sz="4" w:space="0"/>
            </w:tcBorders>
            <w:shd w:val="clear" w:color="auto" w:fill="auto"/>
            <w:vAlign w:val="center"/>
          </w:tcPr>
          <w:p>
            <w:pPr>
              <w:pStyle w:val="27"/>
              <w:widowControl w:val="0"/>
              <w:autoSpaceDE w:val="0"/>
              <w:autoSpaceDN w:val="0"/>
              <w:spacing w:before="50" w:beforeAutospacing="0" w:after="0" w:afterAutospacing="0"/>
              <w:ind w:left="17" w:firstLine="418"/>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w w:val="99"/>
                <w:sz w:val="21"/>
                <w:szCs w:val="21"/>
                <w:lang w:eastAsia="en-US" w:bidi="ar"/>
              </w:rPr>
              <w:t>6</w:t>
            </w:r>
          </w:p>
        </w:tc>
        <w:tc>
          <w:tcPr>
            <w:tcW w:w="21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36" w:beforeAutospacing="0" w:after="0" w:afterAutospacing="0"/>
              <w:ind w:right="19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铜</w:t>
            </w:r>
          </w:p>
        </w:tc>
        <w:tc>
          <w:tcPr>
            <w:tcW w:w="150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50" w:beforeAutospacing="0" w:after="0" w:afterAutospacing="0"/>
              <w:ind w:left="408" w:right="381"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50</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50" w:beforeAutospacing="0" w:after="0" w:afterAutospacing="0"/>
              <w:ind w:left="173" w:right="145"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50</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50" w:beforeAutospacing="0" w:after="0" w:afterAutospacing="0"/>
              <w:ind w:left="174" w:right="14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100</w:t>
            </w:r>
          </w:p>
        </w:tc>
        <w:tc>
          <w:tcPr>
            <w:tcW w:w="1501" w:type="dxa"/>
            <w:tcBorders>
              <w:top w:val="single" w:color="000000" w:sz="4" w:space="0"/>
              <w:left w:val="single" w:color="000000" w:sz="4" w:space="0"/>
              <w:bottom w:val="single" w:color="000000" w:sz="4" w:space="0"/>
              <w:right w:val="single" w:color="000000" w:sz="12" w:space="0"/>
            </w:tcBorders>
            <w:shd w:val="clear" w:color="auto" w:fill="auto"/>
            <w:vAlign w:val="center"/>
          </w:tcPr>
          <w:p>
            <w:pPr>
              <w:pStyle w:val="27"/>
              <w:widowControl w:val="0"/>
              <w:autoSpaceDE w:val="0"/>
              <w:autoSpaceDN w:val="0"/>
              <w:spacing w:before="50" w:beforeAutospacing="0" w:after="0" w:afterAutospacing="0"/>
              <w:ind w:left="363" w:right="32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exact"/>
          <w:jc w:val="center"/>
        </w:trPr>
        <w:tc>
          <w:tcPr>
            <w:tcW w:w="876" w:type="dxa"/>
            <w:tcBorders>
              <w:top w:val="single" w:color="000000" w:sz="4" w:space="0"/>
              <w:left w:val="single" w:color="000000" w:sz="12"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 w:firstLine="418"/>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w w:val="99"/>
                <w:sz w:val="21"/>
                <w:szCs w:val="21"/>
                <w:lang w:eastAsia="en-US" w:bidi="ar"/>
              </w:rPr>
              <w:t>7</w:t>
            </w:r>
          </w:p>
        </w:tc>
        <w:tc>
          <w:tcPr>
            <w:tcW w:w="21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36" w:beforeAutospacing="0" w:after="0" w:afterAutospacing="0"/>
              <w:ind w:right="190"/>
              <w:jc w:val="center"/>
              <w:rPr>
                <w:rFonts w:hint="default" w:ascii="Times New Roman" w:hAnsi="Times New Roman" w:eastAsia="宋体" w:cs="Times New Roman"/>
                <w:sz w:val="21"/>
                <w:szCs w:val="21"/>
                <w:lang w:eastAsia="en-US" w:bidi="ar"/>
              </w:rPr>
            </w:pPr>
            <w:r>
              <w:rPr>
                <w:rFonts w:hint="default" w:ascii="Times New Roman" w:hAnsi="Times New Roman" w:eastAsia="宋体" w:cs="Times New Roman"/>
                <w:sz w:val="21"/>
                <w:szCs w:val="21"/>
                <w:lang w:eastAsia="en-US" w:bidi="ar"/>
              </w:rPr>
              <w:t>镍</w:t>
            </w:r>
          </w:p>
        </w:tc>
        <w:tc>
          <w:tcPr>
            <w:tcW w:w="150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408" w:right="381"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60</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3" w:right="145"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70</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4" w:right="14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100</w:t>
            </w:r>
          </w:p>
        </w:tc>
        <w:tc>
          <w:tcPr>
            <w:tcW w:w="1501" w:type="dxa"/>
            <w:tcBorders>
              <w:top w:val="single" w:color="000000" w:sz="4" w:space="0"/>
              <w:left w:val="single" w:color="000000" w:sz="4" w:space="0"/>
              <w:bottom w:val="single" w:color="000000" w:sz="4" w:space="0"/>
              <w:right w:val="single" w:color="000000" w:sz="12" w:space="0"/>
            </w:tcBorders>
            <w:shd w:val="clear" w:color="auto" w:fill="auto"/>
            <w:vAlign w:val="center"/>
          </w:tcPr>
          <w:p>
            <w:pPr>
              <w:pStyle w:val="27"/>
              <w:widowControl w:val="0"/>
              <w:autoSpaceDE w:val="0"/>
              <w:autoSpaceDN w:val="0"/>
              <w:spacing w:before="48" w:beforeAutospacing="0" w:after="0" w:afterAutospacing="0"/>
              <w:ind w:left="363" w:right="32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190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exact"/>
          <w:jc w:val="center"/>
        </w:trPr>
        <w:tc>
          <w:tcPr>
            <w:tcW w:w="876" w:type="dxa"/>
            <w:tcBorders>
              <w:top w:val="single" w:color="000000" w:sz="4" w:space="0"/>
              <w:left w:val="single" w:color="000000" w:sz="12"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 w:firstLine="418"/>
              <w:jc w:val="center"/>
              <w:rPr>
                <w:rFonts w:hint="default" w:ascii="Times New Roman" w:hAnsi="Times New Roman" w:eastAsia="宋体" w:cs="Times New Roman"/>
                <w:b/>
                <w:sz w:val="21"/>
                <w:szCs w:val="21"/>
                <w:lang w:eastAsia="en-US"/>
              </w:rPr>
            </w:pPr>
            <w:r>
              <w:rPr>
                <w:rFonts w:hint="default" w:ascii="Times New Roman" w:hAnsi="Times New Roman" w:eastAsia="宋体" w:cs="Times New Roman"/>
                <w:b/>
                <w:w w:val="99"/>
                <w:sz w:val="21"/>
                <w:szCs w:val="21"/>
                <w:lang w:eastAsia="en-US" w:bidi="ar"/>
              </w:rPr>
              <w:t>8</w:t>
            </w:r>
          </w:p>
        </w:tc>
        <w:tc>
          <w:tcPr>
            <w:tcW w:w="21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36" w:beforeAutospacing="0" w:after="0" w:afterAutospacing="0"/>
              <w:ind w:right="190"/>
              <w:jc w:val="center"/>
              <w:rPr>
                <w:rFonts w:hint="default" w:ascii="Times New Roman" w:hAnsi="Times New Roman" w:eastAsia="宋体" w:cs="Times New Roman"/>
                <w:sz w:val="21"/>
                <w:szCs w:val="21"/>
                <w:lang w:eastAsia="en-US" w:bidi="ar"/>
              </w:rPr>
            </w:pPr>
            <w:r>
              <w:rPr>
                <w:rFonts w:hint="default" w:ascii="Times New Roman" w:hAnsi="Times New Roman" w:eastAsia="宋体" w:cs="Times New Roman"/>
                <w:sz w:val="21"/>
                <w:szCs w:val="21"/>
                <w:lang w:eastAsia="en-US" w:bidi="ar"/>
              </w:rPr>
              <w:t>锌</w:t>
            </w:r>
          </w:p>
        </w:tc>
        <w:tc>
          <w:tcPr>
            <w:tcW w:w="150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408" w:right="381"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200</w:t>
            </w:r>
          </w:p>
        </w:tc>
        <w:tc>
          <w:tcPr>
            <w:tcW w:w="150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3" w:right="145"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200</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widowControl w:val="0"/>
              <w:autoSpaceDE w:val="0"/>
              <w:autoSpaceDN w:val="0"/>
              <w:spacing w:before="48" w:beforeAutospacing="0" w:after="0" w:afterAutospacing="0"/>
              <w:ind w:left="174" w:right="14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250</w:t>
            </w:r>
          </w:p>
        </w:tc>
        <w:tc>
          <w:tcPr>
            <w:tcW w:w="1501" w:type="dxa"/>
            <w:tcBorders>
              <w:top w:val="single" w:color="000000" w:sz="4" w:space="0"/>
              <w:left w:val="single" w:color="000000" w:sz="4" w:space="0"/>
              <w:bottom w:val="single" w:color="000000" w:sz="4" w:space="0"/>
              <w:right w:val="single" w:color="000000" w:sz="12" w:space="0"/>
            </w:tcBorders>
            <w:shd w:val="clear" w:color="auto" w:fill="auto"/>
            <w:vAlign w:val="center"/>
          </w:tcPr>
          <w:p>
            <w:pPr>
              <w:pStyle w:val="27"/>
              <w:widowControl w:val="0"/>
              <w:autoSpaceDE w:val="0"/>
              <w:autoSpaceDN w:val="0"/>
              <w:spacing w:before="48" w:beforeAutospacing="0" w:after="0" w:afterAutospacing="0"/>
              <w:ind w:left="363" w:right="324" w:firstLine="420"/>
              <w:jc w:val="center"/>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bidi="ar"/>
              </w:rPr>
              <w:t>300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exact"/>
          <w:jc w:val="center"/>
        </w:trPr>
        <w:tc>
          <w:tcPr>
            <w:tcW w:w="9014" w:type="dxa"/>
            <w:gridSpan w:val="6"/>
            <w:tcBorders>
              <w:top w:val="single" w:color="000000" w:sz="4" w:space="0"/>
              <w:left w:val="single" w:color="000000" w:sz="12" w:space="0"/>
              <w:bottom w:val="single" w:color="000000" w:sz="12" w:space="0"/>
              <w:right w:val="single" w:color="000000" w:sz="12" w:space="0"/>
            </w:tcBorders>
            <w:shd w:val="clear" w:color="auto" w:fill="auto"/>
            <w:vAlign w:val="center"/>
          </w:tcPr>
          <w:p>
            <w:pPr>
              <w:pStyle w:val="46"/>
              <w:spacing w:line="240" w:lineRule="auto"/>
              <w:ind w:firstLine="0" w:firstLineChars="0"/>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注：①重金属和类金属砷均按元素总量计。</w:t>
            </w:r>
          </w:p>
          <w:p>
            <w:pPr>
              <w:pStyle w:val="27"/>
              <w:widowControl w:val="0"/>
              <w:autoSpaceDE w:val="0"/>
              <w:autoSpaceDN w:val="0"/>
              <w:spacing w:before="48" w:beforeAutospacing="0" w:after="0" w:afterAutospacing="0"/>
              <w:ind w:left="363" w:right="324" w:firstLine="420"/>
              <w:jc w:val="center"/>
              <w:rPr>
                <w:rFonts w:hint="default" w:ascii="Times New Roman" w:hAnsi="Times New Roman" w:eastAsia="宋体" w:cs="Times New Roman"/>
                <w:sz w:val="21"/>
                <w:szCs w:val="21"/>
                <w:lang w:eastAsia="zh-CN" w:bidi="ar"/>
              </w:rPr>
            </w:pPr>
            <w:r>
              <w:rPr>
                <w:rFonts w:hint="default" w:ascii="Times New Roman" w:hAnsi="Times New Roman" w:eastAsia="宋体" w:cs="Times New Roman"/>
                <w:kern w:val="2"/>
                <w:sz w:val="21"/>
                <w:szCs w:val="21"/>
                <w:lang w:eastAsia="zh-CN"/>
              </w:rPr>
              <w:t>②对于水旱轮作地，采用其中较严格的风险筛选值。</w:t>
            </w:r>
          </w:p>
        </w:tc>
      </w:tr>
    </w:tbl>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.4.2.3地下水环境质量标准</w:t>
      </w:r>
    </w:p>
    <w:p>
      <w:pPr>
        <w:adjustRightInd w:val="0"/>
        <w:snapToGrid w:val="0"/>
        <w:spacing w:line="540" w:lineRule="exact"/>
        <w:ind w:firstLine="480" w:firstLineChars="200"/>
        <w:rPr>
          <w:rFonts w:hint="eastAsia" w:ascii="Times New Roman" w:hAnsi="Times New Roman"/>
          <w:b/>
          <w:sz w:val="24"/>
        </w:rPr>
      </w:pPr>
      <w:r>
        <w:rPr>
          <w:rFonts w:ascii="Times New Roman" w:hAnsi="Times New Roman"/>
          <w:kern w:val="1"/>
          <w:sz w:val="24"/>
          <w:lang w:val="zh-CN"/>
        </w:rPr>
        <w:t>本项目属于</w:t>
      </w:r>
      <w:r>
        <w:rPr>
          <w:rFonts w:hint="eastAsia" w:ascii="Times New Roman" w:hAnsi="Times New Roman"/>
          <w:kern w:val="1"/>
          <w:sz w:val="24"/>
          <w:lang w:val="zh-CN"/>
        </w:rPr>
        <w:t>基础母牛</w:t>
      </w:r>
      <w:r>
        <w:rPr>
          <w:rFonts w:ascii="Times New Roman" w:hAnsi="Times New Roman"/>
          <w:kern w:val="1"/>
          <w:sz w:val="24"/>
          <w:lang w:val="zh-CN"/>
        </w:rPr>
        <w:t>养殖，位于</w:t>
      </w:r>
      <w:r>
        <w:rPr>
          <w:rFonts w:hint="eastAsia" w:ascii="Times New Roman" w:hAnsi="Times New Roman"/>
          <w:kern w:val="0"/>
          <w:sz w:val="24"/>
          <w:szCs w:val="20"/>
        </w:rPr>
        <w:t>固原市隆德县神林乡神林村</w:t>
      </w:r>
      <w:r>
        <w:rPr>
          <w:rFonts w:ascii="Times New Roman" w:hAnsi="Times New Roman"/>
          <w:kern w:val="1"/>
          <w:sz w:val="24"/>
          <w:lang w:val="zh-CN"/>
        </w:rPr>
        <w:t>，按照该区域地下水环境，</w:t>
      </w:r>
      <w:r>
        <w:rPr>
          <w:rFonts w:ascii="Times New Roman" w:hAnsi="Times New Roman"/>
          <w:kern w:val="1"/>
          <w:sz w:val="24"/>
        </w:rPr>
        <w:t>评价区域地下水环境质量执行《地下水质量标准》(GB/T14848-2017)Ⅲ类标准。地下水质量评价执行标准见表</w:t>
      </w:r>
      <w:r>
        <w:rPr>
          <w:rFonts w:hint="eastAsia" w:ascii="Times New Roman" w:hAnsi="Times New Roman"/>
          <w:kern w:val="1"/>
          <w:sz w:val="24"/>
        </w:rPr>
        <w:t>1</w:t>
      </w:r>
      <w:r>
        <w:rPr>
          <w:rFonts w:ascii="Times New Roman" w:hAnsi="Times New Roman"/>
          <w:kern w:val="1"/>
          <w:sz w:val="24"/>
        </w:rPr>
        <w:t>.4-</w:t>
      </w:r>
      <w:r>
        <w:rPr>
          <w:rFonts w:hint="eastAsia" w:ascii="Times New Roman" w:hAnsi="Times New Roman"/>
          <w:kern w:val="1"/>
          <w:sz w:val="24"/>
        </w:rPr>
        <w:t>5</w:t>
      </w:r>
    </w:p>
    <w:p>
      <w:pPr>
        <w:adjustRightInd w:val="0"/>
        <w:snapToGrid w:val="0"/>
        <w:jc w:val="center"/>
        <w:rPr>
          <w:rFonts w:ascii="Times New Roman" w:hAnsi="Times New Roman"/>
          <w:b/>
          <w:sz w:val="24"/>
        </w:rPr>
      </w:pPr>
      <w:r>
        <w:rPr>
          <w:rFonts w:hint="eastAsia" w:ascii="Times New Roman" w:hAnsi="Times New Roman"/>
          <w:b/>
          <w:sz w:val="24"/>
        </w:rPr>
        <w:t>表1.4-5   地下水质量评价执行标准限值   单位：mg/L，pH无量纲</w:t>
      </w:r>
    </w:p>
    <w:tbl>
      <w:tblPr>
        <w:tblStyle w:val="29"/>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148"/>
        <w:gridCol w:w="3249"/>
        <w:gridCol w:w="2165"/>
        <w:gridCol w:w="250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szCs w:val="21"/>
              </w:rPr>
            </w:pPr>
            <w:r>
              <w:rPr>
                <w:rFonts w:ascii="Times New Roman" w:hAnsi="Times New Roman"/>
                <w:szCs w:val="21"/>
              </w:rPr>
              <w:t>序号</w:t>
            </w:r>
          </w:p>
        </w:tc>
        <w:tc>
          <w:tcPr>
            <w:tcW w:w="3229" w:type="dxa"/>
            <w:vAlign w:val="center"/>
          </w:tcPr>
          <w:p>
            <w:pPr>
              <w:adjustRightInd w:val="0"/>
              <w:snapToGrid w:val="0"/>
              <w:jc w:val="center"/>
              <w:rPr>
                <w:rFonts w:ascii="Times New Roman" w:hAnsi="Times New Roman"/>
                <w:szCs w:val="21"/>
              </w:rPr>
            </w:pPr>
            <w:r>
              <w:rPr>
                <w:rFonts w:ascii="Times New Roman" w:hAnsi="Times New Roman"/>
                <w:szCs w:val="21"/>
              </w:rPr>
              <w:t>污染物名称</w:t>
            </w:r>
          </w:p>
        </w:tc>
        <w:tc>
          <w:tcPr>
            <w:tcW w:w="2151" w:type="dxa"/>
            <w:vAlign w:val="center"/>
          </w:tcPr>
          <w:p>
            <w:pPr>
              <w:adjustRightInd w:val="0"/>
              <w:snapToGrid w:val="0"/>
              <w:jc w:val="center"/>
              <w:rPr>
                <w:rFonts w:ascii="Times New Roman" w:hAnsi="Times New Roman"/>
                <w:szCs w:val="21"/>
              </w:rPr>
            </w:pPr>
            <w:r>
              <w:rPr>
                <w:rFonts w:ascii="Times New Roman" w:hAnsi="Times New Roman"/>
                <w:szCs w:val="21"/>
              </w:rPr>
              <w:t>标准值(mg/L)</w:t>
            </w:r>
          </w:p>
        </w:tc>
        <w:tc>
          <w:tcPr>
            <w:tcW w:w="2493" w:type="dxa"/>
            <w:vAlign w:val="center"/>
          </w:tcPr>
          <w:p>
            <w:pPr>
              <w:adjustRightInd w:val="0"/>
              <w:snapToGrid w:val="0"/>
              <w:jc w:val="center"/>
              <w:rPr>
                <w:rFonts w:ascii="Times New Roman" w:hAnsi="Times New Roman"/>
                <w:szCs w:val="21"/>
              </w:rPr>
            </w:pPr>
            <w:r>
              <w:rPr>
                <w:rFonts w:ascii="Times New Roman" w:hAnsi="Times New Roman"/>
                <w:szCs w:val="21"/>
              </w:rPr>
              <w:t>依据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1</w:t>
            </w:r>
          </w:p>
        </w:tc>
        <w:tc>
          <w:tcPr>
            <w:tcW w:w="3229" w:type="dxa"/>
            <w:vAlign w:val="center"/>
          </w:tcPr>
          <w:p>
            <w:pPr>
              <w:snapToGrid w:val="0"/>
              <w:jc w:val="center"/>
              <w:rPr>
                <w:rFonts w:ascii="Times New Roman" w:hAnsi="Times New Roman"/>
                <w:szCs w:val="21"/>
              </w:rPr>
            </w:pPr>
            <w:r>
              <w:rPr>
                <w:rFonts w:ascii="Times New Roman" w:hAnsi="Times New Roman"/>
                <w:szCs w:val="21"/>
              </w:rPr>
              <w:t>pH</w:t>
            </w:r>
          </w:p>
        </w:tc>
        <w:tc>
          <w:tcPr>
            <w:tcW w:w="2151" w:type="dxa"/>
            <w:vAlign w:val="center"/>
          </w:tcPr>
          <w:p>
            <w:pPr>
              <w:jc w:val="center"/>
              <w:rPr>
                <w:rFonts w:ascii="Times New Roman" w:hAnsi="Times New Roman"/>
                <w:szCs w:val="21"/>
              </w:rPr>
            </w:pPr>
            <w:r>
              <w:rPr>
                <w:rFonts w:ascii="Times New Roman" w:hAnsi="Times New Roman"/>
                <w:szCs w:val="21"/>
              </w:rPr>
              <w:t>≤6.5～8.5</w:t>
            </w:r>
          </w:p>
        </w:tc>
        <w:tc>
          <w:tcPr>
            <w:tcW w:w="2493" w:type="dxa"/>
            <w:vMerge w:val="restart"/>
            <w:vAlign w:val="center"/>
          </w:tcPr>
          <w:p>
            <w:pPr>
              <w:adjustRightInd w:val="0"/>
              <w:snapToGrid w:val="0"/>
              <w:jc w:val="center"/>
              <w:rPr>
                <w:rFonts w:ascii="Times New Roman" w:hAnsi="Times New Roman"/>
                <w:szCs w:val="21"/>
              </w:rPr>
            </w:pPr>
            <w:r>
              <w:rPr>
                <w:rFonts w:ascii="Times New Roman" w:hAnsi="Times New Roman"/>
                <w:szCs w:val="21"/>
              </w:rPr>
              <w:t>《地下水质量标准》(GB/T14848-2017)</w:t>
            </w:r>
          </w:p>
          <w:p>
            <w:pPr>
              <w:adjustRightInd w:val="0"/>
              <w:snapToGrid w:val="0"/>
              <w:jc w:val="center"/>
              <w:rPr>
                <w:rFonts w:ascii="Times New Roman" w:hAnsi="Times New Roman"/>
                <w:szCs w:val="21"/>
              </w:rPr>
            </w:pPr>
            <w:r>
              <w:rPr>
                <w:rFonts w:ascii="Times New Roman" w:hAnsi="Times New Roman"/>
                <w:szCs w:val="21"/>
              </w:rPr>
              <w:t>Ⅲ类标准要求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2</w:t>
            </w:r>
          </w:p>
        </w:tc>
        <w:tc>
          <w:tcPr>
            <w:tcW w:w="3229" w:type="dxa"/>
            <w:vAlign w:val="center"/>
          </w:tcPr>
          <w:p>
            <w:pPr>
              <w:snapToGrid w:val="0"/>
              <w:rPr>
                <w:rFonts w:ascii="Times New Roman" w:hAnsi="Times New Roman"/>
                <w:szCs w:val="21"/>
              </w:rPr>
            </w:pPr>
            <w:r>
              <w:rPr>
                <w:rFonts w:ascii="Times New Roman" w:hAnsi="Times New Roman"/>
                <w:szCs w:val="21"/>
              </w:rPr>
              <w:t>总硬度（以CaCO</w:t>
            </w:r>
            <w:r>
              <w:rPr>
                <w:rFonts w:ascii="Times New Roman" w:hAnsi="Times New Roman"/>
                <w:szCs w:val="21"/>
                <w:vertAlign w:val="subscript"/>
              </w:rPr>
              <w:t>3</w:t>
            </w:r>
            <w:r>
              <w:rPr>
                <w:rFonts w:ascii="Times New Roman" w:hAnsi="Times New Roman"/>
                <w:szCs w:val="21"/>
              </w:rPr>
              <w:t>计）</w:t>
            </w:r>
          </w:p>
        </w:tc>
        <w:tc>
          <w:tcPr>
            <w:tcW w:w="2151" w:type="dxa"/>
            <w:vAlign w:val="center"/>
          </w:tcPr>
          <w:p>
            <w:pPr>
              <w:jc w:val="center"/>
              <w:rPr>
                <w:rFonts w:ascii="Times New Roman" w:hAnsi="Times New Roman"/>
                <w:szCs w:val="21"/>
              </w:rPr>
            </w:pPr>
            <w:r>
              <w:rPr>
                <w:rFonts w:ascii="Times New Roman" w:hAnsi="Times New Roman"/>
                <w:szCs w:val="21"/>
              </w:rPr>
              <w:t>≤450mg/L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3</w:t>
            </w:r>
          </w:p>
        </w:tc>
        <w:tc>
          <w:tcPr>
            <w:tcW w:w="3229" w:type="dxa"/>
            <w:vAlign w:val="center"/>
          </w:tcPr>
          <w:p>
            <w:pPr>
              <w:jc w:val="center"/>
              <w:rPr>
                <w:rFonts w:ascii="Times New Roman" w:hAnsi="Times New Roman"/>
                <w:szCs w:val="21"/>
              </w:rPr>
            </w:pPr>
            <w:r>
              <w:rPr>
                <w:rFonts w:ascii="Times New Roman" w:hAnsi="Times New Roman"/>
                <w:szCs w:val="21"/>
              </w:rPr>
              <w:t>溶解性总固体</w:t>
            </w:r>
          </w:p>
        </w:tc>
        <w:tc>
          <w:tcPr>
            <w:tcW w:w="2151" w:type="dxa"/>
            <w:vAlign w:val="center"/>
          </w:tcPr>
          <w:p>
            <w:pPr>
              <w:jc w:val="center"/>
              <w:rPr>
                <w:rFonts w:ascii="Times New Roman" w:hAnsi="Times New Roman"/>
                <w:szCs w:val="21"/>
              </w:rPr>
            </w:pPr>
            <w:r>
              <w:rPr>
                <w:rFonts w:ascii="Times New Roman" w:hAnsi="Times New Roman"/>
                <w:szCs w:val="21"/>
              </w:rPr>
              <w:t>≤1000mg/L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4</w:t>
            </w:r>
          </w:p>
        </w:tc>
        <w:tc>
          <w:tcPr>
            <w:tcW w:w="3229" w:type="dxa"/>
            <w:vAlign w:val="center"/>
          </w:tcPr>
          <w:p>
            <w:pPr>
              <w:jc w:val="center"/>
              <w:rPr>
                <w:rFonts w:ascii="Times New Roman" w:hAnsi="Times New Roman"/>
                <w:szCs w:val="21"/>
              </w:rPr>
            </w:pPr>
            <w:r>
              <w:rPr>
                <w:rFonts w:ascii="Times New Roman" w:hAnsi="Times New Roman"/>
                <w:szCs w:val="21"/>
              </w:rPr>
              <w:t>硫酸盐</w:t>
            </w:r>
          </w:p>
        </w:tc>
        <w:tc>
          <w:tcPr>
            <w:tcW w:w="2151" w:type="dxa"/>
            <w:vAlign w:val="center"/>
          </w:tcPr>
          <w:p>
            <w:pPr>
              <w:jc w:val="center"/>
              <w:rPr>
                <w:rFonts w:ascii="Times New Roman" w:hAnsi="Times New Roman"/>
                <w:szCs w:val="21"/>
              </w:rPr>
            </w:pPr>
            <w:r>
              <w:rPr>
                <w:rFonts w:ascii="Times New Roman" w:hAnsi="Times New Roman"/>
                <w:szCs w:val="21"/>
              </w:rPr>
              <w:t>≤250mg/L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5</w:t>
            </w:r>
          </w:p>
        </w:tc>
        <w:tc>
          <w:tcPr>
            <w:tcW w:w="3229" w:type="dxa"/>
            <w:vAlign w:val="center"/>
          </w:tcPr>
          <w:p>
            <w:pPr>
              <w:jc w:val="center"/>
              <w:rPr>
                <w:rFonts w:ascii="Times New Roman" w:hAnsi="Times New Roman"/>
                <w:szCs w:val="21"/>
              </w:rPr>
            </w:pPr>
            <w:r>
              <w:rPr>
                <w:rFonts w:ascii="Times New Roman" w:hAnsi="Times New Roman"/>
                <w:szCs w:val="21"/>
              </w:rPr>
              <w:t>氯化物</w:t>
            </w:r>
          </w:p>
        </w:tc>
        <w:tc>
          <w:tcPr>
            <w:tcW w:w="2151" w:type="dxa"/>
            <w:vAlign w:val="center"/>
          </w:tcPr>
          <w:p>
            <w:pPr>
              <w:jc w:val="center"/>
              <w:rPr>
                <w:rFonts w:ascii="Times New Roman" w:hAnsi="Times New Roman"/>
                <w:szCs w:val="21"/>
              </w:rPr>
            </w:pPr>
            <w:r>
              <w:rPr>
                <w:rFonts w:ascii="Times New Roman" w:hAnsi="Times New Roman"/>
                <w:szCs w:val="21"/>
              </w:rPr>
              <w:t>≤250mg/L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6</w:t>
            </w:r>
          </w:p>
        </w:tc>
        <w:tc>
          <w:tcPr>
            <w:tcW w:w="3229" w:type="dxa"/>
            <w:vAlign w:val="center"/>
          </w:tcPr>
          <w:p>
            <w:pPr>
              <w:jc w:val="center"/>
              <w:rPr>
                <w:rFonts w:ascii="Times New Roman" w:hAnsi="Times New Roman"/>
                <w:szCs w:val="21"/>
              </w:rPr>
            </w:pPr>
            <w:r>
              <w:rPr>
                <w:rFonts w:ascii="Times New Roman" w:hAnsi="Times New Roman"/>
                <w:szCs w:val="21"/>
              </w:rPr>
              <w:t>铁（Fe）</w:t>
            </w:r>
          </w:p>
        </w:tc>
        <w:tc>
          <w:tcPr>
            <w:tcW w:w="2151" w:type="dxa"/>
            <w:vAlign w:val="center"/>
          </w:tcPr>
          <w:p>
            <w:pPr>
              <w:jc w:val="center"/>
              <w:rPr>
                <w:rFonts w:ascii="Times New Roman" w:hAnsi="Times New Roman"/>
                <w:szCs w:val="21"/>
              </w:rPr>
            </w:pPr>
            <w:r>
              <w:rPr>
                <w:rFonts w:ascii="Times New Roman" w:hAnsi="Times New Roman"/>
                <w:szCs w:val="21"/>
              </w:rPr>
              <w:t>≤0.3mg/L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7</w:t>
            </w:r>
          </w:p>
        </w:tc>
        <w:tc>
          <w:tcPr>
            <w:tcW w:w="3229" w:type="dxa"/>
            <w:vAlign w:val="center"/>
          </w:tcPr>
          <w:p>
            <w:pPr>
              <w:jc w:val="center"/>
              <w:rPr>
                <w:rFonts w:ascii="Times New Roman" w:hAnsi="Times New Roman"/>
                <w:szCs w:val="21"/>
              </w:rPr>
            </w:pPr>
            <w:r>
              <w:rPr>
                <w:rFonts w:ascii="Times New Roman" w:hAnsi="Times New Roman"/>
                <w:szCs w:val="21"/>
              </w:rPr>
              <w:t>锰（Mn）</w:t>
            </w:r>
          </w:p>
        </w:tc>
        <w:tc>
          <w:tcPr>
            <w:tcW w:w="2151" w:type="dxa"/>
            <w:vAlign w:val="center"/>
          </w:tcPr>
          <w:p>
            <w:pPr>
              <w:jc w:val="center"/>
              <w:rPr>
                <w:rFonts w:ascii="Times New Roman" w:hAnsi="Times New Roman"/>
                <w:szCs w:val="21"/>
              </w:rPr>
            </w:pPr>
            <w:r>
              <w:rPr>
                <w:rFonts w:ascii="Times New Roman" w:hAnsi="Times New Roman"/>
                <w:szCs w:val="21"/>
              </w:rPr>
              <w:t>≤0.1mg/L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8</w:t>
            </w:r>
          </w:p>
        </w:tc>
        <w:tc>
          <w:tcPr>
            <w:tcW w:w="3229" w:type="dxa"/>
            <w:vAlign w:val="center"/>
          </w:tcPr>
          <w:p>
            <w:pPr>
              <w:rPr>
                <w:rFonts w:ascii="Times New Roman" w:hAnsi="Times New Roman"/>
                <w:szCs w:val="21"/>
              </w:rPr>
            </w:pPr>
            <w:r>
              <w:rPr>
                <w:rFonts w:ascii="Times New Roman" w:hAnsi="Times New Roman"/>
                <w:szCs w:val="21"/>
              </w:rPr>
              <w:t>挥发性酚类（以苯酚计）</w:t>
            </w:r>
          </w:p>
        </w:tc>
        <w:tc>
          <w:tcPr>
            <w:tcW w:w="2151" w:type="dxa"/>
            <w:vAlign w:val="center"/>
          </w:tcPr>
          <w:p>
            <w:pPr>
              <w:jc w:val="center"/>
              <w:rPr>
                <w:rFonts w:ascii="Times New Roman" w:hAnsi="Times New Roman"/>
                <w:szCs w:val="21"/>
              </w:rPr>
            </w:pPr>
            <w:r>
              <w:rPr>
                <w:rFonts w:ascii="Times New Roman" w:hAnsi="Times New Roman"/>
                <w:szCs w:val="21"/>
              </w:rPr>
              <w:t>≤0.002mg/L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9</w:t>
            </w:r>
          </w:p>
        </w:tc>
        <w:tc>
          <w:tcPr>
            <w:tcW w:w="3229" w:type="dxa"/>
            <w:vAlign w:val="center"/>
          </w:tcPr>
          <w:p>
            <w:pPr>
              <w:jc w:val="center"/>
              <w:rPr>
                <w:rFonts w:ascii="Times New Roman" w:hAnsi="Times New Roman"/>
                <w:szCs w:val="21"/>
              </w:rPr>
            </w:pPr>
            <w:r>
              <w:rPr>
                <w:rFonts w:ascii="Times New Roman" w:hAnsi="Times New Roman"/>
                <w:szCs w:val="21"/>
              </w:rPr>
              <w:t>耗氧量（COD</w:t>
            </w:r>
            <w:r>
              <w:rPr>
                <w:rFonts w:ascii="Times New Roman" w:hAnsi="Times New Roman"/>
                <w:szCs w:val="21"/>
                <w:vertAlign w:val="subscript"/>
              </w:rPr>
              <w:t>Mn</w:t>
            </w:r>
            <w:r>
              <w:rPr>
                <w:rFonts w:ascii="Times New Roman" w:hAnsi="Times New Roman"/>
                <w:szCs w:val="21"/>
              </w:rPr>
              <w:t>法，以O</w:t>
            </w:r>
            <w:r>
              <w:rPr>
                <w:rFonts w:ascii="Times New Roman" w:hAnsi="Times New Roman"/>
                <w:szCs w:val="21"/>
                <w:vertAlign w:val="subscript"/>
              </w:rPr>
              <w:t>2</w:t>
            </w:r>
            <w:r>
              <w:rPr>
                <w:rFonts w:ascii="Times New Roman" w:hAnsi="Times New Roman"/>
                <w:szCs w:val="21"/>
              </w:rPr>
              <w:t>计）</w:t>
            </w:r>
          </w:p>
        </w:tc>
        <w:tc>
          <w:tcPr>
            <w:tcW w:w="2151" w:type="dxa"/>
            <w:vAlign w:val="center"/>
          </w:tcPr>
          <w:p>
            <w:pPr>
              <w:jc w:val="center"/>
              <w:rPr>
                <w:rFonts w:ascii="Times New Roman" w:hAnsi="Times New Roman"/>
                <w:szCs w:val="21"/>
              </w:rPr>
            </w:pPr>
            <w:r>
              <w:rPr>
                <w:rFonts w:ascii="Times New Roman" w:hAnsi="Times New Roman"/>
                <w:szCs w:val="21"/>
              </w:rPr>
              <w:t>≤3.0mg/L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10</w:t>
            </w:r>
          </w:p>
        </w:tc>
        <w:tc>
          <w:tcPr>
            <w:tcW w:w="3229" w:type="dxa"/>
            <w:vAlign w:val="center"/>
          </w:tcPr>
          <w:p>
            <w:pPr>
              <w:jc w:val="center"/>
              <w:rPr>
                <w:rFonts w:ascii="Times New Roman" w:hAnsi="Times New Roman"/>
                <w:szCs w:val="21"/>
              </w:rPr>
            </w:pPr>
            <w:r>
              <w:rPr>
                <w:rFonts w:ascii="Times New Roman" w:hAnsi="Times New Roman"/>
                <w:szCs w:val="21"/>
              </w:rPr>
              <w:t>硝酸盐（以N计）</w:t>
            </w:r>
          </w:p>
        </w:tc>
        <w:tc>
          <w:tcPr>
            <w:tcW w:w="2151" w:type="dxa"/>
            <w:vAlign w:val="center"/>
          </w:tcPr>
          <w:p>
            <w:pPr>
              <w:jc w:val="center"/>
              <w:rPr>
                <w:rFonts w:ascii="Times New Roman" w:hAnsi="Times New Roman"/>
                <w:szCs w:val="21"/>
              </w:rPr>
            </w:pPr>
            <w:r>
              <w:rPr>
                <w:rFonts w:ascii="Times New Roman" w:hAnsi="Times New Roman"/>
                <w:szCs w:val="21"/>
              </w:rPr>
              <w:t>≤20mg/L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11</w:t>
            </w:r>
          </w:p>
        </w:tc>
        <w:tc>
          <w:tcPr>
            <w:tcW w:w="3229" w:type="dxa"/>
            <w:vAlign w:val="center"/>
          </w:tcPr>
          <w:p>
            <w:pPr>
              <w:jc w:val="center"/>
              <w:rPr>
                <w:rFonts w:ascii="Times New Roman" w:hAnsi="Times New Roman"/>
                <w:szCs w:val="21"/>
              </w:rPr>
            </w:pPr>
            <w:r>
              <w:rPr>
                <w:rFonts w:ascii="Times New Roman" w:hAnsi="Times New Roman"/>
                <w:szCs w:val="21"/>
              </w:rPr>
              <w:t>亚硝酸盐（以N计）</w:t>
            </w:r>
          </w:p>
        </w:tc>
        <w:tc>
          <w:tcPr>
            <w:tcW w:w="2151" w:type="dxa"/>
            <w:vAlign w:val="center"/>
          </w:tcPr>
          <w:p>
            <w:pPr>
              <w:jc w:val="center"/>
              <w:rPr>
                <w:rFonts w:ascii="Times New Roman" w:hAnsi="Times New Roman"/>
                <w:szCs w:val="21"/>
              </w:rPr>
            </w:pPr>
            <w:r>
              <w:rPr>
                <w:rFonts w:ascii="Times New Roman" w:hAnsi="Times New Roman"/>
                <w:szCs w:val="21"/>
              </w:rPr>
              <w:t>≤1.00mg/L</w:t>
            </w:r>
          </w:p>
        </w:tc>
        <w:tc>
          <w:tcPr>
            <w:tcW w:w="2493" w:type="dxa"/>
            <w:vMerge w:val="continue"/>
            <w:vAlign w:val="center"/>
          </w:tcPr>
          <w:p>
            <w:pPr>
              <w:adjustRightInd w:val="0"/>
              <w:snapToGrid w:val="0"/>
              <w:jc w:val="center"/>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12</w:t>
            </w:r>
          </w:p>
        </w:tc>
        <w:tc>
          <w:tcPr>
            <w:tcW w:w="3229" w:type="dxa"/>
            <w:vAlign w:val="center"/>
          </w:tcPr>
          <w:p>
            <w:pPr>
              <w:jc w:val="center"/>
              <w:rPr>
                <w:rFonts w:ascii="Times New Roman" w:hAnsi="Times New Roman"/>
                <w:szCs w:val="21"/>
              </w:rPr>
            </w:pPr>
            <w:r>
              <w:rPr>
                <w:rFonts w:ascii="Times New Roman" w:hAnsi="Times New Roman"/>
                <w:szCs w:val="21"/>
              </w:rPr>
              <w:t>氨氮（以N计）</w:t>
            </w:r>
          </w:p>
        </w:tc>
        <w:tc>
          <w:tcPr>
            <w:tcW w:w="2151" w:type="dxa"/>
            <w:vAlign w:val="center"/>
          </w:tcPr>
          <w:p>
            <w:pPr>
              <w:jc w:val="center"/>
              <w:rPr>
                <w:rFonts w:ascii="Times New Roman" w:hAnsi="Times New Roman"/>
                <w:szCs w:val="21"/>
              </w:rPr>
            </w:pPr>
            <w:r>
              <w:rPr>
                <w:rFonts w:ascii="Times New Roman" w:hAnsi="Times New Roman"/>
                <w:szCs w:val="21"/>
              </w:rPr>
              <w:t>≤0.5mg/L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13</w:t>
            </w:r>
          </w:p>
        </w:tc>
        <w:tc>
          <w:tcPr>
            <w:tcW w:w="3229" w:type="dxa"/>
            <w:vAlign w:val="center"/>
          </w:tcPr>
          <w:p>
            <w:pPr>
              <w:jc w:val="center"/>
              <w:rPr>
                <w:rFonts w:ascii="Times New Roman" w:hAnsi="Times New Roman"/>
                <w:szCs w:val="21"/>
              </w:rPr>
            </w:pPr>
            <w:r>
              <w:rPr>
                <w:rFonts w:ascii="Times New Roman" w:hAnsi="Times New Roman"/>
                <w:szCs w:val="21"/>
              </w:rPr>
              <w:t>氟化物</w:t>
            </w:r>
          </w:p>
        </w:tc>
        <w:tc>
          <w:tcPr>
            <w:tcW w:w="2151" w:type="dxa"/>
            <w:vAlign w:val="center"/>
          </w:tcPr>
          <w:p>
            <w:pPr>
              <w:jc w:val="center"/>
              <w:rPr>
                <w:rFonts w:ascii="Times New Roman" w:hAnsi="Times New Roman"/>
                <w:szCs w:val="21"/>
              </w:rPr>
            </w:pPr>
            <w:r>
              <w:rPr>
                <w:rFonts w:ascii="Times New Roman" w:hAnsi="Times New Roman"/>
                <w:szCs w:val="21"/>
              </w:rPr>
              <w:t>≤1.0mg/L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14</w:t>
            </w:r>
          </w:p>
        </w:tc>
        <w:tc>
          <w:tcPr>
            <w:tcW w:w="3229" w:type="dxa"/>
            <w:vAlign w:val="center"/>
          </w:tcPr>
          <w:p>
            <w:pPr>
              <w:jc w:val="center"/>
              <w:rPr>
                <w:rFonts w:ascii="Times New Roman" w:hAnsi="Times New Roman"/>
                <w:szCs w:val="21"/>
              </w:rPr>
            </w:pPr>
            <w:r>
              <w:rPr>
                <w:rFonts w:ascii="Times New Roman" w:hAnsi="Times New Roman"/>
                <w:szCs w:val="21"/>
              </w:rPr>
              <w:t>氰化物</w:t>
            </w:r>
          </w:p>
        </w:tc>
        <w:tc>
          <w:tcPr>
            <w:tcW w:w="2151" w:type="dxa"/>
            <w:vAlign w:val="center"/>
          </w:tcPr>
          <w:p>
            <w:pPr>
              <w:jc w:val="center"/>
              <w:rPr>
                <w:rFonts w:ascii="Times New Roman" w:hAnsi="Times New Roman"/>
                <w:szCs w:val="21"/>
              </w:rPr>
            </w:pPr>
            <w:r>
              <w:rPr>
                <w:rFonts w:ascii="Times New Roman" w:hAnsi="Times New Roman"/>
                <w:szCs w:val="21"/>
              </w:rPr>
              <w:t>≤0.05mg/L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15</w:t>
            </w:r>
          </w:p>
        </w:tc>
        <w:tc>
          <w:tcPr>
            <w:tcW w:w="3229" w:type="dxa"/>
            <w:vAlign w:val="center"/>
          </w:tcPr>
          <w:p>
            <w:pPr>
              <w:jc w:val="center"/>
              <w:rPr>
                <w:rFonts w:ascii="Times New Roman" w:hAnsi="Times New Roman"/>
                <w:szCs w:val="21"/>
              </w:rPr>
            </w:pPr>
            <w:r>
              <w:rPr>
                <w:rFonts w:ascii="Times New Roman" w:hAnsi="Times New Roman"/>
                <w:szCs w:val="21"/>
              </w:rPr>
              <w:t>汞（Hg）</w:t>
            </w:r>
          </w:p>
        </w:tc>
        <w:tc>
          <w:tcPr>
            <w:tcW w:w="2151" w:type="dxa"/>
            <w:vAlign w:val="center"/>
          </w:tcPr>
          <w:p>
            <w:pPr>
              <w:jc w:val="center"/>
              <w:rPr>
                <w:rFonts w:ascii="Times New Roman" w:hAnsi="Times New Roman"/>
                <w:szCs w:val="21"/>
              </w:rPr>
            </w:pPr>
            <w:r>
              <w:rPr>
                <w:rFonts w:ascii="Times New Roman" w:hAnsi="Times New Roman"/>
                <w:szCs w:val="21"/>
              </w:rPr>
              <w:t>≤0.001mg/L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16</w:t>
            </w:r>
          </w:p>
        </w:tc>
        <w:tc>
          <w:tcPr>
            <w:tcW w:w="3229" w:type="dxa"/>
            <w:vAlign w:val="center"/>
          </w:tcPr>
          <w:p>
            <w:pPr>
              <w:jc w:val="center"/>
              <w:rPr>
                <w:rFonts w:ascii="Times New Roman" w:hAnsi="Times New Roman"/>
                <w:szCs w:val="21"/>
              </w:rPr>
            </w:pPr>
            <w:r>
              <w:rPr>
                <w:rFonts w:ascii="Times New Roman" w:hAnsi="Times New Roman"/>
                <w:szCs w:val="21"/>
              </w:rPr>
              <w:t>砷（As）</w:t>
            </w:r>
          </w:p>
        </w:tc>
        <w:tc>
          <w:tcPr>
            <w:tcW w:w="2151" w:type="dxa"/>
            <w:vAlign w:val="center"/>
          </w:tcPr>
          <w:p>
            <w:pPr>
              <w:jc w:val="center"/>
              <w:rPr>
                <w:rFonts w:ascii="Times New Roman" w:hAnsi="Times New Roman"/>
                <w:szCs w:val="21"/>
              </w:rPr>
            </w:pPr>
            <w:r>
              <w:rPr>
                <w:rFonts w:ascii="Times New Roman" w:hAnsi="Times New Roman"/>
                <w:szCs w:val="21"/>
              </w:rPr>
              <w:t>≤0.01mg/L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17</w:t>
            </w:r>
          </w:p>
        </w:tc>
        <w:tc>
          <w:tcPr>
            <w:tcW w:w="3229" w:type="dxa"/>
            <w:vAlign w:val="center"/>
          </w:tcPr>
          <w:p>
            <w:pPr>
              <w:jc w:val="center"/>
              <w:rPr>
                <w:rFonts w:ascii="Times New Roman" w:hAnsi="Times New Roman"/>
                <w:szCs w:val="21"/>
              </w:rPr>
            </w:pPr>
            <w:r>
              <w:rPr>
                <w:rFonts w:ascii="Times New Roman" w:hAnsi="Times New Roman"/>
                <w:szCs w:val="21"/>
              </w:rPr>
              <w:t>镉（Cd）</w:t>
            </w:r>
          </w:p>
        </w:tc>
        <w:tc>
          <w:tcPr>
            <w:tcW w:w="2151" w:type="dxa"/>
            <w:vAlign w:val="center"/>
          </w:tcPr>
          <w:p>
            <w:pPr>
              <w:jc w:val="center"/>
              <w:rPr>
                <w:rFonts w:ascii="Times New Roman" w:hAnsi="Times New Roman"/>
                <w:szCs w:val="21"/>
              </w:rPr>
            </w:pPr>
            <w:r>
              <w:rPr>
                <w:rFonts w:ascii="Times New Roman" w:hAnsi="Times New Roman"/>
                <w:szCs w:val="21"/>
              </w:rPr>
              <w:t>≤0.005mg/L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18</w:t>
            </w:r>
          </w:p>
        </w:tc>
        <w:tc>
          <w:tcPr>
            <w:tcW w:w="3229" w:type="dxa"/>
            <w:vAlign w:val="center"/>
          </w:tcPr>
          <w:p>
            <w:pPr>
              <w:jc w:val="center"/>
              <w:rPr>
                <w:rFonts w:ascii="Times New Roman" w:hAnsi="Times New Roman"/>
                <w:szCs w:val="21"/>
              </w:rPr>
            </w:pPr>
            <w:r>
              <w:rPr>
                <w:rFonts w:ascii="Times New Roman" w:hAnsi="Times New Roman"/>
                <w:szCs w:val="21"/>
              </w:rPr>
              <w:t>铬（Cr</w:t>
            </w:r>
            <w:r>
              <w:rPr>
                <w:rFonts w:ascii="Times New Roman" w:hAnsi="Times New Roman"/>
                <w:szCs w:val="21"/>
                <w:vertAlign w:val="superscript"/>
              </w:rPr>
              <w:t>6+</w:t>
            </w:r>
            <w:r>
              <w:rPr>
                <w:rFonts w:ascii="Times New Roman" w:hAnsi="Times New Roman"/>
                <w:szCs w:val="21"/>
              </w:rPr>
              <w:t>）</w:t>
            </w:r>
          </w:p>
        </w:tc>
        <w:tc>
          <w:tcPr>
            <w:tcW w:w="2151" w:type="dxa"/>
            <w:vAlign w:val="center"/>
          </w:tcPr>
          <w:p>
            <w:pPr>
              <w:jc w:val="center"/>
              <w:rPr>
                <w:rFonts w:ascii="Times New Roman" w:hAnsi="Times New Roman"/>
                <w:szCs w:val="21"/>
              </w:rPr>
            </w:pPr>
            <w:r>
              <w:rPr>
                <w:rFonts w:ascii="Times New Roman" w:hAnsi="Times New Roman"/>
                <w:szCs w:val="21"/>
              </w:rPr>
              <w:t>≤0.05mg/L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ascii="Times New Roman" w:hAnsi="Times New Roman"/>
                <w:bCs/>
                <w:szCs w:val="21"/>
              </w:rPr>
              <w:t>19</w:t>
            </w:r>
          </w:p>
        </w:tc>
        <w:tc>
          <w:tcPr>
            <w:tcW w:w="3229" w:type="dxa"/>
            <w:vAlign w:val="center"/>
          </w:tcPr>
          <w:p>
            <w:pPr>
              <w:jc w:val="center"/>
              <w:rPr>
                <w:rFonts w:ascii="Times New Roman" w:hAnsi="Times New Roman"/>
                <w:szCs w:val="21"/>
              </w:rPr>
            </w:pPr>
            <w:r>
              <w:rPr>
                <w:rFonts w:ascii="Times New Roman" w:hAnsi="Times New Roman"/>
                <w:szCs w:val="21"/>
              </w:rPr>
              <w:t>铅（Pb）</w:t>
            </w:r>
          </w:p>
        </w:tc>
        <w:tc>
          <w:tcPr>
            <w:tcW w:w="2151" w:type="dxa"/>
            <w:vAlign w:val="center"/>
          </w:tcPr>
          <w:p>
            <w:pPr>
              <w:jc w:val="center"/>
              <w:rPr>
                <w:rFonts w:ascii="Times New Roman" w:hAnsi="Times New Roman"/>
                <w:szCs w:val="21"/>
              </w:rPr>
            </w:pPr>
            <w:r>
              <w:rPr>
                <w:rFonts w:ascii="Times New Roman" w:hAnsi="Times New Roman"/>
                <w:szCs w:val="21"/>
              </w:rPr>
              <w:t>≤0.01mg/L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20</w:t>
            </w:r>
          </w:p>
        </w:tc>
        <w:tc>
          <w:tcPr>
            <w:tcW w:w="3229" w:type="dxa"/>
            <w:vAlign w:val="center"/>
          </w:tcPr>
          <w:p>
            <w:pPr>
              <w:jc w:val="center"/>
              <w:rPr>
                <w:rFonts w:ascii="Times New Roman" w:hAnsi="Times New Roman"/>
                <w:szCs w:val="21"/>
              </w:rPr>
            </w:pPr>
            <w:r>
              <w:rPr>
                <w:rFonts w:ascii="Times New Roman" w:hAnsi="Times New Roman"/>
                <w:szCs w:val="21"/>
              </w:rPr>
              <w:t>总大肠菌群</w:t>
            </w:r>
          </w:p>
          <w:p>
            <w:pPr>
              <w:jc w:val="center"/>
              <w:rPr>
                <w:rFonts w:ascii="Times New Roman" w:hAnsi="Times New Roman"/>
                <w:szCs w:val="21"/>
              </w:rPr>
            </w:pPr>
            <w:r>
              <w:rPr>
                <w:rFonts w:hint="eastAsia" w:ascii="Times New Roman" w:hAnsi="Times New Roman"/>
                <w:szCs w:val="21"/>
              </w:rPr>
              <w:t>（M</w:t>
            </w:r>
            <w:r>
              <w:rPr>
                <w:rFonts w:ascii="Times New Roman" w:hAnsi="Times New Roman"/>
                <w:szCs w:val="21"/>
              </w:rPr>
              <w:t>PN</w:t>
            </w:r>
            <w:r>
              <w:rPr>
                <w:rFonts w:ascii="Times New Roman" w:hAnsi="Times New Roman"/>
                <w:szCs w:val="21"/>
                <w:vertAlign w:val="superscript"/>
              </w:rPr>
              <w:t>b</w:t>
            </w:r>
            <w:r>
              <w:rPr>
                <w:rFonts w:ascii="Times New Roman" w:hAnsi="Times New Roman"/>
                <w:szCs w:val="21"/>
              </w:rPr>
              <w:t>/100mL</w:t>
            </w:r>
            <w:r>
              <w:rPr>
                <w:rFonts w:hint="eastAsia" w:ascii="Times New Roman" w:hAnsi="Times New Roman"/>
                <w:szCs w:val="21"/>
              </w:rPr>
              <w:t>或</w:t>
            </w:r>
            <w:r>
              <w:rPr>
                <w:rFonts w:ascii="Times New Roman" w:hAnsi="Times New Roman"/>
                <w:szCs w:val="21"/>
              </w:rPr>
              <w:t>CFU</w:t>
            </w:r>
            <w:r>
              <w:rPr>
                <w:rFonts w:ascii="Times New Roman" w:hAnsi="Times New Roman"/>
                <w:szCs w:val="21"/>
                <w:vertAlign w:val="superscript"/>
              </w:rPr>
              <w:t>c</w:t>
            </w:r>
            <w:r>
              <w:rPr>
                <w:rFonts w:ascii="Times New Roman" w:hAnsi="Times New Roman"/>
                <w:szCs w:val="21"/>
              </w:rPr>
              <w:t>/100mL</w:t>
            </w:r>
            <w:r>
              <w:rPr>
                <w:rFonts w:hint="eastAsia" w:ascii="Times New Roman" w:hAnsi="Times New Roman"/>
                <w:szCs w:val="21"/>
              </w:rPr>
              <w:t>）</w:t>
            </w:r>
          </w:p>
        </w:tc>
        <w:tc>
          <w:tcPr>
            <w:tcW w:w="2151" w:type="dxa"/>
            <w:vAlign w:val="center"/>
          </w:tcPr>
          <w:p>
            <w:pPr>
              <w:jc w:val="center"/>
              <w:rPr>
                <w:rFonts w:ascii="Times New Roman" w:hAnsi="Times New Roman"/>
                <w:szCs w:val="21"/>
              </w:rPr>
            </w:pPr>
            <w:r>
              <w:rPr>
                <w:rFonts w:ascii="Times New Roman" w:hAnsi="Times New Roman"/>
                <w:szCs w:val="21"/>
              </w:rPr>
              <w:t>≤3.0个/L</w:t>
            </w:r>
          </w:p>
        </w:tc>
        <w:tc>
          <w:tcPr>
            <w:tcW w:w="2493" w:type="dxa"/>
            <w:vMerge w:val="continue"/>
            <w:vAlign w:val="center"/>
          </w:tcPr>
          <w:p>
            <w:pPr>
              <w:adjustRightInd w:val="0"/>
              <w:snapToGrid w:val="0"/>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41" w:type="dxa"/>
            <w:vAlign w:val="center"/>
          </w:tcPr>
          <w:p>
            <w:pPr>
              <w:widowControl/>
              <w:adjustRightInd w:val="0"/>
              <w:snapToGrid w:val="0"/>
              <w:jc w:val="center"/>
              <w:rPr>
                <w:rFonts w:ascii="Times New Roman" w:hAnsi="Times New Roman"/>
                <w:bCs/>
                <w:szCs w:val="21"/>
              </w:rPr>
            </w:pPr>
            <w:r>
              <w:rPr>
                <w:rFonts w:ascii="Times New Roman" w:hAnsi="Times New Roman"/>
                <w:bCs/>
                <w:szCs w:val="21"/>
              </w:rPr>
              <w:t>2</w:t>
            </w:r>
            <w:r>
              <w:rPr>
                <w:rFonts w:hint="eastAsia" w:ascii="Times New Roman" w:hAnsi="Times New Roman"/>
                <w:bCs/>
                <w:szCs w:val="21"/>
              </w:rPr>
              <w:t>1</w:t>
            </w:r>
          </w:p>
        </w:tc>
        <w:tc>
          <w:tcPr>
            <w:tcW w:w="3229" w:type="dxa"/>
            <w:vAlign w:val="center"/>
          </w:tcPr>
          <w:p>
            <w:pPr>
              <w:widowControl/>
              <w:jc w:val="center"/>
              <w:rPr>
                <w:rFonts w:ascii="Times New Roman" w:hAnsi="Times New Roman"/>
                <w:szCs w:val="21"/>
              </w:rPr>
            </w:pPr>
            <w:r>
              <w:rPr>
                <w:rFonts w:hint="eastAsia" w:ascii="Times New Roman" w:hAnsi="Times New Roman"/>
                <w:szCs w:val="21"/>
              </w:rPr>
              <w:t>菌落总数（</w:t>
            </w:r>
            <w:r>
              <w:rPr>
                <w:rFonts w:ascii="Times New Roman" w:hAnsi="Times New Roman"/>
                <w:szCs w:val="21"/>
              </w:rPr>
              <w:t>CFU/mL</w:t>
            </w:r>
            <w:r>
              <w:rPr>
                <w:rFonts w:hint="eastAsia" w:ascii="Times New Roman" w:hAnsi="Times New Roman"/>
                <w:szCs w:val="21"/>
              </w:rPr>
              <w:t>）</w:t>
            </w:r>
          </w:p>
        </w:tc>
        <w:tc>
          <w:tcPr>
            <w:tcW w:w="2151" w:type="dxa"/>
            <w:vAlign w:val="center"/>
          </w:tcPr>
          <w:p>
            <w:pPr>
              <w:widowControl/>
              <w:jc w:val="center"/>
              <w:rPr>
                <w:rFonts w:ascii="Times New Roman" w:hAnsi="Times New Roman"/>
                <w:szCs w:val="21"/>
              </w:rPr>
            </w:pPr>
            <w:r>
              <w:rPr>
                <w:rFonts w:ascii="Times New Roman" w:hAnsi="Times New Roman"/>
                <w:szCs w:val="21"/>
              </w:rPr>
              <w:t>≤100CFU/L</w:t>
            </w:r>
          </w:p>
        </w:tc>
        <w:tc>
          <w:tcPr>
            <w:tcW w:w="2493" w:type="dxa"/>
            <w:vMerge w:val="continue"/>
            <w:vAlign w:val="center"/>
          </w:tcPr>
          <w:p>
            <w:pPr>
              <w:adjustRightInd w:val="0"/>
              <w:snapToGrid w:val="0"/>
              <w:rPr>
                <w:rFonts w:ascii="Times New Roman" w:hAnsi="Times New Roman"/>
                <w:szCs w:val="21"/>
              </w:rPr>
            </w:pPr>
          </w:p>
        </w:tc>
      </w:tr>
    </w:tbl>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220" w:name="_Toc11284"/>
      <w:r>
        <w:rPr>
          <w:rFonts w:hint="eastAsia" w:cs="Times New Roman"/>
          <w:bCs w:val="0"/>
          <w:snapToGrid w:val="0"/>
          <w:kern w:val="0"/>
          <w:sz w:val="28"/>
          <w:szCs w:val="28"/>
        </w:rPr>
        <w:t>1</w:t>
      </w:r>
      <w:r>
        <w:rPr>
          <w:rFonts w:cs="Times New Roman"/>
          <w:bCs w:val="0"/>
          <w:snapToGrid w:val="0"/>
          <w:kern w:val="0"/>
          <w:sz w:val="28"/>
          <w:szCs w:val="28"/>
        </w:rPr>
        <w:t>.4.3污染物排放标准</w:t>
      </w:r>
      <w:bookmarkEnd w:id="212"/>
      <w:bookmarkEnd w:id="213"/>
      <w:bookmarkEnd w:id="214"/>
      <w:bookmarkEnd w:id="215"/>
      <w:bookmarkEnd w:id="216"/>
      <w:bookmarkEnd w:id="217"/>
      <w:bookmarkEnd w:id="218"/>
      <w:bookmarkEnd w:id="219"/>
      <w:bookmarkEnd w:id="220"/>
    </w:p>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.4.3.1废气</w:t>
      </w:r>
    </w:p>
    <w:p>
      <w:pPr>
        <w:adjustRightInd w:val="0"/>
        <w:snapToGrid w:val="0"/>
        <w:spacing w:line="540" w:lineRule="exact"/>
        <w:ind w:firstLine="480" w:firstLineChars="200"/>
        <w:rPr>
          <w:rFonts w:hint="eastAsia" w:ascii="Times New Roman" w:hAnsi="Times New Roman"/>
          <w:b/>
          <w:sz w:val="24"/>
        </w:rPr>
      </w:pPr>
      <w:r>
        <w:rPr>
          <w:rFonts w:ascii="Times New Roman" w:hAnsi="Times New Roman"/>
          <w:kern w:val="1"/>
          <w:sz w:val="24"/>
          <w:lang w:val="zh-CN"/>
        </w:rPr>
        <w:t>本项目饲料加工颗粒物排放浓度、排放速率执行《大气污染物综合排放标准》（GB16297-1996）表2中二级标准及无组织排放监控浓度限值要求；臭气浓度执行《畜禽养殖业污染物排放标准》（GB18596-2001）表7中标准限值；恶臭污染物NH</w:t>
      </w:r>
      <w:r>
        <w:rPr>
          <w:rFonts w:ascii="Times New Roman" w:hAnsi="Times New Roman"/>
          <w:kern w:val="1"/>
          <w:sz w:val="24"/>
          <w:vertAlign w:val="subscript"/>
          <w:lang w:val="zh-CN"/>
        </w:rPr>
        <w:t>3</w:t>
      </w:r>
      <w:r>
        <w:rPr>
          <w:rFonts w:ascii="Times New Roman" w:hAnsi="Times New Roman"/>
          <w:kern w:val="1"/>
          <w:sz w:val="24"/>
          <w:lang w:val="zh-CN"/>
        </w:rPr>
        <w:t>、H</w:t>
      </w:r>
      <w:r>
        <w:rPr>
          <w:rFonts w:ascii="Times New Roman" w:hAnsi="Times New Roman"/>
          <w:kern w:val="1"/>
          <w:sz w:val="24"/>
          <w:vertAlign w:val="subscript"/>
          <w:lang w:val="zh-CN"/>
        </w:rPr>
        <w:t>2</w:t>
      </w:r>
      <w:r>
        <w:rPr>
          <w:rFonts w:ascii="Times New Roman" w:hAnsi="Times New Roman"/>
          <w:kern w:val="1"/>
          <w:sz w:val="24"/>
          <w:lang w:val="zh-CN"/>
        </w:rPr>
        <w:t>S执行《恶臭污染物排放标准》（GB14554-93）表1中恶臭污染物场界二级（新改扩建）标准。标准值见表</w:t>
      </w:r>
      <w:r>
        <w:rPr>
          <w:rFonts w:hint="eastAsia" w:ascii="Times New Roman" w:hAnsi="Times New Roman"/>
          <w:kern w:val="1"/>
          <w:sz w:val="24"/>
        </w:rPr>
        <w:t>1</w:t>
      </w:r>
      <w:r>
        <w:rPr>
          <w:rFonts w:ascii="Times New Roman" w:hAnsi="Times New Roman"/>
          <w:kern w:val="1"/>
          <w:sz w:val="24"/>
          <w:lang w:val="zh-CN"/>
        </w:rPr>
        <w:t>.4-6、表</w:t>
      </w:r>
      <w:r>
        <w:rPr>
          <w:rFonts w:hint="eastAsia" w:ascii="Times New Roman" w:hAnsi="Times New Roman"/>
          <w:kern w:val="1"/>
          <w:sz w:val="24"/>
        </w:rPr>
        <w:t>1</w:t>
      </w:r>
      <w:r>
        <w:rPr>
          <w:rFonts w:ascii="Times New Roman" w:hAnsi="Times New Roman"/>
          <w:kern w:val="1"/>
          <w:sz w:val="24"/>
          <w:lang w:val="zh-CN"/>
        </w:rPr>
        <w:t>.4-7及表</w:t>
      </w:r>
      <w:r>
        <w:rPr>
          <w:rFonts w:hint="eastAsia" w:ascii="Times New Roman" w:hAnsi="Times New Roman"/>
          <w:kern w:val="1"/>
          <w:sz w:val="24"/>
        </w:rPr>
        <w:t>1</w:t>
      </w:r>
      <w:r>
        <w:rPr>
          <w:rFonts w:ascii="Times New Roman" w:hAnsi="Times New Roman"/>
          <w:kern w:val="1"/>
          <w:sz w:val="24"/>
          <w:lang w:val="zh-CN"/>
        </w:rPr>
        <w:t>.4-8。</w:t>
      </w:r>
    </w:p>
    <w:p>
      <w:pPr>
        <w:adjustRightInd w:val="0"/>
        <w:snapToGrid w:val="0"/>
        <w:jc w:val="center"/>
        <w:rPr>
          <w:rFonts w:hint="eastAsia" w:ascii="Times New Roman" w:hAnsi="Times New Roman"/>
          <w:b/>
          <w:sz w:val="24"/>
        </w:rPr>
      </w:pPr>
    </w:p>
    <w:p>
      <w:pPr>
        <w:adjustRightInd w:val="0"/>
        <w:snapToGrid w:val="0"/>
        <w:jc w:val="center"/>
        <w:rPr>
          <w:rFonts w:ascii="Times New Roman" w:hAnsi="Times New Roman"/>
          <w:b/>
          <w:sz w:val="24"/>
        </w:rPr>
      </w:pPr>
      <w:r>
        <w:rPr>
          <w:rFonts w:hint="eastAsia" w:ascii="Times New Roman" w:hAnsi="Times New Roman"/>
          <w:b/>
          <w:sz w:val="24"/>
        </w:rPr>
        <w:t>表1.4-6  大气污染物综合排放标准</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434"/>
        <w:gridCol w:w="66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9" w:type="dxa"/>
            <w:vAlign w:val="center"/>
          </w:tcPr>
          <w:p>
            <w:pPr>
              <w:adjustRightInd w:val="0"/>
              <w:snapToGrid w:val="0"/>
              <w:jc w:val="center"/>
              <w:rPr>
                <w:rFonts w:ascii="Times New Roman" w:hAnsi="Times New Roman"/>
                <w:b/>
                <w:bCs/>
                <w:szCs w:val="21"/>
              </w:rPr>
            </w:pPr>
            <w:r>
              <w:rPr>
                <w:rFonts w:ascii="Times New Roman" w:hAnsi="Times New Roman"/>
                <w:b/>
                <w:bCs/>
                <w:szCs w:val="21"/>
              </w:rPr>
              <w:t>污染物</w:t>
            </w:r>
          </w:p>
        </w:tc>
        <w:tc>
          <w:tcPr>
            <w:tcW w:w="6625" w:type="dxa"/>
            <w:vAlign w:val="center"/>
          </w:tcPr>
          <w:p>
            <w:pPr>
              <w:adjustRightInd w:val="0"/>
              <w:snapToGrid w:val="0"/>
              <w:jc w:val="center"/>
              <w:rPr>
                <w:rFonts w:ascii="Times New Roman" w:hAnsi="Times New Roman"/>
                <w:b/>
                <w:bCs/>
                <w:szCs w:val="21"/>
              </w:rPr>
            </w:pPr>
            <w:r>
              <w:rPr>
                <w:rFonts w:ascii="Times New Roman" w:hAnsi="Times New Roman"/>
                <w:b/>
                <w:bCs/>
                <w:szCs w:val="21"/>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9" w:type="dxa"/>
            <w:vAlign w:val="center"/>
          </w:tcPr>
          <w:p>
            <w:pPr>
              <w:adjustRightInd w:val="0"/>
              <w:snapToGrid w:val="0"/>
              <w:jc w:val="center"/>
              <w:rPr>
                <w:rFonts w:ascii="Times New Roman" w:hAnsi="Times New Roman"/>
                <w:szCs w:val="21"/>
              </w:rPr>
            </w:pPr>
            <w:r>
              <w:rPr>
                <w:rFonts w:ascii="Times New Roman" w:hAnsi="Times New Roman"/>
                <w:szCs w:val="21"/>
              </w:rPr>
              <w:t>颗粒物</w:t>
            </w:r>
          </w:p>
        </w:tc>
        <w:tc>
          <w:tcPr>
            <w:tcW w:w="6625" w:type="dxa"/>
            <w:vAlign w:val="center"/>
          </w:tcPr>
          <w:p>
            <w:pPr>
              <w:adjustRightInd w:val="0"/>
              <w:snapToGrid w:val="0"/>
              <w:jc w:val="center"/>
              <w:rPr>
                <w:rFonts w:ascii="Times New Roman" w:hAnsi="Times New Roman"/>
                <w:szCs w:val="21"/>
              </w:rPr>
            </w:pPr>
            <w:r>
              <w:rPr>
                <w:rFonts w:ascii="Times New Roman" w:hAnsi="Times New Roman"/>
                <w:szCs w:val="21"/>
              </w:rPr>
              <w:t>1.0mg/m</w:t>
            </w:r>
            <w:r>
              <w:rPr>
                <w:rFonts w:ascii="Times New Roman" w:hAnsi="Times New Roman"/>
                <w:szCs w:val="21"/>
                <w:vertAlign w:val="superscript"/>
              </w:rPr>
              <w:t>3</w:t>
            </w:r>
          </w:p>
        </w:tc>
      </w:tr>
    </w:tbl>
    <w:p>
      <w:pPr>
        <w:pStyle w:val="47"/>
        <w:snapToGrid/>
        <w:spacing w:line="240" w:lineRule="auto"/>
        <w:ind w:firstLine="0"/>
        <w:jc w:val="center"/>
        <w:rPr>
          <w:rFonts w:ascii="Times New Roman" w:hAnsi="Times New Roman"/>
          <w:b/>
          <w:kern w:val="2"/>
          <w:sz w:val="24"/>
          <w:szCs w:val="24"/>
        </w:rPr>
      </w:pPr>
    </w:p>
    <w:p>
      <w:pPr>
        <w:pStyle w:val="47"/>
        <w:snapToGrid/>
        <w:spacing w:line="240" w:lineRule="auto"/>
        <w:ind w:firstLine="0"/>
        <w:jc w:val="center"/>
        <w:rPr>
          <w:rFonts w:ascii="宋体" w:hAnsi="宋体" w:cs="宋体"/>
          <w:b/>
          <w:kern w:val="1"/>
          <w:sz w:val="21"/>
          <w:szCs w:val="21"/>
        </w:rPr>
      </w:pPr>
      <w:r>
        <w:rPr>
          <w:rFonts w:ascii="Times New Roman" w:hAnsi="Times New Roman"/>
          <w:b/>
          <w:kern w:val="2"/>
          <w:sz w:val="24"/>
          <w:szCs w:val="24"/>
        </w:rPr>
        <w:t>表</w:t>
      </w:r>
      <w:r>
        <w:rPr>
          <w:rFonts w:hint="eastAsia" w:ascii="Times New Roman" w:hAnsi="Times New Roman"/>
          <w:b/>
          <w:kern w:val="2"/>
          <w:sz w:val="24"/>
          <w:szCs w:val="24"/>
        </w:rPr>
        <w:t>1</w:t>
      </w:r>
      <w:r>
        <w:rPr>
          <w:rFonts w:ascii="Times New Roman" w:hAnsi="Times New Roman"/>
          <w:b/>
          <w:kern w:val="2"/>
          <w:sz w:val="24"/>
          <w:szCs w:val="24"/>
        </w:rPr>
        <w:t>.4-7  畜禽养殖业污染物排放标准</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344"/>
        <w:gridCol w:w="3174"/>
        <w:gridCol w:w="255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44" w:type="dxa"/>
            <w:vAlign w:val="center"/>
          </w:tcPr>
          <w:p>
            <w:pPr>
              <w:adjustRightInd w:val="0"/>
              <w:snapToGrid w:val="0"/>
              <w:jc w:val="center"/>
              <w:rPr>
                <w:rFonts w:ascii="Times New Roman" w:hAnsi="Times New Roman"/>
                <w:b/>
                <w:bCs/>
                <w:szCs w:val="21"/>
              </w:rPr>
            </w:pPr>
            <w:r>
              <w:rPr>
                <w:rFonts w:ascii="Times New Roman" w:hAnsi="Times New Roman"/>
                <w:b/>
                <w:bCs/>
                <w:szCs w:val="21"/>
              </w:rPr>
              <w:t>控制项目</w:t>
            </w:r>
          </w:p>
        </w:tc>
        <w:tc>
          <w:tcPr>
            <w:tcW w:w="3174" w:type="dxa"/>
            <w:vAlign w:val="center"/>
          </w:tcPr>
          <w:p>
            <w:pPr>
              <w:adjustRightInd w:val="0"/>
              <w:snapToGrid w:val="0"/>
              <w:jc w:val="center"/>
              <w:rPr>
                <w:rFonts w:ascii="Times New Roman" w:hAnsi="Times New Roman"/>
                <w:b/>
                <w:bCs/>
                <w:szCs w:val="21"/>
              </w:rPr>
            </w:pPr>
            <w:r>
              <w:rPr>
                <w:rFonts w:ascii="Times New Roman" w:hAnsi="Times New Roman"/>
                <w:b/>
                <w:bCs/>
                <w:szCs w:val="21"/>
              </w:rPr>
              <w:t>标准值</w:t>
            </w:r>
          </w:p>
        </w:tc>
        <w:tc>
          <w:tcPr>
            <w:tcW w:w="2553" w:type="dxa"/>
            <w:vAlign w:val="center"/>
          </w:tcPr>
          <w:p>
            <w:pPr>
              <w:adjustRightInd w:val="0"/>
              <w:snapToGrid w:val="0"/>
              <w:jc w:val="center"/>
              <w:rPr>
                <w:rFonts w:ascii="Times New Roman" w:hAnsi="Times New Roman"/>
                <w:b/>
                <w:bCs/>
                <w:szCs w:val="21"/>
              </w:rPr>
            </w:pPr>
            <w:r>
              <w:rPr>
                <w:rFonts w:ascii="Times New Roman" w:hAnsi="Times New Roman"/>
                <w:b/>
                <w:bCs/>
                <w:szCs w:val="21"/>
              </w:rPr>
              <w:t>单位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44" w:type="dxa"/>
            <w:vAlign w:val="center"/>
          </w:tcPr>
          <w:p>
            <w:pPr>
              <w:adjustRightInd w:val="0"/>
              <w:snapToGrid w:val="0"/>
              <w:jc w:val="center"/>
              <w:rPr>
                <w:rFonts w:ascii="Times New Roman" w:hAnsi="Times New Roman"/>
                <w:szCs w:val="21"/>
              </w:rPr>
            </w:pPr>
            <w:r>
              <w:rPr>
                <w:rFonts w:ascii="Times New Roman" w:hAnsi="Times New Roman"/>
                <w:szCs w:val="21"/>
              </w:rPr>
              <w:t>臭气浓度</w:t>
            </w:r>
          </w:p>
        </w:tc>
        <w:tc>
          <w:tcPr>
            <w:tcW w:w="3174" w:type="dxa"/>
            <w:vAlign w:val="center"/>
          </w:tcPr>
          <w:p>
            <w:pPr>
              <w:adjustRightInd w:val="0"/>
              <w:snapToGrid w:val="0"/>
              <w:jc w:val="center"/>
              <w:rPr>
                <w:rFonts w:ascii="Times New Roman" w:hAnsi="Times New Roman"/>
                <w:szCs w:val="21"/>
              </w:rPr>
            </w:pPr>
            <w:r>
              <w:rPr>
                <w:rFonts w:hint="eastAsia" w:ascii="Times New Roman" w:hAnsi="Times New Roman"/>
                <w:szCs w:val="21"/>
              </w:rPr>
              <w:t>70</w:t>
            </w:r>
          </w:p>
        </w:tc>
        <w:tc>
          <w:tcPr>
            <w:tcW w:w="2553" w:type="dxa"/>
            <w:vAlign w:val="center"/>
          </w:tcPr>
          <w:p>
            <w:pPr>
              <w:adjustRightInd w:val="0"/>
              <w:snapToGrid w:val="0"/>
              <w:jc w:val="center"/>
              <w:rPr>
                <w:rFonts w:ascii="Times New Roman" w:hAnsi="Times New Roman"/>
                <w:szCs w:val="21"/>
              </w:rPr>
            </w:pPr>
            <w:r>
              <w:rPr>
                <w:rFonts w:ascii="Times New Roman" w:hAnsi="Times New Roman"/>
                <w:szCs w:val="21"/>
              </w:rPr>
              <w:t>无量纲</w:t>
            </w:r>
          </w:p>
        </w:tc>
      </w:tr>
    </w:tbl>
    <w:p>
      <w:pPr>
        <w:pStyle w:val="47"/>
        <w:snapToGrid/>
        <w:spacing w:line="240" w:lineRule="auto"/>
        <w:ind w:firstLine="0"/>
        <w:jc w:val="both"/>
        <w:rPr>
          <w:rFonts w:ascii="Times New Roman" w:hAnsi="Times New Roman"/>
          <w:b/>
          <w:kern w:val="2"/>
          <w:sz w:val="24"/>
          <w:szCs w:val="24"/>
        </w:rPr>
      </w:pPr>
    </w:p>
    <w:p>
      <w:pPr>
        <w:pStyle w:val="47"/>
        <w:snapToGrid/>
        <w:spacing w:line="240" w:lineRule="auto"/>
        <w:ind w:firstLine="0"/>
        <w:jc w:val="center"/>
        <w:rPr>
          <w:rFonts w:ascii="Times New Roman" w:hAnsi="Times New Roman"/>
          <w:b/>
          <w:kern w:val="2"/>
          <w:sz w:val="24"/>
          <w:szCs w:val="24"/>
        </w:rPr>
      </w:pPr>
      <w:r>
        <w:rPr>
          <w:rFonts w:ascii="Times New Roman" w:hAnsi="Times New Roman"/>
          <w:b/>
          <w:kern w:val="2"/>
          <w:sz w:val="24"/>
          <w:szCs w:val="24"/>
        </w:rPr>
        <w:t>表</w:t>
      </w:r>
      <w:r>
        <w:rPr>
          <w:rFonts w:hint="eastAsia" w:ascii="Times New Roman" w:hAnsi="Times New Roman"/>
          <w:b/>
          <w:kern w:val="2"/>
          <w:sz w:val="24"/>
          <w:szCs w:val="24"/>
        </w:rPr>
        <w:t>1</w:t>
      </w:r>
      <w:r>
        <w:rPr>
          <w:rFonts w:ascii="Times New Roman" w:hAnsi="Times New Roman"/>
          <w:b/>
          <w:kern w:val="2"/>
          <w:sz w:val="24"/>
          <w:szCs w:val="24"/>
        </w:rPr>
        <w:t>.4-8  恶臭污染物排放标准</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49"/>
        <w:gridCol w:w="2417"/>
        <w:gridCol w:w="2782"/>
        <w:gridCol w:w="232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966" w:type="dxa"/>
            <w:gridSpan w:val="2"/>
            <w:vAlign w:val="center"/>
          </w:tcPr>
          <w:p>
            <w:pPr>
              <w:adjustRightInd w:val="0"/>
              <w:snapToGrid w:val="0"/>
              <w:jc w:val="center"/>
              <w:rPr>
                <w:rFonts w:ascii="Times New Roman" w:hAnsi="Times New Roman"/>
                <w:b/>
                <w:bCs/>
                <w:szCs w:val="21"/>
              </w:rPr>
            </w:pPr>
            <w:r>
              <w:rPr>
                <w:rFonts w:ascii="Times New Roman" w:hAnsi="Times New Roman"/>
                <w:b/>
                <w:bCs/>
                <w:szCs w:val="21"/>
              </w:rPr>
              <w:t>控制项目</w:t>
            </w:r>
          </w:p>
        </w:tc>
        <w:tc>
          <w:tcPr>
            <w:tcW w:w="2782" w:type="dxa"/>
            <w:vAlign w:val="center"/>
          </w:tcPr>
          <w:p>
            <w:pPr>
              <w:adjustRightInd w:val="0"/>
              <w:snapToGrid w:val="0"/>
              <w:jc w:val="center"/>
              <w:rPr>
                <w:rFonts w:ascii="Times New Roman" w:hAnsi="Times New Roman"/>
                <w:b/>
                <w:bCs/>
                <w:szCs w:val="21"/>
              </w:rPr>
            </w:pPr>
            <w:r>
              <w:rPr>
                <w:rFonts w:ascii="Times New Roman" w:hAnsi="Times New Roman"/>
                <w:b/>
                <w:bCs/>
                <w:szCs w:val="21"/>
              </w:rPr>
              <w:t>标准值</w:t>
            </w:r>
          </w:p>
        </w:tc>
        <w:tc>
          <w:tcPr>
            <w:tcW w:w="2323" w:type="dxa"/>
            <w:vAlign w:val="center"/>
          </w:tcPr>
          <w:p>
            <w:pPr>
              <w:adjustRightInd w:val="0"/>
              <w:snapToGrid w:val="0"/>
              <w:jc w:val="center"/>
              <w:rPr>
                <w:rFonts w:ascii="Times New Roman" w:hAnsi="Times New Roman"/>
                <w:b/>
                <w:bCs/>
                <w:szCs w:val="21"/>
              </w:rPr>
            </w:pPr>
            <w:r>
              <w:rPr>
                <w:rFonts w:ascii="Times New Roman" w:hAnsi="Times New Roman"/>
                <w:b/>
                <w:bCs/>
                <w:szCs w:val="21"/>
              </w:rPr>
              <w:t>单位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49" w:type="dxa"/>
            <w:vMerge w:val="restart"/>
            <w:vAlign w:val="center"/>
          </w:tcPr>
          <w:p>
            <w:pPr>
              <w:adjustRightInd w:val="0"/>
              <w:snapToGrid w:val="0"/>
              <w:jc w:val="center"/>
              <w:rPr>
                <w:rFonts w:ascii="Times New Roman" w:hAnsi="Times New Roman"/>
                <w:szCs w:val="21"/>
              </w:rPr>
            </w:pPr>
            <w:r>
              <w:rPr>
                <w:rFonts w:ascii="Times New Roman" w:hAnsi="Times New Roman"/>
                <w:szCs w:val="21"/>
              </w:rPr>
              <w:t>恶臭污染物</w:t>
            </w:r>
          </w:p>
        </w:tc>
        <w:tc>
          <w:tcPr>
            <w:tcW w:w="2417" w:type="dxa"/>
            <w:vAlign w:val="center"/>
          </w:tcPr>
          <w:p>
            <w:pPr>
              <w:adjustRightInd w:val="0"/>
              <w:snapToGrid w:val="0"/>
              <w:jc w:val="center"/>
              <w:rPr>
                <w:rFonts w:ascii="Times New Roman" w:hAnsi="Times New Roman"/>
                <w:szCs w:val="21"/>
              </w:rPr>
            </w:pPr>
            <w:r>
              <w:rPr>
                <w:rFonts w:ascii="Times New Roman" w:hAnsi="Times New Roman"/>
                <w:szCs w:val="21"/>
              </w:rPr>
              <w:t>NH</w:t>
            </w:r>
            <w:r>
              <w:rPr>
                <w:rFonts w:ascii="Times New Roman" w:hAnsi="Times New Roman"/>
                <w:szCs w:val="21"/>
                <w:vertAlign w:val="subscript"/>
              </w:rPr>
              <w:t>3</w:t>
            </w:r>
          </w:p>
        </w:tc>
        <w:tc>
          <w:tcPr>
            <w:tcW w:w="2782" w:type="dxa"/>
            <w:vAlign w:val="center"/>
          </w:tcPr>
          <w:p>
            <w:pPr>
              <w:adjustRightInd w:val="0"/>
              <w:snapToGrid w:val="0"/>
              <w:jc w:val="center"/>
              <w:rPr>
                <w:rFonts w:ascii="Times New Roman" w:hAnsi="Times New Roman"/>
                <w:spacing w:val="4"/>
                <w:szCs w:val="21"/>
              </w:rPr>
            </w:pPr>
            <w:r>
              <w:rPr>
                <w:rFonts w:ascii="Times New Roman" w:hAnsi="Times New Roman"/>
                <w:spacing w:val="4"/>
                <w:szCs w:val="21"/>
              </w:rPr>
              <w:t>1.5(场界)</w:t>
            </w:r>
          </w:p>
        </w:tc>
        <w:tc>
          <w:tcPr>
            <w:tcW w:w="2323" w:type="dxa"/>
            <w:vAlign w:val="center"/>
          </w:tcPr>
          <w:p>
            <w:pPr>
              <w:adjustRightInd w:val="0"/>
              <w:snapToGrid w:val="0"/>
              <w:jc w:val="center"/>
              <w:rPr>
                <w:rFonts w:ascii="Times New Roman" w:hAnsi="Times New Roman"/>
                <w:szCs w:val="21"/>
              </w:rPr>
            </w:pPr>
            <w:r>
              <w:rPr>
                <w:rFonts w:ascii="Times New Roman" w:hAnsi="Times New Roman"/>
                <w:szCs w:val="21"/>
              </w:rPr>
              <w:t>mg/m</w:t>
            </w:r>
            <w:r>
              <w:rPr>
                <w:rFonts w:ascii="Times New Roman" w:hAnsi="Times New Roman"/>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49" w:type="dxa"/>
            <w:vMerge w:val="continue"/>
            <w:vAlign w:val="center"/>
          </w:tcPr>
          <w:p>
            <w:pPr>
              <w:adjustRightInd w:val="0"/>
              <w:snapToGrid w:val="0"/>
              <w:jc w:val="center"/>
              <w:rPr>
                <w:rFonts w:ascii="Times New Roman" w:hAnsi="Times New Roman"/>
                <w:szCs w:val="21"/>
              </w:rPr>
            </w:pPr>
          </w:p>
        </w:tc>
        <w:tc>
          <w:tcPr>
            <w:tcW w:w="2417" w:type="dxa"/>
            <w:vAlign w:val="center"/>
          </w:tcPr>
          <w:p>
            <w:pPr>
              <w:adjustRightInd w:val="0"/>
              <w:snapToGrid w:val="0"/>
              <w:jc w:val="center"/>
              <w:rPr>
                <w:rFonts w:ascii="Times New Roman" w:hAnsi="Times New Roman"/>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2782" w:type="dxa"/>
            <w:vAlign w:val="center"/>
          </w:tcPr>
          <w:p>
            <w:pPr>
              <w:adjustRightInd w:val="0"/>
              <w:snapToGrid w:val="0"/>
              <w:jc w:val="center"/>
              <w:rPr>
                <w:rFonts w:ascii="Times New Roman" w:hAnsi="Times New Roman"/>
                <w:spacing w:val="4"/>
                <w:szCs w:val="21"/>
              </w:rPr>
            </w:pPr>
            <w:r>
              <w:rPr>
                <w:rFonts w:ascii="Times New Roman" w:hAnsi="Times New Roman"/>
                <w:spacing w:val="4"/>
                <w:szCs w:val="21"/>
              </w:rPr>
              <w:t>0.06(场界)</w:t>
            </w:r>
          </w:p>
        </w:tc>
        <w:tc>
          <w:tcPr>
            <w:tcW w:w="2323" w:type="dxa"/>
            <w:vAlign w:val="center"/>
          </w:tcPr>
          <w:p>
            <w:pPr>
              <w:adjustRightInd w:val="0"/>
              <w:snapToGrid w:val="0"/>
              <w:jc w:val="center"/>
              <w:rPr>
                <w:rFonts w:ascii="Times New Roman" w:hAnsi="Times New Roman"/>
                <w:szCs w:val="21"/>
              </w:rPr>
            </w:pPr>
            <w:r>
              <w:rPr>
                <w:rFonts w:ascii="Times New Roman" w:hAnsi="Times New Roman"/>
                <w:szCs w:val="21"/>
              </w:rPr>
              <w:t>mg/m</w:t>
            </w:r>
            <w:r>
              <w:rPr>
                <w:rFonts w:ascii="Times New Roman" w:hAnsi="Times New Roman"/>
                <w:szCs w:val="21"/>
                <w:vertAlign w:val="superscript"/>
              </w:rPr>
              <w:t>3</w:t>
            </w:r>
          </w:p>
        </w:tc>
      </w:tr>
    </w:tbl>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4.3.2废水</w:t>
      </w:r>
    </w:p>
    <w:p>
      <w:pPr>
        <w:adjustRightInd w:val="0"/>
        <w:snapToGrid w:val="0"/>
        <w:spacing w:line="540" w:lineRule="exact"/>
        <w:ind w:firstLine="480" w:firstLineChars="200"/>
        <w:rPr>
          <w:rFonts w:ascii="Times New Roman" w:hAnsi="Times New Roman"/>
          <w:color w:val="FF0000"/>
          <w:kern w:val="1"/>
          <w:sz w:val="24"/>
          <w:highlight w:val="yellow"/>
          <w:lang w:val="zh-CN"/>
        </w:rPr>
      </w:pPr>
      <w:r>
        <w:rPr>
          <w:rFonts w:ascii="Times New Roman" w:hAnsi="Times New Roman"/>
          <w:color w:val="FF0000"/>
          <w:kern w:val="1"/>
          <w:sz w:val="24"/>
          <w:lang w:val="zh-CN"/>
        </w:rPr>
        <w:t>项目废水为职工洗漱废水，职工洗漱废水用于厂区洒水降</w:t>
      </w:r>
      <w:r>
        <w:rPr>
          <w:rFonts w:ascii="Times New Roman" w:hAnsi="Times New Roman"/>
          <w:color w:val="FF0000"/>
          <w:kern w:val="1"/>
          <w:sz w:val="24"/>
          <w:highlight w:val="none"/>
          <w:lang w:val="zh-CN"/>
        </w:rPr>
        <w:t>尘，厂区设置防渗旱厕，</w:t>
      </w:r>
      <w:r>
        <w:rPr>
          <w:rFonts w:hint="eastAsia" w:ascii="Times New Roman" w:hAnsi="Times New Roman"/>
          <w:color w:val="FF0000"/>
          <w:kern w:val="1"/>
          <w:sz w:val="24"/>
          <w:highlight w:val="none"/>
          <w:lang w:val="zh-CN"/>
        </w:rPr>
        <w:t>由周边农户定期清还田。厂区承接的雨水（含运动场、牛棚）由</w:t>
      </w:r>
      <w:r>
        <w:rPr>
          <w:rFonts w:hint="eastAsia" w:ascii="Times New Roman" w:hAnsi="Times New Roman"/>
          <w:color w:val="FF0000"/>
          <w:kern w:val="1"/>
          <w:sz w:val="24"/>
          <w:lang w:val="en-US" w:eastAsia="zh-CN"/>
        </w:rPr>
        <w:t>导流沟进入1座初期雨水收集池(TW002)，全部用于厂区绿化。</w:t>
      </w:r>
    </w:p>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.4.3.3噪声</w:t>
      </w:r>
    </w:p>
    <w:p>
      <w:pPr>
        <w:adjustRightInd w:val="0"/>
        <w:snapToGrid w:val="0"/>
        <w:spacing w:line="540" w:lineRule="exact"/>
        <w:ind w:firstLine="480" w:firstLineChars="200"/>
        <w:rPr>
          <w:rFonts w:ascii="Times New Roman" w:hAnsi="Times New Roman"/>
          <w:kern w:val="1"/>
          <w:sz w:val="24"/>
          <w:lang w:val="zh-CN"/>
        </w:rPr>
      </w:pPr>
      <w:r>
        <w:rPr>
          <w:rFonts w:ascii="Times New Roman" w:hAnsi="Times New Roman"/>
          <w:kern w:val="1"/>
          <w:sz w:val="24"/>
          <w:lang w:val="zh-CN"/>
        </w:rPr>
        <w:t>本项目施工期施工场界噪声排放标准执行《建筑施工场界环境噪声排放标准》（GB12523-2011）相关标准限值，具体见表</w:t>
      </w:r>
      <w:r>
        <w:rPr>
          <w:rFonts w:hint="eastAsia" w:ascii="Times New Roman" w:hAnsi="Times New Roman"/>
          <w:kern w:val="1"/>
          <w:sz w:val="24"/>
        </w:rPr>
        <w:t>1</w:t>
      </w:r>
      <w:r>
        <w:rPr>
          <w:rFonts w:ascii="Times New Roman" w:hAnsi="Times New Roman"/>
          <w:kern w:val="1"/>
          <w:sz w:val="24"/>
          <w:lang w:val="zh-CN"/>
        </w:rPr>
        <w:t>.4-</w:t>
      </w:r>
      <w:r>
        <w:rPr>
          <w:rFonts w:hint="eastAsia" w:ascii="Times New Roman" w:hAnsi="Times New Roman"/>
          <w:kern w:val="1"/>
          <w:sz w:val="24"/>
        </w:rPr>
        <w:t>9</w:t>
      </w:r>
      <w:r>
        <w:rPr>
          <w:rFonts w:ascii="Times New Roman" w:hAnsi="Times New Roman"/>
          <w:kern w:val="1"/>
          <w:sz w:val="24"/>
          <w:lang w:val="zh-CN"/>
        </w:rPr>
        <w:t>。</w:t>
      </w:r>
    </w:p>
    <w:p>
      <w:pPr>
        <w:pStyle w:val="47"/>
        <w:snapToGrid/>
        <w:spacing w:before="120" w:beforeLines="50" w:line="240" w:lineRule="auto"/>
        <w:ind w:firstLine="0"/>
        <w:jc w:val="center"/>
        <w:rPr>
          <w:rFonts w:ascii="Times New Roman" w:hAnsi="Times New Roman"/>
          <w:b/>
          <w:kern w:val="2"/>
          <w:sz w:val="24"/>
          <w:szCs w:val="24"/>
        </w:rPr>
      </w:pPr>
      <w:r>
        <w:rPr>
          <w:rFonts w:ascii="Times New Roman" w:hAnsi="Times New Roman"/>
          <w:b/>
          <w:kern w:val="2"/>
          <w:sz w:val="24"/>
          <w:szCs w:val="24"/>
        </w:rPr>
        <w:t>表</w:t>
      </w:r>
      <w:r>
        <w:rPr>
          <w:rFonts w:hint="eastAsia" w:ascii="Times New Roman" w:hAnsi="Times New Roman"/>
          <w:b/>
          <w:kern w:val="2"/>
          <w:sz w:val="24"/>
          <w:szCs w:val="24"/>
        </w:rPr>
        <w:t>1</w:t>
      </w:r>
      <w:r>
        <w:rPr>
          <w:rFonts w:ascii="Times New Roman" w:hAnsi="Times New Roman"/>
          <w:b/>
          <w:kern w:val="2"/>
          <w:sz w:val="24"/>
          <w:szCs w:val="24"/>
        </w:rPr>
        <w:t>.4-</w:t>
      </w:r>
      <w:r>
        <w:rPr>
          <w:rFonts w:hint="eastAsia" w:ascii="Times New Roman" w:hAnsi="Times New Roman"/>
          <w:b/>
          <w:kern w:val="2"/>
          <w:sz w:val="24"/>
          <w:szCs w:val="24"/>
        </w:rPr>
        <w:t>9</w:t>
      </w:r>
      <w:r>
        <w:rPr>
          <w:rFonts w:ascii="Times New Roman" w:hAnsi="Times New Roman"/>
          <w:b/>
          <w:kern w:val="2"/>
          <w:sz w:val="24"/>
          <w:szCs w:val="24"/>
        </w:rPr>
        <w:t xml:space="preserve"> 《建筑施工场界环境噪声排放标准》（GB12523-2011）  单位：dB(A)</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79"/>
        <w:gridCol w:w="42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40" w:type="dxa"/>
            <w:gridSpan w:val="2"/>
            <w:vAlign w:val="center"/>
          </w:tcPr>
          <w:p>
            <w:pPr>
              <w:pStyle w:val="48"/>
              <w:snapToGrid w:val="0"/>
              <w:spacing w:before="0" w:line="240" w:lineRule="auto"/>
              <w:textAlignment w:val="auto"/>
              <w:rPr>
                <w:rFonts w:ascii="Times New Roman" w:hAnsi="Times New Roman"/>
                <w:bCs/>
                <w:kern w:val="2"/>
                <w:sz w:val="21"/>
                <w:szCs w:val="21"/>
              </w:rPr>
            </w:pPr>
            <w:r>
              <w:rPr>
                <w:rFonts w:ascii="Times New Roman" w:hAnsi="Times New Roman"/>
                <w:b/>
                <w:kern w:val="2"/>
                <w:sz w:val="21"/>
                <w:szCs w:val="21"/>
              </w:rPr>
              <w:t>噪声限值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3" w:type="dxa"/>
            <w:vAlign w:val="center"/>
          </w:tcPr>
          <w:p>
            <w:pPr>
              <w:pStyle w:val="48"/>
              <w:snapToGrid w:val="0"/>
              <w:spacing w:before="0" w:line="240" w:lineRule="auto"/>
              <w:textAlignment w:val="auto"/>
              <w:rPr>
                <w:rFonts w:ascii="Times New Roman" w:hAnsi="Times New Roman"/>
                <w:bCs/>
                <w:kern w:val="2"/>
                <w:sz w:val="21"/>
                <w:szCs w:val="21"/>
              </w:rPr>
            </w:pPr>
            <w:r>
              <w:rPr>
                <w:rFonts w:ascii="Times New Roman" w:hAnsi="Times New Roman"/>
                <w:bCs/>
                <w:kern w:val="2"/>
                <w:sz w:val="21"/>
                <w:szCs w:val="21"/>
              </w:rPr>
              <w:t>昼间</w:t>
            </w:r>
          </w:p>
        </w:tc>
        <w:tc>
          <w:tcPr>
            <w:tcW w:w="4277" w:type="dxa"/>
            <w:vAlign w:val="center"/>
          </w:tcPr>
          <w:p>
            <w:pPr>
              <w:pStyle w:val="48"/>
              <w:snapToGrid w:val="0"/>
              <w:spacing w:before="0" w:line="240" w:lineRule="auto"/>
              <w:textAlignment w:val="auto"/>
              <w:rPr>
                <w:rFonts w:ascii="Times New Roman" w:hAnsi="Times New Roman"/>
                <w:bCs/>
                <w:kern w:val="2"/>
                <w:sz w:val="21"/>
                <w:szCs w:val="21"/>
              </w:rPr>
            </w:pPr>
            <w:r>
              <w:rPr>
                <w:rFonts w:ascii="Times New Roman" w:hAnsi="Times New Roman"/>
                <w:bCs/>
                <w:kern w:val="2"/>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3" w:type="dxa"/>
            <w:vAlign w:val="center"/>
          </w:tcPr>
          <w:p>
            <w:pPr>
              <w:pStyle w:val="48"/>
              <w:snapToGrid w:val="0"/>
              <w:spacing w:before="0" w:line="240" w:lineRule="auto"/>
              <w:textAlignment w:val="auto"/>
              <w:rPr>
                <w:rFonts w:ascii="Times New Roman" w:hAnsi="Times New Roman"/>
                <w:bCs/>
                <w:kern w:val="2"/>
                <w:sz w:val="21"/>
                <w:szCs w:val="21"/>
              </w:rPr>
            </w:pPr>
            <w:r>
              <w:rPr>
                <w:rFonts w:hint="eastAsia" w:ascii="Times New Roman" w:hAnsi="Times New Roman"/>
                <w:bCs/>
                <w:kern w:val="2"/>
                <w:sz w:val="21"/>
                <w:szCs w:val="21"/>
              </w:rPr>
              <w:t>70</w:t>
            </w:r>
          </w:p>
        </w:tc>
        <w:tc>
          <w:tcPr>
            <w:tcW w:w="4277" w:type="dxa"/>
            <w:vAlign w:val="center"/>
          </w:tcPr>
          <w:p>
            <w:pPr>
              <w:pStyle w:val="48"/>
              <w:snapToGrid w:val="0"/>
              <w:spacing w:before="0" w:line="240" w:lineRule="auto"/>
              <w:textAlignment w:val="auto"/>
              <w:rPr>
                <w:rFonts w:ascii="Times New Roman" w:hAnsi="Times New Roman"/>
                <w:bCs/>
                <w:kern w:val="2"/>
                <w:sz w:val="21"/>
                <w:szCs w:val="21"/>
              </w:rPr>
            </w:pPr>
            <w:r>
              <w:rPr>
                <w:rFonts w:hint="eastAsia" w:ascii="Times New Roman" w:hAnsi="Times New Roman"/>
                <w:bCs/>
                <w:kern w:val="2"/>
                <w:sz w:val="21"/>
                <w:szCs w:val="21"/>
              </w:rPr>
              <w:t>55</w:t>
            </w:r>
          </w:p>
        </w:tc>
      </w:tr>
    </w:tbl>
    <w:p>
      <w:pPr>
        <w:adjustRightInd w:val="0"/>
        <w:snapToGrid w:val="0"/>
        <w:spacing w:line="540" w:lineRule="exact"/>
        <w:ind w:firstLine="480" w:firstLineChars="200"/>
        <w:rPr>
          <w:rFonts w:ascii="Times New Roman" w:hAnsi="Times New Roman"/>
          <w:kern w:val="1"/>
          <w:sz w:val="24"/>
          <w:lang w:val="zh-CN"/>
        </w:rPr>
      </w:pPr>
      <w:r>
        <w:rPr>
          <w:rFonts w:ascii="Times New Roman" w:hAnsi="Times New Roman"/>
          <w:kern w:val="1"/>
          <w:sz w:val="24"/>
          <w:lang w:val="zh-CN"/>
        </w:rPr>
        <w:t>运营期场界噪声执行《工业企业厂界环境噪声排放标准》（GB12348-2008）</w:t>
      </w:r>
      <w:r>
        <w:rPr>
          <w:rFonts w:hint="eastAsia" w:ascii="Times New Roman" w:hAnsi="Times New Roman"/>
          <w:kern w:val="1"/>
          <w:sz w:val="24"/>
        </w:rPr>
        <w:t>2</w:t>
      </w:r>
      <w:r>
        <w:rPr>
          <w:rFonts w:ascii="Times New Roman" w:hAnsi="Times New Roman"/>
          <w:kern w:val="1"/>
          <w:sz w:val="24"/>
          <w:lang w:val="zh-CN"/>
        </w:rPr>
        <w:t>类标准，具体见表</w:t>
      </w:r>
      <w:r>
        <w:rPr>
          <w:rFonts w:hint="eastAsia" w:ascii="Times New Roman" w:hAnsi="Times New Roman"/>
          <w:kern w:val="1"/>
          <w:sz w:val="24"/>
        </w:rPr>
        <w:t>1</w:t>
      </w:r>
      <w:r>
        <w:rPr>
          <w:rFonts w:ascii="Times New Roman" w:hAnsi="Times New Roman"/>
          <w:kern w:val="1"/>
          <w:sz w:val="24"/>
          <w:lang w:val="zh-CN"/>
        </w:rPr>
        <w:t>.4-1</w:t>
      </w:r>
      <w:r>
        <w:rPr>
          <w:rFonts w:hint="eastAsia" w:ascii="Times New Roman" w:hAnsi="Times New Roman"/>
          <w:kern w:val="1"/>
          <w:sz w:val="24"/>
        </w:rPr>
        <w:t>0</w:t>
      </w:r>
      <w:r>
        <w:rPr>
          <w:rFonts w:ascii="Times New Roman" w:hAnsi="Times New Roman"/>
          <w:kern w:val="1"/>
          <w:sz w:val="24"/>
          <w:lang w:val="zh-CN"/>
        </w:rPr>
        <w:t>。</w:t>
      </w:r>
    </w:p>
    <w:p>
      <w:pPr>
        <w:pStyle w:val="47"/>
        <w:snapToGrid/>
        <w:spacing w:before="120" w:beforeLines="50" w:line="240" w:lineRule="auto"/>
        <w:ind w:firstLine="0"/>
        <w:jc w:val="center"/>
        <w:rPr>
          <w:rFonts w:ascii="Times New Roman" w:hAnsi="Times New Roman"/>
          <w:b/>
          <w:kern w:val="2"/>
          <w:sz w:val="24"/>
          <w:szCs w:val="24"/>
        </w:rPr>
      </w:pPr>
      <w:r>
        <w:rPr>
          <w:rFonts w:ascii="Times New Roman" w:hAnsi="Times New Roman"/>
          <w:b/>
          <w:kern w:val="2"/>
          <w:sz w:val="24"/>
          <w:szCs w:val="24"/>
        </w:rPr>
        <w:t>表</w:t>
      </w:r>
      <w:r>
        <w:rPr>
          <w:rFonts w:hint="eastAsia" w:ascii="Times New Roman" w:hAnsi="Times New Roman"/>
          <w:b/>
          <w:kern w:val="2"/>
          <w:sz w:val="24"/>
          <w:szCs w:val="24"/>
        </w:rPr>
        <w:t>1</w:t>
      </w:r>
      <w:r>
        <w:rPr>
          <w:rFonts w:ascii="Times New Roman" w:hAnsi="Times New Roman"/>
          <w:b/>
          <w:kern w:val="2"/>
          <w:sz w:val="24"/>
          <w:szCs w:val="24"/>
        </w:rPr>
        <w:t>.4-1</w:t>
      </w:r>
      <w:r>
        <w:rPr>
          <w:rFonts w:hint="eastAsia" w:ascii="Times New Roman" w:hAnsi="Times New Roman"/>
          <w:b/>
          <w:kern w:val="2"/>
          <w:sz w:val="24"/>
          <w:szCs w:val="24"/>
        </w:rPr>
        <w:t>0</w:t>
      </w:r>
      <w:r>
        <w:rPr>
          <w:rFonts w:ascii="Times New Roman" w:hAnsi="Times New Roman"/>
          <w:b/>
          <w:kern w:val="2"/>
          <w:sz w:val="24"/>
          <w:szCs w:val="24"/>
        </w:rPr>
        <w:t xml:space="preserve"> 工业企业厂界环境噪声排放标准   单位：dB(A)</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80"/>
        <w:gridCol w:w="3353"/>
        <w:gridCol w:w="40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88"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类别</w:t>
            </w:r>
          </w:p>
        </w:tc>
        <w:tc>
          <w:tcPr>
            <w:tcW w:w="7431" w:type="dxa"/>
            <w:gridSpan w:val="2"/>
            <w:vAlign w:val="center"/>
          </w:tcPr>
          <w:p>
            <w:pPr>
              <w:adjustRightInd w:val="0"/>
              <w:snapToGrid w:val="0"/>
              <w:jc w:val="center"/>
              <w:rPr>
                <w:rFonts w:ascii="Times New Roman" w:hAnsi="Times New Roman"/>
                <w:b/>
                <w:bCs/>
                <w:szCs w:val="21"/>
              </w:rPr>
            </w:pPr>
            <w:r>
              <w:rPr>
                <w:rFonts w:ascii="Times New Roman" w:hAnsi="Times New Roman"/>
                <w:b/>
                <w:bCs/>
                <w:szCs w:val="21"/>
              </w:rPr>
              <w:t>噪声限值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88" w:type="dxa"/>
            <w:vMerge w:val="continue"/>
            <w:vAlign w:val="center"/>
          </w:tcPr>
          <w:p>
            <w:pPr>
              <w:adjustRightInd w:val="0"/>
              <w:snapToGrid w:val="0"/>
              <w:jc w:val="center"/>
              <w:rPr>
                <w:rFonts w:ascii="Times New Roman" w:hAnsi="Times New Roman"/>
                <w:b/>
                <w:bCs/>
                <w:szCs w:val="21"/>
              </w:rPr>
            </w:pPr>
          </w:p>
        </w:tc>
        <w:tc>
          <w:tcPr>
            <w:tcW w:w="3371" w:type="dxa"/>
            <w:vAlign w:val="center"/>
          </w:tcPr>
          <w:p>
            <w:pPr>
              <w:adjustRightInd w:val="0"/>
              <w:snapToGrid w:val="0"/>
              <w:jc w:val="center"/>
              <w:rPr>
                <w:rFonts w:ascii="Times New Roman" w:hAnsi="Times New Roman"/>
                <w:b/>
                <w:bCs/>
                <w:szCs w:val="21"/>
              </w:rPr>
            </w:pPr>
            <w:r>
              <w:rPr>
                <w:rFonts w:ascii="Times New Roman" w:hAnsi="Times New Roman"/>
                <w:b/>
                <w:bCs/>
                <w:szCs w:val="21"/>
              </w:rPr>
              <w:t>昼间</w:t>
            </w:r>
          </w:p>
        </w:tc>
        <w:tc>
          <w:tcPr>
            <w:tcW w:w="4060" w:type="dxa"/>
            <w:vAlign w:val="center"/>
          </w:tcPr>
          <w:p>
            <w:pPr>
              <w:adjustRightInd w:val="0"/>
              <w:snapToGrid w:val="0"/>
              <w:jc w:val="center"/>
              <w:rPr>
                <w:rFonts w:ascii="Times New Roman" w:hAnsi="Times New Roman"/>
                <w:b/>
                <w:bCs/>
                <w:szCs w:val="21"/>
              </w:rPr>
            </w:pPr>
            <w:r>
              <w:rPr>
                <w:rFonts w:ascii="Times New Roman" w:hAnsi="Times New Roman"/>
                <w:b/>
                <w:bCs/>
                <w:szCs w:val="21"/>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88" w:type="dxa"/>
            <w:vAlign w:val="center"/>
          </w:tcPr>
          <w:p>
            <w:pPr>
              <w:adjustRightInd w:val="0"/>
              <w:snapToGrid w:val="0"/>
              <w:jc w:val="center"/>
              <w:rPr>
                <w:rFonts w:ascii="Times New Roman" w:hAnsi="Times New Roman"/>
                <w:szCs w:val="21"/>
              </w:rPr>
            </w:pPr>
            <w:r>
              <w:rPr>
                <w:rFonts w:hint="eastAsia" w:ascii="Times New Roman" w:hAnsi="Times New Roman"/>
                <w:szCs w:val="21"/>
              </w:rPr>
              <w:t>2</w:t>
            </w:r>
          </w:p>
        </w:tc>
        <w:tc>
          <w:tcPr>
            <w:tcW w:w="3371" w:type="dxa"/>
            <w:vAlign w:val="center"/>
          </w:tcPr>
          <w:p>
            <w:pPr>
              <w:adjustRightInd w:val="0"/>
              <w:snapToGrid w:val="0"/>
              <w:jc w:val="center"/>
              <w:rPr>
                <w:rFonts w:ascii="Times New Roman" w:hAnsi="Times New Roman"/>
                <w:szCs w:val="21"/>
              </w:rPr>
            </w:pPr>
            <w:r>
              <w:rPr>
                <w:rFonts w:hint="eastAsia" w:ascii="Times New Roman" w:hAnsi="Times New Roman"/>
                <w:szCs w:val="21"/>
              </w:rPr>
              <w:t>60</w:t>
            </w:r>
          </w:p>
        </w:tc>
        <w:tc>
          <w:tcPr>
            <w:tcW w:w="4060" w:type="dxa"/>
            <w:vAlign w:val="center"/>
          </w:tcPr>
          <w:p>
            <w:pPr>
              <w:adjustRightInd w:val="0"/>
              <w:snapToGrid w:val="0"/>
              <w:jc w:val="center"/>
              <w:rPr>
                <w:rFonts w:ascii="Times New Roman" w:hAnsi="Times New Roman"/>
                <w:szCs w:val="21"/>
              </w:rPr>
            </w:pPr>
            <w:r>
              <w:rPr>
                <w:rFonts w:hint="eastAsia" w:ascii="Times New Roman" w:hAnsi="Times New Roman"/>
                <w:szCs w:val="21"/>
              </w:rPr>
              <w:t>50</w:t>
            </w:r>
          </w:p>
        </w:tc>
      </w:tr>
    </w:tbl>
    <w:p>
      <w:pPr>
        <w:pStyle w:val="6"/>
        <w:snapToGrid w:val="0"/>
        <w:spacing w:before="120" w:after="120" w:line="540" w:lineRule="exact"/>
        <w:contextualSpacing/>
        <w:rPr>
          <w:rFonts w:hint="eastAsia" w:ascii="Times New Roman" w:hAnsi="Times New Roman" w:eastAsia="宋体"/>
          <w:bCs w:val="0"/>
          <w:sz w:val="24"/>
          <w:lang w:eastAsia="zh-CN"/>
        </w:rPr>
      </w:pPr>
      <w:r>
        <w:rPr>
          <w:rFonts w:hint="eastAsia" w:ascii="Times New Roman" w:hAnsi="Times New Roman" w:eastAsia="宋体"/>
          <w:bCs w:val="0"/>
          <w:sz w:val="24"/>
        </w:rPr>
        <w:t>1</w:t>
      </w:r>
      <w:r>
        <w:rPr>
          <w:rFonts w:ascii="Times New Roman" w:hAnsi="Times New Roman" w:eastAsia="宋体"/>
          <w:bCs w:val="0"/>
          <w:sz w:val="24"/>
        </w:rPr>
        <w:t>.4.3.4</w:t>
      </w:r>
      <w:r>
        <w:rPr>
          <w:rFonts w:hint="eastAsia" w:ascii="Times New Roman" w:hAnsi="Times New Roman" w:eastAsia="宋体"/>
          <w:bCs w:val="0"/>
          <w:sz w:val="24"/>
          <w:lang w:eastAsia="zh-CN"/>
        </w:rPr>
        <w:t>固体废物</w:t>
      </w:r>
    </w:p>
    <w:p>
      <w:pPr>
        <w:adjustRightInd w:val="0"/>
        <w:snapToGrid w:val="0"/>
        <w:spacing w:line="540" w:lineRule="exact"/>
        <w:ind w:firstLine="480" w:firstLineChars="200"/>
        <w:rPr>
          <w:rFonts w:ascii="Times New Roman" w:hAnsi="Times New Roman"/>
          <w:kern w:val="1"/>
          <w:sz w:val="24"/>
        </w:rPr>
      </w:pPr>
      <w:r>
        <w:rPr>
          <w:rFonts w:hint="eastAsia" w:ascii="Times New Roman" w:hAnsi="Times New Roman"/>
          <w:kern w:val="1"/>
          <w:sz w:val="24"/>
        </w:rPr>
        <w:t>（1）</w:t>
      </w:r>
      <w:r>
        <w:rPr>
          <w:rFonts w:ascii="Times New Roman" w:hAnsi="Times New Roman"/>
          <w:kern w:val="1"/>
          <w:sz w:val="24"/>
        </w:rPr>
        <w:t>牛粪等固体废物贮存、处置执行《畜禽养殖业污染物排放标准》（GB18596-2001）标准，《畜禽粪便贮存设施设计要求》（GB/T272622-2011），《畜禽粪便无害化处理技术规范》(NY/T1168-2006)，《畜禽粪便还田技术规范》（GB/T25246-2010）《畜禽养殖业污染物防治技术规范》（HJ/T81-2001），《畜禽养殖业污染治理工程技术规范》（HJ497-2009）等</w:t>
      </w:r>
      <w:r>
        <w:rPr>
          <w:rFonts w:hint="eastAsia" w:ascii="Times New Roman" w:hAnsi="Times New Roman"/>
          <w:kern w:val="1"/>
          <w:sz w:val="24"/>
        </w:rPr>
        <w:t>；</w:t>
      </w:r>
    </w:p>
    <w:p>
      <w:pPr>
        <w:adjustRightInd w:val="0"/>
        <w:snapToGrid w:val="0"/>
        <w:spacing w:line="540" w:lineRule="exact"/>
        <w:ind w:firstLine="480" w:firstLineChars="200"/>
        <w:rPr>
          <w:rFonts w:ascii="宋体" w:hAnsi="宋体" w:cs="宋体"/>
          <w:b/>
          <w:kern w:val="1"/>
          <w:szCs w:val="21"/>
        </w:rPr>
      </w:pPr>
      <w:r>
        <w:rPr>
          <w:rFonts w:hint="eastAsia" w:ascii="Times New Roman" w:hAnsi="Times New Roman"/>
          <w:kern w:val="1"/>
          <w:sz w:val="24"/>
        </w:rPr>
        <w:t>（2）</w:t>
      </w:r>
      <w:r>
        <w:rPr>
          <w:rFonts w:ascii="Times New Roman" w:hAnsi="Times New Roman"/>
          <w:kern w:val="1"/>
          <w:sz w:val="24"/>
        </w:rPr>
        <w:t>危险废物的贮存、处置《危险废物贮存污染控制标准》(GB18597-2001)及2013年修改单、《危险废物收集、贮存、运输技术规范》（HJ2025-2012）及《危险废物污染防治技术政策》(环发〔2001〕199号)中相关要求进行妥善收集、贮存和运输。此外还需按照《病害动物和病害动物产品生物安全处理规程》(GB16548-2006)及《宁夏农村畜禽养殖业污染防治技术规范》（DB64/T702-2011）对项目畜禽病害肉尸及其产品进行安全处置。具体见表</w:t>
      </w:r>
      <w:r>
        <w:rPr>
          <w:rFonts w:hint="eastAsia" w:ascii="Times New Roman" w:hAnsi="Times New Roman"/>
          <w:kern w:val="1"/>
          <w:sz w:val="24"/>
        </w:rPr>
        <w:t>1</w:t>
      </w:r>
      <w:r>
        <w:rPr>
          <w:rFonts w:ascii="Times New Roman" w:hAnsi="Times New Roman"/>
          <w:kern w:val="1"/>
          <w:sz w:val="24"/>
        </w:rPr>
        <w:t>.4-1</w:t>
      </w:r>
      <w:r>
        <w:rPr>
          <w:rFonts w:hint="eastAsia" w:ascii="Times New Roman" w:hAnsi="Times New Roman"/>
          <w:kern w:val="1"/>
          <w:sz w:val="24"/>
        </w:rPr>
        <w:t>1</w:t>
      </w:r>
      <w:r>
        <w:rPr>
          <w:rFonts w:ascii="Times New Roman" w:hAnsi="Times New Roman"/>
          <w:kern w:val="1"/>
          <w:sz w:val="24"/>
        </w:rPr>
        <w:t>。</w:t>
      </w:r>
    </w:p>
    <w:p>
      <w:pPr>
        <w:pStyle w:val="47"/>
        <w:snapToGrid/>
        <w:spacing w:line="240" w:lineRule="auto"/>
        <w:ind w:firstLine="0"/>
        <w:jc w:val="center"/>
        <w:rPr>
          <w:rFonts w:ascii="Times New Roman" w:hAnsi="Times New Roman"/>
          <w:b/>
          <w:kern w:val="2"/>
          <w:sz w:val="24"/>
          <w:szCs w:val="24"/>
        </w:rPr>
      </w:pPr>
      <w:r>
        <w:rPr>
          <w:rFonts w:ascii="Times New Roman" w:hAnsi="Times New Roman"/>
          <w:b/>
          <w:kern w:val="2"/>
          <w:sz w:val="24"/>
          <w:szCs w:val="24"/>
        </w:rPr>
        <w:t>表</w:t>
      </w:r>
      <w:r>
        <w:rPr>
          <w:rFonts w:hint="eastAsia" w:ascii="Times New Roman" w:hAnsi="Times New Roman"/>
          <w:b/>
          <w:kern w:val="2"/>
          <w:sz w:val="24"/>
          <w:szCs w:val="24"/>
        </w:rPr>
        <w:t>1</w:t>
      </w:r>
      <w:r>
        <w:rPr>
          <w:rFonts w:ascii="Times New Roman" w:hAnsi="Times New Roman"/>
          <w:b/>
          <w:kern w:val="2"/>
          <w:sz w:val="24"/>
          <w:szCs w:val="24"/>
        </w:rPr>
        <w:t>.4-1</w:t>
      </w:r>
      <w:r>
        <w:rPr>
          <w:rFonts w:hint="eastAsia" w:ascii="Times New Roman" w:hAnsi="Times New Roman"/>
          <w:b/>
          <w:kern w:val="2"/>
          <w:sz w:val="24"/>
          <w:szCs w:val="24"/>
        </w:rPr>
        <w:t>1</w:t>
      </w:r>
      <w:r>
        <w:rPr>
          <w:rFonts w:ascii="Times New Roman" w:hAnsi="Times New Roman"/>
          <w:b/>
          <w:kern w:val="2"/>
          <w:sz w:val="24"/>
          <w:szCs w:val="24"/>
        </w:rPr>
        <w:t xml:space="preserve"> 《畜禽养殖业污染物排放标准》（GB18596-2001）</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79"/>
        <w:gridCol w:w="42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79" w:type="dxa"/>
            <w:vAlign w:val="center"/>
          </w:tcPr>
          <w:p>
            <w:pPr>
              <w:pStyle w:val="48"/>
              <w:snapToGrid w:val="0"/>
              <w:spacing w:before="0" w:line="240" w:lineRule="auto"/>
              <w:textAlignment w:val="auto"/>
              <w:rPr>
                <w:rFonts w:ascii="Times New Roman" w:hAnsi="Times New Roman"/>
                <w:b/>
                <w:kern w:val="2"/>
                <w:sz w:val="21"/>
                <w:szCs w:val="21"/>
              </w:rPr>
            </w:pPr>
            <w:r>
              <w:rPr>
                <w:rFonts w:ascii="Times New Roman" w:hAnsi="Times New Roman"/>
                <w:b/>
                <w:kern w:val="2"/>
                <w:sz w:val="21"/>
                <w:szCs w:val="21"/>
              </w:rPr>
              <w:t>控制项目</w:t>
            </w:r>
          </w:p>
        </w:tc>
        <w:tc>
          <w:tcPr>
            <w:tcW w:w="4292" w:type="dxa"/>
            <w:vAlign w:val="center"/>
          </w:tcPr>
          <w:p>
            <w:pPr>
              <w:pStyle w:val="48"/>
              <w:snapToGrid w:val="0"/>
              <w:spacing w:before="0" w:line="240" w:lineRule="auto"/>
              <w:textAlignment w:val="auto"/>
              <w:rPr>
                <w:rFonts w:ascii="Times New Roman" w:hAnsi="Times New Roman"/>
                <w:b/>
                <w:kern w:val="2"/>
                <w:sz w:val="21"/>
                <w:szCs w:val="21"/>
              </w:rPr>
            </w:pPr>
            <w:r>
              <w:rPr>
                <w:rFonts w:ascii="Times New Roman" w:hAnsi="Times New Roman"/>
                <w:b/>
                <w:kern w:val="2"/>
                <w:sz w:val="21"/>
                <w:szCs w:val="21"/>
              </w:rPr>
              <w:t>指标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79" w:type="dxa"/>
            <w:vAlign w:val="center"/>
          </w:tcPr>
          <w:p>
            <w:pPr>
              <w:pStyle w:val="48"/>
              <w:snapToGrid w:val="0"/>
              <w:spacing w:before="0" w:line="240" w:lineRule="auto"/>
              <w:textAlignment w:val="auto"/>
              <w:rPr>
                <w:rFonts w:ascii="Times New Roman" w:hAnsi="Times New Roman"/>
                <w:bCs/>
                <w:kern w:val="2"/>
                <w:sz w:val="21"/>
                <w:szCs w:val="21"/>
              </w:rPr>
            </w:pPr>
            <w:r>
              <w:rPr>
                <w:rFonts w:ascii="Times New Roman" w:hAnsi="Times New Roman"/>
                <w:bCs/>
                <w:kern w:val="2"/>
                <w:sz w:val="21"/>
                <w:szCs w:val="21"/>
              </w:rPr>
              <w:t>蛔虫卵</w:t>
            </w:r>
          </w:p>
        </w:tc>
        <w:tc>
          <w:tcPr>
            <w:tcW w:w="4292" w:type="dxa"/>
            <w:vAlign w:val="center"/>
          </w:tcPr>
          <w:p>
            <w:pPr>
              <w:pStyle w:val="48"/>
              <w:snapToGrid w:val="0"/>
              <w:spacing w:before="0" w:line="240" w:lineRule="auto"/>
              <w:textAlignment w:val="auto"/>
              <w:rPr>
                <w:rFonts w:ascii="Times New Roman" w:hAnsi="Times New Roman"/>
                <w:bCs/>
                <w:kern w:val="2"/>
                <w:sz w:val="21"/>
                <w:szCs w:val="21"/>
              </w:rPr>
            </w:pPr>
            <w:r>
              <w:rPr>
                <w:rFonts w:ascii="Times New Roman" w:hAnsi="Times New Roman"/>
                <w:bCs/>
                <w:kern w:val="2"/>
                <w:sz w:val="21"/>
                <w:szCs w:val="21"/>
              </w:rPr>
              <w:t>死亡率≥95%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79" w:type="dxa"/>
            <w:vAlign w:val="center"/>
          </w:tcPr>
          <w:p>
            <w:pPr>
              <w:pStyle w:val="48"/>
              <w:snapToGrid w:val="0"/>
              <w:spacing w:before="0" w:line="240" w:lineRule="auto"/>
              <w:textAlignment w:val="auto"/>
              <w:rPr>
                <w:rFonts w:ascii="Times New Roman" w:hAnsi="Times New Roman"/>
                <w:bCs/>
                <w:kern w:val="2"/>
                <w:sz w:val="21"/>
                <w:szCs w:val="21"/>
              </w:rPr>
            </w:pPr>
            <w:r>
              <w:rPr>
                <w:rFonts w:ascii="Times New Roman" w:hAnsi="Times New Roman"/>
                <w:bCs/>
                <w:kern w:val="2"/>
                <w:sz w:val="21"/>
                <w:szCs w:val="21"/>
              </w:rPr>
              <w:t>粪大肠菌群</w:t>
            </w:r>
          </w:p>
        </w:tc>
        <w:tc>
          <w:tcPr>
            <w:tcW w:w="4292" w:type="dxa"/>
            <w:vAlign w:val="center"/>
          </w:tcPr>
          <w:p>
            <w:pPr>
              <w:pStyle w:val="48"/>
              <w:snapToGrid w:val="0"/>
              <w:spacing w:before="0" w:line="240" w:lineRule="auto"/>
              <w:textAlignment w:val="auto"/>
              <w:rPr>
                <w:rFonts w:ascii="Times New Roman" w:hAnsi="Times New Roman"/>
                <w:bCs/>
                <w:kern w:val="2"/>
                <w:sz w:val="21"/>
                <w:szCs w:val="21"/>
              </w:rPr>
            </w:pPr>
            <w:r>
              <w:rPr>
                <w:rFonts w:ascii="Times New Roman" w:hAnsi="Times New Roman"/>
                <w:bCs/>
                <w:kern w:val="2"/>
                <w:sz w:val="21"/>
                <w:szCs w:val="21"/>
              </w:rPr>
              <w:t>≤10</w:t>
            </w:r>
            <w:r>
              <w:rPr>
                <w:rFonts w:ascii="Times New Roman" w:hAnsi="Times New Roman"/>
                <w:bCs/>
                <w:kern w:val="2"/>
                <w:sz w:val="21"/>
                <w:szCs w:val="21"/>
                <w:vertAlign w:val="superscript"/>
              </w:rPr>
              <w:t>5</w:t>
            </w:r>
            <w:r>
              <w:rPr>
                <w:rFonts w:ascii="Times New Roman" w:hAnsi="Times New Roman"/>
                <w:bCs/>
                <w:kern w:val="2"/>
                <w:sz w:val="21"/>
                <w:szCs w:val="21"/>
              </w:rPr>
              <w:t>个/kg</w:t>
            </w:r>
          </w:p>
        </w:tc>
      </w:tr>
    </w:tbl>
    <w:p>
      <w:pPr>
        <w:adjustRightInd w:val="0"/>
        <w:snapToGrid w:val="0"/>
        <w:spacing w:before="120" w:beforeLines="50" w:line="540" w:lineRule="exact"/>
        <w:ind w:firstLine="480" w:firstLineChars="200"/>
        <w:rPr>
          <w:rFonts w:ascii="Times New Roman" w:hAnsi="Times New Roman"/>
          <w:kern w:val="1"/>
          <w:sz w:val="24"/>
        </w:rPr>
      </w:pPr>
      <w:r>
        <w:rPr>
          <w:rFonts w:hint="eastAsia" w:ascii="Times New Roman" w:hAnsi="Times New Roman"/>
          <w:kern w:val="1"/>
          <w:sz w:val="24"/>
          <w:lang w:eastAsia="zh-CN"/>
        </w:rPr>
        <w:t>（</w:t>
      </w:r>
      <w:r>
        <w:rPr>
          <w:rFonts w:hint="eastAsia" w:ascii="Times New Roman" w:hAnsi="Times New Roman"/>
          <w:kern w:val="1"/>
          <w:sz w:val="24"/>
          <w:lang w:val="en-US" w:eastAsia="zh-CN"/>
        </w:rPr>
        <w:t>3</w:t>
      </w:r>
      <w:r>
        <w:rPr>
          <w:rFonts w:hint="eastAsia" w:ascii="Times New Roman" w:hAnsi="Times New Roman"/>
          <w:kern w:val="1"/>
          <w:sz w:val="24"/>
          <w:lang w:eastAsia="zh-CN"/>
        </w:rPr>
        <w:t>）</w:t>
      </w:r>
      <w:r>
        <w:rPr>
          <w:rFonts w:ascii="Times New Roman" w:hAnsi="Times New Roman"/>
          <w:kern w:val="1"/>
          <w:sz w:val="24"/>
        </w:rPr>
        <w:t>生活垃圾的管理执行《中华人民共和国固体废物污染环境防治法》（2016年11月7日修订）相关规定。</w:t>
      </w:r>
    </w:p>
    <w:p>
      <w:pPr>
        <w:pStyle w:val="51"/>
        <w:snapToGrid w:val="0"/>
        <w:spacing w:before="120" w:beforeLines="50" w:after="120" w:afterLines="50" w:line="540" w:lineRule="exact"/>
        <w:contextualSpacing/>
        <w:rPr>
          <w:rFonts w:cs="Times New Roman"/>
          <w:bCs w:val="0"/>
          <w:snapToGrid w:val="0"/>
          <w:kern w:val="0"/>
          <w:sz w:val="30"/>
          <w:szCs w:val="30"/>
        </w:rPr>
      </w:pPr>
      <w:bookmarkStart w:id="221" w:name="_Toc6026_WPSOffice_Level1"/>
      <w:bookmarkStart w:id="222" w:name="_Toc22796"/>
      <w:bookmarkStart w:id="223" w:name="_Toc26315"/>
      <w:bookmarkStart w:id="224" w:name="_Toc23056"/>
      <w:bookmarkStart w:id="225" w:name="_Toc1634_WPSOffice_Level1"/>
      <w:bookmarkStart w:id="226" w:name="_Toc244"/>
      <w:bookmarkStart w:id="227" w:name="_Toc25528"/>
      <w:bookmarkStart w:id="228" w:name="_Toc9234"/>
      <w:bookmarkStart w:id="229" w:name="_Toc30754"/>
      <w:bookmarkStart w:id="230" w:name="_Toc6108"/>
      <w:bookmarkStart w:id="231" w:name="_Toc26661"/>
      <w:bookmarkStart w:id="232" w:name="_Toc21443"/>
      <w:r>
        <w:rPr>
          <w:rFonts w:hint="eastAsia" w:cs="Times New Roman"/>
          <w:bCs w:val="0"/>
          <w:snapToGrid w:val="0"/>
          <w:kern w:val="0"/>
          <w:sz w:val="30"/>
          <w:szCs w:val="30"/>
        </w:rPr>
        <w:t>1</w:t>
      </w:r>
      <w:r>
        <w:rPr>
          <w:rFonts w:cs="Times New Roman"/>
          <w:bCs w:val="0"/>
          <w:snapToGrid w:val="0"/>
          <w:kern w:val="0"/>
          <w:sz w:val="30"/>
          <w:szCs w:val="30"/>
        </w:rPr>
        <w:t>.5评价工作等级及评价范围</w:t>
      </w:r>
      <w:bookmarkEnd w:id="221"/>
      <w:bookmarkEnd w:id="222"/>
      <w:bookmarkEnd w:id="223"/>
      <w:bookmarkEnd w:id="224"/>
      <w:bookmarkEnd w:id="225"/>
      <w:bookmarkEnd w:id="226"/>
      <w:bookmarkEnd w:id="227"/>
      <w:bookmarkEnd w:id="228"/>
      <w:bookmarkEnd w:id="229"/>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233" w:name="_Toc5266"/>
      <w:bookmarkStart w:id="234" w:name="_Toc15960"/>
      <w:bookmarkStart w:id="235" w:name="_Toc14280"/>
      <w:bookmarkStart w:id="236" w:name="_Toc22449"/>
      <w:bookmarkStart w:id="237" w:name="_Toc25909"/>
      <w:bookmarkStart w:id="238" w:name="_Toc28403"/>
      <w:bookmarkStart w:id="239" w:name="_Toc15485"/>
      <w:bookmarkStart w:id="240" w:name="_Toc21167_WPSOffice_Level2"/>
      <w:bookmarkStart w:id="241" w:name="_Toc16220_WPSOffice_Level2"/>
      <w:bookmarkStart w:id="242" w:name="_Toc25979"/>
      <w:r>
        <w:rPr>
          <w:rFonts w:hint="eastAsia" w:cs="Times New Roman"/>
          <w:bCs w:val="0"/>
          <w:snapToGrid w:val="0"/>
          <w:kern w:val="0"/>
          <w:sz w:val="28"/>
          <w:szCs w:val="28"/>
        </w:rPr>
        <w:t>1</w:t>
      </w:r>
      <w:r>
        <w:rPr>
          <w:rFonts w:cs="Times New Roman"/>
          <w:bCs w:val="0"/>
          <w:snapToGrid w:val="0"/>
          <w:kern w:val="0"/>
          <w:sz w:val="28"/>
          <w:szCs w:val="28"/>
        </w:rPr>
        <w:t>.5.1环境空气</w:t>
      </w:r>
      <w:bookmarkEnd w:id="233"/>
      <w:bookmarkEnd w:id="234"/>
      <w:bookmarkEnd w:id="235"/>
      <w:bookmarkEnd w:id="236"/>
      <w:bookmarkEnd w:id="237"/>
      <w:bookmarkEnd w:id="238"/>
      <w:bookmarkEnd w:id="239"/>
      <w:bookmarkEnd w:id="240"/>
      <w:bookmarkEnd w:id="241"/>
      <w:bookmarkEnd w:id="242"/>
    </w:p>
    <w:p>
      <w:pPr>
        <w:pStyle w:val="6"/>
        <w:snapToGrid w:val="0"/>
        <w:spacing w:before="120" w:after="120" w:line="540" w:lineRule="exact"/>
        <w:contextualSpacing/>
        <w:rPr>
          <w:rFonts w:ascii="Times New Roman" w:hAnsi="Times New Roman" w:eastAsia="宋体"/>
          <w:bCs w:val="0"/>
          <w:sz w:val="24"/>
        </w:rPr>
      </w:pPr>
      <w:bookmarkStart w:id="243" w:name="_Toc24424_WPSOffice_Level3"/>
      <w:bookmarkStart w:id="244" w:name="_Toc184_WPSOffice_Level3"/>
      <w:r>
        <w:rPr>
          <w:rFonts w:hint="eastAsia" w:ascii="Times New Roman" w:hAnsi="Times New Roman" w:eastAsia="宋体"/>
          <w:bCs w:val="0"/>
          <w:sz w:val="24"/>
        </w:rPr>
        <w:t>1</w:t>
      </w:r>
      <w:r>
        <w:rPr>
          <w:rFonts w:ascii="Times New Roman" w:hAnsi="Times New Roman" w:eastAsia="宋体"/>
          <w:bCs w:val="0"/>
          <w:sz w:val="24"/>
        </w:rPr>
        <w:t>.5.1.1评级因子和评价标准</w:t>
      </w:r>
    </w:p>
    <w:p>
      <w:pPr>
        <w:adjustRightInd w:val="0"/>
        <w:snapToGrid w:val="0"/>
        <w:spacing w:line="540" w:lineRule="exact"/>
        <w:ind w:firstLine="480" w:firstLineChars="200"/>
        <w:rPr>
          <w:rFonts w:ascii="Times New Roman" w:hAnsi="Times New Roman"/>
          <w:kern w:val="1"/>
          <w:sz w:val="24"/>
          <w:lang w:val="zh-CN"/>
        </w:rPr>
      </w:pPr>
      <w:r>
        <w:rPr>
          <w:rFonts w:ascii="Times New Roman" w:hAnsi="Times New Roman"/>
          <w:kern w:val="1"/>
          <w:sz w:val="24"/>
        </w:rPr>
        <w:t>按《建设项目环境影响评价技术导则 总纲》（HJ2.1-2016）的要求及根据工程分析识别大气环境影响因素，本项目的预测因子为</w:t>
      </w:r>
      <w:r>
        <w:rPr>
          <w:rFonts w:hint="eastAsia" w:ascii="Times New Roman" w:hAnsi="Times New Roman"/>
          <w:kern w:val="1"/>
          <w:sz w:val="24"/>
        </w:rPr>
        <w:t>TSP</w:t>
      </w:r>
      <w:r>
        <w:rPr>
          <w:rFonts w:ascii="Times New Roman" w:hAnsi="Times New Roman"/>
          <w:kern w:val="1"/>
          <w:sz w:val="24"/>
        </w:rPr>
        <w:t>、NH</w:t>
      </w:r>
      <w:r>
        <w:rPr>
          <w:rFonts w:ascii="Times New Roman" w:hAnsi="Times New Roman"/>
          <w:kern w:val="1"/>
          <w:sz w:val="24"/>
          <w:vertAlign w:val="subscript"/>
        </w:rPr>
        <w:t>3</w:t>
      </w:r>
      <w:r>
        <w:rPr>
          <w:rFonts w:ascii="Times New Roman" w:hAnsi="Times New Roman"/>
          <w:kern w:val="1"/>
          <w:sz w:val="24"/>
        </w:rPr>
        <w:t>、H</w:t>
      </w:r>
      <w:r>
        <w:rPr>
          <w:rFonts w:ascii="Times New Roman" w:hAnsi="Times New Roman"/>
          <w:kern w:val="1"/>
          <w:sz w:val="24"/>
          <w:vertAlign w:val="subscript"/>
        </w:rPr>
        <w:t>2</w:t>
      </w:r>
      <w:r>
        <w:rPr>
          <w:rFonts w:ascii="Times New Roman" w:hAnsi="Times New Roman"/>
          <w:kern w:val="1"/>
          <w:sz w:val="24"/>
        </w:rPr>
        <w:t>S。评价因子和评价标准见表</w:t>
      </w:r>
      <w:r>
        <w:rPr>
          <w:rFonts w:hint="eastAsia" w:ascii="Times New Roman" w:hAnsi="Times New Roman"/>
          <w:kern w:val="1"/>
          <w:sz w:val="24"/>
        </w:rPr>
        <w:t>1</w:t>
      </w:r>
      <w:r>
        <w:rPr>
          <w:rFonts w:ascii="Times New Roman" w:hAnsi="Times New Roman"/>
          <w:kern w:val="1"/>
          <w:sz w:val="24"/>
        </w:rPr>
        <w:t>.5-</w:t>
      </w:r>
      <w:r>
        <w:rPr>
          <w:rFonts w:hint="eastAsia" w:ascii="Times New Roman" w:hAnsi="Times New Roman"/>
          <w:kern w:val="1"/>
          <w:sz w:val="24"/>
        </w:rPr>
        <w:t>1</w:t>
      </w:r>
      <w:r>
        <w:rPr>
          <w:rFonts w:ascii="Times New Roman" w:hAnsi="Times New Roman"/>
          <w:kern w:val="1"/>
          <w:sz w:val="24"/>
        </w:rPr>
        <w:t>。</w:t>
      </w:r>
    </w:p>
    <w:p>
      <w:pPr>
        <w:pStyle w:val="47"/>
        <w:snapToGrid/>
        <w:spacing w:line="240" w:lineRule="auto"/>
        <w:ind w:firstLine="0"/>
        <w:jc w:val="center"/>
        <w:rPr>
          <w:rFonts w:ascii="Times New Roman" w:hAnsi="Times New Roman"/>
          <w:b/>
          <w:kern w:val="2"/>
          <w:sz w:val="24"/>
          <w:szCs w:val="24"/>
        </w:rPr>
      </w:pPr>
      <w:bookmarkStart w:id="245" w:name="_Toc20411_WPSOffice_Level3"/>
      <w:bookmarkStart w:id="246" w:name="_Toc29321_WPSOffice_Level3"/>
      <w:r>
        <w:rPr>
          <w:rFonts w:ascii="Times New Roman" w:hAnsi="Times New Roman"/>
          <w:b/>
          <w:kern w:val="2"/>
          <w:sz w:val="24"/>
          <w:szCs w:val="24"/>
        </w:rPr>
        <w:t>表</w:t>
      </w:r>
      <w:r>
        <w:rPr>
          <w:rFonts w:hint="eastAsia" w:ascii="Times New Roman" w:hAnsi="Times New Roman"/>
          <w:b/>
          <w:kern w:val="2"/>
          <w:sz w:val="24"/>
          <w:szCs w:val="24"/>
        </w:rPr>
        <w:t>1</w:t>
      </w:r>
      <w:r>
        <w:rPr>
          <w:rFonts w:ascii="Times New Roman" w:hAnsi="Times New Roman"/>
          <w:b/>
          <w:kern w:val="2"/>
          <w:sz w:val="24"/>
          <w:szCs w:val="24"/>
        </w:rPr>
        <w:t>.5-1 评价因子和评价标准</w:t>
      </w:r>
    </w:p>
    <w:tbl>
      <w:tblPr>
        <w:tblStyle w:val="29"/>
        <w:tblW w:w="9071"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1177"/>
        <w:gridCol w:w="1134"/>
        <w:gridCol w:w="1701"/>
        <w:gridCol w:w="36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0" w:type="dxa"/>
            <w:vAlign w:val="center"/>
          </w:tcPr>
          <w:p>
            <w:pPr>
              <w:adjustRightInd w:val="0"/>
              <w:snapToGrid w:val="0"/>
              <w:jc w:val="center"/>
              <w:rPr>
                <w:rFonts w:ascii="Times New Roman" w:hAnsi="Times New Roman"/>
                <w:b/>
                <w:szCs w:val="21"/>
              </w:rPr>
            </w:pPr>
            <w:r>
              <w:rPr>
                <w:rFonts w:ascii="Times New Roman" w:hAnsi="Times New Roman"/>
                <w:b/>
                <w:szCs w:val="21"/>
              </w:rPr>
              <w:t>污染物名称</w:t>
            </w:r>
          </w:p>
        </w:tc>
        <w:tc>
          <w:tcPr>
            <w:tcW w:w="1177" w:type="dxa"/>
            <w:vAlign w:val="center"/>
          </w:tcPr>
          <w:p>
            <w:pPr>
              <w:adjustRightInd w:val="0"/>
              <w:snapToGrid w:val="0"/>
              <w:jc w:val="center"/>
              <w:rPr>
                <w:rFonts w:ascii="Times New Roman" w:hAnsi="Times New Roman"/>
                <w:b/>
                <w:szCs w:val="21"/>
              </w:rPr>
            </w:pPr>
            <w:r>
              <w:rPr>
                <w:rFonts w:ascii="Times New Roman" w:hAnsi="Times New Roman"/>
                <w:b/>
                <w:szCs w:val="21"/>
              </w:rPr>
              <w:t>功能区</w:t>
            </w:r>
          </w:p>
        </w:tc>
        <w:tc>
          <w:tcPr>
            <w:tcW w:w="1134" w:type="dxa"/>
            <w:vAlign w:val="center"/>
          </w:tcPr>
          <w:p>
            <w:pPr>
              <w:adjustRightInd w:val="0"/>
              <w:snapToGrid w:val="0"/>
              <w:jc w:val="center"/>
              <w:rPr>
                <w:rFonts w:ascii="Times New Roman" w:hAnsi="Times New Roman"/>
                <w:b/>
                <w:szCs w:val="21"/>
              </w:rPr>
            </w:pPr>
            <w:r>
              <w:rPr>
                <w:rFonts w:ascii="Times New Roman" w:hAnsi="Times New Roman"/>
                <w:b/>
                <w:szCs w:val="21"/>
              </w:rPr>
              <w:t>取值时间</w:t>
            </w:r>
          </w:p>
        </w:tc>
        <w:tc>
          <w:tcPr>
            <w:tcW w:w="1701" w:type="dxa"/>
            <w:vAlign w:val="center"/>
          </w:tcPr>
          <w:p>
            <w:pPr>
              <w:adjustRightInd w:val="0"/>
              <w:snapToGrid w:val="0"/>
              <w:jc w:val="center"/>
              <w:rPr>
                <w:rFonts w:ascii="Times New Roman" w:hAnsi="Times New Roman"/>
                <w:b/>
                <w:szCs w:val="21"/>
              </w:rPr>
            </w:pPr>
            <w:r>
              <w:rPr>
                <w:rFonts w:ascii="Times New Roman" w:hAnsi="Times New Roman"/>
                <w:b/>
                <w:szCs w:val="21"/>
              </w:rPr>
              <w:t>标准值(μg/m</w:t>
            </w:r>
            <w:r>
              <w:rPr>
                <w:rFonts w:ascii="Times New Roman" w:hAnsi="Times New Roman"/>
                <w:b/>
                <w:szCs w:val="21"/>
                <w:vertAlign w:val="superscript"/>
              </w:rPr>
              <w:t>3</w:t>
            </w:r>
            <w:r>
              <w:rPr>
                <w:rFonts w:ascii="Times New Roman" w:hAnsi="Times New Roman"/>
                <w:b/>
                <w:szCs w:val="21"/>
              </w:rPr>
              <w:t>)</w:t>
            </w:r>
          </w:p>
        </w:tc>
        <w:tc>
          <w:tcPr>
            <w:tcW w:w="3699" w:type="dxa"/>
            <w:vAlign w:val="center"/>
          </w:tcPr>
          <w:p>
            <w:pPr>
              <w:adjustRightInd w:val="0"/>
              <w:snapToGrid w:val="0"/>
              <w:jc w:val="center"/>
              <w:rPr>
                <w:rFonts w:ascii="Times New Roman" w:hAnsi="Times New Roman"/>
                <w:b/>
                <w:szCs w:val="21"/>
              </w:rPr>
            </w:pPr>
            <w:r>
              <w:rPr>
                <w:rFonts w:ascii="Times New Roman" w:hAnsi="Times New Roman"/>
                <w:b/>
                <w:szCs w:val="21"/>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0" w:type="dxa"/>
            <w:vAlign w:val="center"/>
          </w:tcPr>
          <w:p>
            <w:pPr>
              <w:adjustRightInd w:val="0"/>
              <w:snapToGrid w:val="0"/>
              <w:jc w:val="center"/>
              <w:rPr>
                <w:rFonts w:ascii="Times New Roman" w:hAnsi="Times New Roman"/>
                <w:szCs w:val="21"/>
              </w:rPr>
            </w:pPr>
            <w:r>
              <w:rPr>
                <w:rFonts w:hint="eastAsia" w:ascii="Times New Roman" w:hAnsi="Times New Roman"/>
                <w:szCs w:val="21"/>
              </w:rPr>
              <w:t>TSP</w:t>
            </w:r>
          </w:p>
        </w:tc>
        <w:tc>
          <w:tcPr>
            <w:tcW w:w="1177" w:type="dxa"/>
            <w:vAlign w:val="center"/>
          </w:tcPr>
          <w:p>
            <w:pPr>
              <w:adjustRightInd w:val="0"/>
              <w:snapToGrid w:val="0"/>
              <w:jc w:val="center"/>
              <w:rPr>
                <w:rFonts w:ascii="Times New Roman" w:hAnsi="Times New Roman"/>
                <w:szCs w:val="21"/>
              </w:rPr>
            </w:pPr>
            <w:r>
              <w:rPr>
                <w:rFonts w:ascii="Times New Roman" w:hAnsi="Times New Roman"/>
                <w:szCs w:val="21"/>
              </w:rPr>
              <w:t>二类限区</w:t>
            </w:r>
          </w:p>
        </w:tc>
        <w:tc>
          <w:tcPr>
            <w:tcW w:w="1134" w:type="dxa"/>
            <w:vAlign w:val="center"/>
          </w:tcPr>
          <w:p>
            <w:pPr>
              <w:adjustRightInd w:val="0"/>
              <w:snapToGrid w:val="0"/>
              <w:jc w:val="center"/>
              <w:rPr>
                <w:rFonts w:ascii="Times New Roman" w:hAnsi="Times New Roman"/>
                <w:szCs w:val="21"/>
              </w:rPr>
            </w:pPr>
            <w:r>
              <w:rPr>
                <w:rFonts w:ascii="Times New Roman" w:hAnsi="Times New Roman"/>
                <w:szCs w:val="21"/>
              </w:rPr>
              <w:t>日</w:t>
            </w:r>
            <w:r>
              <w:rPr>
                <w:rFonts w:hint="eastAsia" w:ascii="Times New Roman" w:hAnsi="Times New Roman"/>
                <w:szCs w:val="21"/>
              </w:rPr>
              <w:t>均值</w:t>
            </w:r>
          </w:p>
        </w:tc>
        <w:tc>
          <w:tcPr>
            <w:tcW w:w="1701" w:type="dxa"/>
            <w:vAlign w:val="center"/>
          </w:tcPr>
          <w:p>
            <w:pPr>
              <w:adjustRightInd w:val="0"/>
              <w:snapToGrid w:val="0"/>
              <w:jc w:val="center"/>
              <w:rPr>
                <w:rFonts w:ascii="Times New Roman" w:hAnsi="Times New Roman"/>
                <w:szCs w:val="21"/>
              </w:rPr>
            </w:pPr>
            <w:r>
              <w:rPr>
                <w:rFonts w:hint="eastAsia" w:ascii="Times New Roman" w:hAnsi="Times New Roman"/>
                <w:szCs w:val="21"/>
              </w:rPr>
              <w:t>300</w:t>
            </w:r>
          </w:p>
        </w:tc>
        <w:tc>
          <w:tcPr>
            <w:tcW w:w="3699" w:type="dxa"/>
            <w:vAlign w:val="center"/>
          </w:tcPr>
          <w:p>
            <w:pPr>
              <w:pStyle w:val="27"/>
              <w:widowControl w:val="0"/>
              <w:autoSpaceDE w:val="0"/>
              <w:autoSpaceDN w:val="0"/>
              <w:spacing w:before="0" w:beforeAutospacing="0" w:after="0" w:afterAutospacing="0"/>
              <w:ind w:left="768"/>
              <w:rPr>
                <w:rFonts w:ascii="Times New Roman" w:hAnsi="Times New Roman"/>
                <w:sz w:val="21"/>
                <w:szCs w:val="22"/>
              </w:rPr>
            </w:pPr>
            <w:r>
              <w:rPr>
                <w:rFonts w:hint="eastAsia" w:ascii="Times New Roman" w:hAnsi="Times New Roman" w:cs="宋体"/>
                <w:sz w:val="21"/>
                <w:szCs w:val="22"/>
                <w:lang w:bidi="ar"/>
              </w:rPr>
              <w:t>《环境空气质量标准》</w:t>
            </w:r>
          </w:p>
          <w:p>
            <w:pPr>
              <w:widowControl/>
              <w:jc w:val="center"/>
              <w:rPr>
                <w:rFonts w:ascii="Times New Roman" w:hAnsi="Times New Roman"/>
                <w:szCs w:val="21"/>
              </w:rPr>
            </w:pPr>
            <w:r>
              <w:rPr>
                <w:rFonts w:hint="eastAsia" w:ascii="Times New Roman" w:hAnsi="Times New Roman" w:cs="宋体"/>
                <w:kern w:val="0"/>
                <w:szCs w:val="22"/>
                <w:lang w:val="zh-CN" w:bidi="zh-CN"/>
              </w:rPr>
              <w:t>（</w:t>
            </w:r>
            <w:r>
              <w:rPr>
                <w:rFonts w:ascii="Times New Roman" w:hAnsi="Times New Roman" w:cs="宋体"/>
                <w:kern w:val="0"/>
                <w:szCs w:val="22"/>
                <w:lang w:val="zh-CN" w:bidi="zh-CN"/>
              </w:rPr>
              <w:t>GB3095-2012</w:t>
            </w:r>
            <w:r>
              <w:rPr>
                <w:rFonts w:hint="eastAsia" w:ascii="Times New Roman" w:hAnsi="Times New Roman" w:cs="宋体"/>
                <w:kern w:val="0"/>
                <w:szCs w:val="22"/>
                <w:lang w:val="zh-CN" w:bidi="zh-CN"/>
              </w:rPr>
              <w:t xml:space="preserve">）及 </w:t>
            </w:r>
            <w:r>
              <w:rPr>
                <w:rFonts w:ascii="Times New Roman" w:hAnsi="Times New Roman" w:cs="宋体"/>
                <w:kern w:val="0"/>
                <w:szCs w:val="22"/>
                <w:lang w:val="zh-CN" w:bidi="zh-CN"/>
              </w:rPr>
              <w:t xml:space="preserve">2018 </w:t>
            </w:r>
            <w:r>
              <w:rPr>
                <w:rFonts w:hint="eastAsia" w:ascii="Times New Roman" w:hAnsi="Times New Roman" w:cs="宋体"/>
                <w:kern w:val="0"/>
                <w:szCs w:val="22"/>
                <w:lang w:val="zh-CN" w:bidi="zh-CN"/>
              </w:rPr>
              <w:t>年修改单中二级标准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0" w:type="dxa"/>
            <w:vAlign w:val="center"/>
          </w:tcPr>
          <w:p>
            <w:pPr>
              <w:adjustRightInd w:val="0"/>
              <w:snapToGrid w:val="0"/>
              <w:jc w:val="center"/>
              <w:rPr>
                <w:rFonts w:ascii="Times New Roman" w:hAnsi="Times New Roman"/>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1177" w:type="dxa"/>
            <w:vAlign w:val="center"/>
          </w:tcPr>
          <w:p>
            <w:pPr>
              <w:adjustRightInd w:val="0"/>
              <w:snapToGrid w:val="0"/>
              <w:jc w:val="center"/>
              <w:rPr>
                <w:rFonts w:ascii="Times New Roman" w:hAnsi="Times New Roman"/>
                <w:szCs w:val="21"/>
              </w:rPr>
            </w:pPr>
            <w:r>
              <w:rPr>
                <w:rFonts w:ascii="Times New Roman" w:hAnsi="Times New Roman"/>
                <w:szCs w:val="21"/>
              </w:rPr>
              <w:t>二类限区</w:t>
            </w:r>
          </w:p>
        </w:tc>
        <w:tc>
          <w:tcPr>
            <w:tcW w:w="1134" w:type="dxa"/>
            <w:vMerge w:val="restart"/>
            <w:vAlign w:val="center"/>
          </w:tcPr>
          <w:p>
            <w:pPr>
              <w:adjustRightInd w:val="0"/>
              <w:snapToGrid w:val="0"/>
              <w:jc w:val="center"/>
              <w:rPr>
                <w:rFonts w:ascii="Times New Roman" w:hAnsi="Times New Roman"/>
                <w:szCs w:val="21"/>
              </w:rPr>
            </w:pPr>
            <w:r>
              <w:rPr>
                <w:rFonts w:hint="eastAsia" w:ascii="Times New Roman" w:hAnsi="Times New Roman"/>
                <w:szCs w:val="21"/>
              </w:rPr>
              <w:t>1h平均</w:t>
            </w:r>
          </w:p>
          <w:p>
            <w:pPr>
              <w:adjustRightInd w:val="0"/>
              <w:snapToGrid w:val="0"/>
              <w:jc w:val="center"/>
              <w:rPr>
                <w:rFonts w:ascii="Times New Roman" w:hAnsi="Times New Roman"/>
                <w:szCs w:val="21"/>
              </w:rPr>
            </w:pPr>
            <w:r>
              <w:rPr>
                <w:rFonts w:hint="eastAsia" w:ascii="Times New Roman" w:hAnsi="Times New Roman"/>
                <w:szCs w:val="21"/>
              </w:rPr>
              <w:t>质量浓度</w:t>
            </w:r>
          </w:p>
        </w:tc>
        <w:tc>
          <w:tcPr>
            <w:tcW w:w="1701" w:type="dxa"/>
            <w:vAlign w:val="center"/>
          </w:tcPr>
          <w:p>
            <w:pPr>
              <w:adjustRightInd w:val="0"/>
              <w:snapToGrid w:val="0"/>
              <w:jc w:val="center"/>
              <w:rPr>
                <w:rFonts w:ascii="Times New Roman" w:hAnsi="Times New Roman"/>
                <w:szCs w:val="21"/>
              </w:rPr>
            </w:pPr>
            <w:r>
              <w:rPr>
                <w:rFonts w:hint="eastAsia" w:ascii="Times New Roman" w:hAnsi="Times New Roman"/>
                <w:szCs w:val="21"/>
              </w:rPr>
              <w:t>10</w:t>
            </w:r>
          </w:p>
        </w:tc>
        <w:tc>
          <w:tcPr>
            <w:tcW w:w="3699" w:type="dxa"/>
            <w:vMerge w:val="restart"/>
            <w:vAlign w:val="center"/>
          </w:tcPr>
          <w:p>
            <w:pPr>
              <w:adjustRightInd w:val="0"/>
              <w:snapToGrid w:val="0"/>
              <w:jc w:val="center"/>
              <w:rPr>
                <w:rFonts w:ascii="Times New Roman" w:hAnsi="Times New Roman"/>
                <w:szCs w:val="21"/>
              </w:rPr>
            </w:pPr>
            <w:r>
              <w:rPr>
                <w:rFonts w:ascii="Times New Roman" w:hAnsi="Times New Roman"/>
                <w:szCs w:val="21"/>
              </w:rPr>
              <w:t>《环境影响评价技术导则-大气环境》HJ2.2-2018附录D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0" w:type="dxa"/>
            <w:vAlign w:val="center"/>
          </w:tcPr>
          <w:p>
            <w:pPr>
              <w:adjustRightInd w:val="0"/>
              <w:snapToGrid w:val="0"/>
              <w:jc w:val="center"/>
              <w:rPr>
                <w:rFonts w:ascii="Times New Roman" w:hAnsi="Times New Roman"/>
                <w:szCs w:val="21"/>
              </w:rPr>
            </w:pPr>
            <w:r>
              <w:rPr>
                <w:rFonts w:ascii="Times New Roman" w:hAnsi="Times New Roman"/>
                <w:szCs w:val="21"/>
              </w:rPr>
              <w:t>NH</w:t>
            </w:r>
            <w:r>
              <w:rPr>
                <w:rFonts w:ascii="Times New Roman" w:hAnsi="Times New Roman"/>
                <w:szCs w:val="21"/>
                <w:vertAlign w:val="subscript"/>
              </w:rPr>
              <w:t>3</w:t>
            </w:r>
          </w:p>
        </w:tc>
        <w:tc>
          <w:tcPr>
            <w:tcW w:w="1177" w:type="dxa"/>
            <w:vAlign w:val="center"/>
          </w:tcPr>
          <w:p>
            <w:pPr>
              <w:adjustRightInd w:val="0"/>
              <w:snapToGrid w:val="0"/>
              <w:jc w:val="center"/>
              <w:rPr>
                <w:rFonts w:ascii="Times New Roman" w:hAnsi="Times New Roman"/>
                <w:szCs w:val="21"/>
              </w:rPr>
            </w:pPr>
            <w:r>
              <w:rPr>
                <w:rFonts w:ascii="Times New Roman" w:hAnsi="Times New Roman"/>
                <w:szCs w:val="21"/>
              </w:rPr>
              <w:t>二类限区</w:t>
            </w:r>
          </w:p>
        </w:tc>
        <w:tc>
          <w:tcPr>
            <w:tcW w:w="1134" w:type="dxa"/>
            <w:vMerge w:val="continue"/>
            <w:vAlign w:val="center"/>
          </w:tcPr>
          <w:p>
            <w:pPr>
              <w:adjustRightInd w:val="0"/>
              <w:snapToGrid w:val="0"/>
              <w:jc w:val="center"/>
              <w:rPr>
                <w:rFonts w:ascii="Times New Roman" w:hAnsi="Times New Roman"/>
                <w:szCs w:val="21"/>
              </w:rPr>
            </w:pPr>
          </w:p>
        </w:tc>
        <w:tc>
          <w:tcPr>
            <w:tcW w:w="1701" w:type="dxa"/>
            <w:vAlign w:val="center"/>
          </w:tcPr>
          <w:p>
            <w:pPr>
              <w:adjustRightInd w:val="0"/>
              <w:snapToGrid w:val="0"/>
              <w:jc w:val="center"/>
              <w:rPr>
                <w:rFonts w:ascii="Times New Roman" w:hAnsi="Times New Roman"/>
                <w:szCs w:val="21"/>
              </w:rPr>
            </w:pPr>
            <w:r>
              <w:rPr>
                <w:rFonts w:hint="eastAsia" w:ascii="Times New Roman" w:hAnsi="Times New Roman"/>
                <w:szCs w:val="21"/>
              </w:rPr>
              <w:t>200</w:t>
            </w:r>
          </w:p>
        </w:tc>
        <w:tc>
          <w:tcPr>
            <w:tcW w:w="3699" w:type="dxa"/>
            <w:vMerge w:val="continue"/>
            <w:vAlign w:val="center"/>
          </w:tcPr>
          <w:p>
            <w:pPr>
              <w:adjustRightInd w:val="0"/>
              <w:snapToGrid w:val="0"/>
              <w:jc w:val="center"/>
              <w:rPr>
                <w:rFonts w:ascii="Times New Roman" w:hAnsi="Times New Roman"/>
                <w:szCs w:val="21"/>
              </w:rPr>
            </w:pPr>
          </w:p>
        </w:tc>
      </w:tr>
    </w:tbl>
    <w:p>
      <w:pPr>
        <w:pStyle w:val="47"/>
        <w:snapToGrid/>
        <w:spacing w:line="540" w:lineRule="exact"/>
        <w:ind w:firstLine="0"/>
        <w:outlineLvl w:val="3"/>
        <w:rPr>
          <w:rFonts w:ascii="Times New Roman" w:hAnsi="Times New Roman"/>
          <w:b/>
          <w:kern w:val="2"/>
          <w:sz w:val="24"/>
          <w:szCs w:val="24"/>
        </w:rPr>
      </w:pPr>
      <w:r>
        <w:rPr>
          <w:rFonts w:hint="eastAsia" w:ascii="Times New Roman" w:hAnsi="Times New Roman"/>
          <w:b/>
          <w:kern w:val="2"/>
          <w:sz w:val="24"/>
          <w:szCs w:val="24"/>
        </w:rPr>
        <w:t>1</w:t>
      </w:r>
      <w:r>
        <w:rPr>
          <w:rFonts w:ascii="Times New Roman" w:hAnsi="Times New Roman"/>
          <w:b/>
          <w:kern w:val="2"/>
          <w:sz w:val="24"/>
          <w:szCs w:val="24"/>
        </w:rPr>
        <w:t>.5.1.2评价工作等级</w:t>
      </w:r>
      <w:bookmarkEnd w:id="245"/>
      <w:bookmarkEnd w:id="246"/>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(1)评价等级划分依据</w:t>
      </w:r>
      <w:bookmarkEnd w:id="243"/>
      <w:bookmarkEnd w:id="244"/>
    </w:p>
    <w:p>
      <w:pPr>
        <w:adjustRightInd w:val="0"/>
        <w:snapToGrid w:val="0"/>
        <w:spacing w:line="540" w:lineRule="exact"/>
        <w:ind w:firstLine="480" w:firstLineChars="200"/>
        <w:rPr>
          <w:rFonts w:ascii="Times New Roman" w:hAnsi="Times New Roman"/>
          <w:kern w:val="1"/>
          <w:sz w:val="24"/>
        </w:rPr>
      </w:pPr>
      <w:r>
        <w:rPr>
          <w:rFonts w:ascii="Times New Roman" w:hAnsi="Times New Roman"/>
          <w:kern w:val="1"/>
          <w:sz w:val="24"/>
        </w:rPr>
        <w:t>环境空气影响评价工作等级划分依据见表</w:t>
      </w:r>
      <w:r>
        <w:rPr>
          <w:rFonts w:hint="eastAsia" w:ascii="Times New Roman" w:hAnsi="Times New Roman"/>
          <w:kern w:val="1"/>
          <w:sz w:val="24"/>
        </w:rPr>
        <w:t>1</w:t>
      </w:r>
      <w:r>
        <w:rPr>
          <w:rFonts w:ascii="Times New Roman" w:hAnsi="Times New Roman"/>
          <w:kern w:val="1"/>
          <w:sz w:val="24"/>
        </w:rPr>
        <w:t>.5-</w:t>
      </w:r>
      <w:r>
        <w:rPr>
          <w:rFonts w:hint="eastAsia" w:ascii="Times New Roman" w:hAnsi="Times New Roman"/>
          <w:kern w:val="1"/>
          <w:sz w:val="24"/>
        </w:rPr>
        <w:t>2</w:t>
      </w:r>
      <w:r>
        <w:rPr>
          <w:rFonts w:ascii="Times New Roman" w:hAnsi="Times New Roman"/>
          <w:kern w:val="1"/>
          <w:sz w:val="24"/>
        </w:rPr>
        <w:t>。</w:t>
      </w:r>
    </w:p>
    <w:p>
      <w:pPr>
        <w:adjustRightInd w:val="0"/>
        <w:snapToGrid w:val="0"/>
        <w:jc w:val="center"/>
        <w:rPr>
          <w:rFonts w:ascii="Times New Roman" w:hAnsi="Times New Roman"/>
          <w:b/>
          <w:sz w:val="24"/>
        </w:rPr>
      </w:pPr>
    </w:p>
    <w:p>
      <w:pPr>
        <w:adjustRightInd w:val="0"/>
        <w:snapToGrid w:val="0"/>
        <w:jc w:val="center"/>
        <w:rPr>
          <w:rFonts w:ascii="Times New Roman" w:hAnsi="Times New Roman"/>
          <w:b/>
          <w:sz w:val="24"/>
        </w:rPr>
      </w:pPr>
    </w:p>
    <w:p>
      <w:pPr>
        <w:adjustRightInd w:val="0"/>
        <w:snapToGrid w:val="0"/>
        <w:jc w:val="center"/>
        <w:rPr>
          <w:rFonts w:ascii="Times New Roman" w:hAnsi="Times New Roman"/>
          <w:b/>
          <w:sz w:val="24"/>
        </w:rPr>
      </w:pPr>
    </w:p>
    <w:p>
      <w:pPr>
        <w:adjustRightInd w:val="0"/>
        <w:snapToGrid w:val="0"/>
        <w:jc w:val="center"/>
        <w:rPr>
          <w:rFonts w:ascii="Times New Roman" w:hAnsi="Times New Roman"/>
          <w:b/>
          <w:bCs/>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.5-2 评价工作等级划分依据</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85"/>
        <w:gridCol w:w="4233"/>
        <w:gridCol w:w="29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899" w:type="dxa"/>
            <w:vAlign w:val="center"/>
          </w:tcPr>
          <w:p>
            <w:pPr>
              <w:pStyle w:val="18"/>
              <w:spacing w:line="240" w:lineRule="auto"/>
              <w:ind w:firstLine="0"/>
              <w:jc w:val="center"/>
              <w:rPr>
                <w:rFonts w:ascii="Times New Roman" w:hAnsi="Times New Roman"/>
                <w:b/>
                <w:sz w:val="21"/>
                <w:szCs w:val="21"/>
              </w:rPr>
            </w:pPr>
            <w:r>
              <w:rPr>
                <w:rFonts w:ascii="Times New Roman" w:hAnsi="Times New Roman"/>
                <w:b/>
                <w:sz w:val="21"/>
                <w:szCs w:val="21"/>
              </w:rPr>
              <w:t>评价工作等级</w:t>
            </w:r>
          </w:p>
        </w:tc>
        <w:tc>
          <w:tcPr>
            <w:tcW w:w="4265" w:type="dxa"/>
            <w:vAlign w:val="center"/>
          </w:tcPr>
          <w:p>
            <w:pPr>
              <w:pStyle w:val="18"/>
              <w:spacing w:line="240" w:lineRule="auto"/>
              <w:ind w:firstLine="478" w:firstLineChars="227"/>
              <w:jc w:val="center"/>
              <w:rPr>
                <w:rFonts w:ascii="Times New Roman" w:hAnsi="Times New Roman"/>
                <w:b/>
                <w:sz w:val="21"/>
                <w:szCs w:val="21"/>
              </w:rPr>
            </w:pPr>
            <w:r>
              <w:rPr>
                <w:rFonts w:ascii="Times New Roman" w:hAnsi="Times New Roman"/>
                <w:b/>
                <w:sz w:val="21"/>
                <w:szCs w:val="21"/>
              </w:rPr>
              <w:t>评价工作分级判据</w:t>
            </w:r>
          </w:p>
        </w:tc>
        <w:tc>
          <w:tcPr>
            <w:tcW w:w="2975" w:type="dxa"/>
            <w:vAlign w:val="center"/>
          </w:tcPr>
          <w:p>
            <w:pPr>
              <w:pStyle w:val="18"/>
              <w:tabs>
                <w:tab w:val="left" w:pos="477"/>
              </w:tabs>
              <w:spacing w:line="240" w:lineRule="auto"/>
              <w:ind w:firstLine="0"/>
              <w:jc w:val="center"/>
              <w:rPr>
                <w:rFonts w:ascii="Times New Roman" w:hAnsi="Times New Roman"/>
                <w:b/>
                <w:sz w:val="21"/>
                <w:szCs w:val="21"/>
              </w:rPr>
            </w:pPr>
            <w:r>
              <w:rPr>
                <w:rFonts w:ascii="Times New Roman" w:hAnsi="Times New Roman"/>
                <w:b/>
                <w:sz w:val="21"/>
                <w:szCs w:val="21"/>
              </w:rPr>
              <w:t>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899" w:type="dxa"/>
            <w:vAlign w:val="center"/>
          </w:tcPr>
          <w:p>
            <w:pPr>
              <w:pStyle w:val="18"/>
              <w:spacing w:line="240" w:lineRule="auto"/>
              <w:ind w:firstLine="0"/>
              <w:jc w:val="center"/>
              <w:rPr>
                <w:rFonts w:ascii="Times New Roman" w:hAnsi="Times New Roman"/>
                <w:bCs/>
                <w:sz w:val="21"/>
                <w:szCs w:val="21"/>
              </w:rPr>
            </w:pPr>
            <w:r>
              <w:rPr>
                <w:rFonts w:ascii="Times New Roman" w:hAnsi="Times New Roman"/>
                <w:bCs/>
                <w:sz w:val="21"/>
                <w:szCs w:val="21"/>
              </w:rPr>
              <w:t>一级</w:t>
            </w:r>
          </w:p>
        </w:tc>
        <w:tc>
          <w:tcPr>
            <w:tcW w:w="4265" w:type="dxa"/>
            <w:vAlign w:val="center"/>
          </w:tcPr>
          <w:p>
            <w:pPr>
              <w:pStyle w:val="18"/>
              <w:spacing w:line="240" w:lineRule="auto"/>
              <w:jc w:val="center"/>
              <w:rPr>
                <w:rFonts w:ascii="Times New Roman" w:hAnsi="Times New Roman"/>
                <w:bCs/>
                <w:sz w:val="21"/>
                <w:szCs w:val="21"/>
              </w:rPr>
            </w:pPr>
            <w:r>
              <w:rPr>
                <w:rFonts w:ascii="Times New Roman" w:hAnsi="Times New Roman"/>
                <w:bCs/>
                <w:iCs/>
                <w:kern w:val="0"/>
                <w:sz w:val="21"/>
                <w:szCs w:val="21"/>
              </w:rPr>
              <w:t>P</w:t>
            </w:r>
            <w:r>
              <w:rPr>
                <w:rFonts w:ascii="Times New Roman" w:hAnsi="Times New Roman"/>
                <w:bCs/>
                <w:iCs/>
                <w:kern w:val="0"/>
                <w:sz w:val="21"/>
                <w:szCs w:val="21"/>
                <w:vertAlign w:val="subscript"/>
              </w:rPr>
              <w:t>max</w:t>
            </w:r>
            <w:r>
              <w:rPr>
                <w:rFonts w:ascii="Times New Roman" w:hAnsi="Times New Roman"/>
                <w:bCs/>
                <w:kern w:val="0"/>
                <w:sz w:val="21"/>
                <w:szCs w:val="21"/>
              </w:rPr>
              <w:t>≥10%</w:t>
            </w:r>
          </w:p>
        </w:tc>
        <w:tc>
          <w:tcPr>
            <w:tcW w:w="2975" w:type="dxa"/>
            <w:vMerge w:val="restart"/>
            <w:vAlign w:val="center"/>
          </w:tcPr>
          <w:p>
            <w:pPr>
              <w:pStyle w:val="18"/>
              <w:spacing w:line="240" w:lineRule="auto"/>
              <w:ind w:firstLine="0"/>
              <w:jc w:val="center"/>
              <w:rPr>
                <w:rFonts w:ascii="Times New Roman" w:hAnsi="Times New Roman"/>
                <w:bCs/>
                <w:iCs/>
                <w:kern w:val="0"/>
                <w:sz w:val="21"/>
                <w:szCs w:val="21"/>
              </w:rPr>
            </w:pPr>
            <w:r>
              <w:rPr>
                <w:rFonts w:ascii="Times New Roman" w:hAnsi="Times New Roman"/>
                <w:bCs/>
                <w:iCs/>
                <w:kern w:val="0"/>
                <w:sz w:val="21"/>
                <w:szCs w:val="21"/>
              </w:rPr>
              <w:t>HJ 2.2-2018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899" w:type="dxa"/>
            <w:vAlign w:val="center"/>
          </w:tcPr>
          <w:p>
            <w:pPr>
              <w:pStyle w:val="18"/>
              <w:spacing w:line="240" w:lineRule="auto"/>
              <w:ind w:firstLine="0"/>
              <w:jc w:val="center"/>
              <w:rPr>
                <w:rFonts w:ascii="Times New Roman" w:hAnsi="Times New Roman"/>
                <w:bCs/>
                <w:sz w:val="21"/>
                <w:szCs w:val="21"/>
              </w:rPr>
            </w:pPr>
            <w:r>
              <w:rPr>
                <w:rFonts w:ascii="Times New Roman" w:hAnsi="Times New Roman"/>
                <w:bCs/>
                <w:sz w:val="21"/>
                <w:szCs w:val="21"/>
              </w:rPr>
              <w:t>二级</w:t>
            </w:r>
          </w:p>
        </w:tc>
        <w:tc>
          <w:tcPr>
            <w:tcW w:w="4265" w:type="dxa"/>
            <w:vAlign w:val="center"/>
          </w:tcPr>
          <w:p>
            <w:pPr>
              <w:pStyle w:val="18"/>
              <w:spacing w:line="240" w:lineRule="auto"/>
              <w:jc w:val="center"/>
              <w:rPr>
                <w:rFonts w:ascii="Times New Roman" w:hAnsi="Times New Roman"/>
                <w:bCs/>
                <w:sz w:val="21"/>
                <w:szCs w:val="21"/>
              </w:rPr>
            </w:pPr>
            <w:r>
              <w:rPr>
                <w:rFonts w:ascii="Times New Roman" w:hAnsi="Times New Roman"/>
                <w:bCs/>
                <w:iCs/>
                <w:kern w:val="0"/>
                <w:sz w:val="21"/>
                <w:szCs w:val="21"/>
              </w:rPr>
              <w:t>1%≤P</w:t>
            </w:r>
            <w:r>
              <w:rPr>
                <w:rFonts w:ascii="Times New Roman" w:hAnsi="Times New Roman"/>
                <w:bCs/>
                <w:iCs/>
                <w:kern w:val="0"/>
                <w:sz w:val="21"/>
                <w:szCs w:val="21"/>
                <w:vertAlign w:val="subscript"/>
              </w:rPr>
              <w:t>max</w:t>
            </w:r>
            <w:r>
              <w:rPr>
                <w:rFonts w:ascii="Times New Roman" w:hAnsi="Times New Roman"/>
                <w:bCs/>
                <w:kern w:val="0"/>
                <w:sz w:val="21"/>
                <w:szCs w:val="21"/>
              </w:rPr>
              <w:t>＜10%</w:t>
            </w:r>
          </w:p>
        </w:tc>
        <w:tc>
          <w:tcPr>
            <w:tcW w:w="2975" w:type="dxa"/>
            <w:vMerge w:val="continue"/>
            <w:vAlign w:val="center"/>
          </w:tcPr>
          <w:p>
            <w:pPr>
              <w:pStyle w:val="18"/>
              <w:spacing w:line="240" w:lineRule="auto"/>
              <w:jc w:val="center"/>
              <w:rPr>
                <w:rFonts w:ascii="Times New Roman" w:hAnsi="Times New Roman"/>
                <w:bCs/>
                <w:iCs/>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899" w:type="dxa"/>
            <w:vAlign w:val="center"/>
          </w:tcPr>
          <w:p>
            <w:pPr>
              <w:pStyle w:val="18"/>
              <w:spacing w:line="240" w:lineRule="auto"/>
              <w:ind w:firstLine="0"/>
              <w:jc w:val="center"/>
              <w:rPr>
                <w:rFonts w:ascii="Times New Roman" w:hAnsi="Times New Roman"/>
                <w:bCs/>
                <w:sz w:val="21"/>
                <w:szCs w:val="21"/>
              </w:rPr>
            </w:pPr>
            <w:r>
              <w:rPr>
                <w:rFonts w:ascii="Times New Roman" w:hAnsi="Times New Roman"/>
                <w:bCs/>
                <w:sz w:val="21"/>
                <w:szCs w:val="21"/>
              </w:rPr>
              <w:t>三级</w:t>
            </w:r>
          </w:p>
        </w:tc>
        <w:tc>
          <w:tcPr>
            <w:tcW w:w="4265" w:type="dxa"/>
            <w:vAlign w:val="center"/>
          </w:tcPr>
          <w:p>
            <w:pPr>
              <w:pStyle w:val="18"/>
              <w:spacing w:line="240" w:lineRule="auto"/>
              <w:jc w:val="center"/>
              <w:rPr>
                <w:rFonts w:ascii="Times New Roman" w:hAnsi="Times New Roman"/>
                <w:bCs/>
                <w:sz w:val="21"/>
                <w:szCs w:val="21"/>
              </w:rPr>
            </w:pPr>
            <w:r>
              <w:rPr>
                <w:rFonts w:ascii="Times New Roman" w:hAnsi="Times New Roman"/>
                <w:bCs/>
                <w:iCs/>
                <w:kern w:val="0"/>
                <w:sz w:val="21"/>
                <w:szCs w:val="21"/>
              </w:rPr>
              <w:t>P</w:t>
            </w:r>
            <w:r>
              <w:rPr>
                <w:rFonts w:ascii="Times New Roman" w:hAnsi="Times New Roman"/>
                <w:bCs/>
                <w:iCs/>
                <w:kern w:val="0"/>
                <w:sz w:val="21"/>
                <w:szCs w:val="21"/>
                <w:vertAlign w:val="subscript"/>
              </w:rPr>
              <w:t>max</w:t>
            </w:r>
            <w:r>
              <w:rPr>
                <w:rFonts w:ascii="Times New Roman" w:hAnsi="Times New Roman"/>
                <w:bCs/>
                <w:kern w:val="0"/>
                <w:sz w:val="21"/>
                <w:szCs w:val="21"/>
              </w:rPr>
              <w:t>＜1%</w:t>
            </w:r>
          </w:p>
        </w:tc>
        <w:tc>
          <w:tcPr>
            <w:tcW w:w="2975" w:type="dxa"/>
            <w:vMerge w:val="continue"/>
            <w:vAlign w:val="center"/>
          </w:tcPr>
          <w:p>
            <w:pPr>
              <w:pStyle w:val="18"/>
              <w:spacing w:line="240" w:lineRule="auto"/>
              <w:jc w:val="center"/>
              <w:rPr>
                <w:rFonts w:ascii="Times New Roman" w:hAnsi="Times New Roman"/>
                <w:bCs/>
                <w:iCs/>
                <w:kern w:val="0"/>
                <w:sz w:val="21"/>
                <w:szCs w:val="21"/>
              </w:rPr>
            </w:pPr>
          </w:p>
        </w:tc>
      </w:tr>
    </w:tbl>
    <w:p>
      <w:pPr>
        <w:pStyle w:val="26"/>
        <w:spacing w:after="0" w:line="540" w:lineRule="exact"/>
        <w:ind w:firstLine="480" w:firstLineChars="200"/>
        <w:rPr>
          <w:snapToGrid w:val="0"/>
          <w:kern w:val="0"/>
          <w:sz w:val="24"/>
        </w:rPr>
      </w:pPr>
      <w:r>
        <w:rPr>
          <w:snapToGrid w:val="0"/>
          <w:kern w:val="0"/>
          <w:sz w:val="24"/>
        </w:rPr>
        <w:t>根据本项目工程分析结果，分别计算每一种污染物的最大地面浓度占标率P</w:t>
      </w:r>
      <w:r>
        <w:rPr>
          <w:snapToGrid w:val="0"/>
          <w:kern w:val="0"/>
          <w:sz w:val="24"/>
          <w:vertAlign w:val="subscript"/>
        </w:rPr>
        <w:t>i</w:t>
      </w:r>
      <w:r>
        <w:rPr>
          <w:snapToGrid w:val="0"/>
          <w:kern w:val="0"/>
          <w:sz w:val="24"/>
        </w:rPr>
        <w:t>(第i个污染物)，及第i个污染物的地面浓度达标准限值10%时，所对应的最远距离D</w:t>
      </w:r>
      <w:r>
        <w:rPr>
          <w:snapToGrid w:val="0"/>
          <w:kern w:val="0"/>
          <w:sz w:val="24"/>
          <w:vertAlign w:val="subscript"/>
        </w:rPr>
        <w:t>10%</w:t>
      </w:r>
      <w:r>
        <w:rPr>
          <w:snapToGrid w:val="0"/>
          <w:kern w:val="0"/>
          <w:sz w:val="24"/>
        </w:rPr>
        <w:t>。其中P</w:t>
      </w:r>
      <w:r>
        <w:rPr>
          <w:snapToGrid w:val="0"/>
          <w:kern w:val="0"/>
          <w:sz w:val="24"/>
          <w:vertAlign w:val="subscript"/>
        </w:rPr>
        <w:t>i</w:t>
      </w:r>
      <w:r>
        <w:rPr>
          <w:snapToGrid w:val="0"/>
          <w:kern w:val="0"/>
          <w:sz w:val="24"/>
        </w:rPr>
        <w:t>定义为：</w:t>
      </w:r>
    </w:p>
    <w:p>
      <w:pPr>
        <w:adjustRightInd w:val="0"/>
        <w:snapToGrid w:val="0"/>
        <w:spacing w:line="540" w:lineRule="exact"/>
        <w:ind w:firstLine="480" w:firstLineChars="200"/>
        <w:jc w:val="center"/>
        <w:rPr>
          <w:rFonts w:ascii="Times New Roman" w:hAnsi="Times New Roman"/>
          <w:snapToGrid w:val="0"/>
          <w:sz w:val="24"/>
        </w:rPr>
      </w:pPr>
      <w:r>
        <w:rPr>
          <w:rFonts w:ascii="Times New Roman" w:hAnsi="Times New Roman"/>
          <w:snapToGrid w:val="0"/>
          <w:sz w:val="24"/>
        </w:rPr>
        <w:t>P</w:t>
      </w:r>
      <w:r>
        <w:rPr>
          <w:rFonts w:ascii="Times New Roman" w:hAnsi="Times New Roman"/>
          <w:snapToGrid w:val="0"/>
          <w:sz w:val="24"/>
          <w:vertAlign w:val="subscript"/>
        </w:rPr>
        <w:t>i</w:t>
      </w:r>
      <w:r>
        <w:rPr>
          <w:rFonts w:ascii="Times New Roman" w:hAnsi="Times New Roman"/>
          <w:snapToGrid w:val="0"/>
          <w:sz w:val="24"/>
        </w:rPr>
        <w:t>＝(C</w:t>
      </w:r>
      <w:r>
        <w:rPr>
          <w:rFonts w:ascii="Times New Roman" w:hAnsi="Times New Roman"/>
          <w:snapToGrid w:val="0"/>
          <w:sz w:val="24"/>
          <w:vertAlign w:val="subscript"/>
        </w:rPr>
        <w:t>i</w:t>
      </w:r>
      <w:r>
        <w:rPr>
          <w:rFonts w:ascii="Times New Roman" w:hAnsi="Times New Roman"/>
          <w:snapToGrid w:val="0"/>
          <w:sz w:val="24"/>
        </w:rPr>
        <w:t>/C</w:t>
      </w:r>
      <w:r>
        <w:rPr>
          <w:rFonts w:ascii="Times New Roman" w:hAnsi="Times New Roman"/>
          <w:snapToGrid w:val="0"/>
          <w:sz w:val="24"/>
          <w:vertAlign w:val="subscript"/>
        </w:rPr>
        <w:t>0i</w:t>
      </w:r>
      <w:r>
        <w:rPr>
          <w:rFonts w:ascii="Times New Roman" w:hAnsi="Times New Roman"/>
          <w:snapToGrid w:val="0"/>
          <w:sz w:val="24"/>
        </w:rPr>
        <w:t>)×100%</w:t>
      </w:r>
    </w:p>
    <w:p>
      <w:pPr>
        <w:adjustRightInd w:val="0"/>
        <w:snapToGrid w:val="0"/>
        <w:spacing w:line="540" w:lineRule="exact"/>
        <w:rPr>
          <w:rFonts w:ascii="Times New Roman" w:hAnsi="Times New Roman"/>
          <w:snapToGrid w:val="0"/>
          <w:sz w:val="24"/>
        </w:rPr>
      </w:pPr>
      <w:r>
        <w:rPr>
          <w:rFonts w:ascii="Times New Roman" w:hAnsi="Times New Roman"/>
          <w:snapToGrid w:val="0"/>
          <w:sz w:val="24"/>
        </w:rPr>
        <w:t>式中：P</w:t>
      </w:r>
      <w:r>
        <w:rPr>
          <w:rFonts w:ascii="Times New Roman" w:hAnsi="Times New Roman"/>
          <w:snapToGrid w:val="0"/>
          <w:sz w:val="24"/>
          <w:vertAlign w:val="subscript"/>
        </w:rPr>
        <w:t>i</w:t>
      </w:r>
      <w:r>
        <w:rPr>
          <w:rFonts w:ascii="Times New Roman" w:hAnsi="Times New Roman"/>
          <w:snapToGrid w:val="0"/>
          <w:sz w:val="24"/>
        </w:rPr>
        <w:t>－第i个污染物的最大地面浓度占标率，%；</w:t>
      </w:r>
    </w:p>
    <w:p>
      <w:pPr>
        <w:adjustRightInd w:val="0"/>
        <w:snapToGrid w:val="0"/>
        <w:spacing w:line="540" w:lineRule="exact"/>
        <w:ind w:firstLine="720" w:firstLineChars="300"/>
        <w:rPr>
          <w:rFonts w:ascii="Times New Roman" w:hAnsi="Times New Roman"/>
          <w:snapToGrid w:val="0"/>
          <w:sz w:val="24"/>
        </w:rPr>
      </w:pPr>
      <w:r>
        <w:rPr>
          <w:rFonts w:ascii="Times New Roman" w:hAnsi="Times New Roman"/>
          <w:snapToGrid w:val="0"/>
          <w:sz w:val="24"/>
        </w:rPr>
        <w:t>C</w:t>
      </w:r>
      <w:r>
        <w:rPr>
          <w:rFonts w:ascii="Times New Roman" w:hAnsi="Times New Roman"/>
          <w:snapToGrid w:val="0"/>
          <w:sz w:val="24"/>
          <w:vertAlign w:val="subscript"/>
        </w:rPr>
        <w:t>i</w:t>
      </w:r>
      <w:r>
        <w:rPr>
          <w:rFonts w:ascii="Times New Roman" w:hAnsi="Times New Roman"/>
          <w:snapToGrid w:val="0"/>
          <w:sz w:val="24"/>
        </w:rPr>
        <w:t>－采用估算模式计算出的第i个污染物的最大地面浓度，mg/m</w:t>
      </w:r>
      <w:r>
        <w:rPr>
          <w:rFonts w:ascii="Times New Roman" w:hAnsi="Times New Roman"/>
          <w:snapToGrid w:val="0"/>
          <w:sz w:val="24"/>
          <w:vertAlign w:val="superscript"/>
        </w:rPr>
        <w:t>3</w:t>
      </w:r>
      <w:r>
        <w:rPr>
          <w:rFonts w:ascii="Times New Roman" w:hAnsi="Times New Roman"/>
          <w:snapToGrid w:val="0"/>
          <w:sz w:val="24"/>
        </w:rPr>
        <w:t>；</w:t>
      </w:r>
    </w:p>
    <w:p>
      <w:pPr>
        <w:adjustRightInd w:val="0"/>
        <w:snapToGrid w:val="0"/>
        <w:spacing w:line="540" w:lineRule="exact"/>
        <w:ind w:firstLine="708" w:firstLineChars="295"/>
        <w:rPr>
          <w:rFonts w:ascii="Times New Roman" w:hAnsi="Times New Roman"/>
          <w:snapToGrid w:val="0"/>
          <w:sz w:val="24"/>
        </w:rPr>
      </w:pPr>
      <w:r>
        <w:rPr>
          <w:rFonts w:ascii="Times New Roman" w:hAnsi="Times New Roman"/>
          <w:snapToGrid w:val="0"/>
          <w:sz w:val="24"/>
        </w:rPr>
        <w:t>C</w:t>
      </w:r>
      <w:r>
        <w:rPr>
          <w:rFonts w:ascii="Times New Roman" w:hAnsi="Times New Roman"/>
          <w:snapToGrid w:val="0"/>
          <w:sz w:val="24"/>
          <w:vertAlign w:val="subscript"/>
        </w:rPr>
        <w:t>0i</w:t>
      </w:r>
      <w:r>
        <w:rPr>
          <w:rFonts w:ascii="Times New Roman" w:hAnsi="Times New Roman"/>
          <w:snapToGrid w:val="0"/>
          <w:sz w:val="24"/>
        </w:rPr>
        <w:t>－第i个污染物的环境空气质量标准，mg/m</w:t>
      </w:r>
      <w:r>
        <w:rPr>
          <w:rFonts w:ascii="Times New Roman" w:hAnsi="Times New Roman"/>
          <w:snapToGrid w:val="0"/>
          <w:sz w:val="24"/>
          <w:vertAlign w:val="superscript"/>
        </w:rPr>
        <w:t>3</w:t>
      </w:r>
      <w:r>
        <w:rPr>
          <w:rFonts w:ascii="Times New Roman" w:hAnsi="Times New Roman"/>
          <w:snapToGrid w:val="0"/>
          <w:sz w:val="24"/>
        </w:rPr>
        <w:t>；</w:t>
      </w:r>
    </w:p>
    <w:p>
      <w:pPr>
        <w:adjustRightInd w:val="0"/>
        <w:snapToGrid w:val="0"/>
        <w:spacing w:line="540" w:lineRule="exact"/>
        <w:ind w:firstLine="708" w:firstLineChars="295"/>
        <w:rPr>
          <w:rFonts w:ascii="Times New Roman" w:hAnsi="Times New Roman"/>
          <w:snapToGrid w:val="0"/>
          <w:sz w:val="24"/>
        </w:rPr>
      </w:pPr>
      <w:r>
        <w:rPr>
          <w:rFonts w:ascii="Times New Roman" w:hAnsi="Times New Roman"/>
          <w:snapToGrid w:val="0"/>
          <w:sz w:val="24"/>
        </w:rPr>
        <w:t>C</w:t>
      </w:r>
      <w:r>
        <w:rPr>
          <w:rFonts w:ascii="Times New Roman" w:hAnsi="Times New Roman"/>
          <w:snapToGrid w:val="0"/>
          <w:sz w:val="24"/>
          <w:vertAlign w:val="subscript"/>
        </w:rPr>
        <w:t>0i</w:t>
      </w:r>
      <w:r>
        <w:rPr>
          <w:rFonts w:ascii="Times New Roman" w:hAnsi="Times New Roman"/>
          <w:snapToGrid w:val="0"/>
          <w:sz w:val="24"/>
        </w:rPr>
        <w:t>一般选用GB3095-2012中1小时平均取样时间的二级标准的浓度限值，对该标准中未包含的污染物，使用《环境影响评价技术导则 大气环境》(HJ2.2-2018)5.2确定的各评价因子1h排平均质量浓度限值。</w:t>
      </w:r>
    </w:p>
    <w:p>
      <w:pPr>
        <w:pStyle w:val="26"/>
        <w:spacing w:after="0" w:line="540" w:lineRule="exact"/>
        <w:ind w:firstLine="480" w:firstLineChars="200"/>
        <w:rPr>
          <w:snapToGrid w:val="0"/>
          <w:kern w:val="0"/>
          <w:sz w:val="24"/>
        </w:rPr>
      </w:pPr>
      <w:r>
        <w:rPr>
          <w:snapToGrid w:val="0"/>
          <w:kern w:val="0"/>
          <w:sz w:val="24"/>
        </w:rPr>
        <w:t>对仅有8h平均质量浓度限值、日平均质量浓度限值或年平均质量浓度限值的，可分别按2倍、3倍、6倍折算为1h平均质量浓度限值。</w:t>
      </w:r>
    </w:p>
    <w:p>
      <w:pPr>
        <w:pStyle w:val="26"/>
        <w:spacing w:after="0" w:line="540" w:lineRule="exact"/>
        <w:ind w:firstLine="480" w:firstLineChars="200"/>
        <w:rPr>
          <w:snapToGrid w:val="0"/>
          <w:kern w:val="0"/>
          <w:sz w:val="24"/>
          <w:highlight w:val="red"/>
        </w:rPr>
      </w:pPr>
      <w:bookmarkStart w:id="247" w:name="_Toc6441_WPSOffice_Level3"/>
      <w:bookmarkStart w:id="248" w:name="_Toc20789_WPSOffice_Level3"/>
      <w:r>
        <w:rPr>
          <w:snapToGrid w:val="0"/>
          <w:kern w:val="0"/>
          <w:sz w:val="24"/>
        </w:rPr>
        <w:t>(2)估算模型</w:t>
      </w:r>
      <w:bookmarkEnd w:id="247"/>
      <w:bookmarkEnd w:id="248"/>
    </w:p>
    <w:p>
      <w:pPr>
        <w:pStyle w:val="26"/>
        <w:spacing w:after="0" w:line="540" w:lineRule="exact"/>
        <w:ind w:firstLine="480" w:firstLineChars="200"/>
        <w:rPr>
          <w:snapToGrid w:val="0"/>
          <w:kern w:val="0"/>
          <w:sz w:val="24"/>
        </w:rPr>
      </w:pPr>
      <w:r>
        <w:rPr>
          <w:snapToGrid w:val="0"/>
          <w:kern w:val="0"/>
          <w:sz w:val="24"/>
        </w:rPr>
        <w:t>结合项目环境影响预测范围、预测因子及推荐模型的适用范围等，本次评价选择AERSCREEN模型进行预测。</w:t>
      </w:r>
    </w:p>
    <w:p>
      <w:pPr>
        <w:pStyle w:val="26"/>
        <w:spacing w:after="0" w:line="540" w:lineRule="exact"/>
        <w:ind w:firstLine="480" w:firstLineChars="200"/>
        <w:rPr>
          <w:snapToGrid w:val="0"/>
          <w:kern w:val="0"/>
          <w:sz w:val="24"/>
        </w:rPr>
      </w:pPr>
      <w:r>
        <w:rPr>
          <w:snapToGrid w:val="0"/>
          <w:kern w:val="0"/>
          <w:sz w:val="24"/>
        </w:rPr>
        <w:t>估算模式是一种单源预测模式，可计算点源、面源和体源等污染物的最大落地浓度，以及建筑物下洗和岸边熏烟等特殊条件下的最大地面浓度。估算模式中嵌入了多种预设的气象组合条件，包括一些最不利的气象条件，此类气象条件在某个地区有可能发生，也有可能不发生。经估算模式计算出的最大地面浓度大于或等于进一步预测模式的计算结果。</w:t>
      </w:r>
    </w:p>
    <w:p>
      <w:pPr>
        <w:pStyle w:val="26"/>
        <w:spacing w:after="0" w:line="540" w:lineRule="exact"/>
        <w:ind w:firstLine="480" w:firstLineChars="200"/>
        <w:rPr>
          <w:rFonts w:ascii="宋体" w:hAnsi="宋体" w:cs="宋体"/>
          <w:b/>
          <w:kern w:val="1"/>
          <w:szCs w:val="21"/>
        </w:rPr>
      </w:pPr>
      <w:r>
        <w:rPr>
          <w:snapToGrid w:val="0"/>
          <w:kern w:val="0"/>
          <w:sz w:val="24"/>
        </w:rPr>
        <w:t>项目主要废气污染物排放参数见表1.5-3，估算模式所需参数见表1.5-</w:t>
      </w:r>
      <w:r>
        <w:rPr>
          <w:rFonts w:hint="eastAsia"/>
          <w:snapToGrid w:val="0"/>
          <w:kern w:val="0"/>
          <w:sz w:val="24"/>
        </w:rPr>
        <w:t>4</w:t>
      </w:r>
      <w:r>
        <w:rPr>
          <w:snapToGrid w:val="0"/>
          <w:kern w:val="0"/>
          <w:sz w:val="24"/>
        </w:rPr>
        <w:t>、本项目所有污染源的正常排放的污染物的P</w:t>
      </w:r>
      <w:r>
        <w:rPr>
          <w:snapToGrid w:val="0"/>
          <w:kern w:val="0"/>
          <w:sz w:val="24"/>
          <w:vertAlign w:val="subscript"/>
        </w:rPr>
        <w:t>max</w:t>
      </w:r>
      <w:r>
        <w:rPr>
          <w:snapToGrid w:val="0"/>
          <w:kern w:val="0"/>
          <w:sz w:val="24"/>
        </w:rPr>
        <w:t>和D</w:t>
      </w:r>
      <w:r>
        <w:rPr>
          <w:snapToGrid w:val="0"/>
          <w:kern w:val="0"/>
          <w:sz w:val="24"/>
          <w:vertAlign w:val="subscript"/>
        </w:rPr>
        <w:t>10%</w:t>
      </w:r>
      <w:r>
        <w:rPr>
          <w:snapToGrid w:val="0"/>
          <w:kern w:val="0"/>
          <w:sz w:val="24"/>
        </w:rPr>
        <w:t>预测结果见表1.5-</w:t>
      </w:r>
      <w:r>
        <w:rPr>
          <w:rFonts w:hint="eastAsia"/>
          <w:snapToGrid w:val="0"/>
          <w:kern w:val="0"/>
          <w:sz w:val="24"/>
        </w:rPr>
        <w:t>5</w:t>
      </w:r>
      <w:r>
        <w:rPr>
          <w:sz w:val="24"/>
          <w:szCs w:val="32"/>
        </w:rPr>
        <w:t>。</w:t>
      </w:r>
    </w:p>
    <w:p>
      <w:pPr>
        <w:adjustRightInd w:val="0"/>
        <w:snapToGrid w:val="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1.5-3</w:t>
      </w:r>
      <w:r>
        <w:rPr>
          <w:rFonts w:ascii="Times New Roman" w:hAnsi="Times New Roman"/>
          <w:b/>
          <w:sz w:val="24"/>
        </w:rPr>
        <w:t xml:space="preserve"> 主要废气污染源参数一览表(矩形面源) </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862"/>
        <w:gridCol w:w="1065"/>
        <w:gridCol w:w="1245"/>
        <w:gridCol w:w="843"/>
        <w:gridCol w:w="1002"/>
        <w:gridCol w:w="810"/>
        <w:gridCol w:w="1020"/>
        <w:gridCol w:w="765"/>
        <w:gridCol w:w="795"/>
        <w:gridCol w:w="66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62" w:type="dxa"/>
            <w:vMerge w:val="restart"/>
            <w:vAlign w:val="center"/>
          </w:tcPr>
          <w:p>
            <w:pPr>
              <w:jc w:val="center"/>
              <w:rPr>
                <w:rFonts w:ascii="Times New Roman" w:hAnsi="Times New Roman"/>
                <w:b/>
                <w:bCs/>
                <w:szCs w:val="21"/>
              </w:rPr>
            </w:pPr>
            <w:r>
              <w:rPr>
                <w:rFonts w:ascii="宋体" w:hAnsi="宋体"/>
                <w:b/>
                <w:bCs/>
                <w:sz w:val="23"/>
                <w:szCs w:val="23"/>
              </w:rPr>
              <w:t>污染源名称</w:t>
            </w:r>
          </w:p>
        </w:tc>
        <w:tc>
          <w:tcPr>
            <w:tcW w:w="2310" w:type="dxa"/>
            <w:gridSpan w:val="2"/>
            <w:vAlign w:val="center"/>
          </w:tcPr>
          <w:p>
            <w:pPr>
              <w:jc w:val="center"/>
              <w:rPr>
                <w:rFonts w:ascii="Times New Roman" w:hAnsi="Times New Roman"/>
                <w:b/>
                <w:bCs/>
                <w:szCs w:val="21"/>
              </w:rPr>
            </w:pPr>
            <w:r>
              <w:rPr>
                <w:rFonts w:ascii="宋体" w:hAnsi="宋体"/>
                <w:b/>
                <w:bCs/>
                <w:sz w:val="23"/>
                <w:szCs w:val="23"/>
              </w:rPr>
              <w:t>坐标(°)</w:t>
            </w:r>
          </w:p>
        </w:tc>
        <w:tc>
          <w:tcPr>
            <w:tcW w:w="843" w:type="dxa"/>
            <w:vMerge w:val="restart"/>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海拔高度(m)</w:t>
            </w:r>
          </w:p>
        </w:tc>
        <w:tc>
          <w:tcPr>
            <w:tcW w:w="2832" w:type="dxa"/>
            <w:gridSpan w:val="3"/>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矩形面源</w:t>
            </w:r>
          </w:p>
        </w:tc>
        <w:tc>
          <w:tcPr>
            <w:tcW w:w="2224" w:type="dxa"/>
            <w:gridSpan w:val="3"/>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污染物排放速率(kg/h)</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62" w:type="dxa"/>
            <w:vMerge w:val="continue"/>
            <w:vAlign w:val="center"/>
          </w:tcPr>
          <w:p>
            <w:pPr>
              <w:jc w:val="center"/>
              <w:rPr>
                <w:rFonts w:ascii="Times New Roman" w:hAnsi="Times New Roman"/>
                <w:b/>
                <w:bCs/>
                <w:szCs w:val="21"/>
              </w:rPr>
            </w:pPr>
          </w:p>
        </w:tc>
        <w:tc>
          <w:tcPr>
            <w:tcW w:w="1065" w:type="dxa"/>
            <w:vAlign w:val="center"/>
          </w:tcPr>
          <w:p>
            <w:pPr>
              <w:jc w:val="center"/>
              <w:rPr>
                <w:rFonts w:ascii="Times New Roman" w:hAnsi="Times New Roman"/>
                <w:b/>
                <w:bCs/>
                <w:szCs w:val="21"/>
              </w:rPr>
            </w:pPr>
            <w:r>
              <w:rPr>
                <w:rFonts w:ascii="宋体" w:hAnsi="宋体"/>
                <w:b/>
                <w:bCs/>
                <w:sz w:val="23"/>
                <w:szCs w:val="23"/>
              </w:rPr>
              <w:t>经度</w:t>
            </w:r>
          </w:p>
        </w:tc>
        <w:tc>
          <w:tcPr>
            <w:tcW w:w="1245" w:type="dxa"/>
            <w:vAlign w:val="center"/>
          </w:tcPr>
          <w:p>
            <w:pPr>
              <w:jc w:val="center"/>
              <w:rPr>
                <w:rFonts w:ascii="Times New Roman" w:hAnsi="Times New Roman"/>
                <w:b/>
                <w:bCs/>
                <w:szCs w:val="21"/>
              </w:rPr>
            </w:pPr>
            <w:r>
              <w:rPr>
                <w:rFonts w:ascii="宋体" w:hAnsi="宋体"/>
                <w:b/>
                <w:bCs/>
                <w:sz w:val="23"/>
                <w:szCs w:val="23"/>
              </w:rPr>
              <w:t>纬度</w:t>
            </w:r>
          </w:p>
        </w:tc>
        <w:tc>
          <w:tcPr>
            <w:tcW w:w="843" w:type="dxa"/>
            <w:vMerge w:val="continue"/>
            <w:vAlign w:val="center"/>
          </w:tcPr>
          <w:p>
            <w:pPr>
              <w:adjustRightInd w:val="0"/>
              <w:snapToGrid w:val="0"/>
              <w:ind w:left="-105" w:leftChars="-50" w:right="-105" w:rightChars="-50"/>
              <w:jc w:val="center"/>
              <w:rPr>
                <w:rFonts w:ascii="Times New Roman" w:hAnsi="Times New Roman"/>
                <w:b/>
                <w:bCs/>
                <w:szCs w:val="21"/>
              </w:rPr>
            </w:pPr>
          </w:p>
        </w:tc>
        <w:tc>
          <w:tcPr>
            <w:tcW w:w="1002" w:type="dxa"/>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长度(m)</w:t>
            </w:r>
          </w:p>
        </w:tc>
        <w:tc>
          <w:tcPr>
            <w:tcW w:w="810" w:type="dxa"/>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宽度(m)</w:t>
            </w:r>
          </w:p>
        </w:tc>
        <w:tc>
          <w:tcPr>
            <w:tcW w:w="1020" w:type="dxa"/>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有效高度(m)</w:t>
            </w:r>
          </w:p>
        </w:tc>
        <w:tc>
          <w:tcPr>
            <w:tcW w:w="765" w:type="dxa"/>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H</w:t>
            </w:r>
            <w:r>
              <w:rPr>
                <w:rFonts w:ascii="Times New Roman" w:hAnsi="Times New Roman"/>
                <w:b/>
                <w:bCs/>
                <w:szCs w:val="21"/>
                <w:vertAlign w:val="subscript"/>
              </w:rPr>
              <w:t>2</w:t>
            </w:r>
            <w:r>
              <w:rPr>
                <w:rFonts w:ascii="Times New Roman" w:hAnsi="Times New Roman"/>
                <w:b/>
                <w:bCs/>
                <w:szCs w:val="21"/>
              </w:rPr>
              <w:t>S</w:t>
            </w:r>
          </w:p>
        </w:tc>
        <w:tc>
          <w:tcPr>
            <w:tcW w:w="795" w:type="dxa"/>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NH</w:t>
            </w:r>
            <w:r>
              <w:rPr>
                <w:rFonts w:ascii="Times New Roman" w:hAnsi="Times New Roman"/>
                <w:b/>
                <w:bCs/>
                <w:szCs w:val="21"/>
                <w:vertAlign w:val="subscript"/>
              </w:rPr>
              <w:t>3</w:t>
            </w:r>
          </w:p>
        </w:tc>
        <w:tc>
          <w:tcPr>
            <w:tcW w:w="664" w:type="dxa"/>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TSP</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62" w:type="dxa"/>
            <w:vAlign w:val="center"/>
          </w:tcPr>
          <w:p>
            <w:pPr>
              <w:adjustRightInd w:val="0"/>
              <w:snapToGrid w:val="0"/>
              <w:ind w:left="-105" w:leftChars="-50" w:right="-105" w:rightChars="-50"/>
              <w:jc w:val="center"/>
              <w:rPr>
                <w:rFonts w:ascii="Times New Roman" w:hAnsi="Times New Roman"/>
                <w:bCs/>
                <w:szCs w:val="21"/>
              </w:rPr>
            </w:pPr>
            <w:r>
              <w:rPr>
                <w:rFonts w:hint="eastAsia" w:ascii="Times New Roman" w:hAnsi="Times New Roman"/>
                <w:szCs w:val="21"/>
              </w:rPr>
              <w:t>牛棚</w:t>
            </w:r>
          </w:p>
        </w:tc>
        <w:tc>
          <w:tcPr>
            <w:tcW w:w="106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105.919795</w:t>
            </w:r>
          </w:p>
        </w:tc>
        <w:tc>
          <w:tcPr>
            <w:tcW w:w="124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35.572938</w:t>
            </w:r>
          </w:p>
        </w:tc>
        <w:tc>
          <w:tcPr>
            <w:tcW w:w="843"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1814.00</w:t>
            </w:r>
          </w:p>
        </w:tc>
        <w:tc>
          <w:tcPr>
            <w:tcW w:w="1002"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5.00</w:t>
            </w:r>
          </w:p>
        </w:tc>
        <w:tc>
          <w:tcPr>
            <w:tcW w:w="810"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199.52</w:t>
            </w:r>
          </w:p>
        </w:tc>
        <w:tc>
          <w:tcPr>
            <w:tcW w:w="1020" w:type="dxa"/>
            <w:vAlign w:val="center"/>
          </w:tcPr>
          <w:p>
            <w:pPr>
              <w:adjustRightInd w:val="0"/>
              <w:snapToGrid w:val="0"/>
              <w:ind w:left="-105" w:leftChars="-50" w:right="-105" w:rightChars="-50"/>
              <w:jc w:val="center"/>
              <w:rPr>
                <w:rFonts w:hint="default" w:ascii="Times New Roman" w:hAnsi="Times New Roman" w:eastAsia="宋体"/>
                <w:color w:val="auto"/>
                <w:sz w:val="23"/>
                <w:szCs w:val="23"/>
                <w:lang w:val="en-US" w:eastAsia="zh-CN"/>
              </w:rPr>
            </w:pPr>
            <w:r>
              <w:rPr>
                <w:rFonts w:hint="eastAsia" w:ascii="Times New Roman" w:hAnsi="Times New Roman"/>
                <w:color w:val="auto"/>
                <w:szCs w:val="21"/>
                <w:lang w:val="en-US" w:eastAsia="zh-CN"/>
              </w:rPr>
              <w:t>5.2</w:t>
            </w:r>
          </w:p>
        </w:tc>
        <w:tc>
          <w:tcPr>
            <w:tcW w:w="76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0.0003</w:t>
            </w:r>
          </w:p>
        </w:tc>
        <w:tc>
          <w:tcPr>
            <w:tcW w:w="79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0.0039</w:t>
            </w:r>
          </w:p>
        </w:tc>
        <w:tc>
          <w:tcPr>
            <w:tcW w:w="664" w:type="dxa"/>
            <w:vAlign w:val="center"/>
          </w:tcPr>
          <w:p>
            <w:pPr>
              <w:adjustRightInd w:val="0"/>
              <w:snapToGrid w:val="0"/>
              <w:ind w:left="-105" w:leftChars="-50" w:right="-105" w:rightChars="-50"/>
              <w:jc w:val="center"/>
              <w:rPr>
                <w:rFonts w:ascii="Times New Roman" w:hAnsi="Times New Roman"/>
                <w:sz w:val="23"/>
                <w:szCs w:val="23"/>
              </w:rPr>
            </w:pPr>
            <w:r>
              <w:rPr>
                <w:rFonts w:ascii="Times New Roman"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62" w:type="dxa"/>
            <w:vAlign w:val="center"/>
          </w:tcPr>
          <w:p>
            <w:pPr>
              <w:adjustRightInd w:val="0"/>
              <w:snapToGrid w:val="0"/>
              <w:ind w:left="-105" w:leftChars="-50" w:right="-105" w:rightChars="-50"/>
              <w:jc w:val="center"/>
              <w:rPr>
                <w:rFonts w:ascii="Times New Roman" w:hAnsi="Times New Roman"/>
                <w:bCs/>
                <w:szCs w:val="21"/>
              </w:rPr>
            </w:pPr>
            <w:r>
              <w:rPr>
                <w:rFonts w:hint="eastAsia" w:ascii="Times New Roman" w:hAnsi="Times New Roman"/>
                <w:szCs w:val="21"/>
              </w:rPr>
              <w:t>积粪场</w:t>
            </w:r>
          </w:p>
        </w:tc>
        <w:tc>
          <w:tcPr>
            <w:tcW w:w="106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105.920444</w:t>
            </w:r>
          </w:p>
        </w:tc>
        <w:tc>
          <w:tcPr>
            <w:tcW w:w="124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35.572244</w:t>
            </w:r>
          </w:p>
        </w:tc>
        <w:tc>
          <w:tcPr>
            <w:tcW w:w="843"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1839.00</w:t>
            </w:r>
          </w:p>
        </w:tc>
        <w:tc>
          <w:tcPr>
            <w:tcW w:w="1002"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5.00</w:t>
            </w:r>
          </w:p>
        </w:tc>
        <w:tc>
          <w:tcPr>
            <w:tcW w:w="810"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139.49</w:t>
            </w:r>
          </w:p>
        </w:tc>
        <w:tc>
          <w:tcPr>
            <w:tcW w:w="1020" w:type="dxa"/>
            <w:vAlign w:val="center"/>
          </w:tcPr>
          <w:p>
            <w:pPr>
              <w:adjustRightInd w:val="0"/>
              <w:snapToGrid w:val="0"/>
              <w:ind w:left="-105" w:leftChars="-50" w:right="-105" w:rightChars="-50"/>
              <w:jc w:val="center"/>
              <w:rPr>
                <w:rFonts w:hint="default" w:ascii="Times New Roman" w:hAnsi="Times New Roman" w:eastAsia="宋体"/>
                <w:color w:val="auto"/>
                <w:sz w:val="23"/>
                <w:szCs w:val="23"/>
                <w:lang w:val="en-US" w:eastAsia="zh-CN"/>
              </w:rPr>
            </w:pPr>
            <w:r>
              <w:rPr>
                <w:rFonts w:hint="eastAsia" w:ascii="Times New Roman" w:hAnsi="Times New Roman"/>
                <w:color w:val="auto"/>
                <w:szCs w:val="21"/>
                <w:lang w:val="en-US" w:eastAsia="zh-CN"/>
              </w:rPr>
              <w:t>8.4</w:t>
            </w:r>
          </w:p>
        </w:tc>
        <w:tc>
          <w:tcPr>
            <w:tcW w:w="76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0.0002</w:t>
            </w:r>
          </w:p>
        </w:tc>
        <w:tc>
          <w:tcPr>
            <w:tcW w:w="79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0.0010</w:t>
            </w:r>
          </w:p>
        </w:tc>
        <w:tc>
          <w:tcPr>
            <w:tcW w:w="664" w:type="dxa"/>
            <w:vAlign w:val="center"/>
          </w:tcPr>
          <w:p>
            <w:pPr>
              <w:adjustRightInd w:val="0"/>
              <w:snapToGrid w:val="0"/>
              <w:ind w:left="-105" w:leftChars="-50" w:right="-105" w:rightChars="-50"/>
              <w:jc w:val="center"/>
              <w:rPr>
                <w:rFonts w:ascii="Times New Roman" w:hAnsi="Times New Roman"/>
                <w:sz w:val="23"/>
                <w:szCs w:val="23"/>
              </w:rPr>
            </w:pPr>
            <w:r>
              <w:rPr>
                <w:rFonts w:ascii="Times New Roman"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62" w:type="dxa"/>
            <w:vAlign w:val="center"/>
          </w:tcPr>
          <w:p>
            <w:pPr>
              <w:adjustRightInd w:val="0"/>
              <w:snapToGrid w:val="0"/>
              <w:ind w:left="-105" w:leftChars="-50" w:right="-105" w:rightChars="-50"/>
              <w:jc w:val="center"/>
              <w:rPr>
                <w:rFonts w:ascii="Times New Roman" w:hAnsi="Times New Roman"/>
                <w:bCs/>
                <w:szCs w:val="21"/>
              </w:rPr>
            </w:pPr>
            <w:r>
              <w:rPr>
                <w:rFonts w:hint="eastAsia" w:ascii="Times New Roman" w:hAnsi="Times New Roman"/>
                <w:szCs w:val="21"/>
              </w:rPr>
              <w:t>饲草加工</w:t>
            </w:r>
          </w:p>
        </w:tc>
        <w:tc>
          <w:tcPr>
            <w:tcW w:w="106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105.920996</w:t>
            </w:r>
          </w:p>
        </w:tc>
        <w:tc>
          <w:tcPr>
            <w:tcW w:w="124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35.573422</w:t>
            </w:r>
          </w:p>
        </w:tc>
        <w:tc>
          <w:tcPr>
            <w:tcW w:w="843"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1820.00</w:t>
            </w:r>
          </w:p>
        </w:tc>
        <w:tc>
          <w:tcPr>
            <w:tcW w:w="1002"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5.00</w:t>
            </w:r>
          </w:p>
        </w:tc>
        <w:tc>
          <w:tcPr>
            <w:tcW w:w="810" w:type="dxa"/>
            <w:vAlign w:val="center"/>
          </w:tcPr>
          <w:p>
            <w:pPr>
              <w:adjustRightInd w:val="0"/>
              <w:snapToGrid w:val="0"/>
              <w:ind w:left="-105" w:leftChars="-50" w:right="-105" w:rightChars="-50"/>
              <w:jc w:val="center"/>
              <w:rPr>
                <w:rFonts w:ascii="Times New Roman" w:hAnsi="Times New Roman"/>
                <w:sz w:val="23"/>
                <w:szCs w:val="23"/>
              </w:rPr>
            </w:pPr>
            <w:r>
              <w:rPr>
                <w:rFonts w:ascii="Times New Roman" w:hAnsi="Times New Roman"/>
                <w:szCs w:val="21"/>
              </w:rPr>
              <w:t>35.15</w:t>
            </w:r>
          </w:p>
        </w:tc>
        <w:tc>
          <w:tcPr>
            <w:tcW w:w="1020" w:type="dxa"/>
            <w:vAlign w:val="center"/>
          </w:tcPr>
          <w:p>
            <w:pPr>
              <w:adjustRightInd w:val="0"/>
              <w:snapToGrid w:val="0"/>
              <w:ind w:left="-105" w:leftChars="-50" w:right="-105" w:rightChars="-50"/>
              <w:jc w:val="center"/>
              <w:rPr>
                <w:rFonts w:hint="default" w:ascii="Times New Roman" w:hAnsi="Times New Roman" w:eastAsia="宋体"/>
                <w:color w:val="auto"/>
                <w:sz w:val="23"/>
                <w:szCs w:val="23"/>
                <w:lang w:val="en-US" w:eastAsia="zh-CN"/>
              </w:rPr>
            </w:pPr>
            <w:r>
              <w:rPr>
                <w:rFonts w:hint="eastAsia" w:ascii="Times New Roman" w:hAnsi="Times New Roman"/>
                <w:color w:val="auto"/>
                <w:szCs w:val="21"/>
                <w:lang w:val="en-US" w:eastAsia="zh-CN"/>
              </w:rPr>
              <w:t>3.0</w:t>
            </w:r>
          </w:p>
        </w:tc>
        <w:tc>
          <w:tcPr>
            <w:tcW w:w="76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w:t>
            </w:r>
          </w:p>
        </w:tc>
        <w:tc>
          <w:tcPr>
            <w:tcW w:w="795"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w:t>
            </w:r>
          </w:p>
        </w:tc>
        <w:tc>
          <w:tcPr>
            <w:tcW w:w="664" w:type="dxa"/>
            <w:vAlign w:val="center"/>
          </w:tcPr>
          <w:p>
            <w:pPr>
              <w:adjustRightInd w:val="0"/>
              <w:snapToGrid w:val="0"/>
              <w:ind w:left="-105" w:leftChars="-50" w:right="-105" w:rightChars="-50"/>
              <w:jc w:val="center"/>
              <w:rPr>
                <w:rFonts w:ascii="Times New Roman" w:hAnsi="Times New Roman"/>
                <w:sz w:val="23"/>
                <w:szCs w:val="23"/>
              </w:rPr>
            </w:pPr>
            <w:r>
              <w:rPr>
                <w:rFonts w:hint="eastAsia" w:ascii="Times New Roman" w:hAnsi="Times New Roman"/>
                <w:szCs w:val="21"/>
              </w:rPr>
              <w:t>0.0002</w:t>
            </w:r>
          </w:p>
        </w:tc>
      </w:tr>
    </w:tbl>
    <w:p>
      <w:pPr>
        <w:adjustRightInd w:val="0"/>
        <w:snapToGrid w:val="0"/>
        <w:jc w:val="center"/>
        <w:rPr>
          <w:rFonts w:ascii="Times New Roman" w:hAnsi="Times New Roman"/>
          <w:b/>
          <w:sz w:val="24"/>
        </w:rPr>
      </w:pPr>
    </w:p>
    <w:p>
      <w:pPr>
        <w:adjustRightInd w:val="0"/>
        <w:snapToGrid w:val="0"/>
        <w:jc w:val="center"/>
        <w:rPr>
          <w:rFonts w:hint="eastAsia" w:ascii="Times New Roman" w:hAnsi="Times New Roman" w:eastAsia="宋体"/>
          <w:b/>
          <w:sz w:val="24"/>
          <w:highlight w:val="none"/>
          <w:lang w:eastAsia="zh-CN"/>
        </w:rPr>
      </w:pPr>
      <w:r>
        <w:rPr>
          <w:rFonts w:hint="eastAsia" w:ascii="Times New Roman" w:hAnsi="Times New Roman"/>
          <w:b/>
          <w:sz w:val="24"/>
          <w:highlight w:val="none"/>
        </w:rPr>
        <w:t xml:space="preserve">表1.5-4 </w:t>
      </w:r>
      <w:r>
        <w:rPr>
          <w:rFonts w:ascii="Times New Roman" w:hAnsi="Times New Roman"/>
          <w:b/>
          <w:bCs/>
          <w:sz w:val="24"/>
          <w:highlight w:val="none"/>
        </w:rPr>
        <w:t>AERSCREEN</w:t>
      </w:r>
      <w:r>
        <w:rPr>
          <w:rFonts w:ascii="宋体" w:hAnsi="宋体" w:cs="宋体"/>
          <w:b/>
          <w:bCs/>
          <w:sz w:val="24"/>
          <w:highlight w:val="none"/>
        </w:rPr>
        <w:t>估算模型参数表</w:t>
      </w:r>
    </w:p>
    <w:tbl>
      <w:tblPr>
        <w:tblStyle w:val="29"/>
        <w:tblW w:w="905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88"/>
        <w:gridCol w:w="2505"/>
        <w:gridCol w:w="1380"/>
        <w:gridCol w:w="34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93" w:type="dxa"/>
            <w:gridSpan w:val="2"/>
            <w:tcBorders>
              <w:tl2br w:val="nil"/>
              <w:tr2bl w:val="nil"/>
            </w:tcBorders>
            <w:vAlign w:val="center"/>
          </w:tcPr>
          <w:p>
            <w:pPr>
              <w:overflowPunct w:val="0"/>
              <w:adjustRightInd w:val="0"/>
              <w:snapToGrid w:val="0"/>
              <w:jc w:val="center"/>
              <w:rPr>
                <w:rFonts w:ascii="Times New Roman" w:hAnsi="Times New Roman"/>
                <w:bCs/>
                <w:snapToGrid w:val="0"/>
                <w:kern w:val="0"/>
              </w:rPr>
            </w:pPr>
            <w:bookmarkStart w:id="249" w:name="_Toc9982_WPSOffice_Level3"/>
            <w:bookmarkStart w:id="250" w:name="_Toc1996_WPSOffice_Level3"/>
            <w:r>
              <w:rPr>
                <w:rFonts w:ascii="Times New Roman" w:hAnsi="Times New Roman"/>
                <w:bCs/>
                <w:snapToGrid w:val="0"/>
                <w:kern w:val="0"/>
              </w:rPr>
              <w:t>参数</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取值</w:t>
            </w:r>
          </w:p>
        </w:tc>
        <w:tc>
          <w:tcPr>
            <w:tcW w:w="3480" w:type="dxa"/>
            <w:tcBorders>
              <w:tl2br w:val="nil"/>
              <w:tr2bl w:val="nil"/>
            </w:tcBorders>
            <w:vAlign w:val="center"/>
          </w:tcPr>
          <w:p>
            <w:pPr>
              <w:overflowPunct w:val="0"/>
              <w:adjustRightInd w:val="0"/>
              <w:snapToGrid w:val="0"/>
              <w:jc w:val="center"/>
              <w:rPr>
                <w:rFonts w:hint="eastAsia" w:ascii="Times New Roman" w:hAnsi="Times New Roman" w:eastAsia="宋体"/>
                <w:bCs/>
                <w:snapToGrid w:val="0"/>
                <w:kern w:val="0"/>
                <w:lang w:eastAsia="zh-CN"/>
              </w:rPr>
            </w:pPr>
            <w:r>
              <w:rPr>
                <w:rFonts w:hint="eastAsia" w:ascii="Times New Roman" w:hAnsi="Times New Roman"/>
                <w:bCs/>
                <w:snapToGrid w:val="0"/>
                <w:kern w:val="0"/>
                <w:lang w:eastAsia="zh-CN"/>
              </w:rPr>
              <w:t>数据来源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restart"/>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城市/农村选项</w:t>
            </w: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城市/农村</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农村</w:t>
            </w:r>
          </w:p>
        </w:tc>
        <w:tc>
          <w:tcPr>
            <w:tcW w:w="3480" w:type="dxa"/>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color w:val="FF0000"/>
                <w:kern w:val="0"/>
              </w:rPr>
            </w:pPr>
            <w:r>
              <w:rPr>
                <w:rFonts w:hint="default" w:ascii="Times New Roman" w:hAnsi="Times New Roman" w:eastAsia="宋体" w:cs="Times New Roman"/>
                <w:color w:val="FF0000"/>
                <w:sz w:val="21"/>
                <w:szCs w:val="21"/>
              </w:rPr>
              <w:t>根据调查，项目周边3km半径范围一半以上面积属于农村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continue"/>
            <w:tcBorders>
              <w:tl2br w:val="nil"/>
              <w:tr2bl w:val="nil"/>
            </w:tcBorders>
            <w:vAlign w:val="center"/>
          </w:tcPr>
          <w:p>
            <w:pPr>
              <w:overflowPunct w:val="0"/>
              <w:adjustRightInd w:val="0"/>
              <w:snapToGrid w:val="0"/>
              <w:jc w:val="center"/>
              <w:rPr>
                <w:rFonts w:ascii="Times New Roman" w:hAnsi="Times New Roman"/>
                <w:bCs/>
                <w:snapToGrid w:val="0"/>
                <w:kern w:val="0"/>
              </w:rPr>
            </w:pP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人口数(城市人口数)</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w:t>
            </w:r>
          </w:p>
        </w:tc>
        <w:tc>
          <w:tcPr>
            <w:tcW w:w="3480" w:type="dxa"/>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color w:val="FF0000"/>
                <w:kern w:val="0"/>
                <w:lang w:val="en-US" w:eastAsia="zh-CN"/>
              </w:rPr>
            </w:pPr>
            <w:r>
              <w:rPr>
                <w:rFonts w:hint="default" w:ascii="Times New Roman" w:hAnsi="Times New Roman" w:eastAsia="宋体" w:cs="Times New Roman"/>
                <w:bCs/>
                <w:snapToGrid w:val="0"/>
                <w:color w:val="FF0000"/>
                <w:kern w:val="0"/>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93" w:type="dxa"/>
            <w:gridSpan w:val="2"/>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最高环境温度</w:t>
            </w:r>
          </w:p>
        </w:tc>
        <w:tc>
          <w:tcPr>
            <w:tcW w:w="1380" w:type="dxa"/>
            <w:tcBorders>
              <w:tl2br w:val="nil"/>
              <w:tr2bl w:val="nil"/>
            </w:tcBorders>
            <w:vAlign w:val="center"/>
          </w:tcPr>
          <w:p>
            <w:pPr>
              <w:overflowPunct w:val="0"/>
              <w:adjustRightInd w:val="0"/>
              <w:snapToGrid w:val="0"/>
              <w:jc w:val="center"/>
              <w:rPr>
                <w:rFonts w:hint="default" w:ascii="Times New Roman" w:hAnsi="Times New Roman" w:eastAsia="宋体"/>
                <w:bCs/>
                <w:snapToGrid w:val="0"/>
                <w:kern w:val="0"/>
                <w:lang w:val="en-US" w:eastAsia="zh-CN"/>
              </w:rPr>
            </w:pPr>
            <w:r>
              <w:rPr>
                <w:rFonts w:hint="eastAsia" w:ascii="Times New Roman" w:hAnsi="Times New Roman"/>
                <w:bCs/>
                <w:snapToGrid w:val="0"/>
                <w:kern w:val="0"/>
                <w:lang w:val="en-US" w:eastAsia="zh-CN"/>
              </w:rPr>
              <w:t>30.6</w:t>
            </w:r>
          </w:p>
        </w:tc>
        <w:tc>
          <w:tcPr>
            <w:tcW w:w="3480" w:type="dxa"/>
            <w:vMerge w:val="restart"/>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color w:val="FF0000"/>
                <w:kern w:val="0"/>
                <w:lang w:val="en-US" w:eastAsia="zh-CN"/>
              </w:rPr>
            </w:pPr>
            <w:r>
              <w:rPr>
                <w:rFonts w:hint="default" w:ascii="Times New Roman" w:hAnsi="Times New Roman" w:eastAsia="宋体" w:cs="Times New Roman"/>
                <w:bCs/>
                <w:snapToGrid w:val="0"/>
                <w:color w:val="FF0000"/>
                <w:kern w:val="0"/>
                <w:lang w:eastAsia="zh-CN"/>
              </w:rPr>
              <w:t>隆德县</w:t>
            </w:r>
            <w:r>
              <w:rPr>
                <w:rFonts w:hint="default" w:ascii="Times New Roman" w:hAnsi="Times New Roman" w:eastAsia="宋体" w:cs="Times New Roman"/>
                <w:bCs/>
                <w:snapToGrid w:val="0"/>
                <w:color w:val="FF0000"/>
                <w:kern w:val="0"/>
                <w:lang w:val="en-US" w:eastAsia="zh-CN"/>
              </w:rPr>
              <w:t>2001-2020年气象统计数据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93" w:type="dxa"/>
            <w:gridSpan w:val="2"/>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最低环境温度</w:t>
            </w:r>
          </w:p>
        </w:tc>
        <w:tc>
          <w:tcPr>
            <w:tcW w:w="1380" w:type="dxa"/>
            <w:tcBorders>
              <w:tl2br w:val="nil"/>
              <w:tr2bl w:val="nil"/>
            </w:tcBorders>
            <w:vAlign w:val="center"/>
          </w:tcPr>
          <w:p>
            <w:pPr>
              <w:overflowPunct w:val="0"/>
              <w:adjustRightInd w:val="0"/>
              <w:snapToGrid w:val="0"/>
              <w:jc w:val="center"/>
              <w:rPr>
                <w:rFonts w:hint="default" w:ascii="Times New Roman" w:hAnsi="Times New Roman" w:eastAsia="宋体"/>
                <w:bCs/>
                <w:snapToGrid w:val="0"/>
                <w:kern w:val="0"/>
                <w:lang w:val="en-US" w:eastAsia="zh-CN"/>
              </w:rPr>
            </w:pPr>
            <w:r>
              <w:rPr>
                <w:rFonts w:ascii="Times New Roman" w:hAnsi="Times New Roman"/>
                <w:bCs/>
                <w:snapToGrid w:val="0"/>
                <w:kern w:val="0"/>
              </w:rPr>
              <w:t>-</w:t>
            </w:r>
            <w:r>
              <w:rPr>
                <w:rFonts w:hint="eastAsia" w:ascii="Times New Roman" w:hAnsi="Times New Roman"/>
                <w:bCs/>
                <w:snapToGrid w:val="0"/>
                <w:kern w:val="0"/>
                <w:lang w:val="en-US" w:eastAsia="zh-CN"/>
              </w:rPr>
              <w:t>25.5</w:t>
            </w:r>
          </w:p>
        </w:tc>
        <w:tc>
          <w:tcPr>
            <w:tcW w:w="3480" w:type="dxa"/>
            <w:vMerge w:val="continue"/>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color w:val="FF0000"/>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93" w:type="dxa"/>
            <w:gridSpan w:val="2"/>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土地利用类型</w:t>
            </w:r>
          </w:p>
        </w:tc>
        <w:tc>
          <w:tcPr>
            <w:tcW w:w="1380" w:type="dxa"/>
            <w:tcBorders>
              <w:tl2br w:val="nil"/>
              <w:tr2bl w:val="nil"/>
            </w:tcBorders>
            <w:vAlign w:val="center"/>
          </w:tcPr>
          <w:p>
            <w:pPr>
              <w:overflowPunct w:val="0"/>
              <w:adjustRightInd w:val="0"/>
              <w:snapToGrid w:val="0"/>
              <w:jc w:val="center"/>
              <w:rPr>
                <w:rFonts w:hint="eastAsia" w:ascii="Times New Roman" w:hAnsi="Times New Roman" w:eastAsia="宋体"/>
                <w:bCs/>
                <w:snapToGrid w:val="0"/>
                <w:kern w:val="0"/>
                <w:lang w:eastAsia="zh-CN"/>
              </w:rPr>
            </w:pPr>
            <w:r>
              <w:rPr>
                <w:rFonts w:hint="eastAsia" w:ascii="Times New Roman" w:hAnsi="Times New Roman"/>
                <w:bCs/>
                <w:snapToGrid w:val="0"/>
                <w:kern w:val="0"/>
                <w:lang w:eastAsia="zh-CN"/>
              </w:rPr>
              <w:t>农用地</w:t>
            </w:r>
          </w:p>
        </w:tc>
        <w:tc>
          <w:tcPr>
            <w:tcW w:w="3480" w:type="dxa"/>
            <w:tcBorders>
              <w:tl2br w:val="nil"/>
              <w:tr2bl w:val="nil"/>
            </w:tcBorders>
            <w:vAlign w:val="center"/>
          </w:tcPr>
          <w:p>
            <w:pPr>
              <w:overflowPunct w:val="0"/>
              <w:adjustRightInd w:val="0"/>
              <w:snapToGrid w:val="0"/>
              <w:jc w:val="left"/>
              <w:rPr>
                <w:rFonts w:hint="default" w:ascii="Times New Roman" w:hAnsi="Times New Roman" w:eastAsia="宋体" w:cs="Times New Roman"/>
                <w:bCs/>
                <w:snapToGrid w:val="0"/>
                <w:color w:val="FF0000"/>
                <w:kern w:val="0"/>
                <w:lang w:eastAsia="zh-CN"/>
              </w:rPr>
            </w:pPr>
            <w:r>
              <w:rPr>
                <w:rFonts w:hint="default" w:ascii="Times New Roman" w:hAnsi="Times New Roman" w:eastAsia="宋体" w:cs="Times New Roman"/>
                <w:color w:val="FF0000"/>
                <w:sz w:val="21"/>
                <w:szCs w:val="21"/>
              </w:rPr>
              <w:t>根据调查，项目周边3km半径范围土地利用类型依次为农田(65.74%)、草地(30.70%)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93" w:type="dxa"/>
            <w:gridSpan w:val="2"/>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区域湿度条件</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中等湿度</w:t>
            </w:r>
          </w:p>
        </w:tc>
        <w:tc>
          <w:tcPr>
            <w:tcW w:w="3480" w:type="dxa"/>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color w:val="FF0000"/>
                <w:kern w:val="0"/>
              </w:rPr>
            </w:pPr>
            <w:r>
              <w:rPr>
                <w:rFonts w:hint="default" w:ascii="Times New Roman" w:hAnsi="Times New Roman" w:eastAsia="宋体" w:cs="Times New Roman"/>
                <w:color w:val="FF0000"/>
                <w:sz w:val="21"/>
                <w:szCs w:val="21"/>
              </w:rPr>
              <w:t>中国干湿地区划分图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restart"/>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是否考虑地形</w:t>
            </w: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考虑地形</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是</w:t>
            </w:r>
          </w:p>
        </w:tc>
        <w:tc>
          <w:tcPr>
            <w:tcW w:w="3480" w:type="dxa"/>
            <w:vMerge w:val="restart"/>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color w:val="FF0000"/>
                <w:kern w:val="0"/>
                <w:lang w:eastAsia="zh-CN"/>
              </w:rPr>
            </w:pPr>
            <w:r>
              <w:rPr>
                <w:rFonts w:hint="default" w:ascii="Times New Roman" w:hAnsi="Times New Roman" w:eastAsia="宋体" w:cs="Times New Roman"/>
                <w:bCs/>
                <w:snapToGrid w:val="0"/>
                <w:color w:val="FF0000"/>
                <w:kern w:val="0"/>
                <w:lang w:eastAsia="zh-CN"/>
              </w:rPr>
              <w:t>报告书选择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continue"/>
            <w:tcBorders>
              <w:tl2br w:val="nil"/>
              <w:tr2bl w:val="nil"/>
            </w:tcBorders>
            <w:vAlign w:val="center"/>
          </w:tcPr>
          <w:p>
            <w:pPr>
              <w:overflowPunct w:val="0"/>
              <w:adjustRightInd w:val="0"/>
              <w:snapToGrid w:val="0"/>
              <w:jc w:val="center"/>
              <w:rPr>
                <w:rFonts w:ascii="Times New Roman" w:hAnsi="Times New Roman"/>
                <w:bCs/>
                <w:snapToGrid w:val="0"/>
                <w:kern w:val="0"/>
              </w:rPr>
            </w:pP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地形数据分辨率(m)</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90</w:t>
            </w:r>
          </w:p>
        </w:tc>
        <w:tc>
          <w:tcPr>
            <w:tcW w:w="3480" w:type="dxa"/>
            <w:vMerge w:val="continue"/>
            <w:tcBorders>
              <w:tl2br w:val="nil"/>
              <w:tr2bl w:val="nil"/>
            </w:tcBorders>
            <w:vAlign w:val="center"/>
          </w:tcPr>
          <w:p>
            <w:pPr>
              <w:overflowPunct w:val="0"/>
              <w:adjustRightInd w:val="0"/>
              <w:snapToGrid w:val="0"/>
              <w:jc w:val="center"/>
              <w:rPr>
                <w:rFonts w:ascii="Times New Roman" w:hAnsi="Times New Roman"/>
                <w:bCs/>
                <w:snapToGrid w:val="0"/>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restart"/>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是否考虑岸线熏烟</w:t>
            </w: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考虑岸线熏烟</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否</w:t>
            </w:r>
          </w:p>
        </w:tc>
        <w:tc>
          <w:tcPr>
            <w:tcW w:w="3480" w:type="dxa"/>
            <w:tcBorders>
              <w:tl2br w:val="nil"/>
              <w:tr2bl w:val="nil"/>
            </w:tcBorders>
            <w:vAlign w:val="center"/>
          </w:tcPr>
          <w:p>
            <w:pPr>
              <w:overflowPunct w:val="0"/>
              <w:adjustRightInd w:val="0"/>
              <w:snapToGrid w:val="0"/>
              <w:jc w:val="center"/>
              <w:rPr>
                <w:rFonts w:hint="eastAsia" w:ascii="Times New Roman" w:hAnsi="Times New Roman" w:eastAsia="宋体"/>
                <w:bCs/>
                <w:snapToGrid w:val="0"/>
                <w:kern w:val="0"/>
                <w:lang w:val="en-US" w:eastAsia="zh-CN"/>
              </w:rPr>
            </w:pPr>
            <w:r>
              <w:rPr>
                <w:rFonts w:hint="eastAsia" w:ascii="Times New Roman" w:hAnsi="Times New Roman"/>
                <w:bCs/>
                <w:snapToGrid w:val="0"/>
                <w:kern w:val="0"/>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continue"/>
            <w:tcBorders>
              <w:tl2br w:val="nil"/>
              <w:tr2bl w:val="nil"/>
            </w:tcBorders>
            <w:vAlign w:val="center"/>
          </w:tcPr>
          <w:p>
            <w:pPr>
              <w:overflowPunct w:val="0"/>
              <w:adjustRightInd w:val="0"/>
              <w:snapToGrid w:val="0"/>
              <w:jc w:val="center"/>
              <w:rPr>
                <w:rFonts w:ascii="Times New Roman" w:hAnsi="Times New Roman"/>
                <w:bCs/>
                <w:snapToGrid w:val="0"/>
                <w:kern w:val="0"/>
              </w:rPr>
            </w:pP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岸线距离/m</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w:t>
            </w:r>
          </w:p>
        </w:tc>
        <w:tc>
          <w:tcPr>
            <w:tcW w:w="3480" w:type="dxa"/>
            <w:tcBorders>
              <w:tl2br w:val="nil"/>
              <w:tr2bl w:val="nil"/>
            </w:tcBorders>
            <w:vAlign w:val="center"/>
          </w:tcPr>
          <w:p>
            <w:pPr>
              <w:overflowPunct w:val="0"/>
              <w:adjustRightInd w:val="0"/>
              <w:snapToGrid w:val="0"/>
              <w:jc w:val="center"/>
              <w:rPr>
                <w:rFonts w:hint="eastAsia" w:ascii="Times New Roman" w:hAnsi="Times New Roman" w:eastAsia="宋体"/>
                <w:bCs/>
                <w:snapToGrid w:val="0"/>
                <w:kern w:val="0"/>
                <w:lang w:val="en-US" w:eastAsia="zh-CN"/>
              </w:rPr>
            </w:pPr>
            <w:r>
              <w:rPr>
                <w:rFonts w:hint="eastAsia" w:ascii="Times New Roman" w:hAnsi="Times New Roman"/>
                <w:bCs/>
                <w:snapToGrid w:val="0"/>
                <w:kern w:val="0"/>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continue"/>
            <w:tcBorders>
              <w:tl2br w:val="nil"/>
              <w:tr2bl w:val="nil"/>
            </w:tcBorders>
            <w:vAlign w:val="center"/>
          </w:tcPr>
          <w:p>
            <w:pPr>
              <w:overflowPunct w:val="0"/>
              <w:adjustRightInd w:val="0"/>
              <w:snapToGrid w:val="0"/>
              <w:jc w:val="center"/>
              <w:rPr>
                <w:rFonts w:ascii="Times New Roman" w:hAnsi="Times New Roman"/>
                <w:bCs/>
                <w:snapToGrid w:val="0"/>
                <w:kern w:val="0"/>
              </w:rPr>
            </w:pP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岸线方向/°</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w:t>
            </w:r>
          </w:p>
        </w:tc>
        <w:tc>
          <w:tcPr>
            <w:tcW w:w="3480" w:type="dxa"/>
            <w:tcBorders>
              <w:tl2br w:val="nil"/>
              <w:tr2bl w:val="nil"/>
            </w:tcBorders>
            <w:vAlign w:val="center"/>
          </w:tcPr>
          <w:p>
            <w:pPr>
              <w:overflowPunct w:val="0"/>
              <w:adjustRightInd w:val="0"/>
              <w:snapToGrid w:val="0"/>
              <w:jc w:val="center"/>
              <w:rPr>
                <w:rFonts w:hint="eastAsia" w:ascii="Times New Roman" w:hAnsi="Times New Roman" w:eastAsia="宋体"/>
                <w:bCs/>
                <w:snapToGrid w:val="0"/>
                <w:kern w:val="0"/>
                <w:lang w:val="en-US" w:eastAsia="zh-CN"/>
              </w:rPr>
            </w:pPr>
            <w:r>
              <w:rPr>
                <w:rFonts w:hint="eastAsia" w:ascii="Times New Roman" w:hAnsi="Times New Roman"/>
                <w:bCs/>
                <w:snapToGrid w:val="0"/>
                <w:kern w:val="0"/>
                <w:lang w:val="en-US" w:eastAsia="zh-CN"/>
              </w:rPr>
              <w:t>/</w:t>
            </w:r>
          </w:p>
        </w:tc>
      </w:tr>
    </w:tbl>
    <w:p>
      <w:pPr>
        <w:adjustRightInd w:val="0"/>
        <w:snapToGrid w:val="0"/>
        <w:spacing w:line="540" w:lineRule="exact"/>
        <w:ind w:firstLine="480" w:firstLineChars="200"/>
        <w:rPr>
          <w:rFonts w:ascii="Times New Roman" w:hAnsi="Times New Roman"/>
          <w:b/>
          <w:sz w:val="24"/>
        </w:rPr>
      </w:pPr>
      <w:r>
        <w:rPr>
          <w:rFonts w:ascii="Times New Roman" w:hAnsi="Times New Roman"/>
          <w:sz w:val="24"/>
          <w:szCs w:val="32"/>
        </w:rPr>
        <w:t>本项目所有污染源的正常排放的污染物的P</w:t>
      </w:r>
      <w:r>
        <w:rPr>
          <w:rFonts w:ascii="Times New Roman" w:hAnsi="Times New Roman"/>
          <w:sz w:val="24"/>
          <w:szCs w:val="32"/>
          <w:vertAlign w:val="subscript"/>
        </w:rPr>
        <w:t>max</w:t>
      </w:r>
      <w:r>
        <w:rPr>
          <w:rFonts w:ascii="Times New Roman" w:hAnsi="Times New Roman"/>
          <w:sz w:val="24"/>
          <w:szCs w:val="32"/>
        </w:rPr>
        <w:t>和D</w:t>
      </w:r>
      <w:r>
        <w:rPr>
          <w:rFonts w:ascii="Times New Roman" w:hAnsi="Times New Roman"/>
          <w:sz w:val="24"/>
          <w:szCs w:val="32"/>
          <w:vertAlign w:val="subscript"/>
        </w:rPr>
        <w:t>10%</w:t>
      </w:r>
      <w:r>
        <w:rPr>
          <w:rFonts w:ascii="Times New Roman" w:hAnsi="Times New Roman"/>
          <w:sz w:val="24"/>
          <w:szCs w:val="32"/>
        </w:rPr>
        <w:t>预测结果如下：</w:t>
      </w:r>
    </w:p>
    <w:p>
      <w:pPr>
        <w:adjustRightInd w:val="0"/>
        <w:snapToGrid w:val="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.5-</w:t>
      </w:r>
      <w:r>
        <w:rPr>
          <w:rFonts w:hint="eastAsia" w:ascii="Times New Roman" w:hAnsi="Times New Roman"/>
          <w:b/>
          <w:sz w:val="24"/>
        </w:rPr>
        <w:t>5</w:t>
      </w:r>
      <w:r>
        <w:rPr>
          <w:rFonts w:ascii="Times New Roman" w:hAnsi="Times New Roman"/>
          <w:b/>
          <w:sz w:val="24"/>
        </w:rPr>
        <w:t xml:space="preserve"> Pmax和D10%预测和计算结果一览表</w:t>
      </w:r>
    </w:p>
    <w:bookmarkEnd w:id="249"/>
    <w:bookmarkEnd w:id="250"/>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819"/>
        <w:gridCol w:w="1483"/>
        <w:gridCol w:w="1828"/>
        <w:gridCol w:w="1651"/>
        <w:gridCol w:w="1143"/>
        <w:gridCol w:w="1147"/>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19" w:type="dxa"/>
            <w:vAlign w:val="center"/>
          </w:tcPr>
          <w:p>
            <w:pPr>
              <w:jc w:val="center"/>
              <w:rPr>
                <w:rFonts w:ascii="Times New Roman" w:hAnsi="Times New Roman"/>
                <w:bCs/>
                <w:szCs w:val="21"/>
              </w:rPr>
            </w:pPr>
            <w:r>
              <w:rPr>
                <w:rFonts w:ascii="宋体" w:hAnsi="宋体"/>
                <w:szCs w:val="21"/>
              </w:rPr>
              <w:t>污染源名称</w:t>
            </w:r>
          </w:p>
        </w:tc>
        <w:tc>
          <w:tcPr>
            <w:tcW w:w="1483" w:type="dxa"/>
            <w:vAlign w:val="center"/>
          </w:tcPr>
          <w:p>
            <w:pPr>
              <w:jc w:val="center"/>
              <w:rPr>
                <w:rFonts w:ascii="Times New Roman" w:hAnsi="Times New Roman"/>
                <w:bCs/>
                <w:szCs w:val="21"/>
              </w:rPr>
            </w:pPr>
            <w:r>
              <w:rPr>
                <w:rFonts w:ascii="宋体" w:hAnsi="宋体"/>
                <w:szCs w:val="21"/>
              </w:rPr>
              <w:t>评价因子</w:t>
            </w:r>
          </w:p>
        </w:tc>
        <w:tc>
          <w:tcPr>
            <w:tcW w:w="1828" w:type="dxa"/>
            <w:vAlign w:val="center"/>
          </w:tcPr>
          <w:p>
            <w:pPr>
              <w:jc w:val="center"/>
              <w:rPr>
                <w:rFonts w:ascii="Times New Roman" w:hAnsi="Times New Roman"/>
                <w:bCs/>
                <w:szCs w:val="21"/>
              </w:rPr>
            </w:pPr>
            <w:r>
              <w:rPr>
                <w:rFonts w:ascii="宋体" w:hAnsi="宋体"/>
                <w:szCs w:val="21"/>
              </w:rPr>
              <w:t>评价标准(μg/m³)</w:t>
            </w:r>
          </w:p>
        </w:tc>
        <w:tc>
          <w:tcPr>
            <w:tcW w:w="1651" w:type="dxa"/>
            <w:vAlign w:val="center"/>
          </w:tcPr>
          <w:p>
            <w:pPr>
              <w:jc w:val="center"/>
              <w:rPr>
                <w:rFonts w:ascii="Times New Roman" w:hAnsi="Times New Roman"/>
                <w:sz w:val="23"/>
                <w:szCs w:val="23"/>
              </w:rPr>
            </w:pPr>
            <w:r>
              <w:rPr>
                <w:rFonts w:ascii="Times New Roman" w:hAnsi="Times New Roman"/>
                <w:sz w:val="23"/>
                <w:szCs w:val="23"/>
              </w:rPr>
              <w:t>Cmax(μg/m³)</w:t>
            </w:r>
          </w:p>
        </w:tc>
        <w:tc>
          <w:tcPr>
            <w:tcW w:w="1143" w:type="dxa"/>
            <w:vAlign w:val="center"/>
          </w:tcPr>
          <w:p>
            <w:pPr>
              <w:jc w:val="center"/>
              <w:rPr>
                <w:rFonts w:ascii="Times New Roman" w:hAnsi="Times New Roman"/>
                <w:sz w:val="23"/>
                <w:szCs w:val="23"/>
              </w:rPr>
            </w:pPr>
            <w:r>
              <w:rPr>
                <w:rFonts w:ascii="Times New Roman" w:hAnsi="Times New Roman"/>
                <w:sz w:val="23"/>
                <w:szCs w:val="23"/>
              </w:rPr>
              <w:t>Pmax(%)</w:t>
            </w:r>
          </w:p>
        </w:tc>
        <w:tc>
          <w:tcPr>
            <w:tcW w:w="1147" w:type="dxa"/>
            <w:vAlign w:val="center"/>
          </w:tcPr>
          <w:p>
            <w:pPr>
              <w:jc w:val="center"/>
              <w:rPr>
                <w:rFonts w:ascii="Times New Roman" w:hAnsi="Times New Roman"/>
                <w:sz w:val="23"/>
                <w:szCs w:val="23"/>
              </w:rPr>
            </w:pPr>
            <w:r>
              <w:rPr>
                <w:rFonts w:ascii="Times New Roman" w:hAnsi="Times New Roman"/>
                <w:sz w:val="23"/>
                <w:szCs w:val="23"/>
              </w:rPr>
              <w:t>D10%(m)</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19" w:type="dxa"/>
            <w:vMerge w:val="restart"/>
            <w:vAlign w:val="center"/>
          </w:tcPr>
          <w:p>
            <w:pPr>
              <w:jc w:val="center"/>
              <w:rPr>
                <w:rFonts w:ascii="Times New Roman" w:hAnsi="Times New Roman"/>
                <w:szCs w:val="21"/>
              </w:rPr>
            </w:pPr>
            <w:r>
              <w:rPr>
                <w:rFonts w:hint="eastAsia" w:ascii="宋体" w:hAnsi="宋体"/>
                <w:szCs w:val="21"/>
              </w:rPr>
              <w:t>积</w:t>
            </w:r>
            <w:r>
              <w:rPr>
                <w:rFonts w:ascii="宋体" w:hAnsi="宋体"/>
                <w:szCs w:val="21"/>
              </w:rPr>
              <w:t>粪场</w:t>
            </w:r>
          </w:p>
        </w:tc>
        <w:tc>
          <w:tcPr>
            <w:tcW w:w="1483" w:type="dxa"/>
            <w:vAlign w:val="center"/>
          </w:tcPr>
          <w:p>
            <w:pPr>
              <w:jc w:val="center"/>
              <w:rPr>
                <w:rFonts w:ascii="Times New Roman" w:hAnsi="Times New Roman"/>
                <w:szCs w:val="21"/>
              </w:rPr>
            </w:pPr>
            <w:r>
              <w:rPr>
                <w:rFonts w:ascii="Times New Roman" w:hAnsi="Times New Roman"/>
                <w:szCs w:val="21"/>
              </w:rPr>
              <w:t>NH</w:t>
            </w:r>
            <w:r>
              <w:rPr>
                <w:rFonts w:ascii="Times New Roman" w:hAnsi="Times New Roman"/>
                <w:szCs w:val="21"/>
                <w:vertAlign w:val="subscript"/>
              </w:rPr>
              <w:t>3</w:t>
            </w:r>
          </w:p>
        </w:tc>
        <w:tc>
          <w:tcPr>
            <w:tcW w:w="1828" w:type="dxa"/>
            <w:vAlign w:val="center"/>
          </w:tcPr>
          <w:p>
            <w:pPr>
              <w:jc w:val="center"/>
              <w:rPr>
                <w:rFonts w:ascii="Times New Roman" w:hAnsi="Times New Roman"/>
                <w:szCs w:val="21"/>
              </w:rPr>
            </w:pPr>
            <w:r>
              <w:rPr>
                <w:rFonts w:ascii="Times New Roman" w:hAnsi="Times New Roman"/>
                <w:szCs w:val="21"/>
              </w:rPr>
              <w:t>200.0</w:t>
            </w:r>
          </w:p>
        </w:tc>
        <w:tc>
          <w:tcPr>
            <w:tcW w:w="1651" w:type="dxa"/>
            <w:vAlign w:val="center"/>
          </w:tcPr>
          <w:p>
            <w:pPr>
              <w:jc w:val="center"/>
              <w:rPr>
                <w:rFonts w:ascii="Times New Roman" w:hAnsi="Times New Roman"/>
                <w:szCs w:val="21"/>
              </w:rPr>
            </w:pPr>
            <w:r>
              <w:rPr>
                <w:rFonts w:hint="eastAsia" w:ascii="Times New Roman" w:hAnsi="Times New Roman"/>
                <w:szCs w:val="21"/>
              </w:rPr>
              <w:t>1.1755</w:t>
            </w:r>
          </w:p>
        </w:tc>
        <w:tc>
          <w:tcPr>
            <w:tcW w:w="1143" w:type="dxa"/>
            <w:vAlign w:val="center"/>
          </w:tcPr>
          <w:p>
            <w:pPr>
              <w:jc w:val="center"/>
              <w:rPr>
                <w:rFonts w:ascii="Times New Roman" w:hAnsi="Times New Roman"/>
                <w:szCs w:val="21"/>
              </w:rPr>
            </w:pPr>
            <w:r>
              <w:rPr>
                <w:rFonts w:hint="eastAsia" w:ascii="Times New Roman" w:hAnsi="Times New Roman"/>
                <w:szCs w:val="21"/>
              </w:rPr>
              <w:t>0.5877</w:t>
            </w:r>
          </w:p>
        </w:tc>
        <w:tc>
          <w:tcPr>
            <w:tcW w:w="1147" w:type="dxa"/>
            <w:vAlign w:val="center"/>
          </w:tcPr>
          <w:p>
            <w:pPr>
              <w:jc w:val="center"/>
              <w:rPr>
                <w:rFonts w:ascii="Times New Roman" w:hAnsi="Times New Roman"/>
                <w:sz w:val="23"/>
                <w:szCs w:val="23"/>
              </w:rPr>
            </w:pPr>
            <w:r>
              <w:rPr>
                <w:rFonts w:ascii="Times New Roman" w:hAnsi="Times New Roman"/>
                <w:sz w:val="23"/>
                <w:szCs w:val="23"/>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819" w:type="dxa"/>
            <w:vMerge w:val="continue"/>
            <w:vAlign w:val="center"/>
          </w:tcPr>
          <w:p>
            <w:pPr>
              <w:jc w:val="center"/>
              <w:rPr>
                <w:rFonts w:ascii="Times New Roman" w:hAnsi="Times New Roman"/>
                <w:szCs w:val="21"/>
              </w:rPr>
            </w:pPr>
          </w:p>
        </w:tc>
        <w:tc>
          <w:tcPr>
            <w:tcW w:w="1483" w:type="dxa"/>
            <w:vAlign w:val="center"/>
          </w:tcPr>
          <w:p>
            <w:pPr>
              <w:jc w:val="center"/>
              <w:rPr>
                <w:rFonts w:ascii="Times New Roman" w:hAnsi="Times New Roman"/>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1828" w:type="dxa"/>
            <w:vAlign w:val="center"/>
          </w:tcPr>
          <w:p>
            <w:pPr>
              <w:jc w:val="center"/>
              <w:rPr>
                <w:rFonts w:ascii="Times New Roman" w:hAnsi="Times New Roman"/>
                <w:szCs w:val="21"/>
              </w:rPr>
            </w:pPr>
            <w:r>
              <w:rPr>
                <w:rFonts w:ascii="Times New Roman" w:hAnsi="Times New Roman"/>
                <w:szCs w:val="21"/>
              </w:rPr>
              <w:t>0.2283</w:t>
            </w:r>
          </w:p>
        </w:tc>
        <w:tc>
          <w:tcPr>
            <w:tcW w:w="1651" w:type="dxa"/>
            <w:vAlign w:val="center"/>
          </w:tcPr>
          <w:p>
            <w:pPr>
              <w:jc w:val="center"/>
              <w:rPr>
                <w:rFonts w:ascii="Times New Roman" w:hAnsi="Times New Roman"/>
                <w:szCs w:val="21"/>
              </w:rPr>
            </w:pPr>
            <w:r>
              <w:rPr>
                <w:rFonts w:ascii="Times New Roman" w:hAnsi="Times New Roman"/>
                <w:szCs w:val="21"/>
              </w:rPr>
              <w:t>0.2283</w:t>
            </w:r>
          </w:p>
        </w:tc>
        <w:tc>
          <w:tcPr>
            <w:tcW w:w="1143" w:type="dxa"/>
            <w:vAlign w:val="center"/>
          </w:tcPr>
          <w:p>
            <w:pPr>
              <w:jc w:val="center"/>
              <w:rPr>
                <w:rFonts w:ascii="Times New Roman" w:hAnsi="Times New Roman"/>
                <w:szCs w:val="21"/>
              </w:rPr>
            </w:pPr>
            <w:r>
              <w:rPr>
                <w:rFonts w:ascii="Times New Roman" w:hAnsi="Times New Roman"/>
                <w:szCs w:val="21"/>
              </w:rPr>
              <w:t>2.2825</w:t>
            </w:r>
          </w:p>
        </w:tc>
        <w:tc>
          <w:tcPr>
            <w:tcW w:w="1147" w:type="dxa"/>
            <w:vAlign w:val="center"/>
          </w:tcPr>
          <w:p>
            <w:pPr>
              <w:jc w:val="center"/>
              <w:rPr>
                <w:rFonts w:ascii="Times New Roman" w:hAnsi="Times New Roman"/>
                <w:sz w:val="23"/>
                <w:szCs w:val="23"/>
              </w:rPr>
            </w:pPr>
            <w:r>
              <w:rPr>
                <w:rFonts w:ascii="Times New Roman" w:hAnsi="Times New Roman"/>
                <w:sz w:val="23"/>
                <w:szCs w:val="23"/>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19" w:type="dxa"/>
            <w:vMerge w:val="restart"/>
            <w:vAlign w:val="center"/>
          </w:tcPr>
          <w:p>
            <w:pPr>
              <w:jc w:val="center"/>
              <w:rPr>
                <w:rFonts w:ascii="Times New Roman" w:hAnsi="Times New Roman"/>
                <w:szCs w:val="21"/>
              </w:rPr>
            </w:pPr>
            <w:r>
              <w:rPr>
                <w:rFonts w:ascii="宋体" w:hAnsi="宋体"/>
                <w:szCs w:val="21"/>
              </w:rPr>
              <w:t>牛棚</w:t>
            </w:r>
          </w:p>
        </w:tc>
        <w:tc>
          <w:tcPr>
            <w:tcW w:w="1483" w:type="dxa"/>
            <w:vAlign w:val="center"/>
          </w:tcPr>
          <w:p>
            <w:pPr>
              <w:jc w:val="center"/>
              <w:rPr>
                <w:rFonts w:ascii="Times New Roman" w:hAnsi="Times New Roman"/>
                <w:szCs w:val="21"/>
              </w:rPr>
            </w:pPr>
            <w:r>
              <w:rPr>
                <w:rFonts w:ascii="Times New Roman" w:hAnsi="Times New Roman"/>
                <w:szCs w:val="21"/>
              </w:rPr>
              <w:t>NH</w:t>
            </w:r>
            <w:r>
              <w:rPr>
                <w:rFonts w:ascii="Times New Roman" w:hAnsi="Times New Roman"/>
                <w:szCs w:val="21"/>
                <w:vertAlign w:val="subscript"/>
              </w:rPr>
              <w:t>3</w:t>
            </w:r>
          </w:p>
        </w:tc>
        <w:tc>
          <w:tcPr>
            <w:tcW w:w="1828" w:type="dxa"/>
            <w:vAlign w:val="center"/>
          </w:tcPr>
          <w:p>
            <w:pPr>
              <w:jc w:val="center"/>
              <w:rPr>
                <w:rFonts w:ascii="Times New Roman" w:hAnsi="Times New Roman"/>
                <w:szCs w:val="21"/>
              </w:rPr>
            </w:pPr>
            <w:r>
              <w:rPr>
                <w:rFonts w:ascii="Times New Roman" w:hAnsi="Times New Roman"/>
                <w:szCs w:val="21"/>
              </w:rPr>
              <w:t>4.3683</w:t>
            </w:r>
          </w:p>
        </w:tc>
        <w:tc>
          <w:tcPr>
            <w:tcW w:w="1651" w:type="dxa"/>
            <w:vAlign w:val="center"/>
          </w:tcPr>
          <w:p>
            <w:pPr>
              <w:jc w:val="center"/>
              <w:rPr>
                <w:rFonts w:ascii="Times New Roman" w:hAnsi="Times New Roman"/>
                <w:szCs w:val="21"/>
              </w:rPr>
            </w:pPr>
            <w:r>
              <w:rPr>
                <w:rFonts w:ascii="Times New Roman" w:hAnsi="Times New Roman"/>
                <w:szCs w:val="21"/>
              </w:rPr>
              <w:t>4.3683</w:t>
            </w:r>
          </w:p>
        </w:tc>
        <w:tc>
          <w:tcPr>
            <w:tcW w:w="1143" w:type="dxa"/>
            <w:vAlign w:val="center"/>
          </w:tcPr>
          <w:p>
            <w:pPr>
              <w:jc w:val="center"/>
              <w:rPr>
                <w:rFonts w:ascii="Times New Roman" w:hAnsi="Times New Roman"/>
                <w:szCs w:val="21"/>
              </w:rPr>
            </w:pPr>
            <w:r>
              <w:rPr>
                <w:rFonts w:ascii="Times New Roman" w:hAnsi="Times New Roman"/>
                <w:szCs w:val="21"/>
              </w:rPr>
              <w:t>2.1841</w:t>
            </w:r>
          </w:p>
        </w:tc>
        <w:tc>
          <w:tcPr>
            <w:tcW w:w="1147" w:type="dxa"/>
            <w:vAlign w:val="center"/>
          </w:tcPr>
          <w:p>
            <w:pPr>
              <w:jc w:val="center"/>
              <w:rPr>
                <w:rFonts w:ascii="Times New Roman" w:hAnsi="Times New Roman"/>
                <w:sz w:val="23"/>
                <w:szCs w:val="23"/>
              </w:rPr>
            </w:pPr>
            <w:r>
              <w:rPr>
                <w:rFonts w:ascii="Times New Roman" w:hAnsi="Times New Roman"/>
                <w:sz w:val="23"/>
                <w:szCs w:val="23"/>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19" w:type="dxa"/>
            <w:vMerge w:val="continue"/>
            <w:vAlign w:val="center"/>
          </w:tcPr>
          <w:p>
            <w:pPr>
              <w:jc w:val="center"/>
              <w:rPr>
                <w:rFonts w:ascii="Times New Roman" w:hAnsi="Times New Roman"/>
                <w:szCs w:val="21"/>
              </w:rPr>
            </w:pPr>
          </w:p>
        </w:tc>
        <w:tc>
          <w:tcPr>
            <w:tcW w:w="1483" w:type="dxa"/>
            <w:vAlign w:val="center"/>
          </w:tcPr>
          <w:p>
            <w:pPr>
              <w:jc w:val="center"/>
              <w:rPr>
                <w:rFonts w:ascii="Times New Roman" w:hAnsi="Times New Roman"/>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1828" w:type="dxa"/>
            <w:vAlign w:val="center"/>
          </w:tcPr>
          <w:p>
            <w:pPr>
              <w:jc w:val="center"/>
              <w:rPr>
                <w:rFonts w:ascii="Times New Roman" w:hAnsi="Times New Roman"/>
                <w:szCs w:val="21"/>
              </w:rPr>
            </w:pPr>
            <w:r>
              <w:rPr>
                <w:rFonts w:ascii="Times New Roman" w:hAnsi="Times New Roman"/>
                <w:szCs w:val="21"/>
              </w:rPr>
              <w:t>0.2890</w:t>
            </w:r>
          </w:p>
        </w:tc>
        <w:tc>
          <w:tcPr>
            <w:tcW w:w="1651" w:type="dxa"/>
            <w:vAlign w:val="center"/>
          </w:tcPr>
          <w:p>
            <w:pPr>
              <w:jc w:val="center"/>
              <w:rPr>
                <w:rFonts w:ascii="Times New Roman" w:hAnsi="Times New Roman"/>
                <w:szCs w:val="21"/>
              </w:rPr>
            </w:pPr>
            <w:r>
              <w:rPr>
                <w:rFonts w:ascii="Times New Roman" w:hAnsi="Times New Roman"/>
                <w:szCs w:val="21"/>
              </w:rPr>
              <w:t>0.2890</w:t>
            </w:r>
          </w:p>
        </w:tc>
        <w:tc>
          <w:tcPr>
            <w:tcW w:w="1143" w:type="dxa"/>
            <w:vAlign w:val="center"/>
          </w:tcPr>
          <w:p>
            <w:pPr>
              <w:jc w:val="center"/>
              <w:rPr>
                <w:rFonts w:ascii="Times New Roman" w:hAnsi="Times New Roman"/>
                <w:szCs w:val="21"/>
              </w:rPr>
            </w:pPr>
            <w:r>
              <w:rPr>
                <w:rFonts w:ascii="Times New Roman" w:hAnsi="Times New Roman"/>
                <w:szCs w:val="21"/>
              </w:rPr>
              <w:t>2.8898</w:t>
            </w:r>
          </w:p>
        </w:tc>
        <w:tc>
          <w:tcPr>
            <w:tcW w:w="1147" w:type="dxa"/>
            <w:vAlign w:val="center"/>
          </w:tcPr>
          <w:p>
            <w:pPr>
              <w:jc w:val="center"/>
              <w:rPr>
                <w:rFonts w:ascii="Times New Roman" w:hAnsi="Times New Roman"/>
                <w:sz w:val="23"/>
                <w:szCs w:val="23"/>
              </w:rPr>
            </w:pPr>
            <w:r>
              <w:rPr>
                <w:rFonts w:ascii="Times New Roman" w:hAnsi="Times New Roman"/>
                <w:sz w:val="23"/>
                <w:szCs w:val="23"/>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19" w:type="dxa"/>
            <w:vAlign w:val="center"/>
          </w:tcPr>
          <w:p>
            <w:pPr>
              <w:jc w:val="center"/>
              <w:rPr>
                <w:rFonts w:ascii="Times New Roman" w:hAnsi="Times New Roman"/>
                <w:szCs w:val="21"/>
              </w:rPr>
            </w:pPr>
            <w:r>
              <w:rPr>
                <w:rFonts w:ascii="宋体" w:hAnsi="宋体"/>
                <w:szCs w:val="21"/>
              </w:rPr>
              <w:t>饲料加工</w:t>
            </w:r>
          </w:p>
        </w:tc>
        <w:tc>
          <w:tcPr>
            <w:tcW w:w="1483" w:type="dxa"/>
            <w:vAlign w:val="center"/>
          </w:tcPr>
          <w:p>
            <w:pPr>
              <w:jc w:val="center"/>
              <w:rPr>
                <w:rFonts w:ascii="Times New Roman" w:hAnsi="Times New Roman"/>
                <w:szCs w:val="21"/>
              </w:rPr>
            </w:pPr>
            <w:r>
              <w:rPr>
                <w:rFonts w:ascii="Times New Roman" w:hAnsi="Times New Roman"/>
                <w:szCs w:val="21"/>
              </w:rPr>
              <w:t>TSP</w:t>
            </w:r>
          </w:p>
        </w:tc>
        <w:tc>
          <w:tcPr>
            <w:tcW w:w="1828" w:type="dxa"/>
            <w:vAlign w:val="center"/>
          </w:tcPr>
          <w:p>
            <w:pPr>
              <w:jc w:val="center"/>
              <w:rPr>
                <w:rFonts w:ascii="Times New Roman" w:hAnsi="Times New Roman"/>
                <w:szCs w:val="21"/>
              </w:rPr>
            </w:pPr>
            <w:r>
              <w:rPr>
                <w:rFonts w:ascii="Times New Roman" w:hAnsi="Times New Roman"/>
                <w:szCs w:val="21"/>
              </w:rPr>
              <w:t>0.5958</w:t>
            </w:r>
          </w:p>
        </w:tc>
        <w:tc>
          <w:tcPr>
            <w:tcW w:w="1651" w:type="dxa"/>
            <w:vAlign w:val="center"/>
          </w:tcPr>
          <w:p>
            <w:pPr>
              <w:jc w:val="center"/>
              <w:rPr>
                <w:rFonts w:ascii="Times New Roman" w:hAnsi="Times New Roman"/>
                <w:szCs w:val="21"/>
              </w:rPr>
            </w:pPr>
            <w:r>
              <w:rPr>
                <w:rFonts w:ascii="Times New Roman" w:hAnsi="Times New Roman"/>
                <w:szCs w:val="21"/>
              </w:rPr>
              <w:t>0.5958</w:t>
            </w:r>
          </w:p>
        </w:tc>
        <w:tc>
          <w:tcPr>
            <w:tcW w:w="1143" w:type="dxa"/>
            <w:vAlign w:val="center"/>
          </w:tcPr>
          <w:p>
            <w:pPr>
              <w:jc w:val="center"/>
              <w:rPr>
                <w:rFonts w:ascii="Times New Roman" w:hAnsi="Times New Roman"/>
                <w:szCs w:val="21"/>
              </w:rPr>
            </w:pPr>
            <w:r>
              <w:rPr>
                <w:rFonts w:ascii="Times New Roman" w:hAnsi="Times New Roman"/>
                <w:szCs w:val="21"/>
              </w:rPr>
              <w:t>0.0662</w:t>
            </w:r>
          </w:p>
        </w:tc>
        <w:tc>
          <w:tcPr>
            <w:tcW w:w="1147" w:type="dxa"/>
            <w:vAlign w:val="center"/>
          </w:tcPr>
          <w:p>
            <w:pPr>
              <w:jc w:val="center"/>
              <w:rPr>
                <w:rFonts w:ascii="Times New Roman" w:hAnsi="Times New Roman"/>
                <w:sz w:val="23"/>
                <w:szCs w:val="23"/>
              </w:rPr>
            </w:pPr>
            <w:r>
              <w:rPr>
                <w:rFonts w:ascii="Times New Roman" w:hAnsi="Times New Roman"/>
                <w:sz w:val="23"/>
                <w:szCs w:val="23"/>
              </w:rPr>
              <w:t>/</w:t>
            </w:r>
          </w:p>
        </w:tc>
      </w:tr>
      <w:bookmarkEnd w:id="230"/>
      <w:bookmarkEnd w:id="231"/>
      <w:bookmarkEnd w:id="232"/>
    </w:tbl>
    <w:p>
      <w:pPr>
        <w:spacing w:line="540" w:lineRule="exact"/>
        <w:ind w:firstLine="480" w:firstLineChars="200"/>
        <w:rPr>
          <w:rFonts w:ascii="Times New Roman" w:hAnsi="Times New Roman"/>
          <w:bCs/>
          <w:sz w:val="24"/>
          <w:szCs w:val="28"/>
        </w:rPr>
      </w:pPr>
      <w:r>
        <w:rPr>
          <w:rFonts w:ascii="宋体" w:hAnsi="宋体" w:cs="宋体"/>
          <w:sz w:val="24"/>
        </w:rPr>
        <w:t>本项目</w:t>
      </w:r>
      <w:r>
        <w:rPr>
          <w:rFonts w:ascii="Times New Roman" w:hAnsi="Times New Roman"/>
          <w:sz w:val="24"/>
        </w:rPr>
        <w:t>Pmax</w:t>
      </w:r>
      <w:r>
        <w:rPr>
          <w:rFonts w:ascii="宋体" w:hAnsi="宋体" w:cs="宋体"/>
          <w:sz w:val="24"/>
        </w:rPr>
        <w:t>最大值出现为牛棚排放的</w:t>
      </w:r>
      <w:r>
        <w:rPr>
          <w:rFonts w:ascii="Times New Roman" w:hAnsi="Times New Roman"/>
          <w:sz w:val="24"/>
        </w:rPr>
        <w:t>H</w:t>
      </w:r>
      <w:r>
        <w:rPr>
          <w:rFonts w:ascii="Times New Roman" w:hAnsi="Times New Roman"/>
          <w:sz w:val="24"/>
          <w:vertAlign w:val="subscript"/>
        </w:rPr>
        <w:t>2</w:t>
      </w:r>
      <w:r>
        <w:rPr>
          <w:rFonts w:ascii="Times New Roman" w:hAnsi="Times New Roman"/>
          <w:sz w:val="24"/>
        </w:rPr>
        <w:t>SPmax</w:t>
      </w:r>
      <w:r>
        <w:rPr>
          <w:rFonts w:ascii="宋体" w:hAnsi="宋体" w:cs="宋体"/>
          <w:sz w:val="24"/>
        </w:rPr>
        <w:t>值为</w:t>
      </w:r>
      <w:r>
        <w:rPr>
          <w:rFonts w:ascii="Times New Roman" w:hAnsi="Times New Roman"/>
          <w:sz w:val="24"/>
        </w:rPr>
        <w:t>2.</w:t>
      </w:r>
      <w:r>
        <w:rPr>
          <w:rFonts w:hint="eastAsia" w:ascii="Times New Roman" w:hAnsi="Times New Roman"/>
          <w:sz w:val="24"/>
        </w:rPr>
        <w:t>8898</w:t>
      </w:r>
      <w:r>
        <w:rPr>
          <w:rFonts w:ascii="Times New Roman" w:hAnsi="Times New Roman"/>
          <w:sz w:val="24"/>
        </w:rPr>
        <w:t>%，Cmax</w:t>
      </w:r>
      <w:r>
        <w:rPr>
          <w:rFonts w:ascii="宋体" w:hAnsi="宋体" w:cs="宋体"/>
          <w:sz w:val="24"/>
        </w:rPr>
        <w:t>为</w:t>
      </w:r>
      <w:r>
        <w:rPr>
          <w:rFonts w:ascii="Times New Roman" w:hAnsi="Times New Roman"/>
          <w:sz w:val="24"/>
        </w:rPr>
        <w:t>0.289μg/m³</w:t>
      </w:r>
      <w:r>
        <w:rPr>
          <w:rFonts w:ascii="宋体" w:hAnsi="宋体" w:cs="宋体"/>
          <w:sz w:val="24"/>
        </w:rPr>
        <w:t>。根据《环境影响评价技术导则 大气环境》</w:t>
      </w:r>
      <w:r>
        <w:rPr>
          <w:rFonts w:ascii="Times New Roman" w:hAnsi="Times New Roman"/>
          <w:sz w:val="24"/>
        </w:rPr>
        <w:t>（HJ2.2-2018）</w:t>
      </w:r>
      <w:r>
        <w:rPr>
          <w:rFonts w:ascii="宋体" w:hAnsi="宋体" w:cs="宋体"/>
          <w:sz w:val="24"/>
        </w:rPr>
        <w:t>分级判据，确定本项目大气环境影响评价工作等级为二级。</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251" w:name="_Toc20064"/>
      <w:bookmarkStart w:id="252" w:name="_Toc9902"/>
      <w:bookmarkStart w:id="253" w:name="_Toc6026_WPSOffice_Level2"/>
      <w:bookmarkStart w:id="254" w:name="_Toc31157"/>
      <w:bookmarkStart w:id="255" w:name="_Toc1634_WPSOffice_Level2"/>
      <w:bookmarkStart w:id="256" w:name="_Toc1555"/>
      <w:bookmarkStart w:id="257" w:name="_Toc23850"/>
      <w:bookmarkStart w:id="258" w:name="_Toc28773"/>
      <w:bookmarkStart w:id="259" w:name="_Toc29035"/>
      <w:bookmarkStart w:id="260" w:name="_Toc16626"/>
      <w:bookmarkStart w:id="261" w:name="_Toc484463386"/>
      <w:bookmarkStart w:id="262" w:name="_Toc30732"/>
      <w:bookmarkStart w:id="263" w:name="_Toc491609962"/>
      <w:bookmarkStart w:id="264" w:name="_Toc388619978"/>
      <w:bookmarkStart w:id="265" w:name="_Toc332203169"/>
      <w:bookmarkStart w:id="266" w:name="_Toc387745560"/>
      <w:bookmarkStart w:id="267" w:name="_Toc2254"/>
      <w:bookmarkStart w:id="268" w:name="_Toc23141"/>
      <w:bookmarkStart w:id="269" w:name="_Toc16242"/>
      <w:r>
        <w:rPr>
          <w:rFonts w:hint="eastAsia" w:cs="Times New Roman"/>
          <w:bCs w:val="0"/>
          <w:snapToGrid w:val="0"/>
          <w:kern w:val="0"/>
          <w:sz w:val="28"/>
          <w:szCs w:val="28"/>
        </w:rPr>
        <w:t>1</w:t>
      </w:r>
      <w:r>
        <w:rPr>
          <w:rFonts w:cs="Times New Roman"/>
          <w:bCs w:val="0"/>
          <w:snapToGrid w:val="0"/>
          <w:kern w:val="0"/>
          <w:sz w:val="28"/>
          <w:szCs w:val="28"/>
        </w:rPr>
        <w:t>.5.2地表水环境</w:t>
      </w:r>
      <w:bookmarkEnd w:id="251"/>
      <w:bookmarkEnd w:id="252"/>
      <w:bookmarkEnd w:id="253"/>
      <w:bookmarkEnd w:id="254"/>
      <w:bookmarkEnd w:id="255"/>
      <w:bookmarkEnd w:id="256"/>
      <w:bookmarkEnd w:id="257"/>
      <w:bookmarkEnd w:id="258"/>
      <w:bookmarkEnd w:id="259"/>
      <w:bookmarkEnd w:id="260"/>
    </w:p>
    <w:p>
      <w:pPr>
        <w:pStyle w:val="6"/>
        <w:snapToGrid w:val="0"/>
        <w:spacing w:before="120" w:after="120" w:line="540" w:lineRule="exact"/>
        <w:contextualSpacing/>
        <w:rPr>
          <w:rFonts w:ascii="Times New Roman" w:hAnsi="Times New Roman" w:eastAsia="宋体"/>
          <w:bCs w:val="0"/>
          <w:sz w:val="24"/>
        </w:rPr>
      </w:pPr>
      <w:bookmarkStart w:id="270" w:name="_Toc23569_WPSOffice_Level3"/>
      <w:bookmarkStart w:id="271" w:name="_Toc7041_WPSOffice_Level3"/>
      <w:r>
        <w:rPr>
          <w:rFonts w:hint="eastAsia" w:ascii="Times New Roman" w:hAnsi="Times New Roman" w:eastAsia="宋体"/>
          <w:bCs w:val="0"/>
          <w:sz w:val="24"/>
        </w:rPr>
        <w:t>1</w:t>
      </w:r>
      <w:r>
        <w:rPr>
          <w:rFonts w:ascii="Times New Roman" w:hAnsi="Times New Roman" w:eastAsia="宋体"/>
          <w:bCs w:val="0"/>
          <w:sz w:val="24"/>
        </w:rPr>
        <w:t>.5.2.1评价工作等级</w:t>
      </w:r>
      <w:bookmarkEnd w:id="270"/>
      <w:bookmarkEnd w:id="271"/>
    </w:p>
    <w:p>
      <w:pPr>
        <w:widowControl/>
        <w:spacing w:line="540" w:lineRule="exact"/>
        <w:ind w:firstLine="480" w:firstLineChars="200"/>
        <w:jc w:val="left"/>
        <w:rPr>
          <w:rFonts w:ascii="Times New Roman" w:hAnsi="Times New Roman"/>
          <w:bCs/>
          <w:sz w:val="24"/>
          <w:szCs w:val="28"/>
        </w:rPr>
      </w:pPr>
      <w:r>
        <w:rPr>
          <w:rFonts w:hint="eastAsia" w:ascii="Times New Roman" w:hAnsi="Times New Roman"/>
          <w:bCs/>
          <w:sz w:val="24"/>
          <w:szCs w:val="28"/>
        </w:rPr>
        <w:t>通过工程分析可知，本项目废水主要是职工生活污水。</w:t>
      </w:r>
      <w:r>
        <w:rPr>
          <w:rFonts w:ascii="Times New Roman" w:hAnsi="Times New Roman"/>
          <w:bCs/>
          <w:sz w:val="24"/>
          <w:szCs w:val="28"/>
        </w:rPr>
        <w:t>故根据《环境影响评价技术导则·地表水环境》(HJ 2.3-2018)中的规定，本项目地表水评价等级为三级B。地表水影响评价工作等级划分依据见表1.5-</w:t>
      </w:r>
      <w:r>
        <w:rPr>
          <w:rFonts w:hint="eastAsia" w:ascii="Times New Roman" w:hAnsi="Times New Roman"/>
          <w:bCs/>
          <w:sz w:val="24"/>
          <w:szCs w:val="28"/>
        </w:rPr>
        <w:t>6</w:t>
      </w:r>
      <w:r>
        <w:rPr>
          <w:rFonts w:ascii="Times New Roman" w:hAnsi="Times New Roman"/>
          <w:bCs/>
          <w:sz w:val="24"/>
          <w:szCs w:val="28"/>
        </w:rPr>
        <w:t>。</w:t>
      </w:r>
    </w:p>
    <w:p>
      <w:pPr>
        <w:widowControl/>
        <w:ind w:firstLine="481" w:firstLineChars="20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.5-</w:t>
      </w:r>
      <w:r>
        <w:rPr>
          <w:rFonts w:hint="eastAsia" w:ascii="Times New Roman" w:hAnsi="Times New Roman"/>
          <w:b/>
          <w:sz w:val="24"/>
        </w:rPr>
        <w:t>6</w:t>
      </w:r>
      <w:r>
        <w:rPr>
          <w:rFonts w:ascii="Times New Roman" w:hAnsi="Times New Roman"/>
          <w:b/>
          <w:sz w:val="24"/>
        </w:rPr>
        <w:t xml:space="preserve"> </w:t>
      </w:r>
      <w:r>
        <w:rPr>
          <w:rFonts w:hint="eastAsia" w:ascii="Times New Roman" w:hAnsi="Times New Roman"/>
          <w:b/>
          <w:sz w:val="24"/>
        </w:rPr>
        <w:t>水污染影响型建设项目</w:t>
      </w:r>
      <w:r>
        <w:rPr>
          <w:rFonts w:ascii="Times New Roman" w:hAnsi="Times New Roman"/>
          <w:b/>
          <w:sz w:val="24"/>
        </w:rPr>
        <w:t>评价</w:t>
      </w:r>
      <w:r>
        <w:rPr>
          <w:rFonts w:hint="eastAsia" w:ascii="Times New Roman" w:hAnsi="Times New Roman"/>
          <w:b/>
          <w:sz w:val="24"/>
        </w:rPr>
        <w:t>等级</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210"/>
        <w:gridCol w:w="1854"/>
        <w:gridCol w:w="60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0" w:type="dxa"/>
            <w:vMerge w:val="restart"/>
            <w:vAlign w:val="center"/>
          </w:tcPr>
          <w:p>
            <w:pPr>
              <w:adjustRightInd w:val="0"/>
              <w:snapToGrid w:val="0"/>
              <w:jc w:val="center"/>
              <w:rPr>
                <w:rFonts w:ascii="宋体" w:hAnsi="宋体" w:cs="宋体"/>
                <w:b/>
                <w:bCs/>
                <w:szCs w:val="21"/>
              </w:rPr>
            </w:pPr>
            <w:r>
              <w:rPr>
                <w:rFonts w:ascii="宋体" w:hAnsi="宋体" w:cs="宋体"/>
                <w:b/>
                <w:bCs/>
                <w:szCs w:val="21"/>
              </w:rPr>
              <w:t>评价等级</w:t>
            </w:r>
          </w:p>
        </w:tc>
        <w:tc>
          <w:tcPr>
            <w:tcW w:w="7861" w:type="dxa"/>
            <w:gridSpan w:val="2"/>
            <w:vAlign w:val="center"/>
          </w:tcPr>
          <w:p>
            <w:pPr>
              <w:adjustRightInd w:val="0"/>
              <w:snapToGrid w:val="0"/>
              <w:jc w:val="center"/>
              <w:rPr>
                <w:rFonts w:ascii="宋体" w:hAnsi="宋体" w:cs="宋体"/>
                <w:b/>
                <w:bCs/>
                <w:szCs w:val="21"/>
              </w:rPr>
            </w:pPr>
            <w:r>
              <w:rPr>
                <w:rFonts w:ascii="宋体" w:hAnsi="宋体" w:cs="宋体"/>
                <w:b/>
                <w:bCs/>
                <w:szCs w:val="21"/>
              </w:rPr>
              <w:t>判定依据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0" w:type="dxa"/>
            <w:vMerge w:val="continue"/>
            <w:vAlign w:val="center"/>
          </w:tcPr>
          <w:p>
            <w:pPr>
              <w:adjustRightInd w:val="0"/>
              <w:snapToGrid w:val="0"/>
              <w:jc w:val="center"/>
              <w:rPr>
                <w:rFonts w:ascii="Times New Roman" w:hAnsi="Times New Roman"/>
                <w:bCs/>
                <w:szCs w:val="21"/>
              </w:rPr>
            </w:pPr>
          </w:p>
        </w:tc>
        <w:tc>
          <w:tcPr>
            <w:tcW w:w="1854" w:type="dxa"/>
            <w:vAlign w:val="center"/>
          </w:tcPr>
          <w:p>
            <w:pPr>
              <w:adjustRightInd w:val="0"/>
              <w:snapToGrid w:val="0"/>
              <w:jc w:val="center"/>
              <w:rPr>
                <w:rFonts w:ascii="Times New Roman" w:hAnsi="Times New Roman"/>
                <w:bCs/>
                <w:szCs w:val="21"/>
              </w:rPr>
            </w:pPr>
            <w:r>
              <w:rPr>
                <w:rFonts w:ascii="Times New Roman" w:hAnsi="Times New Roman"/>
                <w:bCs/>
                <w:szCs w:val="21"/>
              </w:rPr>
              <w:t>排放方式</w:t>
            </w:r>
          </w:p>
        </w:tc>
        <w:tc>
          <w:tcPr>
            <w:tcW w:w="6007" w:type="dxa"/>
            <w:vAlign w:val="center"/>
          </w:tcPr>
          <w:p>
            <w:pPr>
              <w:adjustRightInd w:val="0"/>
              <w:snapToGrid w:val="0"/>
              <w:jc w:val="center"/>
              <w:rPr>
                <w:rFonts w:ascii="Times New Roman" w:hAnsi="Times New Roman"/>
                <w:szCs w:val="21"/>
              </w:rPr>
            </w:pPr>
            <w:r>
              <w:rPr>
                <w:rFonts w:ascii="Times New Roman" w:hAnsi="Times New Roman"/>
                <w:bCs/>
                <w:szCs w:val="21"/>
              </w:rPr>
              <w:t>废水排放量Q/（m</w:t>
            </w:r>
            <w:r>
              <w:rPr>
                <w:rFonts w:ascii="Times New Roman" w:hAnsi="Times New Roman"/>
                <w:bCs/>
                <w:szCs w:val="21"/>
                <w:vertAlign w:val="superscript"/>
              </w:rPr>
              <w:t>3</w:t>
            </w:r>
            <w:r>
              <w:rPr>
                <w:rFonts w:ascii="Times New Roman" w:hAnsi="Times New Roman"/>
                <w:bCs/>
                <w:szCs w:val="21"/>
              </w:rPr>
              <w:t>/d）；</w:t>
            </w:r>
            <w:r>
              <w:rPr>
                <w:rFonts w:ascii="Times New Roman" w:hAnsi="Times New Roman"/>
                <w:szCs w:val="21"/>
              </w:rPr>
              <w:t>水污染物当量数W/（无量纲）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0" w:type="dxa"/>
            <w:vAlign w:val="center"/>
          </w:tcPr>
          <w:p>
            <w:pPr>
              <w:adjustRightInd w:val="0"/>
              <w:snapToGrid w:val="0"/>
              <w:jc w:val="center"/>
              <w:rPr>
                <w:rFonts w:ascii="Times New Roman" w:hAnsi="Times New Roman"/>
                <w:bCs/>
                <w:szCs w:val="21"/>
              </w:rPr>
            </w:pPr>
            <w:r>
              <w:rPr>
                <w:rFonts w:ascii="Times New Roman" w:hAnsi="Times New Roman"/>
                <w:bCs/>
                <w:szCs w:val="21"/>
              </w:rPr>
              <w:t>一级</w:t>
            </w:r>
          </w:p>
        </w:tc>
        <w:tc>
          <w:tcPr>
            <w:tcW w:w="1854" w:type="dxa"/>
            <w:vAlign w:val="center"/>
          </w:tcPr>
          <w:p>
            <w:pPr>
              <w:adjustRightInd w:val="0"/>
              <w:snapToGrid w:val="0"/>
              <w:jc w:val="center"/>
              <w:rPr>
                <w:rFonts w:ascii="Times New Roman" w:hAnsi="Times New Roman"/>
                <w:bCs/>
                <w:szCs w:val="21"/>
              </w:rPr>
            </w:pPr>
            <w:r>
              <w:rPr>
                <w:rFonts w:ascii="Times New Roman" w:hAnsi="Times New Roman"/>
                <w:bCs/>
                <w:szCs w:val="21"/>
              </w:rPr>
              <w:t>直接排放</w:t>
            </w:r>
          </w:p>
        </w:tc>
        <w:tc>
          <w:tcPr>
            <w:tcW w:w="6007" w:type="dxa"/>
            <w:vAlign w:val="center"/>
          </w:tcPr>
          <w:p>
            <w:pPr>
              <w:adjustRightInd w:val="0"/>
              <w:snapToGrid w:val="0"/>
              <w:jc w:val="center"/>
              <w:rPr>
                <w:rFonts w:ascii="Times New Roman" w:hAnsi="Times New Roman"/>
                <w:bCs/>
                <w:szCs w:val="21"/>
              </w:rPr>
            </w:pPr>
            <w:r>
              <w:rPr>
                <w:rFonts w:ascii="Times New Roman" w:hAnsi="Times New Roman"/>
                <w:bCs/>
                <w:szCs w:val="21"/>
              </w:rPr>
              <w:t>Q≥20000或</w:t>
            </w:r>
            <w:r>
              <w:rPr>
                <w:rFonts w:ascii="Times New Roman" w:hAnsi="Times New Roman"/>
                <w:szCs w:val="21"/>
              </w:rPr>
              <w:t>W</w:t>
            </w:r>
            <w:r>
              <w:rPr>
                <w:rFonts w:ascii="Times New Roman" w:hAnsi="Times New Roman"/>
                <w:bCs/>
                <w:szCs w:val="21"/>
              </w:rPr>
              <w:t>≥600000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0" w:type="dxa"/>
            <w:vAlign w:val="center"/>
          </w:tcPr>
          <w:p>
            <w:pPr>
              <w:adjustRightInd w:val="0"/>
              <w:snapToGrid w:val="0"/>
              <w:jc w:val="center"/>
              <w:rPr>
                <w:rFonts w:ascii="Times New Roman" w:hAnsi="Times New Roman"/>
                <w:bCs/>
                <w:szCs w:val="21"/>
              </w:rPr>
            </w:pPr>
            <w:r>
              <w:rPr>
                <w:rFonts w:ascii="Times New Roman" w:hAnsi="Times New Roman"/>
                <w:bCs/>
                <w:szCs w:val="21"/>
              </w:rPr>
              <w:t>二级</w:t>
            </w:r>
          </w:p>
        </w:tc>
        <w:tc>
          <w:tcPr>
            <w:tcW w:w="1854" w:type="dxa"/>
            <w:vAlign w:val="center"/>
          </w:tcPr>
          <w:p>
            <w:pPr>
              <w:adjustRightInd w:val="0"/>
              <w:snapToGrid w:val="0"/>
              <w:jc w:val="center"/>
              <w:rPr>
                <w:rFonts w:ascii="Times New Roman" w:hAnsi="Times New Roman"/>
                <w:bCs/>
                <w:szCs w:val="21"/>
              </w:rPr>
            </w:pPr>
            <w:r>
              <w:rPr>
                <w:rFonts w:ascii="Times New Roman" w:hAnsi="Times New Roman"/>
                <w:bCs/>
                <w:szCs w:val="21"/>
              </w:rPr>
              <w:t>直接排放</w:t>
            </w:r>
          </w:p>
        </w:tc>
        <w:tc>
          <w:tcPr>
            <w:tcW w:w="6007" w:type="dxa"/>
            <w:vAlign w:val="center"/>
          </w:tcPr>
          <w:p>
            <w:pPr>
              <w:adjustRightInd w:val="0"/>
              <w:snapToGrid w:val="0"/>
              <w:jc w:val="center"/>
              <w:rPr>
                <w:rFonts w:ascii="Times New Roman" w:hAnsi="Times New Roman"/>
                <w:bCs/>
                <w:szCs w:val="21"/>
              </w:rPr>
            </w:pPr>
            <w:r>
              <w:rPr>
                <w:rFonts w:ascii="Times New Roman" w:hAnsi="Times New Roman"/>
                <w:bCs/>
                <w:szCs w:val="21"/>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0" w:type="dxa"/>
            <w:vAlign w:val="center"/>
          </w:tcPr>
          <w:p>
            <w:pPr>
              <w:adjustRightInd w:val="0"/>
              <w:snapToGrid w:val="0"/>
              <w:jc w:val="center"/>
              <w:rPr>
                <w:rFonts w:ascii="Times New Roman" w:hAnsi="Times New Roman"/>
                <w:bCs/>
                <w:szCs w:val="21"/>
              </w:rPr>
            </w:pPr>
            <w:r>
              <w:rPr>
                <w:rFonts w:ascii="Times New Roman" w:hAnsi="Times New Roman"/>
                <w:bCs/>
                <w:szCs w:val="21"/>
              </w:rPr>
              <w:t>三级A</w:t>
            </w:r>
          </w:p>
        </w:tc>
        <w:tc>
          <w:tcPr>
            <w:tcW w:w="1854" w:type="dxa"/>
            <w:vAlign w:val="center"/>
          </w:tcPr>
          <w:p>
            <w:pPr>
              <w:adjustRightInd w:val="0"/>
              <w:snapToGrid w:val="0"/>
              <w:jc w:val="center"/>
              <w:rPr>
                <w:rFonts w:ascii="Times New Roman" w:hAnsi="Times New Roman"/>
                <w:bCs/>
                <w:szCs w:val="21"/>
              </w:rPr>
            </w:pPr>
            <w:r>
              <w:rPr>
                <w:rFonts w:ascii="Times New Roman" w:hAnsi="Times New Roman"/>
                <w:bCs/>
                <w:szCs w:val="21"/>
              </w:rPr>
              <w:t>直接排放</w:t>
            </w:r>
          </w:p>
        </w:tc>
        <w:tc>
          <w:tcPr>
            <w:tcW w:w="6007" w:type="dxa"/>
            <w:vAlign w:val="center"/>
          </w:tcPr>
          <w:p>
            <w:pPr>
              <w:adjustRightInd w:val="0"/>
              <w:snapToGrid w:val="0"/>
              <w:jc w:val="center"/>
              <w:rPr>
                <w:rFonts w:ascii="Times New Roman" w:hAnsi="Times New Roman"/>
                <w:bCs/>
                <w:szCs w:val="21"/>
              </w:rPr>
            </w:pPr>
            <w:r>
              <w:rPr>
                <w:rFonts w:ascii="Times New Roman" w:hAnsi="Times New Roman"/>
                <w:bCs/>
                <w:szCs w:val="21"/>
              </w:rPr>
              <w:t>Q＜200且</w:t>
            </w:r>
            <w:r>
              <w:rPr>
                <w:rFonts w:ascii="Times New Roman" w:hAnsi="Times New Roman"/>
                <w:szCs w:val="21"/>
              </w:rPr>
              <w:t>W</w:t>
            </w:r>
            <w:r>
              <w:rPr>
                <w:rFonts w:ascii="Times New Roman" w:hAnsi="Times New Roman"/>
                <w:bCs/>
                <w:szCs w:val="21"/>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0" w:type="dxa"/>
            <w:vAlign w:val="center"/>
          </w:tcPr>
          <w:p>
            <w:pPr>
              <w:adjustRightInd w:val="0"/>
              <w:snapToGrid w:val="0"/>
              <w:jc w:val="center"/>
              <w:rPr>
                <w:rFonts w:ascii="Times New Roman" w:hAnsi="Times New Roman"/>
                <w:bCs/>
                <w:szCs w:val="21"/>
              </w:rPr>
            </w:pPr>
            <w:r>
              <w:rPr>
                <w:rFonts w:ascii="Times New Roman" w:hAnsi="Times New Roman"/>
                <w:bCs/>
                <w:szCs w:val="21"/>
              </w:rPr>
              <w:t>三级B</w:t>
            </w:r>
          </w:p>
        </w:tc>
        <w:tc>
          <w:tcPr>
            <w:tcW w:w="1854" w:type="dxa"/>
            <w:vAlign w:val="center"/>
          </w:tcPr>
          <w:p>
            <w:pPr>
              <w:adjustRightInd w:val="0"/>
              <w:snapToGrid w:val="0"/>
              <w:jc w:val="center"/>
              <w:rPr>
                <w:rFonts w:ascii="Times New Roman" w:hAnsi="Times New Roman"/>
                <w:bCs/>
                <w:szCs w:val="21"/>
              </w:rPr>
            </w:pPr>
            <w:r>
              <w:rPr>
                <w:rFonts w:ascii="Times New Roman" w:hAnsi="Times New Roman"/>
                <w:bCs/>
                <w:szCs w:val="21"/>
              </w:rPr>
              <w:t>间接排放</w:t>
            </w:r>
          </w:p>
        </w:tc>
        <w:tc>
          <w:tcPr>
            <w:tcW w:w="6007" w:type="dxa"/>
            <w:vAlign w:val="center"/>
          </w:tcPr>
          <w:p>
            <w:pPr>
              <w:adjustRightInd w:val="0"/>
              <w:snapToGrid w:val="0"/>
              <w:jc w:val="center"/>
              <w:rPr>
                <w:rFonts w:ascii="Times New Roman" w:hAnsi="Times New Roman"/>
                <w:bCs/>
                <w:szCs w:val="21"/>
              </w:rPr>
            </w:pPr>
            <w:r>
              <w:rPr>
                <w:rFonts w:ascii="Times New Roman" w:hAnsi="Times New Roman"/>
                <w:bCs/>
                <w:szCs w:val="21"/>
              </w:rPr>
              <w:t>--</w:t>
            </w:r>
          </w:p>
        </w:tc>
      </w:tr>
    </w:tbl>
    <w:p>
      <w:pPr>
        <w:pStyle w:val="6"/>
        <w:snapToGrid w:val="0"/>
        <w:spacing w:before="120" w:after="120" w:line="360" w:lineRule="auto"/>
        <w:contextualSpacing/>
        <w:jc w:val="left"/>
        <w:rPr>
          <w:rFonts w:ascii="Times New Roman" w:hAnsi="Times New Roman" w:eastAsia="宋体"/>
          <w:bCs w:val="0"/>
          <w:sz w:val="24"/>
        </w:rPr>
      </w:pPr>
      <w:bookmarkStart w:id="272" w:name="_Toc26941_WPSOffice_Level3"/>
      <w:bookmarkStart w:id="273" w:name="_Toc13960_WPSOffice_Level3"/>
      <w:r>
        <w:rPr>
          <w:rFonts w:hint="eastAsia" w:ascii="Times New Roman" w:hAnsi="Times New Roman" w:eastAsia="宋体"/>
          <w:bCs w:val="0"/>
          <w:sz w:val="24"/>
        </w:rPr>
        <w:t>1</w:t>
      </w:r>
      <w:r>
        <w:rPr>
          <w:rFonts w:ascii="Times New Roman" w:hAnsi="Times New Roman" w:eastAsia="宋体"/>
          <w:bCs w:val="0"/>
          <w:sz w:val="24"/>
        </w:rPr>
        <w:t>.5.2.2评价范围</w:t>
      </w:r>
      <w:bookmarkEnd w:id="272"/>
      <w:bookmarkEnd w:id="273"/>
    </w:p>
    <w:p>
      <w:pPr>
        <w:adjustRightInd w:val="0"/>
        <w:snapToGrid w:val="0"/>
        <w:spacing w:line="360" w:lineRule="auto"/>
        <w:ind w:firstLine="480" w:firstLineChars="200"/>
        <w:rPr>
          <w:rFonts w:ascii="Times New Roman" w:hAnsi="Times New Roman"/>
          <w:sz w:val="24"/>
          <w:szCs w:val="32"/>
        </w:rPr>
      </w:pPr>
      <w:r>
        <w:rPr>
          <w:rFonts w:ascii="Times New Roman" w:hAnsi="Times New Roman"/>
          <w:sz w:val="24"/>
          <w:szCs w:val="32"/>
        </w:rPr>
        <w:t>根据《环境影响评价技术导则 地表水环境》（HJ2.3-2018）的规定，本项目地表水环境影响评价等级为三级B，水污染</w:t>
      </w:r>
      <w:r>
        <w:rPr>
          <w:rFonts w:hint="eastAsia" w:ascii="Times New Roman" w:hAnsi="Times New Roman"/>
          <w:sz w:val="24"/>
          <w:szCs w:val="32"/>
        </w:rPr>
        <w:t>影响</w:t>
      </w:r>
      <w:r>
        <w:rPr>
          <w:rFonts w:ascii="Times New Roman" w:hAnsi="Times New Roman"/>
          <w:sz w:val="24"/>
          <w:szCs w:val="32"/>
        </w:rPr>
        <w:t>型三级B可不进行水环境影响预测。本项目地表水评价范围应覆盖环境风险影响范围所及的水环境保护目标水域。</w:t>
      </w:r>
      <w:bookmarkEnd w:id="261"/>
      <w:bookmarkEnd w:id="262"/>
      <w:bookmarkEnd w:id="263"/>
      <w:bookmarkEnd w:id="264"/>
      <w:bookmarkEnd w:id="265"/>
      <w:bookmarkEnd w:id="266"/>
      <w:bookmarkEnd w:id="267"/>
      <w:bookmarkEnd w:id="268"/>
      <w:bookmarkEnd w:id="269"/>
      <w:bookmarkStart w:id="274" w:name="_Toc491609963"/>
      <w:bookmarkStart w:id="275" w:name="_Toc32612"/>
      <w:bookmarkStart w:id="276" w:name="_Toc5990"/>
      <w:bookmarkStart w:id="277" w:name="_Toc1039"/>
      <w:bookmarkStart w:id="278" w:name="_Toc387745561"/>
      <w:bookmarkStart w:id="279" w:name="_Toc484463387"/>
      <w:bookmarkStart w:id="280" w:name="_Toc332203170"/>
      <w:bookmarkStart w:id="281" w:name="_Toc388619979"/>
      <w:bookmarkStart w:id="282" w:name="_Toc26833"/>
    </w:p>
    <w:p>
      <w:pPr>
        <w:pStyle w:val="52"/>
        <w:tabs>
          <w:tab w:val="left" w:pos="284"/>
        </w:tabs>
        <w:snapToGrid w:val="0"/>
        <w:spacing w:before="120" w:beforeLines="50" w:after="120" w:afterLines="50"/>
        <w:contextualSpacing/>
        <w:rPr>
          <w:rFonts w:cs="Times New Roman"/>
          <w:bCs w:val="0"/>
          <w:snapToGrid w:val="0"/>
          <w:kern w:val="0"/>
          <w:sz w:val="28"/>
          <w:szCs w:val="28"/>
        </w:rPr>
      </w:pPr>
      <w:bookmarkStart w:id="283" w:name="_Toc4418"/>
      <w:bookmarkStart w:id="284" w:name="_Toc29875"/>
      <w:bookmarkStart w:id="285" w:name="_Toc28193"/>
      <w:bookmarkStart w:id="286" w:name="_Toc1538"/>
      <w:bookmarkStart w:id="287" w:name="_Toc25506"/>
      <w:r>
        <w:rPr>
          <w:rFonts w:hint="eastAsia" w:cs="Times New Roman"/>
          <w:bCs w:val="0"/>
          <w:snapToGrid w:val="0"/>
          <w:kern w:val="0"/>
          <w:sz w:val="28"/>
          <w:szCs w:val="28"/>
        </w:rPr>
        <w:t>1</w:t>
      </w:r>
      <w:r>
        <w:rPr>
          <w:rFonts w:cs="Times New Roman"/>
          <w:bCs w:val="0"/>
          <w:snapToGrid w:val="0"/>
          <w:kern w:val="0"/>
          <w:sz w:val="28"/>
          <w:szCs w:val="28"/>
        </w:rPr>
        <w:t>.5.3地下水</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pPr>
        <w:pStyle w:val="6"/>
        <w:snapToGrid w:val="0"/>
        <w:spacing w:before="120" w:after="120" w:line="360" w:lineRule="auto"/>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.5.3.1评价等级</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szCs w:val="32"/>
        </w:rPr>
        <w:t>地下水环境影响评价行业分类</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根据《环境影响评价技术导则 地下水环境》(HJ630.13-2016)中附录A地下水环境影响评价行业分类表，本项目属于“14</w:t>
      </w:r>
      <w:r>
        <w:rPr>
          <w:rFonts w:hint="eastAsia" w:ascii="Times New Roman" w:hAnsi="Times New Roman"/>
          <w:sz w:val="24"/>
          <w:szCs w:val="32"/>
        </w:rPr>
        <w:t xml:space="preserve"> </w:t>
      </w:r>
      <w:r>
        <w:rPr>
          <w:rFonts w:ascii="Times New Roman" w:hAnsi="Times New Roman"/>
          <w:sz w:val="24"/>
          <w:szCs w:val="32"/>
        </w:rPr>
        <w:t>畜禽养殖场、养殖小区”，地下水环境影响评价</w:t>
      </w:r>
      <w:r>
        <w:rPr>
          <w:rFonts w:hint="eastAsia" w:ascii="Times New Roman" w:hAnsi="Times New Roman"/>
          <w:sz w:val="24"/>
          <w:szCs w:val="32"/>
        </w:rPr>
        <w:t>项目类别</w:t>
      </w:r>
      <w:r>
        <w:rPr>
          <w:rFonts w:ascii="Times New Roman" w:hAnsi="Times New Roman"/>
          <w:sz w:val="24"/>
          <w:szCs w:val="32"/>
        </w:rPr>
        <w:t>为</w:t>
      </w:r>
      <w:r>
        <w:rPr>
          <w:rFonts w:ascii="Times New Roman" w:hAnsi="Times New Roman"/>
          <w:sz w:val="24"/>
          <w:szCs w:val="32"/>
        </w:rPr>
        <w:fldChar w:fldCharType="begin"/>
      </w:r>
      <w:r>
        <w:rPr>
          <w:rFonts w:ascii="Times New Roman" w:hAnsi="Times New Roman"/>
          <w:sz w:val="24"/>
          <w:szCs w:val="32"/>
        </w:rPr>
        <w:instrText xml:space="preserve"> = 3 \* ROMAN </w:instrText>
      </w:r>
      <w:r>
        <w:rPr>
          <w:rFonts w:ascii="Times New Roman" w:hAnsi="Times New Roman"/>
          <w:sz w:val="24"/>
          <w:szCs w:val="32"/>
        </w:rPr>
        <w:fldChar w:fldCharType="separate"/>
      </w:r>
      <w:r>
        <w:rPr>
          <w:rFonts w:ascii="Times New Roman" w:hAnsi="Times New Roman"/>
          <w:sz w:val="24"/>
          <w:szCs w:val="32"/>
        </w:rPr>
        <w:t>Ⅲ</w:t>
      </w:r>
      <w:r>
        <w:rPr>
          <w:rFonts w:ascii="Times New Roman" w:hAnsi="Times New Roman"/>
          <w:sz w:val="24"/>
          <w:szCs w:val="32"/>
        </w:rPr>
        <w:fldChar w:fldCharType="end"/>
      </w:r>
      <w:r>
        <w:rPr>
          <w:rFonts w:ascii="Times New Roman" w:hAnsi="Times New Roman"/>
          <w:sz w:val="24"/>
          <w:szCs w:val="32"/>
        </w:rPr>
        <w:t>类。</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szCs w:val="32"/>
        </w:rPr>
        <w:t>水环境敏感程度</w:t>
      </w:r>
    </w:p>
    <w:p>
      <w:pPr>
        <w:adjustRightInd w:val="0"/>
        <w:snapToGrid w:val="0"/>
        <w:spacing w:line="540" w:lineRule="exact"/>
        <w:ind w:firstLine="480" w:firstLineChars="200"/>
        <w:rPr>
          <w:rFonts w:ascii="Times New Roman" w:hAnsi="Times New Roman"/>
          <w:sz w:val="24"/>
          <w:szCs w:val="32"/>
        </w:rPr>
      </w:pPr>
      <w:bookmarkStart w:id="288" w:name="OLE_LINK43"/>
      <w:bookmarkEnd w:id="288"/>
      <w:bookmarkStart w:id="289" w:name="OLE_LINK46"/>
      <w:r>
        <w:rPr>
          <w:rFonts w:ascii="Times New Roman" w:hAnsi="Times New Roman"/>
          <w:sz w:val="24"/>
          <w:szCs w:val="32"/>
        </w:rPr>
        <w:t>根据《环境影响评价技术导则 地下水环境》（HJ630.13-2016），</w:t>
      </w:r>
      <w:bookmarkEnd w:id="289"/>
      <w:r>
        <w:rPr>
          <w:rFonts w:ascii="Times New Roman" w:hAnsi="Times New Roman"/>
          <w:sz w:val="24"/>
          <w:szCs w:val="32"/>
        </w:rPr>
        <w:t>建设项目的地下水环境敏感程度可分为敏感、较敏感、不敏感，分级原则见表</w:t>
      </w:r>
      <w:r>
        <w:rPr>
          <w:rFonts w:hint="eastAsia" w:ascii="Times New Roman" w:hAnsi="Times New Roman"/>
          <w:sz w:val="24"/>
          <w:szCs w:val="32"/>
        </w:rPr>
        <w:t>1</w:t>
      </w:r>
      <w:r>
        <w:rPr>
          <w:rFonts w:ascii="Times New Roman" w:hAnsi="Times New Roman"/>
          <w:sz w:val="24"/>
          <w:szCs w:val="32"/>
        </w:rPr>
        <w:t>.5-</w:t>
      </w:r>
      <w:r>
        <w:rPr>
          <w:rFonts w:hint="eastAsia" w:ascii="Times New Roman" w:hAnsi="Times New Roman"/>
          <w:sz w:val="24"/>
          <w:szCs w:val="32"/>
        </w:rPr>
        <w:t>7</w:t>
      </w:r>
      <w:r>
        <w:rPr>
          <w:rFonts w:ascii="Times New Roman" w:hAnsi="Times New Roman"/>
          <w:sz w:val="24"/>
          <w:szCs w:val="32"/>
        </w:rPr>
        <w:t>。</w:t>
      </w:r>
    </w:p>
    <w:p>
      <w:pPr>
        <w:widowControl/>
        <w:ind w:firstLine="481" w:firstLineChars="200"/>
        <w:jc w:val="center"/>
        <w:rPr>
          <w:rFonts w:ascii="Times New Roman" w:hAnsi="Times New Roman"/>
          <w:b/>
          <w:sz w:val="24"/>
        </w:rPr>
      </w:pPr>
    </w:p>
    <w:p>
      <w:pPr>
        <w:widowControl/>
        <w:ind w:firstLine="481" w:firstLineChars="200"/>
        <w:jc w:val="center"/>
        <w:rPr>
          <w:rFonts w:ascii="Times New Roman" w:hAnsi="Times New Roman"/>
          <w:b/>
          <w:sz w:val="24"/>
        </w:rPr>
      </w:pPr>
    </w:p>
    <w:p>
      <w:pPr>
        <w:widowControl/>
        <w:ind w:firstLine="481" w:firstLineChars="20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.5-</w:t>
      </w:r>
      <w:r>
        <w:rPr>
          <w:rFonts w:hint="eastAsia" w:ascii="Times New Roman" w:hAnsi="Times New Roman"/>
          <w:b/>
          <w:sz w:val="24"/>
        </w:rPr>
        <w:t>7</w:t>
      </w:r>
      <w:r>
        <w:rPr>
          <w:rFonts w:ascii="Times New Roman" w:hAnsi="Times New Roman"/>
          <w:b/>
          <w:sz w:val="24"/>
        </w:rPr>
        <w:t xml:space="preserve"> 建设项目的地下水环境敏感程度分级表</w:t>
      </w:r>
    </w:p>
    <w:tbl>
      <w:tblPr>
        <w:tblStyle w:val="29"/>
        <w:tblW w:w="9071"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10"/>
        <w:gridCol w:w="786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210" w:type="dxa"/>
            <w:vAlign w:val="center"/>
          </w:tcPr>
          <w:p>
            <w:pPr>
              <w:adjustRightInd w:val="0"/>
              <w:snapToGrid w:val="0"/>
              <w:jc w:val="center"/>
              <w:rPr>
                <w:rFonts w:ascii="Times New Roman" w:hAnsi="Times New Roman"/>
                <w:b/>
                <w:bCs/>
                <w:szCs w:val="21"/>
              </w:rPr>
            </w:pPr>
            <w:r>
              <w:rPr>
                <w:rFonts w:ascii="Times New Roman" w:hAnsi="Times New Roman"/>
                <w:b/>
                <w:bCs/>
                <w:szCs w:val="21"/>
              </w:rPr>
              <w:t>敏感程度</w:t>
            </w:r>
          </w:p>
        </w:tc>
        <w:tc>
          <w:tcPr>
            <w:tcW w:w="7861" w:type="dxa"/>
            <w:vAlign w:val="center"/>
          </w:tcPr>
          <w:p>
            <w:pPr>
              <w:adjustRightInd w:val="0"/>
              <w:snapToGrid w:val="0"/>
              <w:jc w:val="center"/>
              <w:rPr>
                <w:rFonts w:ascii="Times New Roman" w:hAnsi="Times New Roman"/>
                <w:b/>
                <w:bCs/>
                <w:szCs w:val="21"/>
              </w:rPr>
            </w:pPr>
            <w:r>
              <w:rPr>
                <w:rFonts w:ascii="Times New Roman" w:hAnsi="Times New Roman"/>
                <w:b/>
                <w:bCs/>
                <w:szCs w:val="21"/>
              </w:rPr>
              <w:t>地下水环境敏感特征</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25" w:hRule="atLeast"/>
          <w:jc w:val="center"/>
        </w:trPr>
        <w:tc>
          <w:tcPr>
            <w:tcW w:w="1210" w:type="dxa"/>
            <w:vAlign w:val="center"/>
          </w:tcPr>
          <w:p>
            <w:pPr>
              <w:adjustRightInd w:val="0"/>
              <w:snapToGrid w:val="0"/>
              <w:jc w:val="center"/>
              <w:rPr>
                <w:rFonts w:ascii="Times New Roman" w:hAnsi="Times New Roman"/>
                <w:szCs w:val="21"/>
              </w:rPr>
            </w:pPr>
            <w:r>
              <w:rPr>
                <w:rFonts w:ascii="Times New Roman" w:hAnsi="Times New Roman"/>
                <w:szCs w:val="21"/>
              </w:rPr>
              <w:t>敏感</w:t>
            </w:r>
          </w:p>
        </w:tc>
        <w:tc>
          <w:tcPr>
            <w:tcW w:w="7861" w:type="dxa"/>
            <w:vAlign w:val="center"/>
          </w:tcPr>
          <w:p>
            <w:pPr>
              <w:adjustRightInd w:val="0"/>
              <w:snapToGrid w:val="0"/>
              <w:jc w:val="center"/>
              <w:rPr>
                <w:rFonts w:ascii="Times New Roman" w:hAnsi="Times New Roman"/>
                <w:szCs w:val="21"/>
              </w:rPr>
            </w:pPr>
            <w:r>
              <w:rPr>
                <w:rFonts w:ascii="Times New Roman" w:hAnsi="Times New Roman"/>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210" w:type="dxa"/>
            <w:vAlign w:val="center"/>
          </w:tcPr>
          <w:p>
            <w:pPr>
              <w:adjustRightInd w:val="0"/>
              <w:snapToGrid w:val="0"/>
              <w:jc w:val="center"/>
              <w:rPr>
                <w:rFonts w:ascii="Times New Roman" w:hAnsi="Times New Roman"/>
                <w:szCs w:val="21"/>
              </w:rPr>
            </w:pPr>
            <w:r>
              <w:rPr>
                <w:rFonts w:ascii="Times New Roman" w:hAnsi="Times New Roman"/>
                <w:szCs w:val="21"/>
              </w:rPr>
              <w:t>较敏感</w:t>
            </w:r>
          </w:p>
        </w:tc>
        <w:tc>
          <w:tcPr>
            <w:tcW w:w="7861" w:type="dxa"/>
            <w:vAlign w:val="center"/>
          </w:tcPr>
          <w:p>
            <w:pPr>
              <w:adjustRightInd w:val="0"/>
              <w:snapToGrid w:val="0"/>
              <w:jc w:val="center"/>
              <w:rPr>
                <w:rFonts w:ascii="Times New Roman" w:hAnsi="Times New Roman"/>
                <w:szCs w:val="21"/>
              </w:rPr>
            </w:pPr>
            <w:r>
              <w:rPr>
                <w:rFonts w:ascii="Times New Roman" w:hAnsi="Times New Roman"/>
                <w:szCs w:val="21"/>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210" w:type="dxa"/>
            <w:vAlign w:val="center"/>
          </w:tcPr>
          <w:p>
            <w:pPr>
              <w:adjustRightInd w:val="0"/>
              <w:snapToGrid w:val="0"/>
              <w:jc w:val="center"/>
              <w:rPr>
                <w:rFonts w:ascii="Times New Roman" w:hAnsi="Times New Roman"/>
                <w:szCs w:val="21"/>
              </w:rPr>
            </w:pPr>
            <w:r>
              <w:rPr>
                <w:rFonts w:ascii="Times New Roman" w:hAnsi="Times New Roman"/>
                <w:szCs w:val="21"/>
              </w:rPr>
              <w:t>不敏感</w:t>
            </w:r>
          </w:p>
        </w:tc>
        <w:tc>
          <w:tcPr>
            <w:tcW w:w="7861" w:type="dxa"/>
            <w:vAlign w:val="center"/>
          </w:tcPr>
          <w:p>
            <w:pPr>
              <w:adjustRightInd w:val="0"/>
              <w:snapToGrid w:val="0"/>
              <w:jc w:val="center"/>
              <w:rPr>
                <w:rFonts w:ascii="Times New Roman" w:hAnsi="Times New Roman"/>
                <w:szCs w:val="21"/>
              </w:rPr>
            </w:pPr>
            <w:r>
              <w:rPr>
                <w:rFonts w:ascii="Times New Roman" w:hAnsi="Times New Roman"/>
                <w:szCs w:val="21"/>
              </w:rPr>
              <w:t>上述地区之外的其它</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9071" w:type="dxa"/>
            <w:gridSpan w:val="2"/>
            <w:vAlign w:val="center"/>
          </w:tcPr>
          <w:p>
            <w:pPr>
              <w:adjustRightInd w:val="0"/>
              <w:snapToGrid w:val="0"/>
              <w:jc w:val="left"/>
              <w:rPr>
                <w:rFonts w:ascii="Times New Roman" w:hAnsi="Times New Roman"/>
                <w:szCs w:val="21"/>
              </w:rPr>
            </w:pPr>
            <w:r>
              <w:rPr>
                <w:rFonts w:ascii="Times New Roman" w:hAnsi="Times New Roman"/>
                <w:szCs w:val="21"/>
              </w:rPr>
              <w:t>注：a“环境敏感区”是指《建设项目影响评价分类管理名录》中所界定的涉及地下水。</w:t>
            </w:r>
          </w:p>
        </w:tc>
      </w:tr>
    </w:tbl>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本项目建设场地位于</w:t>
      </w:r>
      <w:r>
        <w:rPr>
          <w:rFonts w:hint="eastAsia" w:ascii="Times New Roman" w:hAnsi="Times New Roman"/>
          <w:kern w:val="0"/>
          <w:sz w:val="24"/>
          <w:szCs w:val="20"/>
        </w:rPr>
        <w:t>固原市隆德县神林乡神林村</w:t>
      </w:r>
      <w:r>
        <w:rPr>
          <w:rFonts w:ascii="Times New Roman" w:hAnsi="Times New Roman"/>
          <w:sz w:val="24"/>
          <w:szCs w:val="32"/>
        </w:rPr>
        <w:t>，项目建设区域无集中式饮用水源地等敏感目标，所以建设场地属于不敏感区域。</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rPr>
        <w:fldChar w:fldCharType="begin"/>
      </w:r>
      <w:r>
        <w:rPr>
          <w:rFonts w:ascii="Times New Roman" w:hAnsi="Times New Roman"/>
          <w:sz w:val="24"/>
        </w:rPr>
        <w:instrText xml:space="preserve"> = 3 \* GB2 \* MERGEFORMAT </w:instrText>
      </w:r>
      <w:r>
        <w:rPr>
          <w:rFonts w:ascii="Times New Roman" w:hAnsi="Times New Roman"/>
          <w:sz w:val="24"/>
        </w:rPr>
        <w:fldChar w:fldCharType="separate"/>
      </w:r>
      <w:r>
        <w:rPr>
          <w:rFonts w:ascii="Times New Roman" w:hAnsi="Times New Roman"/>
          <w:sz w:val="24"/>
        </w:rPr>
        <w:t>⑶</w:t>
      </w:r>
      <w:r>
        <w:rPr>
          <w:rFonts w:ascii="Times New Roman" w:hAnsi="Times New Roman"/>
          <w:sz w:val="24"/>
        </w:rPr>
        <w:fldChar w:fldCharType="end"/>
      </w:r>
      <w:r>
        <w:rPr>
          <w:rFonts w:ascii="Times New Roman" w:hAnsi="Times New Roman"/>
          <w:sz w:val="24"/>
          <w:szCs w:val="32"/>
        </w:rPr>
        <w:t>地下水评价等级判定</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建设项目地下水环境影响评价工作等级分级判定见表</w:t>
      </w:r>
      <w:r>
        <w:rPr>
          <w:rFonts w:hint="eastAsia" w:ascii="Times New Roman" w:hAnsi="Times New Roman"/>
          <w:sz w:val="24"/>
          <w:szCs w:val="32"/>
        </w:rPr>
        <w:t>1</w:t>
      </w:r>
      <w:r>
        <w:rPr>
          <w:rFonts w:ascii="Times New Roman" w:hAnsi="Times New Roman"/>
          <w:sz w:val="24"/>
          <w:szCs w:val="32"/>
        </w:rPr>
        <w:t>.5-</w:t>
      </w:r>
      <w:r>
        <w:rPr>
          <w:rFonts w:hint="eastAsia" w:ascii="Times New Roman" w:hAnsi="Times New Roman"/>
          <w:sz w:val="24"/>
          <w:szCs w:val="32"/>
        </w:rPr>
        <w:t>8</w:t>
      </w:r>
      <w:r>
        <w:rPr>
          <w:rFonts w:ascii="Times New Roman" w:hAnsi="Times New Roman"/>
          <w:sz w:val="24"/>
          <w:szCs w:val="32"/>
        </w:rPr>
        <w:t>。</w:t>
      </w:r>
    </w:p>
    <w:p>
      <w:pPr>
        <w:widowControl/>
        <w:ind w:firstLine="481" w:firstLineChars="20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.5-</w:t>
      </w:r>
      <w:r>
        <w:rPr>
          <w:rFonts w:hint="eastAsia" w:ascii="Times New Roman" w:hAnsi="Times New Roman"/>
          <w:b/>
          <w:sz w:val="24"/>
        </w:rPr>
        <w:t>8</w:t>
      </w:r>
      <w:r>
        <w:rPr>
          <w:rFonts w:ascii="Times New Roman" w:hAnsi="Times New Roman"/>
          <w:b/>
          <w:sz w:val="24"/>
        </w:rPr>
        <w:t xml:space="preserve"> 建设项目评价工作等级分级表</w:t>
      </w:r>
    </w:p>
    <w:tbl>
      <w:tblPr>
        <w:tblStyle w:val="29"/>
        <w:tblW w:w="9071"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267"/>
        <w:gridCol w:w="2267"/>
        <w:gridCol w:w="2268"/>
        <w:gridCol w:w="226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267" w:type="dxa"/>
            <w:vAlign w:val="center"/>
          </w:tcPr>
          <w:p>
            <w:pPr>
              <w:adjustRightInd w:val="0"/>
              <w:snapToGrid w:val="0"/>
              <w:jc w:val="center"/>
              <w:rPr>
                <w:rFonts w:ascii="Times New Roman" w:hAnsi="Times New Roman"/>
                <w:b/>
                <w:bCs/>
                <w:szCs w:val="21"/>
              </w:rPr>
            </w:pPr>
            <w:r>
              <w:rPr>
                <w:rFonts w:ascii="Times New Roman" w:hAnsi="Times New Roman"/>
                <w:b/>
                <w:bCs/>
              </w:rPr>
              <mc:AlternateContent>
                <mc:Choice Requires="wps">
                  <w:drawing>
                    <wp:anchor distT="0" distB="0" distL="114300" distR="114300" simplePos="0" relativeHeight="251661312" behindDoc="0" locked="0" layoutInCell="1" allowOverlap="1">
                      <wp:simplePos x="0" y="0"/>
                      <wp:positionH relativeFrom="column">
                        <wp:posOffset>-63500</wp:posOffset>
                      </wp:positionH>
                      <wp:positionV relativeFrom="paragraph">
                        <wp:posOffset>12700</wp:posOffset>
                      </wp:positionV>
                      <wp:extent cx="1437005" cy="332105"/>
                      <wp:effectExtent l="1270" t="4445" r="9525" b="6350"/>
                      <wp:wrapNone/>
                      <wp:docPr id="35" name="直接连接符 35"/>
                      <wp:cNvGraphicFramePr/>
                      <a:graphic xmlns:a="http://schemas.openxmlformats.org/drawingml/2006/main">
                        <a:graphicData uri="http://schemas.microsoft.com/office/word/2010/wordprocessingShape">
                          <wps:wsp>
                            <wps:cNvCnPr/>
                            <wps:spPr>
                              <a:xfrm>
                                <a:off x="836930" y="1708150"/>
                                <a:ext cx="1437005" cy="33210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5pt;margin-top:1pt;height:26.15pt;width:113.15pt;z-index:251661312;mso-width-relative:page;mso-height-relative:page;" filled="f" stroked="t" coordsize="21600,21600" o:gfxdata="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BYAAABkcnMvUEsBAhQAFAAAAAgAh07iQJup113YAAAACAEAAA8AAAAAAAAAAQAg&#10;AAAAOAAAAGRycy9kb3ducmV2LnhtbFBLAQIUABQAAAAIAIdO4kDjmjYT+AEAANEDAAAOAAAAAAAA&#10;AAEAIAAAAD0BAABkcnMvZTJvRG9jLnhtbFBLBQYAAAAABgAGAFkBAACnBQAAAAA=&#10;">
                      <v:fill on="f" focussize="0,0"/>
                      <v:stroke weight="0.5pt" color="#000000" miterlimit="8" joinstyle="miter"/>
                      <v:imagedata o:title=""/>
                      <o:lock v:ext="edit" aspectratio="f"/>
                    </v:line>
                  </w:pict>
                </mc:Fallback>
              </mc:AlternateContent>
            </w:r>
            <w:r>
              <w:rPr>
                <w:rFonts w:ascii="Times New Roman" w:hAnsi="Times New Roman"/>
                <w:b/>
                <w:bCs/>
                <w:szCs w:val="21"/>
              </w:rPr>
              <w:t xml:space="preserve">          项目类别</w:t>
            </w:r>
          </w:p>
          <w:p>
            <w:pPr>
              <w:adjustRightInd w:val="0"/>
              <w:snapToGrid w:val="0"/>
              <w:rPr>
                <w:rFonts w:ascii="Times New Roman" w:hAnsi="Times New Roman"/>
                <w:b/>
                <w:bCs/>
                <w:szCs w:val="21"/>
              </w:rPr>
            </w:pPr>
            <w:r>
              <w:rPr>
                <w:rFonts w:ascii="Times New Roman" w:hAnsi="Times New Roman"/>
                <w:b/>
                <w:bCs/>
                <w:szCs w:val="21"/>
              </w:rPr>
              <w:t>环境敏感程度</w:t>
            </w:r>
          </w:p>
        </w:tc>
        <w:tc>
          <w:tcPr>
            <w:tcW w:w="2267" w:type="dxa"/>
            <w:vAlign w:val="center"/>
          </w:tcPr>
          <w:p>
            <w:pPr>
              <w:adjustRightInd w:val="0"/>
              <w:snapToGrid w:val="0"/>
              <w:jc w:val="center"/>
              <w:rPr>
                <w:rFonts w:ascii="Times New Roman" w:hAnsi="Times New Roman"/>
                <w:b/>
                <w:bCs/>
                <w:szCs w:val="21"/>
              </w:rPr>
            </w:pPr>
            <w:r>
              <w:rPr>
                <w:rFonts w:ascii="Times New Roman" w:hAnsi="Times New Roman"/>
                <w:b/>
                <w:bCs/>
                <w:szCs w:val="21"/>
              </w:rPr>
              <w:t>Ⅰ类项目</w:t>
            </w:r>
          </w:p>
        </w:tc>
        <w:tc>
          <w:tcPr>
            <w:tcW w:w="2268" w:type="dxa"/>
            <w:vAlign w:val="center"/>
          </w:tcPr>
          <w:p>
            <w:pPr>
              <w:adjustRightInd w:val="0"/>
              <w:snapToGrid w:val="0"/>
              <w:jc w:val="center"/>
              <w:rPr>
                <w:rFonts w:ascii="Times New Roman" w:hAnsi="Times New Roman"/>
                <w:b/>
                <w:bCs/>
                <w:szCs w:val="21"/>
              </w:rPr>
            </w:pPr>
            <w:r>
              <w:rPr>
                <w:rFonts w:ascii="Times New Roman" w:hAnsi="Times New Roman"/>
                <w:b/>
                <w:bCs/>
                <w:szCs w:val="21"/>
              </w:rPr>
              <w:t>Ⅱ类项目</w:t>
            </w:r>
          </w:p>
        </w:tc>
        <w:tc>
          <w:tcPr>
            <w:tcW w:w="2269" w:type="dxa"/>
            <w:vAlign w:val="center"/>
          </w:tcPr>
          <w:p>
            <w:pPr>
              <w:adjustRightInd w:val="0"/>
              <w:snapToGrid w:val="0"/>
              <w:jc w:val="center"/>
              <w:rPr>
                <w:rFonts w:ascii="Times New Roman" w:hAnsi="Times New Roman"/>
                <w:b/>
                <w:bCs/>
                <w:szCs w:val="21"/>
              </w:rPr>
            </w:pPr>
            <w:r>
              <w:rPr>
                <w:rFonts w:ascii="Times New Roman" w:hAnsi="Times New Roman"/>
                <w:b/>
                <w:bCs/>
                <w:szCs w:val="21"/>
              </w:rPr>
              <w:t>Ⅲ类项目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267" w:type="dxa"/>
            <w:vAlign w:val="center"/>
          </w:tcPr>
          <w:p>
            <w:pPr>
              <w:adjustRightInd w:val="0"/>
              <w:snapToGrid w:val="0"/>
              <w:jc w:val="center"/>
              <w:rPr>
                <w:rFonts w:ascii="Times New Roman" w:hAnsi="Times New Roman"/>
                <w:szCs w:val="21"/>
              </w:rPr>
            </w:pPr>
            <w:r>
              <w:rPr>
                <w:rFonts w:ascii="Times New Roman" w:hAnsi="Times New Roman"/>
                <w:szCs w:val="21"/>
              </w:rPr>
              <w:t>敏感</w:t>
            </w:r>
          </w:p>
        </w:tc>
        <w:tc>
          <w:tcPr>
            <w:tcW w:w="2267" w:type="dxa"/>
            <w:vAlign w:val="center"/>
          </w:tcPr>
          <w:p>
            <w:pPr>
              <w:adjustRightInd w:val="0"/>
              <w:snapToGrid w:val="0"/>
              <w:jc w:val="center"/>
              <w:rPr>
                <w:rFonts w:ascii="Times New Roman" w:hAnsi="Times New Roman"/>
                <w:szCs w:val="21"/>
              </w:rPr>
            </w:pPr>
            <w:r>
              <w:rPr>
                <w:rFonts w:ascii="Times New Roman" w:hAnsi="Times New Roman"/>
                <w:szCs w:val="21"/>
              </w:rPr>
              <w:t>一</w:t>
            </w:r>
          </w:p>
        </w:tc>
        <w:tc>
          <w:tcPr>
            <w:tcW w:w="2268" w:type="dxa"/>
            <w:vAlign w:val="center"/>
          </w:tcPr>
          <w:p>
            <w:pPr>
              <w:adjustRightInd w:val="0"/>
              <w:snapToGrid w:val="0"/>
              <w:jc w:val="center"/>
              <w:rPr>
                <w:rFonts w:ascii="Times New Roman" w:hAnsi="Times New Roman"/>
                <w:szCs w:val="21"/>
              </w:rPr>
            </w:pPr>
            <w:r>
              <w:rPr>
                <w:rFonts w:ascii="Times New Roman" w:hAnsi="Times New Roman"/>
                <w:szCs w:val="21"/>
              </w:rPr>
              <w:t>一</w:t>
            </w:r>
          </w:p>
        </w:tc>
        <w:tc>
          <w:tcPr>
            <w:tcW w:w="2269" w:type="dxa"/>
            <w:vAlign w:val="center"/>
          </w:tcPr>
          <w:p>
            <w:pPr>
              <w:adjustRightInd w:val="0"/>
              <w:snapToGrid w:val="0"/>
              <w:jc w:val="center"/>
              <w:rPr>
                <w:rFonts w:ascii="Times New Roman" w:hAnsi="Times New Roman"/>
                <w:szCs w:val="21"/>
              </w:rPr>
            </w:pPr>
            <w:r>
              <w:rPr>
                <w:rFonts w:ascii="Times New Roman" w:hAnsi="Times New Roman"/>
                <w:szCs w:val="21"/>
              </w:rPr>
              <w:t>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267" w:type="dxa"/>
            <w:vAlign w:val="center"/>
          </w:tcPr>
          <w:p>
            <w:pPr>
              <w:adjustRightInd w:val="0"/>
              <w:snapToGrid w:val="0"/>
              <w:jc w:val="center"/>
              <w:rPr>
                <w:rFonts w:ascii="Times New Roman" w:hAnsi="Times New Roman"/>
                <w:szCs w:val="21"/>
              </w:rPr>
            </w:pPr>
            <w:r>
              <w:rPr>
                <w:rFonts w:ascii="Times New Roman" w:hAnsi="Times New Roman"/>
                <w:szCs w:val="21"/>
              </w:rPr>
              <w:t>较敏感</w:t>
            </w:r>
          </w:p>
        </w:tc>
        <w:tc>
          <w:tcPr>
            <w:tcW w:w="2267" w:type="dxa"/>
            <w:vAlign w:val="center"/>
          </w:tcPr>
          <w:p>
            <w:pPr>
              <w:adjustRightInd w:val="0"/>
              <w:snapToGrid w:val="0"/>
              <w:jc w:val="center"/>
              <w:rPr>
                <w:rFonts w:ascii="Times New Roman" w:hAnsi="Times New Roman"/>
                <w:szCs w:val="21"/>
              </w:rPr>
            </w:pPr>
            <w:r>
              <w:rPr>
                <w:rFonts w:ascii="Times New Roman" w:hAnsi="Times New Roman"/>
                <w:szCs w:val="21"/>
              </w:rPr>
              <w:t>一</w:t>
            </w:r>
          </w:p>
        </w:tc>
        <w:tc>
          <w:tcPr>
            <w:tcW w:w="2268" w:type="dxa"/>
            <w:vAlign w:val="center"/>
          </w:tcPr>
          <w:p>
            <w:pPr>
              <w:adjustRightInd w:val="0"/>
              <w:snapToGrid w:val="0"/>
              <w:jc w:val="center"/>
              <w:rPr>
                <w:rFonts w:ascii="Times New Roman" w:hAnsi="Times New Roman"/>
                <w:szCs w:val="21"/>
              </w:rPr>
            </w:pPr>
            <w:r>
              <w:rPr>
                <w:rFonts w:ascii="Times New Roman" w:hAnsi="Times New Roman"/>
                <w:szCs w:val="21"/>
              </w:rPr>
              <w:t>二</w:t>
            </w:r>
          </w:p>
        </w:tc>
        <w:tc>
          <w:tcPr>
            <w:tcW w:w="2269" w:type="dxa"/>
            <w:vAlign w:val="center"/>
          </w:tcPr>
          <w:p>
            <w:pPr>
              <w:adjustRightInd w:val="0"/>
              <w:snapToGrid w:val="0"/>
              <w:jc w:val="center"/>
              <w:rPr>
                <w:rFonts w:ascii="Times New Roman" w:hAnsi="Times New Roman"/>
                <w:szCs w:val="21"/>
              </w:rPr>
            </w:pPr>
            <w:r>
              <w:rPr>
                <w:rFonts w:ascii="Times New Roman" w:hAnsi="Times New Roman"/>
                <w:szCs w:val="21"/>
              </w:rPr>
              <w:t>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267" w:type="dxa"/>
            <w:shd w:val="clear" w:color="auto" w:fill="auto"/>
            <w:vAlign w:val="center"/>
          </w:tcPr>
          <w:p>
            <w:pPr>
              <w:adjustRightInd w:val="0"/>
              <w:snapToGrid w:val="0"/>
              <w:jc w:val="center"/>
              <w:rPr>
                <w:rFonts w:ascii="Times New Roman" w:hAnsi="Times New Roman"/>
                <w:szCs w:val="21"/>
              </w:rPr>
            </w:pPr>
            <w:r>
              <w:rPr>
                <w:rFonts w:ascii="Times New Roman" w:hAnsi="Times New Roman"/>
                <w:szCs w:val="21"/>
              </w:rPr>
              <w:t>不敏感</w:t>
            </w:r>
          </w:p>
        </w:tc>
        <w:tc>
          <w:tcPr>
            <w:tcW w:w="2267" w:type="dxa"/>
            <w:shd w:val="clear" w:color="auto" w:fill="auto"/>
            <w:vAlign w:val="center"/>
          </w:tcPr>
          <w:p>
            <w:pPr>
              <w:adjustRightInd w:val="0"/>
              <w:snapToGrid w:val="0"/>
              <w:jc w:val="center"/>
              <w:rPr>
                <w:rFonts w:ascii="Times New Roman" w:hAnsi="Times New Roman"/>
                <w:szCs w:val="21"/>
              </w:rPr>
            </w:pPr>
            <w:r>
              <w:rPr>
                <w:rFonts w:ascii="Times New Roman" w:hAnsi="Times New Roman"/>
                <w:szCs w:val="21"/>
              </w:rPr>
              <w:t>二</w:t>
            </w:r>
          </w:p>
        </w:tc>
        <w:tc>
          <w:tcPr>
            <w:tcW w:w="2268" w:type="dxa"/>
            <w:shd w:val="clear" w:color="auto" w:fill="auto"/>
            <w:vAlign w:val="center"/>
          </w:tcPr>
          <w:p>
            <w:pPr>
              <w:adjustRightInd w:val="0"/>
              <w:snapToGrid w:val="0"/>
              <w:jc w:val="center"/>
              <w:rPr>
                <w:rFonts w:ascii="Times New Roman" w:hAnsi="Times New Roman"/>
                <w:szCs w:val="21"/>
              </w:rPr>
            </w:pPr>
            <w:r>
              <w:rPr>
                <w:rFonts w:ascii="Times New Roman" w:hAnsi="Times New Roman"/>
                <w:szCs w:val="21"/>
              </w:rPr>
              <w:t>三</w:t>
            </w:r>
          </w:p>
        </w:tc>
        <w:tc>
          <w:tcPr>
            <w:tcW w:w="2269" w:type="dxa"/>
            <w:shd w:val="clear" w:color="auto" w:fill="DEEBF6"/>
            <w:vAlign w:val="center"/>
          </w:tcPr>
          <w:p>
            <w:pPr>
              <w:adjustRightInd w:val="0"/>
              <w:snapToGrid w:val="0"/>
              <w:jc w:val="center"/>
              <w:rPr>
                <w:rFonts w:ascii="Times New Roman" w:hAnsi="Times New Roman"/>
                <w:szCs w:val="21"/>
              </w:rPr>
            </w:pPr>
            <w:r>
              <w:rPr>
                <w:rFonts w:ascii="Times New Roman" w:hAnsi="Times New Roman"/>
                <w:szCs w:val="21"/>
              </w:rPr>
              <w:t>三</w:t>
            </w:r>
          </w:p>
        </w:tc>
      </w:tr>
    </w:tbl>
    <w:p>
      <w:pPr>
        <w:spacing w:line="540" w:lineRule="exact"/>
        <w:ind w:firstLine="480" w:firstLineChars="200"/>
        <w:rPr>
          <w:rFonts w:ascii="Times New Roman" w:hAnsi="Times New Roman"/>
          <w:sz w:val="24"/>
          <w:szCs w:val="32"/>
        </w:rPr>
      </w:pPr>
      <w:r>
        <w:rPr>
          <w:rFonts w:ascii="Times New Roman" w:hAnsi="Times New Roman"/>
          <w:sz w:val="24"/>
          <w:szCs w:val="32"/>
        </w:rPr>
        <w:t>根据表</w:t>
      </w:r>
      <w:r>
        <w:rPr>
          <w:rFonts w:hint="eastAsia" w:ascii="Times New Roman" w:hAnsi="Times New Roman"/>
          <w:sz w:val="24"/>
          <w:szCs w:val="32"/>
        </w:rPr>
        <w:t>1</w:t>
      </w:r>
      <w:r>
        <w:rPr>
          <w:rFonts w:ascii="Times New Roman" w:hAnsi="Times New Roman"/>
          <w:sz w:val="24"/>
          <w:szCs w:val="32"/>
        </w:rPr>
        <w:t>.5-</w:t>
      </w:r>
      <w:r>
        <w:rPr>
          <w:rFonts w:hint="eastAsia" w:ascii="Times New Roman" w:hAnsi="Times New Roman"/>
          <w:sz w:val="24"/>
          <w:szCs w:val="32"/>
        </w:rPr>
        <w:t>8</w:t>
      </w:r>
      <w:r>
        <w:rPr>
          <w:rFonts w:ascii="Times New Roman" w:hAnsi="Times New Roman"/>
          <w:sz w:val="24"/>
          <w:szCs w:val="32"/>
        </w:rPr>
        <w:t>可知，本项目地下水环境影响评价等级为三级。</w:t>
      </w:r>
    </w:p>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.5.3.2评价范围</w:t>
      </w:r>
    </w:p>
    <w:p>
      <w:pPr>
        <w:spacing w:line="540" w:lineRule="exact"/>
        <w:ind w:firstLine="480" w:firstLineChars="200"/>
        <w:rPr>
          <w:rFonts w:ascii="Times New Roman" w:hAnsi="Times New Roman"/>
          <w:sz w:val="24"/>
          <w:szCs w:val="32"/>
        </w:rPr>
      </w:pPr>
      <w:r>
        <w:rPr>
          <w:rFonts w:ascii="Times New Roman" w:hAnsi="Times New Roman"/>
          <w:sz w:val="24"/>
          <w:szCs w:val="32"/>
        </w:rPr>
        <w:t>根据《环境影响评价技术导则 地下水环境》（HJ630.13-2016），采用导则中推荐的查表法确定项目的地下水评价范围，地下水环境现状调查评价范围参照表见表</w:t>
      </w:r>
      <w:r>
        <w:rPr>
          <w:rFonts w:hint="eastAsia" w:ascii="Times New Roman" w:hAnsi="Times New Roman"/>
          <w:sz w:val="24"/>
          <w:szCs w:val="32"/>
        </w:rPr>
        <w:t>1</w:t>
      </w:r>
      <w:r>
        <w:rPr>
          <w:rFonts w:ascii="Times New Roman" w:hAnsi="Times New Roman"/>
          <w:sz w:val="24"/>
          <w:szCs w:val="32"/>
        </w:rPr>
        <w:t>.5-</w:t>
      </w:r>
      <w:r>
        <w:rPr>
          <w:rFonts w:hint="eastAsia" w:ascii="Times New Roman" w:hAnsi="Times New Roman"/>
          <w:sz w:val="24"/>
          <w:szCs w:val="32"/>
        </w:rPr>
        <w:t>9</w:t>
      </w:r>
      <w:r>
        <w:rPr>
          <w:rFonts w:ascii="Times New Roman" w:hAnsi="Times New Roman"/>
          <w:sz w:val="24"/>
          <w:szCs w:val="32"/>
        </w:rPr>
        <w:t>。</w:t>
      </w:r>
    </w:p>
    <w:p>
      <w:pPr>
        <w:widowControl/>
        <w:spacing w:before="120" w:beforeLines="5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.5-</w:t>
      </w:r>
      <w:r>
        <w:rPr>
          <w:rFonts w:hint="eastAsia" w:ascii="Times New Roman" w:hAnsi="Times New Roman"/>
          <w:b/>
          <w:sz w:val="24"/>
        </w:rPr>
        <w:t>9</w:t>
      </w:r>
      <w:r>
        <w:rPr>
          <w:rFonts w:ascii="Times New Roman" w:hAnsi="Times New Roman"/>
          <w:b/>
          <w:sz w:val="24"/>
        </w:rPr>
        <w:t xml:space="preserve"> 地下水环境现状调查评价范围参照表</w:t>
      </w:r>
    </w:p>
    <w:tbl>
      <w:tblPr>
        <w:tblStyle w:val="29"/>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3022"/>
        <w:gridCol w:w="3024"/>
        <w:gridCol w:w="302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22" w:type="dxa"/>
            <w:vAlign w:val="center"/>
          </w:tcPr>
          <w:p>
            <w:pPr>
              <w:adjustRightInd w:val="0"/>
              <w:snapToGrid w:val="0"/>
              <w:jc w:val="center"/>
              <w:rPr>
                <w:rFonts w:ascii="Times New Roman" w:hAnsi="Times New Roman"/>
                <w:b/>
                <w:bCs/>
                <w:szCs w:val="21"/>
              </w:rPr>
            </w:pPr>
            <w:r>
              <w:rPr>
                <w:rFonts w:ascii="Times New Roman" w:hAnsi="Times New Roman"/>
                <w:b/>
                <w:bCs/>
                <w:szCs w:val="21"/>
              </w:rPr>
              <w:t>评价等级</w:t>
            </w:r>
          </w:p>
        </w:tc>
        <w:tc>
          <w:tcPr>
            <w:tcW w:w="3024" w:type="dxa"/>
            <w:vAlign w:val="center"/>
          </w:tcPr>
          <w:p>
            <w:pPr>
              <w:adjustRightInd w:val="0"/>
              <w:snapToGrid w:val="0"/>
              <w:jc w:val="center"/>
              <w:rPr>
                <w:rFonts w:ascii="Times New Roman" w:hAnsi="Times New Roman"/>
                <w:b/>
                <w:bCs/>
                <w:szCs w:val="21"/>
              </w:rPr>
            </w:pPr>
            <w:r>
              <w:rPr>
                <w:rFonts w:ascii="Times New Roman" w:hAnsi="Times New Roman"/>
                <w:b/>
                <w:bCs/>
                <w:szCs w:val="21"/>
              </w:rPr>
              <w:t>调查评价面积（</w:t>
            </w:r>
            <w:r>
              <w:rPr>
                <w:rFonts w:hint="eastAsia" w:ascii="Times New Roman" w:hAnsi="Times New Roman"/>
                <w:b/>
                <w:bCs/>
                <w:szCs w:val="21"/>
              </w:rPr>
              <w:t>k</w:t>
            </w:r>
            <w:r>
              <w:rPr>
                <w:rFonts w:ascii="Times New Roman" w:hAnsi="Times New Roman"/>
                <w:b/>
                <w:bCs/>
                <w:szCs w:val="21"/>
              </w:rPr>
              <w:t>m</w:t>
            </w:r>
            <w:r>
              <w:rPr>
                <w:rFonts w:ascii="Times New Roman" w:hAnsi="Times New Roman"/>
                <w:b/>
                <w:bCs/>
                <w:szCs w:val="21"/>
                <w:vertAlign w:val="superscript"/>
              </w:rPr>
              <w:t>2</w:t>
            </w:r>
            <w:r>
              <w:rPr>
                <w:rFonts w:ascii="Times New Roman" w:hAnsi="Times New Roman"/>
                <w:b/>
                <w:bCs/>
                <w:szCs w:val="21"/>
              </w:rPr>
              <w:t>）</w:t>
            </w:r>
          </w:p>
        </w:tc>
        <w:tc>
          <w:tcPr>
            <w:tcW w:w="3025" w:type="dxa"/>
            <w:vAlign w:val="center"/>
          </w:tcPr>
          <w:p>
            <w:pPr>
              <w:adjustRightInd w:val="0"/>
              <w:snapToGrid w:val="0"/>
              <w:jc w:val="center"/>
              <w:rPr>
                <w:rFonts w:ascii="Times New Roman" w:hAnsi="Times New Roman"/>
                <w:b/>
                <w:bCs/>
                <w:szCs w:val="21"/>
              </w:rPr>
            </w:pPr>
            <w:r>
              <w:rPr>
                <w:rFonts w:ascii="Times New Roman" w:hAnsi="Times New Roman"/>
                <w:b/>
                <w:bCs/>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22" w:type="dxa"/>
            <w:vAlign w:val="center"/>
          </w:tcPr>
          <w:p>
            <w:pPr>
              <w:adjustRightInd w:val="0"/>
              <w:snapToGrid w:val="0"/>
              <w:jc w:val="center"/>
              <w:rPr>
                <w:rFonts w:ascii="Times New Roman" w:hAnsi="Times New Roman"/>
                <w:szCs w:val="21"/>
              </w:rPr>
            </w:pPr>
            <w:r>
              <w:rPr>
                <w:rFonts w:ascii="Times New Roman" w:hAnsi="Times New Roman"/>
                <w:szCs w:val="21"/>
              </w:rPr>
              <w:t>一</w:t>
            </w:r>
          </w:p>
        </w:tc>
        <w:tc>
          <w:tcPr>
            <w:tcW w:w="3024" w:type="dxa"/>
            <w:vAlign w:val="center"/>
          </w:tcPr>
          <w:p>
            <w:pPr>
              <w:adjustRightInd w:val="0"/>
              <w:snapToGrid w:val="0"/>
              <w:jc w:val="center"/>
              <w:rPr>
                <w:rFonts w:ascii="Times New Roman" w:hAnsi="Times New Roman"/>
                <w:szCs w:val="21"/>
              </w:rPr>
            </w:pPr>
            <w:r>
              <w:rPr>
                <w:rFonts w:ascii="Times New Roman" w:hAnsi="Times New Roman"/>
                <w:szCs w:val="21"/>
              </w:rPr>
              <w:t>≥20</w:t>
            </w:r>
          </w:p>
        </w:tc>
        <w:tc>
          <w:tcPr>
            <w:tcW w:w="3025" w:type="dxa"/>
            <w:vMerge w:val="restart"/>
            <w:vAlign w:val="center"/>
          </w:tcPr>
          <w:p>
            <w:pPr>
              <w:adjustRightInd w:val="0"/>
              <w:snapToGrid w:val="0"/>
              <w:jc w:val="center"/>
              <w:rPr>
                <w:rFonts w:ascii="Times New Roman" w:hAnsi="Times New Roman"/>
                <w:szCs w:val="21"/>
              </w:rPr>
            </w:pPr>
            <w:r>
              <w:rPr>
                <w:rFonts w:ascii="Times New Roman" w:hAnsi="Times New Roman"/>
                <w:szCs w:val="21"/>
              </w:rPr>
              <w:t>应包括重要地下水环境保护目标，必要时适当扩大范围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22" w:type="dxa"/>
            <w:vAlign w:val="center"/>
          </w:tcPr>
          <w:p>
            <w:pPr>
              <w:adjustRightInd w:val="0"/>
              <w:snapToGrid w:val="0"/>
              <w:jc w:val="center"/>
              <w:rPr>
                <w:rFonts w:ascii="Times New Roman" w:hAnsi="Times New Roman"/>
                <w:szCs w:val="21"/>
              </w:rPr>
            </w:pPr>
            <w:r>
              <w:rPr>
                <w:rFonts w:ascii="Times New Roman" w:hAnsi="Times New Roman"/>
                <w:szCs w:val="21"/>
              </w:rPr>
              <w:t>二</w:t>
            </w:r>
          </w:p>
        </w:tc>
        <w:tc>
          <w:tcPr>
            <w:tcW w:w="3024" w:type="dxa"/>
            <w:vAlign w:val="center"/>
          </w:tcPr>
          <w:p>
            <w:pPr>
              <w:adjustRightInd w:val="0"/>
              <w:snapToGrid w:val="0"/>
              <w:jc w:val="center"/>
              <w:rPr>
                <w:rFonts w:ascii="Times New Roman" w:hAnsi="Times New Roman"/>
                <w:szCs w:val="21"/>
              </w:rPr>
            </w:pPr>
            <w:r>
              <w:rPr>
                <w:rFonts w:ascii="Times New Roman" w:hAnsi="Times New Roman"/>
                <w:szCs w:val="21"/>
              </w:rPr>
              <w:t>6-20</w:t>
            </w:r>
          </w:p>
        </w:tc>
        <w:tc>
          <w:tcPr>
            <w:tcW w:w="3025" w:type="dxa"/>
            <w:vMerge w:val="continue"/>
            <w:vAlign w:val="center"/>
          </w:tcPr>
          <w:p>
            <w:pPr>
              <w:adjustRightInd w:val="0"/>
              <w:snapToGrid w:val="0"/>
              <w:jc w:val="center"/>
              <w:rPr>
                <w:rFonts w:ascii="Times New Roman"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22" w:type="dxa"/>
            <w:vAlign w:val="center"/>
          </w:tcPr>
          <w:p>
            <w:pPr>
              <w:adjustRightInd w:val="0"/>
              <w:snapToGrid w:val="0"/>
              <w:jc w:val="center"/>
              <w:rPr>
                <w:rFonts w:ascii="Times New Roman" w:hAnsi="Times New Roman"/>
                <w:szCs w:val="21"/>
              </w:rPr>
            </w:pPr>
            <w:r>
              <w:rPr>
                <w:rFonts w:ascii="Times New Roman" w:hAnsi="Times New Roman"/>
                <w:szCs w:val="21"/>
              </w:rPr>
              <w:t>三</w:t>
            </w:r>
          </w:p>
        </w:tc>
        <w:tc>
          <w:tcPr>
            <w:tcW w:w="3024" w:type="dxa"/>
            <w:vAlign w:val="center"/>
          </w:tcPr>
          <w:p>
            <w:pPr>
              <w:adjustRightInd w:val="0"/>
              <w:snapToGrid w:val="0"/>
              <w:jc w:val="center"/>
              <w:rPr>
                <w:rFonts w:ascii="Times New Roman" w:hAnsi="Times New Roman"/>
                <w:szCs w:val="21"/>
              </w:rPr>
            </w:pPr>
            <w:r>
              <w:rPr>
                <w:rFonts w:ascii="Times New Roman" w:hAnsi="Times New Roman"/>
                <w:szCs w:val="21"/>
              </w:rPr>
              <w:t>≤6</w:t>
            </w:r>
          </w:p>
        </w:tc>
        <w:tc>
          <w:tcPr>
            <w:tcW w:w="3025" w:type="dxa"/>
            <w:vMerge w:val="continue"/>
            <w:vAlign w:val="center"/>
          </w:tcPr>
          <w:p>
            <w:pPr>
              <w:adjustRightInd w:val="0"/>
              <w:snapToGrid w:val="0"/>
              <w:jc w:val="center"/>
              <w:rPr>
                <w:rFonts w:ascii="Times New Roman" w:hAnsi="Times New Roman"/>
                <w:szCs w:val="21"/>
              </w:rPr>
            </w:pPr>
          </w:p>
        </w:tc>
      </w:tr>
    </w:tbl>
    <w:p>
      <w:pPr>
        <w:spacing w:line="540" w:lineRule="exact"/>
        <w:ind w:firstLine="480" w:firstLineChars="200"/>
        <w:rPr>
          <w:rFonts w:ascii="Times New Roman" w:hAnsi="Times New Roman"/>
          <w:sz w:val="24"/>
        </w:rPr>
      </w:pPr>
      <w:bookmarkStart w:id="290" w:name="_Toc7219"/>
      <w:bookmarkStart w:id="291" w:name="_Toc491609964"/>
      <w:bookmarkStart w:id="292" w:name="_Toc30405"/>
      <w:bookmarkStart w:id="293" w:name="_Toc484463388"/>
      <w:bookmarkStart w:id="294" w:name="_Toc21558"/>
      <w:bookmarkStart w:id="295" w:name="_Toc6651"/>
      <w:r>
        <w:rPr>
          <w:rFonts w:ascii="Times New Roman" w:hAnsi="Times New Roman"/>
          <w:sz w:val="24"/>
          <w:szCs w:val="32"/>
        </w:rPr>
        <w:t>根据表</w:t>
      </w:r>
      <w:r>
        <w:rPr>
          <w:rFonts w:hint="eastAsia" w:ascii="Times New Roman" w:hAnsi="Times New Roman"/>
          <w:sz w:val="24"/>
          <w:szCs w:val="32"/>
        </w:rPr>
        <w:t>1.5-9</w:t>
      </w:r>
      <w:r>
        <w:rPr>
          <w:rFonts w:ascii="Times New Roman" w:hAnsi="Times New Roman"/>
          <w:sz w:val="24"/>
          <w:szCs w:val="32"/>
        </w:rPr>
        <w:t>可知，</w:t>
      </w:r>
      <w:r>
        <w:rPr>
          <w:rFonts w:ascii="Times New Roman" w:hAnsi="Times New Roman"/>
          <w:sz w:val="24"/>
        </w:rPr>
        <w:t>本项目地下水影响评价等级为三级</w:t>
      </w:r>
      <w:r>
        <w:rPr>
          <w:rFonts w:hint="eastAsia" w:ascii="Times New Roman" w:hAnsi="Times New Roman"/>
          <w:sz w:val="24"/>
        </w:rPr>
        <w:t>。</w:t>
      </w:r>
    </w:p>
    <w:p>
      <w:pPr>
        <w:spacing w:line="540" w:lineRule="exact"/>
        <w:ind w:firstLine="480" w:firstLineChars="200"/>
        <w:rPr>
          <w:rFonts w:ascii="Times New Roman" w:hAnsi="Times New Roman"/>
          <w:color w:val="000000"/>
          <w:sz w:val="24"/>
        </w:rPr>
      </w:pPr>
      <w:r>
        <w:rPr>
          <w:rFonts w:hint="eastAsia" w:ascii="Times New Roman" w:hAnsi="Times New Roman"/>
          <w:sz w:val="24"/>
        </w:rPr>
        <w:t>本项目地下水影响评价等级为三级，项目所在区域地下水大致流向为东向西流向。根据导则（HJ610-2016）“8.2.2.1”中关于评价范围的确定方法和依据，在结合本项目实际情况及周围环境特征的基础上，本次评价地下水评价范围采用《环境影响评价技术导则·地下水环境》（HJ610-2016）中自定义法确定地下水评价范围，因此，本次在满足上述调查评价范围原则的前提下，人为划定调查评价区边界：</w:t>
      </w:r>
      <w:r>
        <w:rPr>
          <w:rFonts w:hint="eastAsia" w:ascii="Times New Roman" w:hAnsi="Times New Roman"/>
          <w:color w:val="000000"/>
          <w:sz w:val="24"/>
        </w:rPr>
        <w:t>本次以拟建项目厂区为中心，以地下水流向</w:t>
      </w:r>
      <w:r>
        <w:rPr>
          <w:rFonts w:hint="eastAsia" w:ascii="Times New Roman" w:hAnsi="Times New Roman"/>
          <w:color w:val="000000"/>
          <w:sz w:val="24"/>
          <w:lang w:eastAsia="zh-CN"/>
        </w:rPr>
        <w:t>由东向西</w:t>
      </w:r>
      <w:r>
        <w:rPr>
          <w:rFonts w:hint="eastAsia" w:ascii="Times New Roman" w:hAnsi="Times New Roman"/>
          <w:color w:val="000000"/>
          <w:sz w:val="24"/>
        </w:rPr>
        <w:t>进行扩展，厂区地下水流向上游（</w:t>
      </w:r>
      <w:r>
        <w:rPr>
          <w:rFonts w:hint="eastAsia" w:ascii="Times New Roman" w:hAnsi="Times New Roman"/>
          <w:color w:val="000000"/>
          <w:sz w:val="24"/>
          <w:lang w:eastAsia="zh-CN"/>
        </w:rPr>
        <w:t>东</w:t>
      </w:r>
      <w:r>
        <w:rPr>
          <w:rFonts w:hint="eastAsia" w:ascii="Times New Roman" w:hAnsi="Times New Roman"/>
          <w:color w:val="000000"/>
          <w:sz w:val="24"/>
        </w:rPr>
        <w:t>侧）1.5km，下游（</w:t>
      </w:r>
      <w:r>
        <w:rPr>
          <w:rFonts w:hint="eastAsia" w:ascii="Times New Roman" w:hAnsi="Times New Roman"/>
          <w:color w:val="000000"/>
          <w:sz w:val="24"/>
          <w:lang w:eastAsia="zh-CN"/>
        </w:rPr>
        <w:t>西</w:t>
      </w:r>
      <w:r>
        <w:rPr>
          <w:rFonts w:hint="eastAsia" w:ascii="Times New Roman" w:hAnsi="Times New Roman"/>
          <w:color w:val="000000"/>
          <w:sz w:val="24"/>
        </w:rPr>
        <w:t>侧）1.5km，厂区</w:t>
      </w:r>
      <w:r>
        <w:rPr>
          <w:rFonts w:hint="eastAsia" w:ascii="Times New Roman" w:hAnsi="Times New Roman"/>
          <w:color w:val="000000"/>
          <w:sz w:val="24"/>
          <w:lang w:eastAsia="zh-CN"/>
        </w:rPr>
        <w:t>南</w:t>
      </w:r>
      <w:r>
        <w:rPr>
          <w:rFonts w:hint="eastAsia" w:ascii="Times New Roman" w:hAnsi="Times New Roman"/>
          <w:color w:val="000000"/>
          <w:sz w:val="24"/>
        </w:rPr>
        <w:t>侧1km，</w:t>
      </w:r>
      <w:r>
        <w:rPr>
          <w:rFonts w:hint="eastAsia" w:ascii="Times New Roman" w:hAnsi="Times New Roman"/>
          <w:color w:val="000000"/>
          <w:sz w:val="24"/>
          <w:lang w:eastAsia="zh-CN"/>
        </w:rPr>
        <w:t>北</w:t>
      </w:r>
      <w:r>
        <w:rPr>
          <w:rFonts w:hint="eastAsia" w:ascii="Times New Roman" w:hAnsi="Times New Roman"/>
          <w:color w:val="000000"/>
          <w:sz w:val="24"/>
        </w:rPr>
        <w:t>侧1km，调查评价区面积小于6km</w:t>
      </w:r>
      <w:r>
        <w:rPr>
          <w:rFonts w:hint="eastAsia" w:ascii="Times New Roman" w:hAnsi="Times New Roman"/>
          <w:color w:val="000000"/>
          <w:sz w:val="24"/>
          <w:vertAlign w:val="superscript"/>
        </w:rPr>
        <w:t>2</w:t>
      </w:r>
      <w:r>
        <w:rPr>
          <w:rFonts w:hint="eastAsia" w:ascii="Times New Roman" w:hAnsi="Times New Roman"/>
          <w:color w:val="000000"/>
          <w:sz w:val="24"/>
        </w:rPr>
        <w:t>，满足《环境影响评价导则 地下水环境》（HJ610-2016）关于三级评价的范围要求。项目地下水评价范围见图1.5-1。</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296" w:name="_Toc29567"/>
      <w:bookmarkStart w:id="297" w:name="_Toc26077"/>
      <w:bookmarkStart w:id="298" w:name="_Toc12749"/>
      <w:bookmarkStart w:id="299" w:name="_Toc18139"/>
      <w:bookmarkStart w:id="300" w:name="_Toc28609"/>
      <w:r>
        <w:rPr>
          <w:rFonts w:hint="eastAsia" w:cs="Times New Roman"/>
          <w:bCs w:val="0"/>
          <w:snapToGrid w:val="0"/>
          <w:kern w:val="0"/>
          <w:sz w:val="28"/>
          <w:szCs w:val="28"/>
        </w:rPr>
        <w:t>1</w:t>
      </w:r>
      <w:r>
        <w:rPr>
          <w:rFonts w:cs="Times New Roman"/>
          <w:bCs w:val="0"/>
          <w:snapToGrid w:val="0"/>
          <w:kern w:val="0"/>
          <w:sz w:val="28"/>
          <w:szCs w:val="28"/>
        </w:rPr>
        <w:t>.5.4声环境</w:t>
      </w:r>
      <w:bookmarkEnd w:id="290"/>
      <w:bookmarkEnd w:id="291"/>
      <w:bookmarkEnd w:id="292"/>
      <w:bookmarkEnd w:id="293"/>
      <w:bookmarkEnd w:id="294"/>
      <w:bookmarkEnd w:id="295"/>
      <w:bookmarkEnd w:id="296"/>
      <w:bookmarkEnd w:id="297"/>
      <w:bookmarkEnd w:id="298"/>
      <w:bookmarkEnd w:id="299"/>
      <w:bookmarkEnd w:id="300"/>
    </w:p>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.5.4.1评价等级</w:t>
      </w:r>
    </w:p>
    <w:p>
      <w:pPr>
        <w:adjustRightInd w:val="0"/>
        <w:snapToGrid w:val="0"/>
        <w:spacing w:line="540" w:lineRule="exact"/>
        <w:ind w:firstLine="480" w:firstLineChars="200"/>
        <w:rPr>
          <w:rFonts w:ascii="Times New Roman" w:hAnsi="Times New Roman"/>
          <w:snapToGrid w:val="0"/>
          <w:sz w:val="24"/>
          <w:szCs w:val="32"/>
        </w:rPr>
      </w:pPr>
      <w:r>
        <w:rPr>
          <w:rFonts w:ascii="Times New Roman" w:hAnsi="Times New Roman"/>
          <w:snapToGrid w:val="0"/>
          <w:sz w:val="24"/>
          <w:szCs w:val="32"/>
        </w:rPr>
        <w:t>根据《环境影响评价技术导则 声环境》（HJ2.4-2021）中规定的评价工作等级划分依据，将声环境影响评价工作分为一、二、三级，划分依据见表</w:t>
      </w:r>
      <w:r>
        <w:rPr>
          <w:rFonts w:hint="eastAsia" w:ascii="Times New Roman" w:hAnsi="Times New Roman"/>
          <w:snapToGrid w:val="0"/>
          <w:sz w:val="24"/>
          <w:szCs w:val="32"/>
        </w:rPr>
        <w:t>1</w:t>
      </w:r>
      <w:r>
        <w:rPr>
          <w:rFonts w:ascii="Times New Roman" w:hAnsi="Times New Roman"/>
          <w:snapToGrid w:val="0"/>
          <w:sz w:val="24"/>
          <w:szCs w:val="32"/>
        </w:rPr>
        <w:t>.5-1</w:t>
      </w:r>
      <w:r>
        <w:rPr>
          <w:rFonts w:hint="eastAsia" w:ascii="Times New Roman" w:hAnsi="Times New Roman"/>
          <w:snapToGrid w:val="0"/>
          <w:sz w:val="24"/>
          <w:szCs w:val="32"/>
        </w:rPr>
        <w:t>0</w:t>
      </w:r>
      <w:r>
        <w:rPr>
          <w:rFonts w:ascii="Times New Roman" w:hAnsi="Times New Roman"/>
          <w:snapToGrid w:val="0"/>
          <w:sz w:val="24"/>
          <w:szCs w:val="32"/>
        </w:rPr>
        <w:t>。</w:t>
      </w:r>
    </w:p>
    <w:p>
      <w:pPr>
        <w:pStyle w:val="15"/>
        <w:ind w:left="0" w:leftChars="0" w:firstLine="0" w:firstLineChars="0"/>
        <w:rPr>
          <w:rFonts w:ascii="Times New Roman" w:hAnsi="Times New Roman"/>
          <w:snapToGrid w:val="0"/>
          <w:sz w:val="24"/>
          <w:szCs w:val="32"/>
        </w:rPr>
      </w:pPr>
    </w:p>
    <w:p>
      <w:pPr>
        <w:widowControl/>
        <w:ind w:firstLine="481" w:firstLineChars="20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.5-1</w:t>
      </w:r>
      <w:r>
        <w:rPr>
          <w:rFonts w:hint="eastAsia" w:ascii="Times New Roman" w:hAnsi="Times New Roman"/>
          <w:b/>
          <w:sz w:val="24"/>
        </w:rPr>
        <w:t>0</w:t>
      </w:r>
      <w:r>
        <w:rPr>
          <w:rFonts w:ascii="Times New Roman" w:hAnsi="Times New Roman"/>
          <w:b/>
          <w:sz w:val="24"/>
        </w:rPr>
        <w:t xml:space="preserve"> 声环境影响评价工作级别划分依据表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708"/>
        <w:gridCol w:w="73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08" w:type="dxa"/>
            <w:vAlign w:val="center"/>
          </w:tcPr>
          <w:p>
            <w:pPr>
              <w:adjustRightInd w:val="0"/>
              <w:snapToGrid w:val="0"/>
              <w:jc w:val="center"/>
              <w:rPr>
                <w:rFonts w:ascii="Times New Roman" w:hAnsi="Times New Roman"/>
                <w:b/>
                <w:bCs/>
                <w:spacing w:val="16"/>
                <w:szCs w:val="21"/>
              </w:rPr>
            </w:pPr>
            <w:r>
              <w:rPr>
                <w:rFonts w:ascii="Times New Roman" w:hAnsi="Times New Roman"/>
                <w:b/>
                <w:bCs/>
                <w:szCs w:val="21"/>
              </w:rPr>
              <w:t>评价工作等级</w:t>
            </w:r>
          </w:p>
        </w:tc>
        <w:tc>
          <w:tcPr>
            <w:tcW w:w="7363" w:type="dxa"/>
            <w:vAlign w:val="center"/>
          </w:tcPr>
          <w:p>
            <w:pPr>
              <w:adjustRightInd w:val="0"/>
              <w:snapToGrid w:val="0"/>
              <w:jc w:val="center"/>
              <w:rPr>
                <w:rFonts w:ascii="Times New Roman" w:hAnsi="Times New Roman"/>
                <w:b/>
                <w:bCs/>
                <w:spacing w:val="16"/>
                <w:szCs w:val="21"/>
              </w:rPr>
            </w:pPr>
            <w:r>
              <w:rPr>
                <w:rFonts w:ascii="Times New Roman" w:hAnsi="Times New Roman"/>
                <w:b/>
                <w:bCs/>
                <w:szCs w:val="21"/>
              </w:rPr>
              <w:t>评价工作分级判据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08" w:type="dxa"/>
            <w:vAlign w:val="center"/>
          </w:tcPr>
          <w:p>
            <w:pPr>
              <w:adjustRightInd w:val="0"/>
              <w:snapToGrid w:val="0"/>
              <w:jc w:val="center"/>
              <w:rPr>
                <w:rFonts w:ascii="Times New Roman" w:hAnsi="Times New Roman"/>
                <w:szCs w:val="21"/>
              </w:rPr>
            </w:pPr>
            <w:r>
              <w:rPr>
                <w:rFonts w:ascii="Times New Roman" w:hAnsi="Times New Roman"/>
                <w:szCs w:val="21"/>
              </w:rPr>
              <w:t>一级</w:t>
            </w:r>
          </w:p>
        </w:tc>
        <w:tc>
          <w:tcPr>
            <w:tcW w:w="7363" w:type="dxa"/>
            <w:vAlign w:val="center"/>
          </w:tcPr>
          <w:p>
            <w:pPr>
              <w:adjustRightInd w:val="0"/>
              <w:snapToGrid w:val="0"/>
              <w:jc w:val="left"/>
              <w:rPr>
                <w:rFonts w:ascii="Times New Roman" w:hAnsi="Times New Roman"/>
                <w:szCs w:val="21"/>
              </w:rPr>
            </w:pPr>
            <w:r>
              <w:rPr>
                <w:rFonts w:ascii="Times New Roman" w:hAnsi="Times New Roman"/>
                <w:color w:val="auto"/>
                <w:szCs w:val="21"/>
              </w:rPr>
              <w:t>评价范围内有适用于GB3096规定的0类声环境功能区域，或建设项目建设前后评价范围内敏感目标噪声级增高量达5dB(A)以上（不含5dB(A)），或受影响人口数量显著增</w:t>
            </w:r>
            <w:r>
              <w:rPr>
                <w:rFonts w:hint="eastAsia" w:ascii="Times New Roman" w:hAnsi="Times New Roman"/>
                <w:color w:val="auto"/>
                <w:szCs w:val="21"/>
                <w:lang w:eastAsia="zh-CN"/>
              </w:rPr>
              <w:t>加</w:t>
            </w:r>
            <w:r>
              <w:rPr>
                <w:rFonts w:ascii="Times New Roman" w:hAnsi="Times New Roman"/>
                <w:color w:val="auto"/>
                <w:szCs w:val="21"/>
              </w:rPr>
              <w:t>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08" w:type="dxa"/>
            <w:vAlign w:val="center"/>
          </w:tcPr>
          <w:p>
            <w:pPr>
              <w:adjustRightInd w:val="0"/>
              <w:snapToGrid w:val="0"/>
              <w:jc w:val="center"/>
              <w:rPr>
                <w:rFonts w:ascii="Times New Roman" w:hAnsi="Times New Roman"/>
                <w:szCs w:val="21"/>
              </w:rPr>
            </w:pPr>
            <w:r>
              <w:rPr>
                <w:rFonts w:ascii="Times New Roman" w:hAnsi="Times New Roman"/>
                <w:szCs w:val="21"/>
              </w:rPr>
              <w:t>二级</w:t>
            </w:r>
          </w:p>
        </w:tc>
        <w:tc>
          <w:tcPr>
            <w:tcW w:w="7363" w:type="dxa"/>
            <w:vAlign w:val="center"/>
          </w:tcPr>
          <w:p>
            <w:pPr>
              <w:adjustRightInd w:val="0"/>
              <w:snapToGrid w:val="0"/>
              <w:jc w:val="left"/>
              <w:rPr>
                <w:rFonts w:ascii="Times New Roman" w:hAnsi="Times New Roman"/>
                <w:szCs w:val="21"/>
              </w:rPr>
            </w:pPr>
            <w:r>
              <w:rPr>
                <w:rFonts w:ascii="Times New Roman" w:hAnsi="Times New Roman"/>
                <w:szCs w:val="21"/>
              </w:rPr>
              <w:t>建设项目所处的声环境功能区为GB3096规定的1类、2类地区，或建设项目建设前后评价范围内敏感目标噪声级增高量达3dB(A)～5dB(A)（含5dB(A)），或受噪声影响人口数量增加较多时。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08" w:type="dxa"/>
            <w:vAlign w:val="center"/>
          </w:tcPr>
          <w:p>
            <w:pPr>
              <w:adjustRightInd w:val="0"/>
              <w:snapToGrid w:val="0"/>
              <w:jc w:val="center"/>
              <w:rPr>
                <w:rFonts w:ascii="Times New Roman" w:hAnsi="Times New Roman"/>
                <w:szCs w:val="21"/>
              </w:rPr>
            </w:pPr>
            <w:r>
              <w:rPr>
                <w:rFonts w:ascii="Times New Roman" w:hAnsi="Times New Roman"/>
                <w:szCs w:val="21"/>
              </w:rPr>
              <w:t>三级</w:t>
            </w:r>
          </w:p>
        </w:tc>
        <w:tc>
          <w:tcPr>
            <w:tcW w:w="7363" w:type="dxa"/>
            <w:vAlign w:val="center"/>
          </w:tcPr>
          <w:p>
            <w:pPr>
              <w:adjustRightInd w:val="0"/>
              <w:snapToGrid w:val="0"/>
              <w:jc w:val="left"/>
              <w:rPr>
                <w:rFonts w:ascii="Times New Roman" w:hAnsi="Times New Roman"/>
                <w:szCs w:val="21"/>
              </w:rPr>
            </w:pPr>
            <w:r>
              <w:rPr>
                <w:rFonts w:ascii="Times New Roman" w:hAnsi="Times New Roman"/>
                <w:szCs w:val="21"/>
              </w:rPr>
              <w:t>建设项目所处的声环境功能区为GB3096规定的3类、4类地区，或建设项目建设前后评价范围内敏感目标噪声级增高量在3dB(A)以下（不含3dB(A)），且受影响人口数量变化不大时。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08" w:type="dxa"/>
            <w:vAlign w:val="center"/>
          </w:tcPr>
          <w:p>
            <w:pPr>
              <w:adjustRightInd w:val="0"/>
              <w:snapToGrid w:val="0"/>
              <w:jc w:val="center"/>
              <w:rPr>
                <w:rFonts w:ascii="Times New Roman" w:hAnsi="Times New Roman"/>
                <w:szCs w:val="21"/>
              </w:rPr>
            </w:pPr>
            <w:r>
              <w:rPr>
                <w:rFonts w:ascii="Times New Roman" w:hAnsi="Times New Roman"/>
                <w:szCs w:val="21"/>
              </w:rPr>
              <w:t>本项目</w:t>
            </w:r>
          </w:p>
        </w:tc>
        <w:tc>
          <w:tcPr>
            <w:tcW w:w="7363" w:type="dxa"/>
            <w:vAlign w:val="center"/>
          </w:tcPr>
          <w:p>
            <w:pPr>
              <w:adjustRightInd w:val="0"/>
              <w:snapToGrid w:val="0"/>
              <w:jc w:val="left"/>
              <w:rPr>
                <w:rFonts w:ascii="Times New Roman" w:hAnsi="Times New Roman"/>
                <w:szCs w:val="21"/>
              </w:rPr>
            </w:pPr>
            <w:r>
              <w:rPr>
                <w:rFonts w:ascii="Times New Roman" w:hAnsi="Times New Roman"/>
                <w:szCs w:val="21"/>
              </w:rPr>
              <w:t xml:space="preserve">本项目声环境评价等级为二级 </w:t>
            </w:r>
          </w:p>
        </w:tc>
      </w:tr>
    </w:tbl>
    <w:p>
      <w:pPr>
        <w:adjustRightInd w:val="0"/>
        <w:snapToGrid w:val="0"/>
        <w:spacing w:line="540" w:lineRule="exact"/>
        <w:ind w:firstLine="480" w:firstLineChars="200"/>
        <w:rPr>
          <w:rFonts w:ascii="Times New Roman" w:hAnsi="Times New Roman"/>
          <w:snapToGrid w:val="0"/>
          <w:sz w:val="24"/>
          <w:szCs w:val="32"/>
        </w:rPr>
      </w:pPr>
      <w:r>
        <w:rPr>
          <w:rFonts w:ascii="Times New Roman" w:hAnsi="Times New Roman"/>
          <w:snapToGrid w:val="0"/>
          <w:sz w:val="24"/>
          <w:szCs w:val="32"/>
        </w:rPr>
        <w:t>本项目拟选场址所在区域适用于《声环境质量标准》（GB3096-2008）规定的</w:t>
      </w:r>
      <w:r>
        <w:rPr>
          <w:rFonts w:hint="eastAsia" w:ascii="Times New Roman" w:hAnsi="Times New Roman"/>
          <w:snapToGrid w:val="0"/>
          <w:sz w:val="24"/>
          <w:szCs w:val="32"/>
        </w:rPr>
        <w:t>2</w:t>
      </w:r>
      <w:r>
        <w:rPr>
          <w:rFonts w:ascii="Times New Roman" w:hAnsi="Times New Roman"/>
          <w:snapToGrid w:val="0"/>
          <w:sz w:val="24"/>
          <w:szCs w:val="32"/>
        </w:rPr>
        <w:t>类区标准，项目建设后，但项目评价范围内无环境敏感目标，且受影响人口数量不增加。根据评价工作级别划分依据，本次声环境影响评价工作等级确定为</w:t>
      </w:r>
      <w:r>
        <w:rPr>
          <w:rFonts w:hint="eastAsia" w:ascii="Times New Roman" w:hAnsi="Times New Roman"/>
          <w:snapToGrid w:val="0"/>
          <w:sz w:val="24"/>
          <w:szCs w:val="32"/>
        </w:rPr>
        <w:t>二</w:t>
      </w:r>
      <w:r>
        <w:rPr>
          <w:rFonts w:ascii="Times New Roman" w:hAnsi="Times New Roman"/>
          <w:snapToGrid w:val="0"/>
          <w:sz w:val="24"/>
          <w:szCs w:val="32"/>
        </w:rPr>
        <w:t>级。</w:t>
      </w:r>
    </w:p>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.5.4.2评价范围</w:t>
      </w:r>
    </w:p>
    <w:p>
      <w:pPr>
        <w:adjustRightInd w:val="0"/>
        <w:snapToGrid w:val="0"/>
        <w:spacing w:line="540" w:lineRule="exact"/>
        <w:ind w:firstLine="480" w:firstLineChars="200"/>
        <w:rPr>
          <w:rFonts w:ascii="Times New Roman" w:hAnsi="Times New Roman"/>
          <w:snapToGrid w:val="0"/>
          <w:sz w:val="24"/>
          <w:szCs w:val="32"/>
        </w:rPr>
      </w:pPr>
      <w:r>
        <w:rPr>
          <w:rFonts w:ascii="Times New Roman" w:hAnsi="Times New Roman"/>
          <w:snapToGrid w:val="0"/>
          <w:sz w:val="24"/>
          <w:szCs w:val="32"/>
        </w:rPr>
        <w:t>根据《环境影响评价技术导则 声环境》（HJ2.4-20</w:t>
      </w:r>
      <w:r>
        <w:rPr>
          <w:rFonts w:hint="eastAsia" w:ascii="Times New Roman" w:hAnsi="Times New Roman"/>
          <w:snapToGrid w:val="0"/>
          <w:sz w:val="24"/>
          <w:szCs w:val="32"/>
          <w:lang w:val="en-US" w:eastAsia="zh-CN"/>
        </w:rPr>
        <w:t>21</w:t>
      </w:r>
      <w:r>
        <w:rPr>
          <w:rFonts w:ascii="Times New Roman" w:hAnsi="Times New Roman"/>
          <w:snapToGrid w:val="0"/>
          <w:sz w:val="24"/>
          <w:szCs w:val="32"/>
        </w:rPr>
        <w:t>）规定，评价范围为本项目场界外200m内区域。</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301" w:name="_Toc1578"/>
      <w:bookmarkStart w:id="302" w:name="_Toc15017"/>
      <w:bookmarkStart w:id="303" w:name="_Toc5861"/>
      <w:bookmarkStart w:id="304" w:name="_Toc6648"/>
      <w:bookmarkStart w:id="305" w:name="_Toc13752"/>
      <w:bookmarkStart w:id="306" w:name="_Toc15125"/>
      <w:r>
        <w:rPr>
          <w:rFonts w:hint="eastAsia" w:cs="Times New Roman"/>
          <w:bCs w:val="0"/>
          <w:snapToGrid w:val="0"/>
          <w:kern w:val="0"/>
          <w:sz w:val="28"/>
          <w:szCs w:val="28"/>
        </w:rPr>
        <w:t>1</w:t>
      </w:r>
      <w:r>
        <w:rPr>
          <w:rFonts w:cs="Times New Roman"/>
          <w:bCs w:val="0"/>
          <w:snapToGrid w:val="0"/>
          <w:kern w:val="0"/>
          <w:sz w:val="28"/>
          <w:szCs w:val="28"/>
        </w:rPr>
        <w:t>.5.5生态环境</w:t>
      </w:r>
      <w:bookmarkEnd w:id="301"/>
      <w:bookmarkEnd w:id="302"/>
      <w:bookmarkEnd w:id="303"/>
      <w:bookmarkEnd w:id="304"/>
      <w:bookmarkEnd w:id="305"/>
      <w:bookmarkEnd w:id="306"/>
    </w:p>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.5.5.1评价等级</w:t>
      </w:r>
    </w:p>
    <w:p>
      <w:pPr>
        <w:adjustRightInd w:val="0"/>
        <w:snapToGrid w:val="0"/>
        <w:spacing w:line="540" w:lineRule="exact"/>
        <w:ind w:firstLine="480" w:firstLineChars="200"/>
        <w:rPr>
          <w:rFonts w:hint="default" w:ascii="Times New Roman" w:hAnsi="Times New Roman" w:eastAsia="宋体"/>
          <w:snapToGrid w:val="0"/>
          <w:color w:val="FF0000"/>
          <w:sz w:val="24"/>
          <w:szCs w:val="32"/>
          <w:lang w:eastAsia="zh-CN"/>
        </w:rPr>
      </w:pPr>
      <w:r>
        <w:rPr>
          <w:rFonts w:hint="default" w:ascii="Times New Roman" w:hAnsi="Times New Roman" w:eastAsia="宋体"/>
          <w:snapToGrid w:val="0"/>
          <w:color w:val="FF0000"/>
          <w:sz w:val="24"/>
          <w:szCs w:val="32"/>
        </w:rPr>
        <w:t>按照《环境影响评价技术导则·生态影响》</w:t>
      </w:r>
      <w:r>
        <w:rPr>
          <w:rFonts w:hint="default" w:ascii="Times New Roman" w:hAnsi="Times New Roman" w:eastAsia="宋体"/>
          <w:snapToGrid w:val="0"/>
          <w:color w:val="FF0000"/>
          <w:sz w:val="24"/>
          <w:szCs w:val="32"/>
          <w:lang w:eastAsia="zh-CN"/>
        </w:rPr>
        <w:t>（</w:t>
      </w:r>
      <w:r>
        <w:rPr>
          <w:rFonts w:hint="default" w:ascii="Times New Roman" w:hAnsi="Times New Roman" w:eastAsia="宋体"/>
          <w:snapToGrid w:val="0"/>
          <w:color w:val="FF0000"/>
          <w:sz w:val="24"/>
          <w:szCs w:val="32"/>
        </w:rPr>
        <w:t xml:space="preserve"> HJ19-2022</w:t>
      </w:r>
      <w:r>
        <w:rPr>
          <w:rFonts w:hint="default" w:ascii="Times New Roman" w:hAnsi="Times New Roman" w:eastAsia="宋体"/>
          <w:snapToGrid w:val="0"/>
          <w:color w:val="FF0000"/>
          <w:sz w:val="24"/>
          <w:szCs w:val="32"/>
          <w:lang w:eastAsia="zh-CN"/>
        </w:rPr>
        <w:t>）以下原则确定评价等级：</w:t>
      </w:r>
    </w:p>
    <w:p>
      <w:pPr>
        <w:adjustRightInd w:val="0"/>
        <w:snapToGrid w:val="0"/>
        <w:spacing w:line="540" w:lineRule="exact"/>
        <w:ind w:firstLine="480" w:firstLineChars="200"/>
        <w:rPr>
          <w:rFonts w:hint="default" w:ascii="Times New Roman" w:hAnsi="Times New Roman" w:eastAsia="宋体"/>
          <w:snapToGrid w:val="0"/>
          <w:color w:val="FF0000"/>
          <w:sz w:val="24"/>
          <w:szCs w:val="32"/>
          <w:lang w:eastAsia="zh-CN"/>
        </w:rPr>
      </w:pPr>
      <w:r>
        <w:rPr>
          <w:rFonts w:hint="default" w:ascii="Times New Roman" w:hAnsi="Times New Roman" w:eastAsia="宋体"/>
          <w:snapToGrid w:val="0"/>
          <w:color w:val="FF0000"/>
          <w:sz w:val="24"/>
          <w:szCs w:val="32"/>
          <w:lang w:eastAsia="zh-CN"/>
        </w:rPr>
        <w:t>a）涉及国家公园、自然保护区、世界自然遗产、重要生境时，评价等级为一级；</w:t>
      </w:r>
    </w:p>
    <w:p>
      <w:pPr>
        <w:adjustRightInd w:val="0"/>
        <w:snapToGrid w:val="0"/>
        <w:spacing w:line="540" w:lineRule="exact"/>
        <w:ind w:firstLine="480" w:firstLineChars="200"/>
        <w:rPr>
          <w:rFonts w:hint="default" w:ascii="Times New Roman" w:hAnsi="Times New Roman" w:eastAsia="宋体"/>
          <w:snapToGrid w:val="0"/>
          <w:color w:val="FF0000"/>
          <w:sz w:val="24"/>
          <w:szCs w:val="32"/>
          <w:lang w:eastAsia="zh-CN"/>
        </w:rPr>
      </w:pPr>
      <w:r>
        <w:rPr>
          <w:rFonts w:hint="default" w:ascii="Times New Roman" w:hAnsi="Times New Roman" w:eastAsia="宋体"/>
          <w:snapToGrid w:val="0"/>
          <w:color w:val="FF0000"/>
          <w:sz w:val="24"/>
          <w:szCs w:val="32"/>
          <w:lang w:eastAsia="zh-CN"/>
        </w:rPr>
        <w:t>b）涉及自然公园时，评价等级为二级；</w:t>
      </w:r>
    </w:p>
    <w:p>
      <w:pPr>
        <w:adjustRightInd w:val="0"/>
        <w:snapToGrid w:val="0"/>
        <w:spacing w:line="540" w:lineRule="exact"/>
        <w:ind w:firstLine="480" w:firstLineChars="200"/>
        <w:rPr>
          <w:rFonts w:hint="default" w:ascii="Times New Roman" w:hAnsi="Times New Roman" w:eastAsia="宋体"/>
          <w:snapToGrid w:val="0"/>
          <w:color w:val="FF0000"/>
          <w:sz w:val="24"/>
          <w:szCs w:val="32"/>
          <w:lang w:eastAsia="zh-CN"/>
        </w:rPr>
      </w:pPr>
      <w:r>
        <w:rPr>
          <w:rFonts w:hint="default" w:ascii="Times New Roman" w:hAnsi="Times New Roman" w:eastAsia="宋体"/>
          <w:snapToGrid w:val="0"/>
          <w:color w:val="FF0000"/>
          <w:sz w:val="24"/>
          <w:szCs w:val="32"/>
          <w:lang w:eastAsia="zh-CN"/>
        </w:rPr>
        <w:t>c）涉及生态保护红线时，评价等级不低于二级；</w:t>
      </w:r>
    </w:p>
    <w:p>
      <w:pPr>
        <w:adjustRightInd w:val="0"/>
        <w:snapToGrid w:val="0"/>
        <w:spacing w:line="540" w:lineRule="exact"/>
        <w:ind w:firstLine="480" w:firstLineChars="200"/>
        <w:rPr>
          <w:rFonts w:hint="default" w:ascii="Times New Roman" w:hAnsi="Times New Roman" w:eastAsia="宋体"/>
          <w:snapToGrid w:val="0"/>
          <w:color w:val="FF0000"/>
          <w:sz w:val="24"/>
          <w:szCs w:val="32"/>
          <w:lang w:eastAsia="zh-CN"/>
        </w:rPr>
      </w:pPr>
      <w:r>
        <w:rPr>
          <w:rFonts w:hint="default" w:ascii="Times New Roman" w:hAnsi="Times New Roman" w:eastAsia="宋体"/>
          <w:snapToGrid w:val="0"/>
          <w:color w:val="FF0000"/>
          <w:sz w:val="24"/>
          <w:szCs w:val="32"/>
          <w:lang w:eastAsia="zh-CN"/>
        </w:rPr>
        <w:t>d）根据HJ2.3判断属于水文要素影响型且地表水评价等级不低于二级的建设项目，生态影响评价等级不低于二级；</w:t>
      </w:r>
    </w:p>
    <w:p>
      <w:pPr>
        <w:adjustRightInd w:val="0"/>
        <w:snapToGrid w:val="0"/>
        <w:spacing w:line="540" w:lineRule="exact"/>
        <w:ind w:firstLine="480" w:firstLineChars="200"/>
        <w:rPr>
          <w:rFonts w:hint="default" w:ascii="Times New Roman" w:hAnsi="Times New Roman" w:eastAsia="宋体"/>
          <w:snapToGrid w:val="0"/>
          <w:color w:val="FF0000"/>
          <w:sz w:val="24"/>
          <w:szCs w:val="32"/>
          <w:lang w:eastAsia="zh-CN"/>
        </w:rPr>
      </w:pPr>
      <w:r>
        <w:rPr>
          <w:rFonts w:hint="default" w:ascii="Times New Roman" w:hAnsi="Times New Roman" w:eastAsia="宋体"/>
          <w:snapToGrid w:val="0"/>
          <w:color w:val="FF0000"/>
          <w:sz w:val="24"/>
          <w:szCs w:val="32"/>
          <w:lang w:eastAsia="zh-CN"/>
        </w:rPr>
        <w:t>e）根据HJ610、HJ964判断地下水水位或土壤影响范围内分布有天然林、公益林、湿地等生态保护目标的建设项目，生态影响评价等级不低于二级；</w:t>
      </w:r>
    </w:p>
    <w:p>
      <w:pPr>
        <w:adjustRightInd w:val="0"/>
        <w:snapToGrid w:val="0"/>
        <w:spacing w:line="540" w:lineRule="exact"/>
        <w:ind w:firstLine="480" w:firstLineChars="200"/>
        <w:rPr>
          <w:rFonts w:hint="default" w:ascii="Times New Roman" w:hAnsi="Times New Roman" w:eastAsia="宋体"/>
          <w:snapToGrid w:val="0"/>
          <w:color w:val="FF0000"/>
          <w:sz w:val="24"/>
          <w:szCs w:val="32"/>
          <w:lang w:eastAsia="zh-CN"/>
        </w:rPr>
      </w:pPr>
      <w:r>
        <w:rPr>
          <w:rFonts w:hint="default" w:ascii="Times New Roman" w:hAnsi="Times New Roman" w:eastAsia="宋体"/>
          <w:snapToGrid w:val="0"/>
          <w:color w:val="FF0000"/>
          <w:sz w:val="24"/>
          <w:szCs w:val="32"/>
          <w:lang w:eastAsia="zh-CN"/>
        </w:rPr>
        <w:t>f）当工程占地规模大于20km</w:t>
      </w:r>
      <w:r>
        <w:rPr>
          <w:rFonts w:hint="default" w:ascii="Times New Roman" w:hAnsi="Times New Roman" w:eastAsia="宋体"/>
          <w:snapToGrid w:val="0"/>
          <w:color w:val="FF0000"/>
          <w:sz w:val="24"/>
          <w:szCs w:val="32"/>
          <w:vertAlign w:val="superscript"/>
          <w:lang w:eastAsia="zh-CN"/>
        </w:rPr>
        <w:t>2</w:t>
      </w:r>
      <w:r>
        <w:rPr>
          <w:rFonts w:hint="default" w:ascii="Times New Roman" w:hAnsi="Times New Roman" w:eastAsia="宋体"/>
          <w:snapToGrid w:val="0"/>
          <w:color w:val="FF0000"/>
          <w:sz w:val="24"/>
          <w:szCs w:val="32"/>
          <w:lang w:eastAsia="zh-CN"/>
        </w:rPr>
        <w:t>时（包括永久和临时占用陆域和水域），评价等级不低于二级；改扩建项目的占地范围以新增占地（包括陆域和水域）确定；</w:t>
      </w:r>
    </w:p>
    <w:p>
      <w:pPr>
        <w:adjustRightInd w:val="0"/>
        <w:snapToGrid w:val="0"/>
        <w:spacing w:line="540" w:lineRule="exact"/>
        <w:ind w:firstLine="480" w:firstLineChars="200"/>
        <w:rPr>
          <w:rFonts w:hint="default" w:ascii="Times New Roman" w:hAnsi="Times New Roman" w:eastAsia="宋体"/>
          <w:snapToGrid w:val="0"/>
          <w:color w:val="FF0000"/>
          <w:sz w:val="24"/>
          <w:szCs w:val="32"/>
          <w:lang w:eastAsia="zh-CN"/>
        </w:rPr>
      </w:pPr>
      <w:r>
        <w:rPr>
          <w:rFonts w:hint="default" w:ascii="Times New Roman" w:hAnsi="Times New Roman" w:eastAsia="宋体"/>
          <w:snapToGrid w:val="0"/>
          <w:color w:val="FF0000"/>
          <w:sz w:val="24"/>
          <w:szCs w:val="32"/>
          <w:lang w:eastAsia="zh-CN"/>
        </w:rPr>
        <w:t>g）除本条a）、b）、c）、d）、e）、f）以外的情况，评价等级为三级；</w:t>
      </w:r>
    </w:p>
    <w:p>
      <w:pPr>
        <w:adjustRightInd w:val="0"/>
        <w:snapToGrid w:val="0"/>
        <w:spacing w:line="540" w:lineRule="exact"/>
        <w:ind w:firstLine="480" w:firstLineChars="200"/>
        <w:rPr>
          <w:rFonts w:hint="default" w:ascii="Times New Roman" w:hAnsi="Times New Roman" w:eastAsia="宋体"/>
          <w:snapToGrid w:val="0"/>
          <w:sz w:val="24"/>
          <w:szCs w:val="32"/>
          <w:lang w:eastAsia="zh-CN"/>
        </w:rPr>
      </w:pPr>
      <w:r>
        <w:rPr>
          <w:rFonts w:hint="default" w:ascii="Times New Roman" w:hAnsi="Times New Roman" w:eastAsia="宋体"/>
          <w:snapToGrid w:val="0"/>
          <w:color w:val="FF0000"/>
          <w:sz w:val="24"/>
          <w:szCs w:val="32"/>
          <w:lang w:eastAsia="zh-CN"/>
        </w:rPr>
        <w:t>h）当评价等级判定同时符合上述多种情况时，应采用其中最高的评价等级</w:t>
      </w:r>
      <w:r>
        <w:rPr>
          <w:rFonts w:hint="default" w:ascii="Times New Roman" w:hAnsi="Times New Roman" w:eastAsia="宋体"/>
          <w:snapToGrid w:val="0"/>
          <w:sz w:val="24"/>
          <w:szCs w:val="32"/>
          <w:lang w:eastAsia="zh-CN"/>
        </w:rPr>
        <w:t>。</w:t>
      </w:r>
    </w:p>
    <w:p>
      <w:pPr>
        <w:adjustRightInd w:val="0"/>
        <w:snapToGrid w:val="0"/>
        <w:spacing w:line="540" w:lineRule="exact"/>
        <w:ind w:firstLine="480" w:firstLineChars="200"/>
        <w:rPr>
          <w:rFonts w:ascii="Times New Roman" w:hAnsi="Times New Roman" w:eastAsia="宋体"/>
          <w:snapToGrid w:val="0"/>
          <w:color w:val="FF0000"/>
          <w:sz w:val="24"/>
          <w:szCs w:val="32"/>
        </w:rPr>
      </w:pPr>
      <w:r>
        <w:rPr>
          <w:rFonts w:hint="default" w:ascii="Times New Roman" w:hAnsi="Times New Roman" w:eastAsia="宋体"/>
          <w:snapToGrid w:val="0"/>
          <w:color w:val="FF0000"/>
          <w:sz w:val="24"/>
          <w:szCs w:val="32"/>
          <w:lang w:eastAsia="zh-CN"/>
        </w:rPr>
        <w:t>本</w:t>
      </w:r>
      <w:r>
        <w:rPr>
          <w:rFonts w:hint="default" w:ascii="Times New Roman" w:hAnsi="Times New Roman" w:eastAsia="宋体"/>
          <w:snapToGrid w:val="0"/>
          <w:color w:val="FF0000"/>
          <w:sz w:val="24"/>
          <w:szCs w:val="32"/>
          <w:lang w:val="zh-CN"/>
        </w:rPr>
        <w:t>项目总占地面积为</w:t>
      </w:r>
      <w:r>
        <w:rPr>
          <w:rFonts w:hint="eastAsia" w:ascii="Times New Roman" w:hAnsi="Times New Roman" w:eastAsia="宋体"/>
          <w:snapToGrid w:val="0"/>
          <w:color w:val="FF0000"/>
          <w:sz w:val="24"/>
          <w:szCs w:val="32"/>
          <w:lang w:val="en-US" w:eastAsia="zh-CN"/>
        </w:rPr>
        <w:t>31432.4</w:t>
      </w:r>
      <w:r>
        <w:rPr>
          <w:rFonts w:hint="default" w:ascii="Times New Roman" w:hAnsi="Times New Roman" w:eastAsia="宋体"/>
          <w:snapToGrid w:val="0"/>
          <w:color w:val="FF0000"/>
          <w:sz w:val="24"/>
          <w:szCs w:val="32"/>
          <w:lang w:val="en-US" w:eastAsia="zh-CN"/>
        </w:rPr>
        <w:t>m</w:t>
      </w:r>
      <w:r>
        <w:rPr>
          <w:rFonts w:hint="default" w:ascii="Times New Roman" w:hAnsi="Times New Roman" w:eastAsia="宋体"/>
          <w:snapToGrid w:val="0"/>
          <w:color w:val="FF0000"/>
          <w:sz w:val="24"/>
          <w:szCs w:val="32"/>
          <w:vertAlign w:val="superscript"/>
          <w:lang w:val="en-US" w:eastAsia="zh-CN"/>
        </w:rPr>
        <w:t>2</w:t>
      </w:r>
      <w:r>
        <w:rPr>
          <w:rFonts w:hint="default" w:ascii="Times New Roman" w:hAnsi="Times New Roman" w:eastAsia="宋体"/>
          <w:snapToGrid w:val="0"/>
          <w:color w:val="FF0000"/>
          <w:sz w:val="24"/>
          <w:szCs w:val="32"/>
          <w:lang w:val="zh-CN"/>
        </w:rPr>
        <w:t>（</w:t>
      </w:r>
      <w:r>
        <w:rPr>
          <w:rFonts w:hint="default" w:ascii="Times New Roman" w:hAnsi="Times New Roman" w:eastAsia="宋体"/>
          <w:snapToGrid w:val="0"/>
          <w:color w:val="FF0000"/>
          <w:sz w:val="24"/>
          <w:szCs w:val="32"/>
          <w:lang w:val="en-US" w:eastAsia="zh-CN"/>
        </w:rPr>
        <w:t>0.0</w:t>
      </w:r>
      <w:r>
        <w:rPr>
          <w:rFonts w:hint="eastAsia" w:ascii="Times New Roman" w:hAnsi="Times New Roman" w:eastAsia="宋体"/>
          <w:snapToGrid w:val="0"/>
          <w:color w:val="FF0000"/>
          <w:sz w:val="24"/>
          <w:szCs w:val="32"/>
          <w:lang w:val="en-US" w:eastAsia="zh-CN"/>
        </w:rPr>
        <w:t>31</w:t>
      </w:r>
      <w:r>
        <w:rPr>
          <w:rFonts w:hint="default" w:ascii="Times New Roman" w:hAnsi="Times New Roman" w:eastAsia="宋体"/>
          <w:snapToGrid w:val="0"/>
          <w:color w:val="FF0000"/>
          <w:sz w:val="24"/>
          <w:szCs w:val="32"/>
          <w:lang w:val="en-US" w:eastAsia="zh-CN"/>
        </w:rPr>
        <w:t>km</w:t>
      </w:r>
      <w:r>
        <w:rPr>
          <w:rFonts w:hint="default" w:ascii="Times New Roman" w:hAnsi="Times New Roman" w:eastAsia="宋体"/>
          <w:snapToGrid w:val="0"/>
          <w:color w:val="FF0000"/>
          <w:sz w:val="24"/>
          <w:szCs w:val="32"/>
          <w:vertAlign w:val="superscript"/>
          <w:lang w:val="en-US" w:eastAsia="zh-CN"/>
        </w:rPr>
        <w:t>2</w:t>
      </w:r>
      <w:r>
        <w:rPr>
          <w:rFonts w:hint="default" w:ascii="Times New Roman" w:hAnsi="Times New Roman" w:eastAsia="宋体"/>
          <w:snapToGrid w:val="0"/>
          <w:color w:val="FF0000"/>
          <w:sz w:val="24"/>
          <w:szCs w:val="32"/>
          <w:lang w:val="zh-CN"/>
        </w:rPr>
        <w:t>）</w:t>
      </w:r>
      <w:r>
        <w:rPr>
          <w:rFonts w:hint="default" w:ascii="Times New Roman" w:hAnsi="Times New Roman" w:eastAsia="宋体"/>
          <w:snapToGrid w:val="0"/>
          <w:color w:val="FF0000"/>
          <w:sz w:val="24"/>
          <w:szCs w:val="32"/>
        </w:rPr>
        <w:t>，面积≤2</w:t>
      </w:r>
      <w:r>
        <w:rPr>
          <w:rFonts w:hint="default" w:ascii="Times New Roman" w:hAnsi="Times New Roman" w:eastAsia="宋体"/>
          <w:snapToGrid w:val="0"/>
          <w:color w:val="FF0000"/>
          <w:sz w:val="24"/>
          <w:szCs w:val="32"/>
          <w:lang w:val="en-US" w:eastAsia="zh-CN"/>
        </w:rPr>
        <w:t>0</w:t>
      </w:r>
      <w:r>
        <w:rPr>
          <w:rFonts w:hint="default" w:ascii="Times New Roman" w:hAnsi="Times New Roman" w:eastAsia="宋体"/>
          <w:snapToGrid w:val="0"/>
          <w:color w:val="FF0000"/>
          <w:sz w:val="24"/>
          <w:szCs w:val="32"/>
        </w:rPr>
        <w:t>km</w:t>
      </w:r>
      <w:r>
        <w:rPr>
          <w:rFonts w:hint="default" w:ascii="Times New Roman" w:hAnsi="Times New Roman" w:eastAsia="宋体"/>
          <w:snapToGrid w:val="0"/>
          <w:color w:val="FF0000"/>
          <w:sz w:val="24"/>
          <w:szCs w:val="32"/>
          <w:vertAlign w:val="superscript"/>
        </w:rPr>
        <w:t>2</w:t>
      </w:r>
      <w:r>
        <w:rPr>
          <w:rFonts w:hint="default" w:ascii="Times New Roman" w:hAnsi="Times New Roman" w:eastAsia="宋体"/>
          <w:snapToGrid w:val="0"/>
          <w:color w:val="FF0000"/>
          <w:sz w:val="24"/>
          <w:szCs w:val="32"/>
        </w:rPr>
        <w:t>，用地类型为</w:t>
      </w:r>
      <w:r>
        <w:rPr>
          <w:rFonts w:hint="default" w:ascii="Times New Roman" w:hAnsi="Times New Roman" w:eastAsia="宋体"/>
          <w:snapToGrid w:val="0"/>
          <w:color w:val="FF0000"/>
          <w:sz w:val="24"/>
          <w:szCs w:val="32"/>
          <w:lang w:val="en-US" w:eastAsia="zh-CN"/>
        </w:rPr>
        <w:t>畜禽饲养地，</w:t>
      </w:r>
      <w:r>
        <w:rPr>
          <w:rFonts w:hint="default" w:ascii="Times New Roman" w:hAnsi="Times New Roman" w:eastAsia="宋体"/>
          <w:snapToGrid w:val="0"/>
          <w:color w:val="FF0000"/>
          <w:sz w:val="24"/>
          <w:szCs w:val="32"/>
          <w:lang w:val="zh-CN"/>
        </w:rPr>
        <w:t>所在区域</w:t>
      </w:r>
      <w:r>
        <w:rPr>
          <w:rFonts w:hint="default" w:ascii="Times New Roman" w:hAnsi="Times New Roman" w:eastAsia="宋体"/>
          <w:snapToGrid w:val="0"/>
          <w:color w:val="FF0000"/>
          <w:sz w:val="24"/>
          <w:szCs w:val="32"/>
          <w:lang w:val="zh-CN" w:eastAsia="zh-CN"/>
        </w:rPr>
        <w:t>无</w:t>
      </w:r>
      <w:r>
        <w:rPr>
          <w:rFonts w:hint="default" w:ascii="Times New Roman" w:hAnsi="Times New Roman" w:eastAsia="宋体"/>
          <w:snapToGrid w:val="0"/>
          <w:color w:val="FF0000"/>
          <w:sz w:val="24"/>
          <w:szCs w:val="32"/>
          <w:lang w:eastAsia="zh-CN"/>
        </w:rPr>
        <w:t>国家公园、自然保护区、世界自然遗产、</w:t>
      </w:r>
      <w:r>
        <w:rPr>
          <w:rFonts w:hint="default" w:ascii="Times New Roman" w:hAnsi="Times New Roman" w:eastAsia="宋体"/>
          <w:snapToGrid w:val="0"/>
          <w:color w:val="FF0000"/>
          <w:sz w:val="24"/>
          <w:szCs w:val="32"/>
          <w:lang w:val="en-US" w:eastAsia="zh-CN"/>
        </w:rPr>
        <w:t>无</w:t>
      </w:r>
      <w:r>
        <w:rPr>
          <w:rFonts w:hint="default" w:ascii="Times New Roman" w:hAnsi="Times New Roman" w:eastAsia="宋体"/>
          <w:snapToGrid w:val="0"/>
          <w:color w:val="FF0000"/>
          <w:sz w:val="24"/>
          <w:szCs w:val="32"/>
          <w:lang w:eastAsia="zh-CN"/>
        </w:rPr>
        <w:t>自然公园、</w:t>
      </w:r>
      <w:r>
        <w:rPr>
          <w:rFonts w:hint="default" w:ascii="Times New Roman" w:hAnsi="Times New Roman" w:eastAsia="宋体"/>
          <w:snapToGrid w:val="0"/>
          <w:color w:val="FF0000"/>
          <w:sz w:val="24"/>
          <w:szCs w:val="32"/>
          <w:lang w:val="en-US" w:eastAsia="zh-CN"/>
        </w:rPr>
        <w:t>不涉及</w:t>
      </w:r>
      <w:r>
        <w:rPr>
          <w:rFonts w:hint="default" w:ascii="Times New Roman" w:hAnsi="Times New Roman" w:eastAsia="宋体"/>
          <w:snapToGrid w:val="0"/>
          <w:color w:val="FF0000"/>
          <w:sz w:val="24"/>
          <w:szCs w:val="32"/>
          <w:lang w:eastAsia="zh-CN"/>
        </w:rPr>
        <w:t>生态保护红线</w:t>
      </w:r>
      <w:r>
        <w:rPr>
          <w:rFonts w:hint="default" w:ascii="Times New Roman" w:hAnsi="Times New Roman" w:eastAsia="宋体"/>
          <w:snapToGrid w:val="0"/>
          <w:color w:val="FF0000"/>
          <w:sz w:val="24"/>
          <w:szCs w:val="32"/>
          <w:lang w:val="zh-CN" w:eastAsia="zh-CN"/>
        </w:rPr>
        <w:t>。因此，</w:t>
      </w:r>
      <w:r>
        <w:rPr>
          <w:rFonts w:hint="default" w:ascii="Times New Roman" w:hAnsi="Times New Roman" w:eastAsia="宋体"/>
          <w:snapToGrid w:val="0"/>
          <w:color w:val="FF0000"/>
          <w:sz w:val="24"/>
          <w:szCs w:val="32"/>
          <w:lang w:val="en-US" w:eastAsia="zh-CN"/>
        </w:rPr>
        <w:t>判定</w:t>
      </w:r>
      <w:r>
        <w:rPr>
          <w:rFonts w:hint="default" w:ascii="Times New Roman" w:hAnsi="Times New Roman" w:eastAsia="宋体"/>
          <w:snapToGrid w:val="0"/>
          <w:color w:val="FF0000"/>
          <w:sz w:val="24"/>
          <w:szCs w:val="32"/>
          <w:lang w:eastAsia="zh-CN"/>
        </w:rPr>
        <w:t>本</w:t>
      </w:r>
      <w:r>
        <w:rPr>
          <w:rFonts w:hint="default" w:ascii="Times New Roman" w:hAnsi="Times New Roman" w:eastAsia="宋体"/>
          <w:snapToGrid w:val="0"/>
          <w:color w:val="FF0000"/>
          <w:sz w:val="24"/>
          <w:szCs w:val="32"/>
        </w:rPr>
        <w:t>项目生态环境影响评价等为三级。</w:t>
      </w:r>
    </w:p>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.5.5.2评价范围</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napToGrid w:val="0"/>
          <w:sz w:val="24"/>
          <w:szCs w:val="32"/>
        </w:rPr>
        <w:t>根据《环境影响评价技术导则 生态影响》(HJ19-2022)，生态影响评价范围应能够充分体现生态完整性，涵盖评价项目全部活动的直接影响区域和间接影响区域，本项目对生态的直接影响主要体现在项目土地占用、项目建设对场地动植物影响</w:t>
      </w:r>
      <w:r>
        <w:rPr>
          <w:rFonts w:hint="eastAsia" w:ascii="Times New Roman" w:hAnsi="Times New Roman"/>
          <w:snapToGrid w:val="0"/>
          <w:sz w:val="24"/>
          <w:szCs w:val="32"/>
        </w:rPr>
        <w:t>、</w:t>
      </w:r>
      <w:r>
        <w:rPr>
          <w:rFonts w:ascii="Times New Roman" w:hAnsi="Times New Roman"/>
          <w:snapToGrid w:val="0"/>
          <w:sz w:val="24"/>
          <w:szCs w:val="32"/>
        </w:rPr>
        <w:t>项目粪污对场地土壤的影响等</w:t>
      </w:r>
      <w:r>
        <w:rPr>
          <w:rFonts w:ascii="Times New Roman" w:hAnsi="Times New Roman"/>
          <w:sz w:val="24"/>
          <w:szCs w:val="32"/>
        </w:rPr>
        <w:t>。</w:t>
      </w:r>
      <w:r>
        <w:rPr>
          <w:rFonts w:ascii="Times New Roman" w:hAnsi="Times New Roman"/>
          <w:snapToGrid w:val="0"/>
          <w:sz w:val="24"/>
          <w:szCs w:val="32"/>
        </w:rPr>
        <w:t>综合考虑以上因素，项目生态影响评价范围确定为项目场区范围内。</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307" w:name="_Toc17352"/>
      <w:bookmarkStart w:id="308" w:name="_Toc17336"/>
      <w:bookmarkStart w:id="309" w:name="_Toc21030"/>
      <w:bookmarkStart w:id="310" w:name="_Toc29022"/>
      <w:bookmarkStart w:id="311" w:name="_Toc15060"/>
      <w:bookmarkStart w:id="312" w:name="_Toc11248"/>
      <w:r>
        <w:rPr>
          <w:rFonts w:hint="eastAsia" w:cs="Times New Roman"/>
          <w:bCs w:val="0"/>
          <w:snapToGrid w:val="0"/>
          <w:kern w:val="0"/>
          <w:sz w:val="28"/>
          <w:szCs w:val="28"/>
        </w:rPr>
        <w:t>1</w:t>
      </w:r>
      <w:r>
        <w:rPr>
          <w:rFonts w:cs="Times New Roman"/>
          <w:bCs w:val="0"/>
          <w:snapToGrid w:val="0"/>
          <w:kern w:val="0"/>
          <w:sz w:val="28"/>
          <w:szCs w:val="28"/>
        </w:rPr>
        <w:t>.5.6环境风险</w:t>
      </w:r>
      <w:bookmarkEnd w:id="307"/>
      <w:bookmarkEnd w:id="308"/>
      <w:bookmarkEnd w:id="309"/>
      <w:bookmarkEnd w:id="310"/>
      <w:bookmarkEnd w:id="311"/>
      <w:bookmarkEnd w:id="312"/>
    </w:p>
    <w:p>
      <w:pPr>
        <w:adjustRightInd w:val="0"/>
        <w:snapToGrid w:val="0"/>
        <w:spacing w:line="540" w:lineRule="exact"/>
        <w:ind w:firstLine="480" w:firstLineChars="200"/>
        <w:rPr>
          <w:rFonts w:ascii="Times New Roman" w:hAnsi="Times New Roman"/>
          <w:snapToGrid w:val="0"/>
          <w:sz w:val="24"/>
          <w:szCs w:val="32"/>
        </w:rPr>
      </w:pPr>
      <w:r>
        <w:rPr>
          <w:rFonts w:ascii="Times New Roman" w:hAnsi="Times New Roman"/>
          <w:snapToGrid w:val="0"/>
          <w:sz w:val="24"/>
          <w:szCs w:val="32"/>
        </w:rPr>
        <w:t>本项目为</w:t>
      </w:r>
      <w:r>
        <w:rPr>
          <w:rFonts w:hint="eastAsia" w:ascii="Times New Roman" w:hAnsi="Times New Roman"/>
          <w:snapToGrid w:val="0"/>
          <w:sz w:val="24"/>
          <w:szCs w:val="32"/>
        </w:rPr>
        <w:t>基础母牛</w:t>
      </w:r>
      <w:r>
        <w:rPr>
          <w:rFonts w:ascii="Times New Roman" w:hAnsi="Times New Roman"/>
          <w:snapToGrid w:val="0"/>
          <w:sz w:val="24"/>
          <w:szCs w:val="32"/>
        </w:rPr>
        <w:t>养殖建设项目，不涉及有毒有害和易燃易爆物质，不贮存《建设项目环境风险评价技术导则》（HJ169-2018）附录B中列出的重点关注的危险物质，因此本项目不存在环境风险物质场区不涉及危险化学品，营运期主要风险因素为粪污出现事故性泄漏污染地下水。本次根据《建设项目环境风险评价技术导则》（HJ169-2018）判定风险评价工作等级。</w:t>
      </w:r>
    </w:p>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.5.6.1危险物质及工艺系统危险性（P）的确定</w:t>
      </w:r>
    </w:p>
    <w:p>
      <w:pPr>
        <w:tabs>
          <w:tab w:val="left" w:pos="3320"/>
        </w:tabs>
        <w:overflowPunct w:val="0"/>
        <w:spacing w:line="540" w:lineRule="exact"/>
        <w:ind w:firstLine="480" w:firstLineChars="200"/>
        <w:rPr>
          <w:rFonts w:ascii="Times New Roman" w:hAnsi="Times New Roman"/>
          <w:snapToGrid w:val="0"/>
          <w:kern w:val="0"/>
          <w:sz w:val="24"/>
        </w:rPr>
      </w:pPr>
      <w:bookmarkStart w:id="313" w:name="_Toc299368843"/>
      <w:bookmarkStart w:id="314" w:name="_Toc5031"/>
      <w:bookmarkStart w:id="315" w:name="_Toc3219"/>
      <w:bookmarkStart w:id="316" w:name="_Toc491609966"/>
      <w:bookmarkStart w:id="317" w:name="_Toc387745565"/>
      <w:bookmarkStart w:id="318" w:name="_Toc21185"/>
      <w:bookmarkStart w:id="319" w:name="_Toc28692"/>
      <w:bookmarkStart w:id="320" w:name="_Toc484463390"/>
      <w:bookmarkStart w:id="321" w:name="_Toc8433"/>
      <w:bookmarkStart w:id="322" w:name="_Toc332203174"/>
      <w:r>
        <w:rPr>
          <w:rFonts w:ascii="Times New Roman" w:hAnsi="Times New Roman"/>
          <w:snapToGrid w:val="0"/>
          <w:kern w:val="0"/>
          <w:sz w:val="24"/>
        </w:rPr>
        <w:t>危险物质及工艺系统危险性（P）的分级，由危险物质数量与临界量比值（Q），与行业及生产工艺（M）确定。</w:t>
      </w:r>
    </w:p>
    <w:p>
      <w:pPr>
        <w:tabs>
          <w:tab w:val="left" w:pos="3320"/>
        </w:tabs>
        <w:overflowPunct w:val="0"/>
        <w:spacing w:line="540" w:lineRule="exact"/>
        <w:ind w:firstLine="480" w:firstLineChars="200"/>
        <w:rPr>
          <w:rFonts w:ascii="Times New Roman" w:hAnsi="Times New Roman"/>
          <w:snapToGrid w:val="0"/>
          <w:kern w:val="0"/>
          <w:sz w:val="24"/>
        </w:rPr>
      </w:pPr>
      <w:r>
        <w:rPr>
          <w:rFonts w:hint="eastAsia" w:ascii="Times New Roman" w:hAnsi="Times New Roman"/>
          <w:snapToGrid w:val="0"/>
          <w:kern w:val="0"/>
          <w:sz w:val="24"/>
          <w:lang w:eastAsia="zh-CN"/>
        </w:rPr>
        <w:t>（</w:t>
      </w:r>
      <w:r>
        <w:rPr>
          <w:rFonts w:hint="eastAsia" w:ascii="Times New Roman" w:hAnsi="Times New Roman"/>
          <w:snapToGrid w:val="0"/>
          <w:kern w:val="0"/>
          <w:sz w:val="24"/>
          <w:lang w:val="en-US" w:eastAsia="zh-CN"/>
        </w:rPr>
        <w:t>1</w:t>
      </w:r>
      <w:r>
        <w:rPr>
          <w:rFonts w:hint="eastAsia" w:ascii="Times New Roman" w:hAnsi="Times New Roman"/>
          <w:snapToGrid w:val="0"/>
          <w:kern w:val="0"/>
          <w:sz w:val="24"/>
          <w:lang w:eastAsia="zh-CN"/>
        </w:rPr>
        <w:t>）</w:t>
      </w:r>
      <w:r>
        <w:rPr>
          <w:rFonts w:ascii="Times New Roman" w:hAnsi="Times New Roman"/>
          <w:snapToGrid w:val="0"/>
          <w:kern w:val="0"/>
          <w:sz w:val="24"/>
        </w:rPr>
        <w:t>危险物质数量与临界量比值（Q）</w:t>
      </w:r>
    </w:p>
    <w:p>
      <w:pPr>
        <w:tabs>
          <w:tab w:val="left" w:pos="3320"/>
        </w:tabs>
        <w:overflowPunct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Q为项目所涉及的每种危险物质在场界内的最大存在总量与其在附录B中对应临界量的比值。当存在多种危险物质时，按照下式进行计算：</w:t>
      </w:r>
    </w:p>
    <w:p>
      <w:pPr>
        <w:tabs>
          <w:tab w:val="left" w:pos="3320"/>
        </w:tabs>
        <w:overflowPunct w:val="0"/>
        <w:spacing w:line="540" w:lineRule="exact"/>
        <w:jc w:val="center"/>
        <w:rPr>
          <w:rFonts w:ascii="Times New Roman" w:hAnsi="Times New Roman"/>
          <w:snapToGrid w:val="0"/>
          <w:kern w:val="0"/>
          <w:sz w:val="24"/>
        </w:rPr>
      </w:pPr>
      <w:r>
        <w:rPr>
          <w:rFonts w:ascii="Times New Roman" w:hAnsi="Times New Roman"/>
          <w:snapToGrid w:val="0"/>
          <w:kern w:val="0"/>
          <w:sz w:val="24"/>
        </w:rPr>
        <w:t>Q=q</w:t>
      </w:r>
      <w:r>
        <w:rPr>
          <w:rFonts w:ascii="Times New Roman" w:hAnsi="Times New Roman"/>
          <w:snapToGrid w:val="0"/>
          <w:kern w:val="0"/>
          <w:sz w:val="24"/>
          <w:vertAlign w:val="subscript"/>
        </w:rPr>
        <w:t>1</w:t>
      </w:r>
      <w:r>
        <w:rPr>
          <w:rFonts w:ascii="Times New Roman" w:hAnsi="Times New Roman"/>
          <w:snapToGrid w:val="0"/>
          <w:kern w:val="0"/>
          <w:sz w:val="24"/>
        </w:rPr>
        <w:t>/Q</w:t>
      </w:r>
      <w:r>
        <w:rPr>
          <w:rFonts w:ascii="Times New Roman" w:hAnsi="Times New Roman"/>
          <w:snapToGrid w:val="0"/>
          <w:kern w:val="0"/>
          <w:sz w:val="24"/>
          <w:vertAlign w:val="subscript"/>
        </w:rPr>
        <w:t>1</w:t>
      </w:r>
      <w:r>
        <w:rPr>
          <w:rFonts w:ascii="Times New Roman" w:hAnsi="Times New Roman"/>
          <w:snapToGrid w:val="0"/>
          <w:kern w:val="0"/>
          <w:sz w:val="24"/>
        </w:rPr>
        <w:t>+q</w:t>
      </w:r>
      <w:r>
        <w:rPr>
          <w:rFonts w:ascii="Times New Roman" w:hAnsi="Times New Roman"/>
          <w:snapToGrid w:val="0"/>
          <w:kern w:val="0"/>
          <w:sz w:val="24"/>
          <w:vertAlign w:val="subscript"/>
        </w:rPr>
        <w:t>2</w:t>
      </w:r>
      <w:r>
        <w:rPr>
          <w:rFonts w:ascii="Times New Roman" w:hAnsi="Times New Roman"/>
          <w:snapToGrid w:val="0"/>
          <w:kern w:val="0"/>
          <w:sz w:val="24"/>
        </w:rPr>
        <w:t>/Q</w:t>
      </w:r>
      <w:r>
        <w:rPr>
          <w:rFonts w:ascii="Times New Roman" w:hAnsi="Times New Roman"/>
          <w:snapToGrid w:val="0"/>
          <w:kern w:val="0"/>
          <w:sz w:val="24"/>
          <w:vertAlign w:val="subscript"/>
        </w:rPr>
        <w:t>2</w:t>
      </w:r>
      <w:r>
        <w:rPr>
          <w:rFonts w:ascii="Times New Roman" w:hAnsi="Times New Roman"/>
          <w:snapToGrid w:val="0"/>
          <w:kern w:val="0"/>
          <w:sz w:val="24"/>
        </w:rPr>
        <w:t>+…q</w:t>
      </w:r>
      <w:r>
        <w:rPr>
          <w:rFonts w:ascii="Times New Roman" w:hAnsi="Times New Roman"/>
          <w:snapToGrid w:val="0"/>
          <w:kern w:val="0"/>
          <w:sz w:val="24"/>
          <w:vertAlign w:val="subscript"/>
        </w:rPr>
        <w:t>n</w:t>
      </w:r>
      <w:r>
        <w:rPr>
          <w:rFonts w:ascii="Times New Roman" w:hAnsi="Times New Roman"/>
          <w:snapToGrid w:val="0"/>
          <w:kern w:val="0"/>
          <w:sz w:val="24"/>
        </w:rPr>
        <w:t>/Q</w:t>
      </w:r>
      <w:r>
        <w:rPr>
          <w:rFonts w:ascii="Times New Roman" w:hAnsi="Times New Roman"/>
          <w:snapToGrid w:val="0"/>
          <w:kern w:val="0"/>
          <w:sz w:val="24"/>
          <w:vertAlign w:val="subscript"/>
        </w:rPr>
        <w:t>n</w:t>
      </w:r>
    </w:p>
    <w:p>
      <w:pPr>
        <w:tabs>
          <w:tab w:val="left" w:pos="3320"/>
        </w:tabs>
        <w:overflowPunct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式中：q</w:t>
      </w:r>
      <w:r>
        <w:rPr>
          <w:rFonts w:ascii="Times New Roman" w:hAnsi="Times New Roman"/>
          <w:snapToGrid w:val="0"/>
          <w:kern w:val="0"/>
          <w:sz w:val="24"/>
          <w:vertAlign w:val="subscript"/>
        </w:rPr>
        <w:t>1</w:t>
      </w:r>
      <w:r>
        <w:rPr>
          <w:rFonts w:ascii="Times New Roman" w:hAnsi="Times New Roman"/>
          <w:snapToGrid w:val="0"/>
          <w:kern w:val="0"/>
          <w:sz w:val="24"/>
        </w:rPr>
        <w:t>，q</w:t>
      </w:r>
      <w:r>
        <w:rPr>
          <w:rFonts w:ascii="Times New Roman" w:hAnsi="Times New Roman"/>
          <w:snapToGrid w:val="0"/>
          <w:kern w:val="0"/>
          <w:sz w:val="24"/>
          <w:vertAlign w:val="subscript"/>
        </w:rPr>
        <w:t>2</w:t>
      </w:r>
      <w:r>
        <w:rPr>
          <w:rFonts w:ascii="Times New Roman" w:hAnsi="Times New Roman"/>
          <w:snapToGrid w:val="0"/>
          <w:kern w:val="0"/>
          <w:sz w:val="24"/>
        </w:rPr>
        <w:t>，…，q</w:t>
      </w:r>
      <w:r>
        <w:rPr>
          <w:rFonts w:ascii="Times New Roman" w:hAnsi="Times New Roman"/>
          <w:snapToGrid w:val="0"/>
          <w:kern w:val="0"/>
          <w:sz w:val="24"/>
          <w:vertAlign w:val="subscript"/>
        </w:rPr>
        <w:t>n</w:t>
      </w:r>
      <w:r>
        <w:rPr>
          <w:rFonts w:ascii="Times New Roman" w:hAnsi="Times New Roman"/>
          <w:snapToGrid w:val="0"/>
          <w:kern w:val="0"/>
          <w:sz w:val="24"/>
        </w:rPr>
        <w:t>——每种危险物质的最大存在量，t；</w:t>
      </w:r>
    </w:p>
    <w:p>
      <w:pPr>
        <w:tabs>
          <w:tab w:val="left" w:pos="3320"/>
        </w:tabs>
        <w:overflowPunct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 xml:space="preserve">      Q</w:t>
      </w:r>
      <w:r>
        <w:rPr>
          <w:rFonts w:ascii="Times New Roman" w:hAnsi="Times New Roman"/>
          <w:snapToGrid w:val="0"/>
          <w:kern w:val="0"/>
          <w:sz w:val="24"/>
          <w:vertAlign w:val="subscript"/>
        </w:rPr>
        <w:t>1</w:t>
      </w:r>
      <w:r>
        <w:rPr>
          <w:rFonts w:ascii="Times New Roman" w:hAnsi="Times New Roman"/>
          <w:snapToGrid w:val="0"/>
          <w:kern w:val="0"/>
          <w:sz w:val="24"/>
        </w:rPr>
        <w:t>，Q</w:t>
      </w:r>
      <w:r>
        <w:rPr>
          <w:rFonts w:ascii="Times New Roman" w:hAnsi="Times New Roman"/>
          <w:snapToGrid w:val="0"/>
          <w:kern w:val="0"/>
          <w:sz w:val="24"/>
          <w:vertAlign w:val="subscript"/>
        </w:rPr>
        <w:t>1</w:t>
      </w:r>
      <w:r>
        <w:rPr>
          <w:rFonts w:ascii="Times New Roman" w:hAnsi="Times New Roman"/>
          <w:snapToGrid w:val="0"/>
          <w:kern w:val="0"/>
          <w:sz w:val="24"/>
        </w:rPr>
        <w:t>，…，Q</w:t>
      </w:r>
      <w:r>
        <w:rPr>
          <w:rFonts w:ascii="Times New Roman" w:hAnsi="Times New Roman"/>
          <w:snapToGrid w:val="0"/>
          <w:kern w:val="0"/>
          <w:sz w:val="24"/>
          <w:vertAlign w:val="subscript"/>
        </w:rPr>
        <w:t>n</w:t>
      </w:r>
      <w:r>
        <w:rPr>
          <w:rFonts w:ascii="Times New Roman" w:hAnsi="Times New Roman"/>
          <w:snapToGrid w:val="0"/>
          <w:kern w:val="0"/>
          <w:sz w:val="24"/>
        </w:rPr>
        <w:t>——每种危险物质的临界量，t。</w:t>
      </w:r>
    </w:p>
    <w:p>
      <w:pPr>
        <w:tabs>
          <w:tab w:val="left" w:pos="3320"/>
        </w:tabs>
        <w:overflowPunct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 xml:space="preserve">      当Q＜1时，该项目环境风险潜势为Ⅰ。</w:t>
      </w:r>
    </w:p>
    <w:p>
      <w:pPr>
        <w:tabs>
          <w:tab w:val="left" w:pos="3320"/>
        </w:tabs>
        <w:overflowPunct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 xml:space="preserve">      当Q≥1时，将Q值划分为：</w:t>
      </w:r>
    </w:p>
    <w:p>
      <w:pPr>
        <w:tabs>
          <w:tab w:val="left" w:pos="3320"/>
        </w:tabs>
        <w:overflowPunct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①1≤Q＜10；</w:t>
      </w:r>
    </w:p>
    <w:p>
      <w:pPr>
        <w:tabs>
          <w:tab w:val="left" w:pos="3320"/>
        </w:tabs>
        <w:overflowPunct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②10≤Q＜100；</w:t>
      </w:r>
    </w:p>
    <w:p>
      <w:pPr>
        <w:tabs>
          <w:tab w:val="left" w:pos="3320"/>
        </w:tabs>
        <w:overflowPunct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③Q≥100；</w:t>
      </w:r>
    </w:p>
    <w:p>
      <w:pPr>
        <w:tabs>
          <w:tab w:val="left" w:pos="3320"/>
        </w:tabs>
        <w:overflowPunct w:val="0"/>
        <w:spacing w:line="540" w:lineRule="exact"/>
        <w:ind w:firstLine="480" w:firstLineChars="200"/>
        <w:rPr>
          <w:rFonts w:ascii="Times New Roman" w:hAnsi="Times New Roman"/>
          <w:snapToGrid w:val="0"/>
          <w:kern w:val="0"/>
          <w:sz w:val="24"/>
        </w:rPr>
      </w:pPr>
      <w:r>
        <w:rPr>
          <w:rFonts w:hint="eastAsia" w:ascii="Times New Roman" w:hAnsi="Times New Roman"/>
          <w:snapToGrid w:val="0"/>
          <w:kern w:val="0"/>
          <w:sz w:val="24"/>
          <w:lang w:eastAsia="zh-CN"/>
        </w:rPr>
        <w:t>（</w:t>
      </w:r>
      <w:r>
        <w:rPr>
          <w:rFonts w:hint="eastAsia" w:ascii="Times New Roman" w:hAnsi="Times New Roman"/>
          <w:snapToGrid w:val="0"/>
          <w:kern w:val="0"/>
          <w:sz w:val="24"/>
          <w:lang w:val="en-US" w:eastAsia="zh-CN"/>
        </w:rPr>
        <w:t>2</w:t>
      </w:r>
      <w:r>
        <w:rPr>
          <w:rFonts w:hint="eastAsia" w:ascii="Times New Roman" w:hAnsi="Times New Roman"/>
          <w:snapToGrid w:val="0"/>
          <w:kern w:val="0"/>
          <w:sz w:val="24"/>
          <w:lang w:eastAsia="zh-CN"/>
        </w:rPr>
        <w:t>）</w:t>
      </w:r>
      <w:r>
        <w:rPr>
          <w:rFonts w:hint="eastAsia" w:ascii="Times New Roman" w:hAnsi="Times New Roman"/>
          <w:snapToGrid w:val="0"/>
          <w:kern w:val="0"/>
          <w:sz w:val="24"/>
        </w:rPr>
        <w:t>评价工作等级划分依据</w:t>
      </w:r>
    </w:p>
    <w:p>
      <w:pPr>
        <w:tabs>
          <w:tab w:val="left" w:pos="3320"/>
        </w:tabs>
        <w:overflowPunct w:val="0"/>
        <w:spacing w:line="540" w:lineRule="exact"/>
        <w:ind w:firstLine="480" w:firstLineChars="200"/>
        <w:rPr>
          <w:rFonts w:hint="default" w:ascii="Times New Roman" w:hAnsi="Times New Roman" w:eastAsia="宋体"/>
          <w:snapToGrid w:val="0"/>
          <w:kern w:val="0"/>
          <w:sz w:val="24"/>
          <w:lang w:val="en-US" w:eastAsia="zh-CN"/>
        </w:rPr>
      </w:pPr>
      <w:r>
        <w:rPr>
          <w:rFonts w:hint="eastAsia" w:ascii="Times New Roman" w:hAnsi="Times New Roman"/>
          <w:snapToGrid w:val="0"/>
          <w:kern w:val="0"/>
          <w:sz w:val="24"/>
        </w:rPr>
        <w:t>根据《建设项目环境风险评价技术导则》(HJ169-2018)中评价工作等级划分依据，将环境风险评价工作等级划分为一、二、三级，划分依据见表</w:t>
      </w:r>
      <w:r>
        <w:rPr>
          <w:rFonts w:hint="eastAsia" w:ascii="Times New Roman" w:hAnsi="Times New Roman"/>
          <w:snapToGrid w:val="0"/>
          <w:kern w:val="0"/>
          <w:sz w:val="24"/>
          <w:lang w:val="en-US" w:eastAsia="zh-CN"/>
        </w:rPr>
        <w:t>1.5-12</w:t>
      </w:r>
    </w:p>
    <w:p>
      <w:pPr>
        <w:widowControl/>
        <w:spacing w:before="120" w:beforeLines="50"/>
        <w:ind w:firstLine="481" w:firstLineChars="20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.5-1</w:t>
      </w:r>
      <w:r>
        <w:rPr>
          <w:rFonts w:hint="eastAsia" w:ascii="Times New Roman" w:hAnsi="Times New Roman"/>
          <w:b/>
          <w:sz w:val="24"/>
        </w:rPr>
        <w:t>2</w:t>
      </w:r>
      <w:r>
        <w:rPr>
          <w:rFonts w:ascii="Times New Roman" w:hAnsi="Times New Roman"/>
          <w:b/>
          <w:sz w:val="24"/>
        </w:rPr>
        <w:t xml:space="preserve">    评价工作等级划分表</w:t>
      </w:r>
    </w:p>
    <w:tbl>
      <w:tblPr>
        <w:tblStyle w:val="29"/>
        <w:tblW w:w="907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54"/>
        <w:gridCol w:w="1551"/>
        <w:gridCol w:w="1752"/>
        <w:gridCol w:w="2055"/>
        <w:gridCol w:w="17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5" w:hRule="atLeast"/>
          <w:tblHeader/>
          <w:jc w:val="center"/>
        </w:trPr>
        <w:tc>
          <w:tcPr>
            <w:tcW w:w="1954" w:type="dxa"/>
            <w:vAlign w:val="center"/>
          </w:tcPr>
          <w:p>
            <w:pPr>
              <w:adjustRightInd w:val="0"/>
              <w:spacing w:line="240" w:lineRule="auto"/>
              <w:jc w:val="center"/>
              <w:rPr>
                <w:rFonts w:cs="Times New Roman"/>
                <w:b/>
                <w:sz w:val="21"/>
                <w:szCs w:val="21"/>
              </w:rPr>
            </w:pPr>
            <w:r>
              <w:rPr>
                <w:rFonts w:cs="Times New Roman"/>
                <w:b/>
                <w:sz w:val="21"/>
                <w:szCs w:val="21"/>
              </w:rPr>
              <w:t>环境风险潜势</w:t>
            </w:r>
          </w:p>
        </w:tc>
        <w:tc>
          <w:tcPr>
            <w:tcW w:w="1551" w:type="dxa"/>
            <w:vAlign w:val="center"/>
          </w:tcPr>
          <w:p>
            <w:pPr>
              <w:adjustRightInd w:val="0"/>
              <w:spacing w:line="240" w:lineRule="auto"/>
              <w:jc w:val="center"/>
              <w:rPr>
                <w:rFonts w:cs="Times New Roman"/>
                <w:b/>
                <w:sz w:val="21"/>
                <w:szCs w:val="21"/>
              </w:rPr>
            </w:pPr>
            <w:r>
              <w:rPr>
                <w:rFonts w:hint="eastAsia" w:ascii="宋体" w:hAnsi="宋体" w:cs="宋体"/>
                <w:sz w:val="21"/>
                <w:szCs w:val="21"/>
              </w:rPr>
              <w:t>Ⅳ</w:t>
            </w:r>
            <w:r>
              <w:rPr>
                <w:rFonts w:cs="Times New Roman"/>
                <w:sz w:val="21"/>
                <w:szCs w:val="21"/>
              </w:rPr>
              <w:t>、</w:t>
            </w:r>
            <w:r>
              <w:rPr>
                <w:rFonts w:hint="eastAsia" w:ascii="宋体" w:hAnsi="宋体" w:cs="宋体"/>
                <w:sz w:val="21"/>
                <w:szCs w:val="21"/>
              </w:rPr>
              <w:t>Ⅳ</w:t>
            </w:r>
            <w:r>
              <w:rPr>
                <w:rFonts w:cs="Times New Roman"/>
                <w:sz w:val="21"/>
                <w:szCs w:val="21"/>
                <w:vertAlign w:val="superscript"/>
              </w:rPr>
              <w:t>+</w:t>
            </w:r>
          </w:p>
        </w:tc>
        <w:tc>
          <w:tcPr>
            <w:tcW w:w="1752" w:type="dxa"/>
            <w:vAlign w:val="center"/>
          </w:tcPr>
          <w:p>
            <w:pPr>
              <w:adjustRightInd w:val="0"/>
              <w:spacing w:line="240" w:lineRule="auto"/>
              <w:jc w:val="center"/>
              <w:rPr>
                <w:rFonts w:cs="Times New Roman"/>
                <w:b/>
                <w:sz w:val="21"/>
                <w:szCs w:val="21"/>
              </w:rPr>
            </w:pPr>
            <w:r>
              <w:rPr>
                <w:rFonts w:hint="eastAsia" w:ascii="宋体" w:hAnsi="宋体" w:cs="宋体"/>
                <w:sz w:val="21"/>
                <w:szCs w:val="21"/>
              </w:rPr>
              <w:t>Ⅲ</w:t>
            </w:r>
          </w:p>
        </w:tc>
        <w:tc>
          <w:tcPr>
            <w:tcW w:w="2055" w:type="dxa"/>
            <w:vAlign w:val="center"/>
          </w:tcPr>
          <w:p>
            <w:pPr>
              <w:adjustRightInd w:val="0"/>
              <w:spacing w:line="240" w:lineRule="auto"/>
              <w:jc w:val="center"/>
              <w:rPr>
                <w:rFonts w:cs="Times New Roman"/>
                <w:b/>
                <w:sz w:val="21"/>
                <w:szCs w:val="21"/>
              </w:rPr>
            </w:pPr>
            <w:r>
              <w:rPr>
                <w:rFonts w:hint="eastAsia" w:ascii="宋体" w:hAnsi="宋体" w:cs="宋体"/>
                <w:sz w:val="21"/>
                <w:szCs w:val="21"/>
              </w:rPr>
              <w:t>Ⅱ</w:t>
            </w:r>
          </w:p>
        </w:tc>
        <w:tc>
          <w:tcPr>
            <w:tcW w:w="1758" w:type="dxa"/>
            <w:vAlign w:val="center"/>
          </w:tcPr>
          <w:p>
            <w:pPr>
              <w:adjustRightInd w:val="0"/>
              <w:spacing w:line="240" w:lineRule="auto"/>
              <w:jc w:val="center"/>
              <w:rPr>
                <w:rFonts w:cs="Times New Roman"/>
                <w:b/>
                <w:sz w:val="21"/>
                <w:szCs w:val="21"/>
              </w:rPr>
            </w:pPr>
            <w:r>
              <w:rPr>
                <w:rFonts w:hint="eastAsia" w:ascii="宋体" w:hAnsi="宋体" w:cs="宋体"/>
                <w:sz w:val="21"/>
                <w:szCs w:val="21"/>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954" w:type="dxa"/>
            <w:vAlign w:val="center"/>
          </w:tcPr>
          <w:p>
            <w:pPr>
              <w:adjustRightInd w:val="0"/>
              <w:spacing w:line="240" w:lineRule="auto"/>
              <w:jc w:val="center"/>
              <w:rPr>
                <w:rFonts w:cs="Times New Roman"/>
                <w:sz w:val="21"/>
                <w:szCs w:val="21"/>
              </w:rPr>
            </w:pPr>
            <w:r>
              <w:rPr>
                <w:rFonts w:cs="Times New Roman"/>
                <w:sz w:val="21"/>
                <w:szCs w:val="21"/>
              </w:rPr>
              <w:t>评价工作等级</w:t>
            </w:r>
          </w:p>
        </w:tc>
        <w:tc>
          <w:tcPr>
            <w:tcW w:w="1551" w:type="dxa"/>
            <w:vAlign w:val="center"/>
          </w:tcPr>
          <w:p>
            <w:pPr>
              <w:adjustRightInd w:val="0"/>
              <w:spacing w:line="240" w:lineRule="auto"/>
              <w:jc w:val="center"/>
              <w:rPr>
                <w:rFonts w:cs="Times New Roman"/>
                <w:sz w:val="21"/>
                <w:szCs w:val="21"/>
              </w:rPr>
            </w:pPr>
            <w:r>
              <w:rPr>
                <w:rFonts w:cs="Times New Roman"/>
                <w:sz w:val="21"/>
                <w:szCs w:val="21"/>
              </w:rPr>
              <w:t>一</w:t>
            </w:r>
          </w:p>
        </w:tc>
        <w:tc>
          <w:tcPr>
            <w:tcW w:w="1752" w:type="dxa"/>
            <w:vAlign w:val="center"/>
          </w:tcPr>
          <w:p>
            <w:pPr>
              <w:adjustRightInd w:val="0"/>
              <w:spacing w:line="240" w:lineRule="auto"/>
              <w:jc w:val="center"/>
              <w:rPr>
                <w:rFonts w:cs="Times New Roman"/>
                <w:sz w:val="21"/>
                <w:szCs w:val="21"/>
              </w:rPr>
            </w:pPr>
            <w:r>
              <w:rPr>
                <w:rFonts w:cs="Times New Roman"/>
                <w:sz w:val="21"/>
                <w:szCs w:val="21"/>
              </w:rPr>
              <w:t>二</w:t>
            </w:r>
          </w:p>
        </w:tc>
        <w:tc>
          <w:tcPr>
            <w:tcW w:w="2055" w:type="dxa"/>
            <w:vAlign w:val="center"/>
          </w:tcPr>
          <w:p>
            <w:pPr>
              <w:adjustRightInd w:val="0"/>
              <w:spacing w:line="240" w:lineRule="auto"/>
              <w:jc w:val="center"/>
              <w:rPr>
                <w:rFonts w:cs="Times New Roman"/>
                <w:sz w:val="21"/>
                <w:szCs w:val="21"/>
              </w:rPr>
            </w:pPr>
            <w:r>
              <w:rPr>
                <w:rFonts w:cs="Times New Roman"/>
                <w:sz w:val="21"/>
                <w:szCs w:val="21"/>
              </w:rPr>
              <w:t>三</w:t>
            </w:r>
          </w:p>
        </w:tc>
        <w:tc>
          <w:tcPr>
            <w:tcW w:w="1758" w:type="dxa"/>
            <w:vAlign w:val="center"/>
          </w:tcPr>
          <w:p>
            <w:pPr>
              <w:adjustRightInd w:val="0"/>
              <w:spacing w:line="240" w:lineRule="auto"/>
              <w:jc w:val="center"/>
              <w:rPr>
                <w:rFonts w:cs="Times New Roman"/>
                <w:sz w:val="21"/>
                <w:szCs w:val="21"/>
              </w:rPr>
            </w:pPr>
            <w:r>
              <w:rPr>
                <w:rFonts w:cs="Times New Roman"/>
                <w:sz w:val="21"/>
                <w:szCs w:val="21"/>
              </w:rPr>
              <w:t>简单分析</w:t>
            </w:r>
            <w:r>
              <w:rPr>
                <w:rFonts w:cs="Times New Roman"/>
                <w:sz w:val="21"/>
                <w:szCs w:val="21"/>
                <w:vertAlign w:val="superscript"/>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9070" w:type="dxa"/>
            <w:gridSpan w:val="5"/>
            <w:vAlign w:val="center"/>
          </w:tcPr>
          <w:p>
            <w:pPr>
              <w:adjustRightInd w:val="0"/>
              <w:spacing w:line="240" w:lineRule="auto"/>
              <w:rPr>
                <w:rFonts w:cs="Times New Roman"/>
                <w:sz w:val="21"/>
                <w:szCs w:val="21"/>
              </w:rPr>
            </w:pPr>
            <w:r>
              <w:rPr>
                <w:rFonts w:cs="Times New Roman"/>
                <w:sz w:val="21"/>
                <w:szCs w:val="21"/>
                <w:vertAlign w:val="superscript"/>
              </w:rPr>
              <w:t>a</w:t>
            </w:r>
            <w:r>
              <w:rPr>
                <w:rFonts w:cs="Times New Roman"/>
                <w:sz w:val="21"/>
                <w:szCs w:val="21"/>
              </w:rPr>
              <w:t>是相对于详细评价工作内容而言，在描述危险物质、环境影响途径、环境危害后果、风险防范措施等方面给出定性的说明。见附录 A。</w:t>
            </w:r>
          </w:p>
        </w:tc>
      </w:tr>
    </w:tbl>
    <w:p>
      <w:pPr>
        <w:adjustRightInd w:val="0"/>
        <w:snapToGrid w:val="0"/>
        <w:spacing w:line="540" w:lineRule="exact"/>
        <w:ind w:firstLine="480" w:firstLineChars="200"/>
        <w:rPr>
          <w:rFonts w:ascii="Times New Roman" w:hAnsi="Times New Roman"/>
          <w:sz w:val="24"/>
          <w:szCs w:val="32"/>
        </w:rPr>
      </w:pPr>
      <w:r>
        <w:rPr>
          <w:rFonts w:hint="eastAsia" w:ascii="Times New Roman" w:hAnsi="Times New Roman"/>
          <w:sz w:val="24"/>
          <w:szCs w:val="32"/>
          <w:lang w:eastAsia="zh-CN"/>
        </w:rPr>
        <w:t>（</w:t>
      </w:r>
      <w:r>
        <w:rPr>
          <w:rFonts w:hint="eastAsia" w:ascii="Times New Roman" w:hAnsi="Times New Roman"/>
          <w:sz w:val="24"/>
          <w:szCs w:val="32"/>
          <w:lang w:val="en-US" w:eastAsia="zh-CN"/>
        </w:rPr>
        <w:t>3</w:t>
      </w:r>
      <w:r>
        <w:rPr>
          <w:rFonts w:hint="eastAsia" w:ascii="Times New Roman" w:hAnsi="Times New Roman"/>
          <w:sz w:val="24"/>
          <w:szCs w:val="32"/>
          <w:lang w:eastAsia="zh-CN"/>
        </w:rPr>
        <w:t>）</w:t>
      </w:r>
      <w:r>
        <w:rPr>
          <w:rFonts w:hint="eastAsia" w:ascii="Times New Roman" w:hAnsi="Times New Roman"/>
          <w:sz w:val="24"/>
          <w:szCs w:val="32"/>
        </w:rPr>
        <w:t>环境风险潜势判定</w:t>
      </w:r>
    </w:p>
    <w:p>
      <w:pPr>
        <w:adjustRightInd w:val="0"/>
        <w:snapToGrid w:val="0"/>
        <w:spacing w:line="540" w:lineRule="exact"/>
        <w:ind w:firstLine="480" w:firstLineChars="200"/>
        <w:rPr>
          <w:rFonts w:ascii="Times New Roman" w:hAnsi="Times New Roman"/>
          <w:sz w:val="24"/>
          <w:szCs w:val="32"/>
        </w:rPr>
      </w:pPr>
      <w:r>
        <w:rPr>
          <w:rFonts w:hint="eastAsia" w:ascii="Times New Roman" w:hAnsi="Times New Roman"/>
          <w:sz w:val="24"/>
          <w:szCs w:val="32"/>
        </w:rPr>
        <w:t>根据《建设项目环境风险评价技术导则》(HJ169-2018)，</w:t>
      </w:r>
      <w:r>
        <w:rPr>
          <w:rFonts w:ascii="Times New Roman" w:hAnsi="Times New Roman"/>
          <w:sz w:val="24"/>
          <w:szCs w:val="32"/>
        </w:rPr>
        <w:t>建设项目环境风险潜势划分为Ⅰ、Ⅱ、Ⅲ、Ⅳ/Ⅳ+级</w:t>
      </w:r>
      <w:r>
        <w:rPr>
          <w:rFonts w:hint="eastAsia" w:ascii="Times New Roman" w:hAnsi="Times New Roman"/>
          <w:sz w:val="24"/>
          <w:szCs w:val="32"/>
        </w:rPr>
        <w:t>。</w:t>
      </w:r>
    </w:p>
    <w:p>
      <w:pPr>
        <w:adjustRightInd w:val="0"/>
        <w:snapToGrid w:val="0"/>
        <w:spacing w:line="540" w:lineRule="exact"/>
        <w:ind w:firstLine="480" w:firstLineChars="200"/>
        <w:rPr>
          <w:rFonts w:ascii="Times New Roman" w:hAnsi="Times New Roman"/>
          <w:color w:val="FF0000"/>
          <w:sz w:val="24"/>
          <w:szCs w:val="32"/>
        </w:rPr>
      </w:pPr>
      <w:r>
        <w:rPr>
          <w:rFonts w:hint="eastAsia" w:ascii="Times New Roman" w:hAnsi="Times New Roman"/>
          <w:color w:val="FF0000"/>
          <w:sz w:val="24"/>
          <w:szCs w:val="32"/>
        </w:rPr>
        <w:t>根据导则附录B.1突发环境事件风险物质及临界量表和B</w:t>
      </w:r>
      <w:r>
        <w:rPr>
          <w:rFonts w:ascii="Times New Roman" w:hAnsi="Times New Roman"/>
          <w:color w:val="FF0000"/>
          <w:sz w:val="24"/>
          <w:szCs w:val="32"/>
        </w:rPr>
        <w:t>.2</w:t>
      </w:r>
      <w:r>
        <w:rPr>
          <w:rFonts w:hint="eastAsia" w:ascii="Times New Roman" w:hAnsi="Times New Roman"/>
          <w:color w:val="FF0000"/>
          <w:sz w:val="24"/>
          <w:szCs w:val="32"/>
        </w:rPr>
        <w:t>其他危险物质临界量推荐值，本项目消毒剂来苏尔(煤酚皂</w:t>
      </w:r>
      <w:r>
        <w:rPr>
          <w:rFonts w:ascii="Times New Roman" w:hAnsi="Times New Roman"/>
          <w:color w:val="FF0000"/>
          <w:sz w:val="24"/>
          <w:szCs w:val="32"/>
        </w:rPr>
        <w:t>)</w:t>
      </w:r>
      <w:r>
        <w:rPr>
          <w:rFonts w:hint="eastAsia" w:ascii="Times New Roman" w:hAnsi="Times New Roman"/>
          <w:color w:val="FF0000"/>
          <w:sz w:val="24"/>
          <w:szCs w:val="32"/>
        </w:rPr>
        <w:t>、新洁尔灭水溶液(苯扎溴铵</w:t>
      </w:r>
      <w:r>
        <w:rPr>
          <w:rFonts w:ascii="Times New Roman" w:hAnsi="Times New Roman"/>
          <w:color w:val="FF0000"/>
          <w:sz w:val="24"/>
          <w:szCs w:val="32"/>
        </w:rPr>
        <w:t>)</w:t>
      </w:r>
      <w:r>
        <w:rPr>
          <w:rFonts w:hint="eastAsia" w:ascii="Times New Roman" w:hAnsi="Times New Roman"/>
          <w:color w:val="FF0000"/>
          <w:sz w:val="24"/>
          <w:szCs w:val="32"/>
        </w:rPr>
        <w:t>、次氯酸钠、过氧乙酸属于突发环境事件风险物质。经计算本项目Q＜1，环境风险潜势为Ⅰ。</w:t>
      </w:r>
    </w:p>
    <w:p>
      <w:pPr>
        <w:adjustRightInd w:val="0"/>
        <w:snapToGrid w:val="0"/>
        <w:spacing w:line="540" w:lineRule="exact"/>
        <w:ind w:firstLine="480" w:firstLineChars="200"/>
        <w:rPr>
          <w:rFonts w:ascii="Times New Roman" w:hAnsi="Times New Roman"/>
          <w:sz w:val="24"/>
          <w:szCs w:val="32"/>
        </w:rPr>
      </w:pPr>
      <w:r>
        <w:rPr>
          <w:rFonts w:hint="eastAsia" w:ascii="Times New Roman" w:hAnsi="Times New Roman"/>
          <w:sz w:val="24"/>
          <w:szCs w:val="32"/>
          <w:lang w:eastAsia="zh-CN"/>
        </w:rPr>
        <w:t>（</w:t>
      </w:r>
      <w:r>
        <w:rPr>
          <w:rFonts w:hint="eastAsia" w:ascii="Times New Roman" w:hAnsi="Times New Roman"/>
          <w:sz w:val="24"/>
          <w:szCs w:val="32"/>
          <w:lang w:val="en-US" w:eastAsia="zh-CN"/>
        </w:rPr>
        <w:t>4</w:t>
      </w:r>
      <w:r>
        <w:rPr>
          <w:rFonts w:hint="eastAsia" w:ascii="Times New Roman" w:hAnsi="Times New Roman"/>
          <w:sz w:val="24"/>
          <w:szCs w:val="32"/>
          <w:lang w:eastAsia="zh-CN"/>
        </w:rPr>
        <w:t>）</w:t>
      </w:r>
      <w:r>
        <w:rPr>
          <w:rFonts w:hint="eastAsia" w:ascii="Times New Roman" w:hAnsi="Times New Roman"/>
          <w:sz w:val="24"/>
          <w:szCs w:val="32"/>
        </w:rPr>
        <w:t>评价工作等级确定</w:t>
      </w:r>
    </w:p>
    <w:p>
      <w:pPr>
        <w:adjustRightInd w:val="0"/>
        <w:snapToGrid w:val="0"/>
        <w:spacing w:line="540" w:lineRule="exact"/>
        <w:ind w:firstLine="480" w:firstLineChars="200"/>
        <w:rPr>
          <w:rFonts w:ascii="Times New Roman" w:hAnsi="Times New Roman"/>
          <w:sz w:val="24"/>
          <w:szCs w:val="32"/>
        </w:rPr>
      </w:pPr>
      <w:r>
        <w:rPr>
          <w:rFonts w:hint="eastAsia" w:ascii="Times New Roman" w:hAnsi="Times New Roman"/>
          <w:sz w:val="24"/>
          <w:szCs w:val="32"/>
        </w:rPr>
        <w:t>建设项目环境风险潜势为Ⅰ，根据表</w:t>
      </w:r>
      <w:r>
        <w:rPr>
          <w:rFonts w:hint="eastAsia" w:ascii="Times New Roman" w:hAnsi="Times New Roman"/>
          <w:sz w:val="24"/>
          <w:szCs w:val="32"/>
          <w:lang w:val="en-US" w:eastAsia="zh-CN"/>
        </w:rPr>
        <w:t>1.5-12</w:t>
      </w:r>
      <w:r>
        <w:rPr>
          <w:rFonts w:hint="eastAsia" w:ascii="Times New Roman" w:hAnsi="Times New Roman"/>
          <w:sz w:val="24"/>
          <w:szCs w:val="32"/>
        </w:rPr>
        <w:t>环境风险评价等级判定可知，确定本次环境风险进行简单分析。</w:t>
      </w:r>
      <w:bookmarkStart w:id="323" w:name="_Toc31168_WPSOffice_Level3"/>
      <w:bookmarkStart w:id="324" w:name="_Toc30150_WPSOffice_Level3"/>
    </w:p>
    <w:p>
      <w:pPr>
        <w:pStyle w:val="6"/>
        <w:keepNext/>
        <w:keepLines/>
        <w:pageBreakBefore w:val="0"/>
        <w:widowControl w:val="0"/>
        <w:kinsoku/>
        <w:wordWrap/>
        <w:overflowPunct/>
        <w:topLinePunct w:val="0"/>
        <w:autoSpaceDE/>
        <w:autoSpaceDN/>
        <w:bidi w:val="0"/>
        <w:adjustRightInd/>
        <w:snapToGrid w:val="0"/>
        <w:spacing w:before="0" w:after="0" w:line="540" w:lineRule="exact"/>
        <w:contextualSpacing/>
        <w:textAlignment w:val="auto"/>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.5.6.2敏感目标排查</w:t>
      </w:r>
      <w:bookmarkEnd w:id="323"/>
      <w:bookmarkEnd w:id="324"/>
    </w:p>
    <w:p>
      <w:pPr>
        <w:adjustRightInd w:val="0"/>
        <w:snapToGrid w:val="0"/>
        <w:spacing w:line="540" w:lineRule="exact"/>
        <w:ind w:firstLine="480" w:firstLineChars="200"/>
        <w:rPr>
          <w:rFonts w:ascii="宋体" w:hAnsi="宋体" w:cs="宋体"/>
          <w:b/>
          <w:bCs/>
          <w:szCs w:val="21"/>
        </w:rPr>
      </w:pPr>
      <w:r>
        <w:rPr>
          <w:rFonts w:ascii="Times New Roman" w:hAnsi="Times New Roman"/>
          <w:sz w:val="24"/>
          <w:szCs w:val="32"/>
        </w:rPr>
        <w:t>本项目位于</w:t>
      </w:r>
      <w:r>
        <w:rPr>
          <w:rFonts w:hint="eastAsia" w:ascii="Times New Roman" w:hAnsi="Times New Roman"/>
          <w:kern w:val="0"/>
          <w:sz w:val="24"/>
          <w:szCs w:val="20"/>
        </w:rPr>
        <w:t>固原市隆德县神林乡神林村</w:t>
      </w:r>
      <w:r>
        <w:rPr>
          <w:rFonts w:ascii="Times New Roman" w:hAnsi="Times New Roman"/>
          <w:sz w:val="24"/>
          <w:szCs w:val="32"/>
        </w:rPr>
        <w:t>，本项目所在区域没有水源地、名胜古迹、自然保护区、温泉、疗养地等国家明令规定的保护对象，因此环境相对不敏感。</w:t>
      </w:r>
    </w:p>
    <w:p>
      <w:pPr>
        <w:widowControl/>
        <w:spacing w:before="120" w:beforeLines="50"/>
        <w:ind w:firstLine="481" w:firstLineChars="20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.5-1</w:t>
      </w:r>
      <w:r>
        <w:rPr>
          <w:rFonts w:hint="eastAsia" w:ascii="Times New Roman" w:hAnsi="Times New Roman"/>
          <w:b/>
          <w:sz w:val="24"/>
        </w:rPr>
        <w:t>3</w:t>
      </w:r>
      <w:r>
        <w:rPr>
          <w:rFonts w:ascii="Times New Roman" w:hAnsi="Times New Roman"/>
          <w:b/>
          <w:sz w:val="24"/>
        </w:rPr>
        <w:t xml:space="preserve">    建设项目环境风险潜势划分一览表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16"/>
        <w:gridCol w:w="1687"/>
        <w:gridCol w:w="1688"/>
        <w:gridCol w:w="1688"/>
        <w:gridCol w:w="16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6" w:type="dxa"/>
            <w:vMerge w:val="restart"/>
            <w:vAlign w:val="center"/>
          </w:tcPr>
          <w:p>
            <w:pPr>
              <w:jc w:val="center"/>
              <w:rPr>
                <w:rFonts w:ascii="Times New Roman" w:hAnsi="Times New Roman"/>
                <w:b/>
                <w:szCs w:val="21"/>
              </w:rPr>
            </w:pPr>
            <w:r>
              <w:rPr>
                <w:rFonts w:ascii="Times New Roman" w:hAnsi="Times New Roman"/>
                <w:b/>
                <w:szCs w:val="21"/>
              </w:rPr>
              <w:t>环境敏感程度（E）</w:t>
            </w:r>
          </w:p>
        </w:tc>
        <w:tc>
          <w:tcPr>
            <w:tcW w:w="6755" w:type="dxa"/>
            <w:gridSpan w:val="4"/>
            <w:vAlign w:val="center"/>
          </w:tcPr>
          <w:p>
            <w:pPr>
              <w:jc w:val="center"/>
              <w:rPr>
                <w:rFonts w:ascii="Times New Roman" w:hAnsi="Times New Roman"/>
                <w:b/>
                <w:szCs w:val="21"/>
              </w:rPr>
            </w:pPr>
            <w:r>
              <w:rPr>
                <w:rFonts w:ascii="Times New Roman" w:hAnsi="Times New Roman"/>
                <w:b/>
                <w:szCs w:val="21"/>
              </w:rPr>
              <w:t>危险物质及工艺系统危险性（P）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6" w:type="dxa"/>
            <w:vMerge w:val="continue"/>
            <w:vAlign w:val="center"/>
          </w:tcPr>
          <w:p>
            <w:pPr>
              <w:jc w:val="center"/>
              <w:rPr>
                <w:rFonts w:ascii="Times New Roman" w:hAnsi="Times New Roman"/>
                <w:b/>
                <w:szCs w:val="21"/>
              </w:rPr>
            </w:pPr>
          </w:p>
        </w:tc>
        <w:tc>
          <w:tcPr>
            <w:tcW w:w="1687" w:type="dxa"/>
            <w:vAlign w:val="center"/>
          </w:tcPr>
          <w:p>
            <w:pPr>
              <w:jc w:val="center"/>
              <w:rPr>
                <w:rFonts w:ascii="Times New Roman" w:hAnsi="Times New Roman"/>
                <w:b/>
                <w:spacing w:val="-16"/>
                <w:szCs w:val="21"/>
              </w:rPr>
            </w:pPr>
            <w:r>
              <w:rPr>
                <w:rFonts w:ascii="Times New Roman" w:hAnsi="Times New Roman"/>
                <w:b/>
                <w:spacing w:val="-16"/>
                <w:szCs w:val="21"/>
              </w:rPr>
              <w:t>极高危害（P1）</w:t>
            </w:r>
          </w:p>
        </w:tc>
        <w:tc>
          <w:tcPr>
            <w:tcW w:w="1688" w:type="dxa"/>
            <w:vAlign w:val="center"/>
          </w:tcPr>
          <w:p>
            <w:pPr>
              <w:jc w:val="center"/>
              <w:rPr>
                <w:rFonts w:ascii="Times New Roman" w:hAnsi="Times New Roman"/>
                <w:b/>
                <w:spacing w:val="-16"/>
                <w:szCs w:val="21"/>
              </w:rPr>
            </w:pPr>
            <w:r>
              <w:rPr>
                <w:rFonts w:ascii="Times New Roman" w:hAnsi="Times New Roman"/>
                <w:b/>
                <w:spacing w:val="-16"/>
                <w:szCs w:val="21"/>
              </w:rPr>
              <w:t>高度危害（P2）</w:t>
            </w:r>
          </w:p>
        </w:tc>
        <w:tc>
          <w:tcPr>
            <w:tcW w:w="1688" w:type="dxa"/>
            <w:vAlign w:val="center"/>
          </w:tcPr>
          <w:p>
            <w:pPr>
              <w:jc w:val="center"/>
              <w:rPr>
                <w:rFonts w:ascii="Times New Roman" w:hAnsi="Times New Roman"/>
                <w:b/>
                <w:spacing w:val="-16"/>
                <w:szCs w:val="21"/>
              </w:rPr>
            </w:pPr>
            <w:r>
              <w:rPr>
                <w:rFonts w:ascii="Times New Roman" w:hAnsi="Times New Roman"/>
                <w:b/>
                <w:spacing w:val="-16"/>
                <w:szCs w:val="21"/>
              </w:rPr>
              <w:t>中度危害（P3）</w:t>
            </w:r>
          </w:p>
        </w:tc>
        <w:tc>
          <w:tcPr>
            <w:tcW w:w="1692" w:type="dxa"/>
            <w:vAlign w:val="center"/>
          </w:tcPr>
          <w:p>
            <w:pPr>
              <w:jc w:val="center"/>
              <w:rPr>
                <w:rFonts w:ascii="Times New Roman" w:hAnsi="Times New Roman"/>
                <w:b/>
                <w:spacing w:val="-16"/>
                <w:szCs w:val="21"/>
              </w:rPr>
            </w:pPr>
            <w:r>
              <w:rPr>
                <w:rFonts w:ascii="Times New Roman" w:hAnsi="Times New Roman"/>
                <w:b/>
                <w:spacing w:val="-16"/>
                <w:szCs w:val="21"/>
              </w:rPr>
              <w:t>轻度危害（P4）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6" w:type="dxa"/>
            <w:vAlign w:val="center"/>
          </w:tcPr>
          <w:p>
            <w:pPr>
              <w:adjustRightInd w:val="0"/>
              <w:snapToGrid w:val="0"/>
              <w:jc w:val="center"/>
              <w:rPr>
                <w:rFonts w:ascii="Times New Roman" w:hAnsi="Times New Roman"/>
                <w:szCs w:val="21"/>
              </w:rPr>
            </w:pPr>
            <w:r>
              <w:rPr>
                <w:rFonts w:ascii="Times New Roman" w:hAnsi="Times New Roman"/>
                <w:szCs w:val="21"/>
              </w:rPr>
              <w:t>环境高度敏感区（E1）</w:t>
            </w:r>
          </w:p>
        </w:tc>
        <w:tc>
          <w:tcPr>
            <w:tcW w:w="1687" w:type="dxa"/>
            <w:vAlign w:val="center"/>
          </w:tcPr>
          <w:p>
            <w:pPr>
              <w:jc w:val="center"/>
              <w:rPr>
                <w:rFonts w:ascii="Times New Roman" w:hAnsi="Times New Roman"/>
                <w:szCs w:val="21"/>
              </w:rPr>
            </w:pPr>
            <w:r>
              <w:rPr>
                <w:rFonts w:ascii="Times New Roman" w:hAnsi="Times New Roman"/>
                <w:szCs w:val="21"/>
              </w:rPr>
              <w:t>Ⅳ</w:t>
            </w:r>
            <w:r>
              <w:rPr>
                <w:rFonts w:ascii="Times New Roman" w:hAnsi="Times New Roman"/>
                <w:szCs w:val="21"/>
                <w:vertAlign w:val="superscript"/>
              </w:rPr>
              <w:t>+</w:t>
            </w:r>
          </w:p>
        </w:tc>
        <w:tc>
          <w:tcPr>
            <w:tcW w:w="1688" w:type="dxa"/>
            <w:vAlign w:val="center"/>
          </w:tcPr>
          <w:p>
            <w:pPr>
              <w:jc w:val="center"/>
              <w:rPr>
                <w:rFonts w:ascii="Times New Roman" w:hAnsi="Times New Roman"/>
                <w:szCs w:val="21"/>
              </w:rPr>
            </w:pPr>
            <w:r>
              <w:rPr>
                <w:rFonts w:ascii="Times New Roman" w:hAnsi="Times New Roman"/>
                <w:szCs w:val="21"/>
              </w:rPr>
              <w:t>Ⅳ</w:t>
            </w:r>
          </w:p>
        </w:tc>
        <w:tc>
          <w:tcPr>
            <w:tcW w:w="1688" w:type="dxa"/>
            <w:vAlign w:val="center"/>
          </w:tcPr>
          <w:p>
            <w:pPr>
              <w:jc w:val="center"/>
              <w:rPr>
                <w:rFonts w:ascii="Times New Roman" w:hAnsi="Times New Roman"/>
                <w:szCs w:val="21"/>
              </w:rPr>
            </w:pPr>
            <w:r>
              <w:rPr>
                <w:rFonts w:ascii="Times New Roman" w:hAnsi="Times New Roman"/>
                <w:szCs w:val="21"/>
              </w:rPr>
              <w:t>Ⅲ</w:t>
            </w:r>
          </w:p>
        </w:tc>
        <w:tc>
          <w:tcPr>
            <w:tcW w:w="1692" w:type="dxa"/>
            <w:vAlign w:val="center"/>
          </w:tcPr>
          <w:p>
            <w:pPr>
              <w:jc w:val="center"/>
              <w:rPr>
                <w:rFonts w:ascii="Times New Roman" w:hAnsi="Times New Roman"/>
                <w:szCs w:val="21"/>
              </w:rPr>
            </w:pPr>
            <w:r>
              <w:rPr>
                <w:rFonts w:ascii="Times New Roman" w:hAnsi="Times New Roman"/>
                <w:szCs w:val="21"/>
              </w:rPr>
              <w:t>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6" w:type="dxa"/>
            <w:vAlign w:val="center"/>
          </w:tcPr>
          <w:p>
            <w:pPr>
              <w:adjustRightInd w:val="0"/>
              <w:snapToGrid w:val="0"/>
              <w:jc w:val="center"/>
              <w:rPr>
                <w:rFonts w:ascii="Times New Roman" w:hAnsi="Times New Roman"/>
                <w:szCs w:val="21"/>
              </w:rPr>
            </w:pPr>
            <w:r>
              <w:rPr>
                <w:rFonts w:ascii="Times New Roman" w:hAnsi="Times New Roman"/>
                <w:szCs w:val="21"/>
              </w:rPr>
              <w:t>环境中度敏感区（E2）</w:t>
            </w:r>
          </w:p>
        </w:tc>
        <w:tc>
          <w:tcPr>
            <w:tcW w:w="1687" w:type="dxa"/>
            <w:vAlign w:val="center"/>
          </w:tcPr>
          <w:p>
            <w:pPr>
              <w:jc w:val="center"/>
              <w:rPr>
                <w:rFonts w:ascii="Times New Roman" w:hAnsi="Times New Roman"/>
                <w:szCs w:val="21"/>
              </w:rPr>
            </w:pPr>
            <w:r>
              <w:rPr>
                <w:rFonts w:ascii="Times New Roman" w:hAnsi="Times New Roman"/>
                <w:szCs w:val="21"/>
              </w:rPr>
              <w:t>Ⅳ</w:t>
            </w:r>
          </w:p>
        </w:tc>
        <w:tc>
          <w:tcPr>
            <w:tcW w:w="1688" w:type="dxa"/>
            <w:vAlign w:val="center"/>
          </w:tcPr>
          <w:p>
            <w:pPr>
              <w:jc w:val="center"/>
              <w:rPr>
                <w:rFonts w:ascii="Times New Roman" w:hAnsi="Times New Roman"/>
                <w:szCs w:val="21"/>
              </w:rPr>
            </w:pPr>
            <w:r>
              <w:rPr>
                <w:rFonts w:ascii="Times New Roman" w:hAnsi="Times New Roman"/>
                <w:szCs w:val="21"/>
              </w:rPr>
              <w:t>Ⅲ</w:t>
            </w:r>
          </w:p>
        </w:tc>
        <w:tc>
          <w:tcPr>
            <w:tcW w:w="1688" w:type="dxa"/>
            <w:vAlign w:val="center"/>
          </w:tcPr>
          <w:p>
            <w:pPr>
              <w:jc w:val="center"/>
              <w:rPr>
                <w:rFonts w:ascii="Times New Roman" w:hAnsi="Times New Roman"/>
                <w:szCs w:val="21"/>
              </w:rPr>
            </w:pPr>
            <w:r>
              <w:rPr>
                <w:rFonts w:ascii="Times New Roman" w:hAnsi="Times New Roman"/>
                <w:szCs w:val="21"/>
              </w:rPr>
              <w:t>Ⅲ</w:t>
            </w:r>
          </w:p>
        </w:tc>
        <w:tc>
          <w:tcPr>
            <w:tcW w:w="1692" w:type="dxa"/>
            <w:vAlign w:val="center"/>
          </w:tcPr>
          <w:p>
            <w:pPr>
              <w:jc w:val="center"/>
              <w:rPr>
                <w:rFonts w:ascii="Times New Roman" w:hAnsi="Times New Roman"/>
                <w:szCs w:val="21"/>
              </w:rPr>
            </w:pPr>
            <w:r>
              <w:rPr>
                <w:rFonts w:ascii="Times New Roman" w:hAnsi="Times New Roman"/>
                <w:szCs w:val="21"/>
              </w:rPr>
              <w:t>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6" w:type="dxa"/>
            <w:vAlign w:val="center"/>
          </w:tcPr>
          <w:p>
            <w:pPr>
              <w:adjustRightInd w:val="0"/>
              <w:snapToGrid w:val="0"/>
              <w:jc w:val="center"/>
              <w:rPr>
                <w:rFonts w:ascii="Times New Roman" w:hAnsi="Times New Roman"/>
                <w:szCs w:val="21"/>
              </w:rPr>
            </w:pPr>
            <w:r>
              <w:rPr>
                <w:rFonts w:ascii="Times New Roman" w:hAnsi="Times New Roman"/>
                <w:szCs w:val="21"/>
              </w:rPr>
              <w:t>环境低度敏感区（E3）</w:t>
            </w:r>
          </w:p>
        </w:tc>
        <w:tc>
          <w:tcPr>
            <w:tcW w:w="1687" w:type="dxa"/>
            <w:vAlign w:val="center"/>
          </w:tcPr>
          <w:p>
            <w:pPr>
              <w:jc w:val="center"/>
              <w:rPr>
                <w:rFonts w:ascii="Times New Roman" w:hAnsi="Times New Roman"/>
                <w:szCs w:val="21"/>
              </w:rPr>
            </w:pPr>
            <w:r>
              <w:rPr>
                <w:rFonts w:ascii="Times New Roman" w:hAnsi="Times New Roman"/>
                <w:szCs w:val="21"/>
              </w:rPr>
              <w:t>Ⅲ</w:t>
            </w:r>
          </w:p>
        </w:tc>
        <w:tc>
          <w:tcPr>
            <w:tcW w:w="1688" w:type="dxa"/>
            <w:vAlign w:val="center"/>
          </w:tcPr>
          <w:p>
            <w:pPr>
              <w:jc w:val="center"/>
              <w:rPr>
                <w:rFonts w:ascii="Times New Roman" w:hAnsi="Times New Roman"/>
                <w:szCs w:val="21"/>
              </w:rPr>
            </w:pPr>
            <w:r>
              <w:rPr>
                <w:rFonts w:ascii="Times New Roman" w:hAnsi="Times New Roman"/>
                <w:szCs w:val="21"/>
              </w:rPr>
              <w:t>Ⅲ</w:t>
            </w:r>
          </w:p>
        </w:tc>
        <w:tc>
          <w:tcPr>
            <w:tcW w:w="1688" w:type="dxa"/>
            <w:vAlign w:val="center"/>
          </w:tcPr>
          <w:p>
            <w:pPr>
              <w:jc w:val="center"/>
              <w:rPr>
                <w:rFonts w:ascii="Times New Roman" w:hAnsi="Times New Roman"/>
                <w:szCs w:val="21"/>
              </w:rPr>
            </w:pPr>
            <w:r>
              <w:rPr>
                <w:rFonts w:ascii="Times New Roman" w:hAnsi="Times New Roman"/>
                <w:szCs w:val="21"/>
              </w:rPr>
              <w:t>Ⅱ</w:t>
            </w:r>
          </w:p>
        </w:tc>
        <w:tc>
          <w:tcPr>
            <w:tcW w:w="1692" w:type="dxa"/>
            <w:vAlign w:val="center"/>
          </w:tcPr>
          <w:p>
            <w:pPr>
              <w:jc w:val="center"/>
              <w:rPr>
                <w:rFonts w:ascii="Times New Roman" w:hAnsi="Times New Roman"/>
                <w:szCs w:val="21"/>
              </w:rPr>
            </w:pPr>
            <w:r>
              <w:rPr>
                <w:rFonts w:ascii="Times New Roman" w:hAnsi="Times New Roman"/>
                <w:szCs w:val="21"/>
              </w:rPr>
              <w:t>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71" w:type="dxa"/>
            <w:gridSpan w:val="5"/>
            <w:vAlign w:val="center"/>
          </w:tcPr>
          <w:p>
            <w:pPr>
              <w:jc w:val="center"/>
              <w:rPr>
                <w:rFonts w:ascii="Times New Roman" w:hAnsi="Times New Roman"/>
                <w:szCs w:val="21"/>
              </w:rPr>
            </w:pPr>
            <w:r>
              <w:rPr>
                <w:rFonts w:ascii="Times New Roman" w:hAnsi="Times New Roman"/>
                <w:szCs w:val="21"/>
              </w:rPr>
              <w:t>注：Ⅳ</w:t>
            </w:r>
            <w:r>
              <w:rPr>
                <w:rFonts w:ascii="Times New Roman" w:hAnsi="Times New Roman"/>
                <w:szCs w:val="21"/>
                <w:vertAlign w:val="superscript"/>
              </w:rPr>
              <w:t>+</w:t>
            </w:r>
            <w:r>
              <w:rPr>
                <w:rFonts w:ascii="Times New Roman" w:hAnsi="Times New Roman"/>
                <w:szCs w:val="21"/>
              </w:rPr>
              <w:t>为极高环境风险</w:t>
            </w:r>
          </w:p>
        </w:tc>
      </w:tr>
    </w:tbl>
    <w:p>
      <w:pPr>
        <w:widowControl/>
        <w:spacing w:before="120" w:beforeLines="50"/>
        <w:ind w:firstLine="481" w:firstLineChars="200"/>
        <w:rPr>
          <w:rFonts w:ascii="Times New Roman" w:hAnsi="Times New Roman"/>
          <w:b/>
          <w:sz w:val="24"/>
        </w:rPr>
      </w:pPr>
    </w:p>
    <w:p>
      <w:pPr>
        <w:widowControl/>
        <w:spacing w:before="120" w:beforeLines="50"/>
        <w:ind w:firstLine="481" w:firstLineChars="200"/>
        <w:jc w:val="center"/>
        <w:rPr>
          <w:rFonts w:ascii="Times New Roman" w:hAnsi="Times New Roman"/>
          <w:b/>
          <w:sz w:val="24"/>
        </w:rPr>
      </w:pPr>
    </w:p>
    <w:p>
      <w:pPr>
        <w:widowControl/>
        <w:spacing w:before="120" w:beforeLines="50"/>
        <w:ind w:firstLine="481" w:firstLineChars="200"/>
        <w:jc w:val="center"/>
        <w:rPr>
          <w:rFonts w:ascii="Times New Roman" w:hAnsi="Times New Roman"/>
          <w:b/>
          <w:sz w:val="24"/>
        </w:rPr>
      </w:pPr>
    </w:p>
    <w:p>
      <w:pPr>
        <w:widowControl/>
        <w:spacing w:before="120" w:beforeLines="50"/>
        <w:ind w:firstLine="481" w:firstLineChars="20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.5-1</w:t>
      </w:r>
      <w:r>
        <w:rPr>
          <w:rFonts w:hint="eastAsia" w:ascii="Times New Roman" w:hAnsi="Times New Roman"/>
          <w:b/>
          <w:sz w:val="24"/>
        </w:rPr>
        <w:t>4</w:t>
      </w:r>
      <w:r>
        <w:rPr>
          <w:rFonts w:ascii="Times New Roman" w:hAnsi="Times New Roman"/>
          <w:b/>
          <w:sz w:val="24"/>
        </w:rPr>
        <w:t xml:space="preserve">      评价工作等级划分表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37"/>
        <w:gridCol w:w="1810"/>
        <w:gridCol w:w="1809"/>
        <w:gridCol w:w="1599"/>
        <w:gridCol w:w="16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37" w:type="dxa"/>
            <w:vAlign w:val="center"/>
          </w:tcPr>
          <w:p>
            <w:pPr>
              <w:adjustRightInd w:val="0"/>
              <w:snapToGrid w:val="0"/>
              <w:jc w:val="center"/>
              <w:rPr>
                <w:rFonts w:ascii="Times New Roman" w:hAnsi="Times New Roman"/>
                <w:b/>
                <w:bCs/>
                <w:szCs w:val="21"/>
              </w:rPr>
            </w:pPr>
            <w:r>
              <w:rPr>
                <w:rFonts w:ascii="Times New Roman" w:hAnsi="Times New Roman"/>
                <w:b/>
                <w:bCs/>
                <w:szCs w:val="21"/>
              </w:rPr>
              <w:t>风险潜势</w:t>
            </w:r>
          </w:p>
        </w:tc>
        <w:tc>
          <w:tcPr>
            <w:tcW w:w="1810" w:type="dxa"/>
            <w:vAlign w:val="center"/>
          </w:tcPr>
          <w:p>
            <w:pPr>
              <w:adjustRightInd w:val="0"/>
              <w:snapToGrid w:val="0"/>
              <w:jc w:val="center"/>
              <w:rPr>
                <w:rFonts w:ascii="Times New Roman" w:hAnsi="Times New Roman"/>
                <w:b/>
                <w:bCs/>
                <w:szCs w:val="21"/>
              </w:rPr>
            </w:pPr>
            <w:r>
              <w:rPr>
                <w:rFonts w:ascii="Times New Roman" w:hAnsi="Times New Roman"/>
                <w:b/>
                <w:bCs/>
                <w:szCs w:val="21"/>
              </w:rPr>
              <w:t>Ⅳ、Ⅳ+</w:t>
            </w:r>
          </w:p>
        </w:tc>
        <w:tc>
          <w:tcPr>
            <w:tcW w:w="1809" w:type="dxa"/>
            <w:vAlign w:val="center"/>
          </w:tcPr>
          <w:p>
            <w:pPr>
              <w:adjustRightInd w:val="0"/>
              <w:snapToGrid w:val="0"/>
              <w:jc w:val="center"/>
              <w:rPr>
                <w:rFonts w:ascii="Times New Roman" w:hAnsi="Times New Roman"/>
                <w:b/>
                <w:bCs/>
                <w:szCs w:val="21"/>
              </w:rPr>
            </w:pPr>
            <w:r>
              <w:rPr>
                <w:rFonts w:ascii="Times New Roman" w:hAnsi="Times New Roman"/>
                <w:b/>
                <w:bCs/>
                <w:szCs w:val="21"/>
              </w:rPr>
              <w:t>Ⅲ</w:t>
            </w:r>
          </w:p>
        </w:tc>
        <w:tc>
          <w:tcPr>
            <w:tcW w:w="1599" w:type="dxa"/>
            <w:vAlign w:val="center"/>
          </w:tcPr>
          <w:p>
            <w:pPr>
              <w:adjustRightInd w:val="0"/>
              <w:snapToGrid w:val="0"/>
              <w:jc w:val="center"/>
              <w:rPr>
                <w:rFonts w:ascii="Times New Roman" w:hAnsi="Times New Roman"/>
                <w:b/>
                <w:bCs/>
                <w:szCs w:val="21"/>
              </w:rPr>
            </w:pPr>
            <w:r>
              <w:rPr>
                <w:rFonts w:ascii="Times New Roman" w:hAnsi="Times New Roman"/>
                <w:b/>
                <w:bCs/>
                <w:szCs w:val="21"/>
              </w:rPr>
              <w:t>Ⅱ</w:t>
            </w:r>
          </w:p>
        </w:tc>
        <w:tc>
          <w:tcPr>
            <w:tcW w:w="1616" w:type="dxa"/>
            <w:vAlign w:val="center"/>
          </w:tcPr>
          <w:p>
            <w:pPr>
              <w:adjustRightInd w:val="0"/>
              <w:snapToGrid w:val="0"/>
              <w:jc w:val="center"/>
              <w:rPr>
                <w:rFonts w:ascii="Times New Roman" w:hAnsi="Times New Roman"/>
                <w:b/>
                <w:bCs/>
                <w:szCs w:val="21"/>
              </w:rPr>
            </w:pPr>
            <w:r>
              <w:rPr>
                <w:rFonts w:ascii="Times New Roman" w:hAnsi="Times New Roman"/>
                <w:b/>
                <w:bCs/>
                <w:szCs w:val="21"/>
              </w:rPr>
              <w:t>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37" w:type="dxa"/>
            <w:vAlign w:val="center"/>
          </w:tcPr>
          <w:p>
            <w:pPr>
              <w:adjustRightInd w:val="0"/>
              <w:snapToGrid w:val="0"/>
              <w:jc w:val="center"/>
              <w:rPr>
                <w:rFonts w:ascii="Times New Roman" w:hAnsi="Times New Roman"/>
                <w:szCs w:val="21"/>
              </w:rPr>
            </w:pPr>
            <w:r>
              <w:rPr>
                <w:rFonts w:ascii="Times New Roman" w:hAnsi="Times New Roman"/>
                <w:szCs w:val="21"/>
              </w:rPr>
              <w:t>评价工作等级</w:t>
            </w:r>
          </w:p>
        </w:tc>
        <w:tc>
          <w:tcPr>
            <w:tcW w:w="1810" w:type="dxa"/>
            <w:vAlign w:val="center"/>
          </w:tcPr>
          <w:p>
            <w:pPr>
              <w:adjustRightInd w:val="0"/>
              <w:snapToGrid w:val="0"/>
              <w:jc w:val="center"/>
              <w:rPr>
                <w:rFonts w:ascii="Times New Roman" w:hAnsi="Times New Roman"/>
                <w:szCs w:val="21"/>
              </w:rPr>
            </w:pPr>
            <w:r>
              <w:rPr>
                <w:rFonts w:ascii="Times New Roman" w:hAnsi="Times New Roman"/>
                <w:szCs w:val="21"/>
              </w:rPr>
              <w:t>一</w:t>
            </w:r>
          </w:p>
        </w:tc>
        <w:tc>
          <w:tcPr>
            <w:tcW w:w="1809" w:type="dxa"/>
            <w:vAlign w:val="center"/>
          </w:tcPr>
          <w:p>
            <w:pPr>
              <w:adjustRightInd w:val="0"/>
              <w:snapToGrid w:val="0"/>
              <w:jc w:val="center"/>
              <w:rPr>
                <w:rFonts w:ascii="Times New Roman" w:hAnsi="Times New Roman"/>
                <w:szCs w:val="21"/>
              </w:rPr>
            </w:pPr>
            <w:r>
              <w:rPr>
                <w:rFonts w:ascii="Times New Roman" w:hAnsi="Times New Roman"/>
                <w:szCs w:val="21"/>
              </w:rPr>
              <w:t>二</w:t>
            </w:r>
          </w:p>
        </w:tc>
        <w:tc>
          <w:tcPr>
            <w:tcW w:w="1599" w:type="dxa"/>
            <w:vAlign w:val="center"/>
          </w:tcPr>
          <w:p>
            <w:pPr>
              <w:adjustRightInd w:val="0"/>
              <w:snapToGrid w:val="0"/>
              <w:jc w:val="center"/>
              <w:rPr>
                <w:rFonts w:ascii="Times New Roman" w:hAnsi="Times New Roman"/>
                <w:szCs w:val="21"/>
              </w:rPr>
            </w:pPr>
            <w:r>
              <w:rPr>
                <w:rFonts w:ascii="Times New Roman" w:hAnsi="Times New Roman"/>
                <w:szCs w:val="21"/>
              </w:rPr>
              <w:t>三</w:t>
            </w:r>
          </w:p>
        </w:tc>
        <w:tc>
          <w:tcPr>
            <w:tcW w:w="1616" w:type="dxa"/>
            <w:vAlign w:val="center"/>
          </w:tcPr>
          <w:p>
            <w:pPr>
              <w:adjustRightInd w:val="0"/>
              <w:snapToGrid w:val="0"/>
              <w:jc w:val="center"/>
              <w:rPr>
                <w:rFonts w:ascii="Times New Roman" w:hAnsi="Times New Roman"/>
                <w:szCs w:val="21"/>
              </w:rPr>
            </w:pPr>
            <w:r>
              <w:rPr>
                <w:rFonts w:ascii="Times New Roman" w:hAnsi="Times New Roman"/>
                <w:szCs w:val="21"/>
              </w:rPr>
              <w:t>简单分析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37" w:type="dxa"/>
            <w:vAlign w:val="center"/>
          </w:tcPr>
          <w:p>
            <w:pPr>
              <w:adjustRightInd w:val="0"/>
              <w:snapToGrid w:val="0"/>
              <w:jc w:val="center"/>
              <w:rPr>
                <w:rFonts w:ascii="Times New Roman" w:hAnsi="Times New Roman"/>
                <w:szCs w:val="21"/>
              </w:rPr>
            </w:pPr>
            <w:r>
              <w:rPr>
                <w:rFonts w:ascii="Times New Roman" w:hAnsi="Times New Roman"/>
                <w:szCs w:val="21"/>
              </w:rPr>
              <w:t>本项目</w:t>
            </w:r>
          </w:p>
        </w:tc>
        <w:tc>
          <w:tcPr>
            <w:tcW w:w="6834" w:type="dxa"/>
            <w:gridSpan w:val="4"/>
            <w:vAlign w:val="center"/>
          </w:tcPr>
          <w:p>
            <w:pPr>
              <w:adjustRightInd w:val="0"/>
              <w:snapToGrid w:val="0"/>
              <w:jc w:val="center"/>
              <w:rPr>
                <w:rFonts w:ascii="Times New Roman" w:hAnsi="Times New Roman"/>
                <w:szCs w:val="21"/>
              </w:rPr>
            </w:pPr>
            <w:r>
              <w:rPr>
                <w:rFonts w:ascii="Times New Roman" w:hAnsi="Times New Roman"/>
                <w:szCs w:val="21"/>
              </w:rPr>
              <w:t>简单分析</w:t>
            </w:r>
          </w:p>
        </w:tc>
      </w:tr>
    </w:tbl>
    <w:p>
      <w:pPr>
        <w:tabs>
          <w:tab w:val="left" w:pos="3320"/>
        </w:tabs>
        <w:overflowPunct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根据表1.5-1</w:t>
      </w:r>
      <w:r>
        <w:rPr>
          <w:rFonts w:hint="eastAsia" w:ascii="Times New Roman" w:hAnsi="Times New Roman"/>
          <w:snapToGrid w:val="0"/>
          <w:kern w:val="0"/>
          <w:sz w:val="24"/>
        </w:rPr>
        <w:t>4</w:t>
      </w:r>
      <w:r>
        <w:rPr>
          <w:rFonts w:ascii="Times New Roman" w:hAnsi="Times New Roman"/>
          <w:snapToGrid w:val="0"/>
          <w:kern w:val="0"/>
          <w:sz w:val="24"/>
        </w:rPr>
        <w:t>，本项目，Q＜1，项目环境风险潜势为Ⅰ，因此，本次环境风险评价仅对项目可能的环境风险作简单分析。</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325" w:name="_Toc2424"/>
      <w:bookmarkStart w:id="326" w:name="_Toc12111"/>
      <w:bookmarkStart w:id="327" w:name="_Toc13943"/>
      <w:bookmarkStart w:id="328" w:name="_Toc29016"/>
      <w:bookmarkStart w:id="329" w:name="_Toc7800"/>
      <w:r>
        <w:rPr>
          <w:rFonts w:hint="eastAsia" w:cs="Times New Roman"/>
          <w:bCs w:val="0"/>
          <w:snapToGrid w:val="0"/>
          <w:kern w:val="0"/>
          <w:sz w:val="28"/>
          <w:szCs w:val="28"/>
        </w:rPr>
        <w:t>1</w:t>
      </w:r>
      <w:r>
        <w:rPr>
          <w:rFonts w:cs="Times New Roman"/>
          <w:bCs w:val="0"/>
          <w:snapToGrid w:val="0"/>
          <w:kern w:val="0"/>
          <w:sz w:val="28"/>
          <w:szCs w:val="28"/>
        </w:rPr>
        <w:t>.5.7土壤环境</w:t>
      </w:r>
      <w:bookmarkEnd w:id="325"/>
      <w:bookmarkEnd w:id="326"/>
      <w:bookmarkEnd w:id="327"/>
      <w:bookmarkEnd w:id="328"/>
      <w:bookmarkEnd w:id="329"/>
    </w:p>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.5.</w:t>
      </w:r>
      <w:r>
        <w:rPr>
          <w:rFonts w:hint="eastAsia" w:ascii="Times New Roman" w:hAnsi="Times New Roman" w:eastAsia="宋体"/>
          <w:bCs w:val="0"/>
          <w:sz w:val="24"/>
        </w:rPr>
        <w:t>7</w:t>
      </w:r>
      <w:r>
        <w:rPr>
          <w:rFonts w:ascii="Times New Roman" w:hAnsi="Times New Roman" w:eastAsia="宋体"/>
          <w:bCs w:val="0"/>
          <w:sz w:val="24"/>
        </w:rPr>
        <w:t>.1评价等级</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rPr>
        <w:t>土壤环境影响类型</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项目所属行业为《环境影响评价技术导则 土壤环境（试行）》（HJ964-2018）附录A中的“农林牧渔业”，年出栏生猪5000头，1头</w:t>
      </w:r>
      <w:r>
        <w:rPr>
          <w:rFonts w:hint="eastAsia" w:ascii="Times New Roman" w:hAnsi="Times New Roman"/>
          <w:sz w:val="24"/>
        </w:rPr>
        <w:t>牛</w:t>
      </w:r>
      <w:r>
        <w:rPr>
          <w:rFonts w:ascii="Times New Roman" w:hAnsi="Times New Roman"/>
          <w:sz w:val="24"/>
        </w:rPr>
        <w:t>折算</w:t>
      </w:r>
      <w:r>
        <w:rPr>
          <w:rFonts w:hint="eastAsia" w:ascii="Times New Roman" w:hAnsi="Times New Roman"/>
          <w:sz w:val="24"/>
        </w:rPr>
        <w:t>5</w:t>
      </w:r>
      <w:r>
        <w:rPr>
          <w:rFonts w:ascii="Times New Roman" w:hAnsi="Times New Roman"/>
          <w:sz w:val="24"/>
        </w:rPr>
        <w:t>头猪，本项目</w:t>
      </w:r>
      <w:r>
        <w:rPr>
          <w:rFonts w:hint="eastAsia" w:ascii="Times New Roman" w:hAnsi="Times New Roman"/>
          <w:sz w:val="24"/>
        </w:rPr>
        <w:t>基础母牛1000头，</w:t>
      </w:r>
      <w:r>
        <w:rPr>
          <w:rFonts w:ascii="Times New Roman" w:hAnsi="Times New Roman"/>
          <w:sz w:val="24"/>
        </w:rPr>
        <w:t>折算成猪是</w:t>
      </w:r>
      <w:r>
        <w:rPr>
          <w:rFonts w:hint="eastAsia" w:ascii="Times New Roman" w:hAnsi="Times New Roman"/>
          <w:sz w:val="24"/>
        </w:rPr>
        <w:t>5000</w:t>
      </w:r>
      <w:r>
        <w:rPr>
          <w:rFonts w:ascii="Times New Roman" w:hAnsi="Times New Roman"/>
          <w:sz w:val="24"/>
        </w:rPr>
        <w:t>头，</w:t>
      </w:r>
      <w:r>
        <w:rPr>
          <w:rFonts w:ascii="Times New Roman" w:hAnsi="Times New Roman"/>
          <w:sz w:val="24"/>
          <w:lang w:val="zh-CN"/>
        </w:rPr>
        <w:t>按照土壤环境评价等级，</w:t>
      </w:r>
      <w:r>
        <w:rPr>
          <w:rFonts w:ascii="Times New Roman" w:hAnsi="Times New Roman"/>
          <w:sz w:val="24"/>
        </w:rPr>
        <w:t>本项目土壤环境影响评价项目类别为III类</w:t>
      </w:r>
      <w:r>
        <w:rPr>
          <w:rFonts w:hint="eastAsia" w:ascii="Times New Roman" w:hAnsi="Times New Roman"/>
          <w:sz w:val="24"/>
        </w:rPr>
        <w:t>，属于污染影响类项目。</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rPr>
        <w:t>环境敏感程度</w:t>
      </w:r>
    </w:p>
    <w:p>
      <w:pPr>
        <w:adjustRightInd w:val="0"/>
        <w:snapToGrid w:val="0"/>
        <w:spacing w:line="540" w:lineRule="exact"/>
        <w:ind w:firstLine="480" w:firstLineChars="200"/>
        <w:rPr>
          <w:rFonts w:ascii="Times New Roman" w:hAnsi="Times New Roman"/>
          <w:bCs/>
          <w:sz w:val="24"/>
        </w:rPr>
      </w:pPr>
      <w:r>
        <w:rPr>
          <w:rFonts w:ascii="Times New Roman" w:hAnsi="Times New Roman"/>
          <w:sz w:val="24"/>
        </w:rPr>
        <w:t>建设项目所在地周边的土壤环境敏感程度分为敏感、较敏感、不敏感，判别依据见表1.5-1</w:t>
      </w:r>
      <w:r>
        <w:rPr>
          <w:rFonts w:hint="eastAsia" w:ascii="Times New Roman" w:hAnsi="Times New Roman"/>
          <w:sz w:val="24"/>
        </w:rPr>
        <w:t>5</w:t>
      </w:r>
      <w:r>
        <w:rPr>
          <w:rFonts w:ascii="Times New Roman" w:hAnsi="Times New Roman"/>
          <w:sz w:val="24"/>
        </w:rPr>
        <w:t>。</w:t>
      </w:r>
    </w:p>
    <w:p>
      <w:pPr>
        <w:widowControl/>
        <w:ind w:firstLine="481" w:firstLineChars="20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w:t>
      </w:r>
      <w:r>
        <w:rPr>
          <w:rFonts w:ascii="Times New Roman" w:hAnsi="Times New Roman"/>
          <w:b/>
          <w:sz w:val="24"/>
        </w:rPr>
        <w:t>.5-1</w:t>
      </w:r>
      <w:r>
        <w:rPr>
          <w:rFonts w:hint="eastAsia" w:ascii="Times New Roman" w:hAnsi="Times New Roman"/>
          <w:b/>
          <w:sz w:val="24"/>
        </w:rPr>
        <w:t>5</w:t>
      </w:r>
      <w:r>
        <w:rPr>
          <w:rFonts w:ascii="Times New Roman" w:hAnsi="Times New Roman"/>
          <w:b/>
          <w:sz w:val="24"/>
        </w:rPr>
        <w:t xml:space="preserve">   污染影响型敏感程度分级表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03"/>
        <w:gridCol w:w="75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3" w:type="dxa"/>
            <w:vAlign w:val="center"/>
          </w:tcPr>
          <w:p>
            <w:pPr>
              <w:snapToGrid w:val="0"/>
              <w:jc w:val="center"/>
              <w:rPr>
                <w:rFonts w:ascii="Times New Roman" w:hAnsi="Times New Roman"/>
                <w:b/>
                <w:bCs w:val="0"/>
                <w:szCs w:val="21"/>
              </w:rPr>
            </w:pPr>
            <w:r>
              <w:rPr>
                <w:rFonts w:ascii="Times New Roman" w:hAnsi="Times New Roman"/>
                <w:b/>
                <w:bCs w:val="0"/>
                <w:szCs w:val="21"/>
              </w:rPr>
              <w:t>敏感程度</w:t>
            </w:r>
          </w:p>
        </w:tc>
        <w:tc>
          <w:tcPr>
            <w:tcW w:w="7568" w:type="dxa"/>
            <w:vAlign w:val="center"/>
          </w:tcPr>
          <w:p>
            <w:pPr>
              <w:snapToGrid w:val="0"/>
              <w:jc w:val="center"/>
              <w:rPr>
                <w:rFonts w:ascii="Times New Roman" w:hAnsi="Times New Roman"/>
                <w:b/>
                <w:bCs w:val="0"/>
                <w:szCs w:val="21"/>
              </w:rPr>
            </w:pPr>
            <w:r>
              <w:rPr>
                <w:rFonts w:ascii="Times New Roman" w:hAnsi="Times New Roman"/>
                <w:b/>
                <w:bCs w:val="0"/>
                <w:szCs w:val="21"/>
              </w:rPr>
              <w:t>判别依据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3" w:type="dxa"/>
            <w:vAlign w:val="center"/>
          </w:tcPr>
          <w:p>
            <w:pPr>
              <w:snapToGrid w:val="0"/>
              <w:jc w:val="center"/>
              <w:rPr>
                <w:rFonts w:ascii="Times New Roman" w:hAnsi="Times New Roman"/>
                <w:szCs w:val="21"/>
              </w:rPr>
            </w:pPr>
            <w:r>
              <w:rPr>
                <w:rFonts w:ascii="Times New Roman" w:hAnsi="Times New Roman"/>
                <w:szCs w:val="21"/>
              </w:rPr>
              <w:t>敏感</w:t>
            </w:r>
          </w:p>
        </w:tc>
        <w:tc>
          <w:tcPr>
            <w:tcW w:w="7568" w:type="dxa"/>
            <w:vAlign w:val="center"/>
          </w:tcPr>
          <w:p>
            <w:pPr>
              <w:snapToGrid w:val="0"/>
              <w:rPr>
                <w:rFonts w:ascii="Times New Roman" w:hAnsi="Times New Roman"/>
                <w:szCs w:val="21"/>
              </w:rPr>
            </w:pPr>
            <w:r>
              <w:rPr>
                <w:rFonts w:ascii="Times New Roman" w:hAnsi="Times New Roman"/>
                <w:szCs w:val="21"/>
              </w:rPr>
              <w:t>建设项目周边存在耕地、园地、牧草地、饮用水水源地或居民区、学校、疗养院、养老院等土壤环境敏感目标的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3" w:type="dxa"/>
            <w:vAlign w:val="center"/>
          </w:tcPr>
          <w:p>
            <w:pPr>
              <w:snapToGrid w:val="0"/>
              <w:jc w:val="center"/>
              <w:rPr>
                <w:rFonts w:ascii="Times New Roman" w:hAnsi="Times New Roman"/>
                <w:szCs w:val="21"/>
              </w:rPr>
            </w:pPr>
            <w:r>
              <w:rPr>
                <w:rFonts w:ascii="Times New Roman" w:hAnsi="Times New Roman"/>
                <w:szCs w:val="21"/>
              </w:rPr>
              <w:t>较敏感</w:t>
            </w:r>
          </w:p>
        </w:tc>
        <w:tc>
          <w:tcPr>
            <w:tcW w:w="7568" w:type="dxa"/>
            <w:vAlign w:val="center"/>
          </w:tcPr>
          <w:p>
            <w:pPr>
              <w:snapToGrid w:val="0"/>
              <w:rPr>
                <w:rFonts w:ascii="Times New Roman" w:hAnsi="Times New Roman"/>
                <w:szCs w:val="21"/>
              </w:rPr>
            </w:pPr>
            <w:r>
              <w:rPr>
                <w:rFonts w:ascii="Times New Roman" w:hAnsi="Times New Roman"/>
                <w:szCs w:val="21"/>
              </w:rPr>
              <w:t>建设项目周边存在其他土壤环境敏感目标的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3" w:type="dxa"/>
            <w:vAlign w:val="center"/>
          </w:tcPr>
          <w:p>
            <w:pPr>
              <w:snapToGrid w:val="0"/>
              <w:jc w:val="center"/>
              <w:rPr>
                <w:rFonts w:ascii="Times New Roman" w:hAnsi="Times New Roman"/>
                <w:szCs w:val="21"/>
              </w:rPr>
            </w:pPr>
            <w:r>
              <w:rPr>
                <w:rFonts w:ascii="Times New Roman" w:hAnsi="Times New Roman"/>
                <w:szCs w:val="21"/>
              </w:rPr>
              <w:t>不敏感</w:t>
            </w:r>
          </w:p>
        </w:tc>
        <w:tc>
          <w:tcPr>
            <w:tcW w:w="7568" w:type="dxa"/>
            <w:vAlign w:val="center"/>
          </w:tcPr>
          <w:p>
            <w:pPr>
              <w:snapToGrid w:val="0"/>
              <w:rPr>
                <w:rFonts w:ascii="Times New Roman" w:hAnsi="Times New Roman"/>
                <w:szCs w:val="21"/>
              </w:rPr>
            </w:pPr>
            <w:r>
              <w:rPr>
                <w:rFonts w:ascii="Times New Roman" w:hAnsi="Times New Roman"/>
                <w:szCs w:val="21"/>
              </w:rPr>
              <w:t>其他情况</w:t>
            </w:r>
          </w:p>
        </w:tc>
      </w:tr>
    </w:tbl>
    <w:p>
      <w:pPr>
        <w:adjustRightInd w:val="0"/>
        <w:snapToGrid w:val="0"/>
        <w:spacing w:before="120" w:beforeLines="50" w:line="360" w:lineRule="auto"/>
        <w:ind w:firstLine="480" w:firstLineChars="200"/>
        <w:rPr>
          <w:rFonts w:ascii="Times New Roman" w:hAnsi="Times New Roman"/>
          <w:sz w:val="24"/>
          <w:szCs w:val="32"/>
        </w:rPr>
      </w:pPr>
      <w:r>
        <w:rPr>
          <w:rFonts w:ascii="Times New Roman" w:hAnsi="Times New Roman"/>
          <w:sz w:val="24"/>
        </w:rPr>
        <w:t>项目位于</w:t>
      </w:r>
      <w:r>
        <w:rPr>
          <w:rFonts w:hint="eastAsia" w:ascii="Times New Roman" w:hAnsi="Times New Roman"/>
          <w:kern w:val="0"/>
          <w:sz w:val="24"/>
          <w:szCs w:val="20"/>
        </w:rPr>
        <w:t>固原市隆德县神林乡神林村</w:t>
      </w:r>
      <w:r>
        <w:rPr>
          <w:rFonts w:ascii="Times New Roman" w:hAnsi="Times New Roman"/>
          <w:sz w:val="24"/>
        </w:rPr>
        <w:t>，本项目周边</w:t>
      </w:r>
      <w:r>
        <w:rPr>
          <w:rFonts w:hint="eastAsia" w:ascii="Times New Roman" w:hAnsi="Times New Roman"/>
          <w:sz w:val="24"/>
        </w:rPr>
        <w:t>存在耕地及</w:t>
      </w:r>
      <w:r>
        <w:rPr>
          <w:rFonts w:ascii="Times New Roman" w:hAnsi="Times New Roman"/>
          <w:sz w:val="24"/>
        </w:rPr>
        <w:t>牧草地，土壤环境敏感程度为“敏感”。</w:t>
      </w:r>
    </w:p>
    <w:p>
      <w:pPr>
        <w:adjustRightInd w:val="0"/>
        <w:snapToGrid w:val="0"/>
        <w:spacing w:line="360" w:lineRule="auto"/>
        <w:ind w:firstLine="480" w:firstLineChars="200"/>
        <w:rPr>
          <w:rFonts w:ascii="Times New Roman" w:hAnsi="Times New Roman"/>
          <w:sz w:val="24"/>
          <w:szCs w:val="32"/>
        </w:rPr>
      </w:pPr>
      <w:r>
        <w:rPr>
          <w:rFonts w:ascii="Times New Roman" w:hAnsi="Times New Roman"/>
          <w:sz w:val="24"/>
          <w:szCs w:val="32"/>
        </w:rPr>
        <w:t>⑵评价工作等级</w:t>
      </w:r>
    </w:p>
    <w:p>
      <w:pPr>
        <w:adjustRightInd w:val="0"/>
        <w:snapToGrid w:val="0"/>
        <w:spacing w:line="360" w:lineRule="auto"/>
        <w:ind w:firstLine="480" w:firstLineChars="200"/>
        <w:rPr>
          <w:rFonts w:ascii="Times New Roman" w:hAnsi="Times New Roman"/>
          <w:sz w:val="24"/>
          <w:szCs w:val="32"/>
        </w:rPr>
      </w:pPr>
      <w:r>
        <w:rPr>
          <w:rFonts w:ascii="Times New Roman" w:hAnsi="Times New Roman"/>
          <w:sz w:val="24"/>
          <w:szCs w:val="32"/>
        </w:rPr>
        <w:t>根据《环境影响评级技术导则 土壤环境（试行）》（HJ964-2018），将建设项目占地规模分为大型（≥50hm</w:t>
      </w:r>
      <w:r>
        <w:rPr>
          <w:rFonts w:ascii="Times New Roman" w:hAnsi="Times New Roman"/>
          <w:sz w:val="24"/>
          <w:szCs w:val="32"/>
          <w:vertAlign w:val="superscript"/>
        </w:rPr>
        <w:t>2</w:t>
      </w:r>
      <w:r>
        <w:rPr>
          <w:rFonts w:ascii="Times New Roman" w:hAnsi="Times New Roman"/>
          <w:sz w:val="24"/>
          <w:szCs w:val="32"/>
        </w:rPr>
        <w:t>）、中型（5~50hm</w:t>
      </w:r>
      <w:r>
        <w:rPr>
          <w:rFonts w:ascii="Times New Roman" w:hAnsi="Times New Roman"/>
          <w:sz w:val="24"/>
          <w:szCs w:val="32"/>
          <w:vertAlign w:val="superscript"/>
        </w:rPr>
        <w:t>2</w:t>
      </w:r>
      <w:r>
        <w:rPr>
          <w:rFonts w:ascii="Times New Roman" w:hAnsi="Times New Roman"/>
          <w:sz w:val="24"/>
          <w:szCs w:val="32"/>
        </w:rPr>
        <w:t>）、小型（≤5hm</w:t>
      </w:r>
      <w:r>
        <w:rPr>
          <w:rFonts w:ascii="Times New Roman" w:hAnsi="Times New Roman"/>
          <w:sz w:val="24"/>
          <w:szCs w:val="32"/>
          <w:vertAlign w:val="superscript"/>
        </w:rPr>
        <w:t>2</w:t>
      </w:r>
      <w:r>
        <w:rPr>
          <w:rFonts w:ascii="Times New Roman" w:hAnsi="Times New Roman"/>
          <w:sz w:val="24"/>
          <w:szCs w:val="32"/>
        </w:rPr>
        <w:t>），本项目建设面积为</w:t>
      </w:r>
      <w:r>
        <w:rPr>
          <w:rFonts w:hint="eastAsia" w:ascii="Times New Roman" w:hAnsi="Times New Roman"/>
          <w:sz w:val="24"/>
          <w:szCs w:val="32"/>
        </w:rPr>
        <w:t>31432.4</w:t>
      </w:r>
      <w:r>
        <w:rPr>
          <w:rFonts w:ascii="Times New Roman" w:hAnsi="Times New Roman"/>
          <w:sz w:val="24"/>
          <w:szCs w:val="32"/>
        </w:rPr>
        <w:t>m</w:t>
      </w:r>
      <w:r>
        <w:rPr>
          <w:rFonts w:ascii="Times New Roman" w:hAnsi="Times New Roman"/>
          <w:sz w:val="24"/>
          <w:szCs w:val="32"/>
          <w:vertAlign w:val="superscript"/>
        </w:rPr>
        <w:t>2</w:t>
      </w:r>
      <w:r>
        <w:rPr>
          <w:rFonts w:ascii="Times New Roman" w:hAnsi="Times New Roman"/>
          <w:sz w:val="24"/>
          <w:szCs w:val="32"/>
        </w:rPr>
        <w:t>，因此确定本项目占地为</w:t>
      </w:r>
      <w:r>
        <w:rPr>
          <w:rFonts w:hint="eastAsia" w:ascii="Times New Roman" w:hAnsi="Times New Roman"/>
          <w:sz w:val="24"/>
          <w:szCs w:val="32"/>
        </w:rPr>
        <w:t>小</w:t>
      </w:r>
      <w:r>
        <w:rPr>
          <w:rFonts w:ascii="Times New Roman" w:hAnsi="Times New Roman"/>
          <w:sz w:val="24"/>
          <w:szCs w:val="32"/>
        </w:rPr>
        <w:t>型。</w:t>
      </w:r>
    </w:p>
    <w:p>
      <w:pPr>
        <w:pStyle w:val="26"/>
        <w:spacing w:after="0" w:line="240" w:lineRule="auto"/>
        <w:jc w:val="center"/>
        <w:rPr>
          <w:sz w:val="24"/>
          <w:szCs w:val="32"/>
        </w:rPr>
      </w:pPr>
      <w:r>
        <w:rPr>
          <w:rFonts w:hint="eastAsia"/>
          <w:sz w:val="24"/>
          <w:szCs w:val="32"/>
          <w:lang w:val="en-US" w:eastAsia="zh-CN"/>
        </w:rPr>
        <w:t xml:space="preserve">   </w:t>
      </w:r>
      <w:r>
        <w:rPr>
          <w:sz w:val="24"/>
          <w:szCs w:val="32"/>
        </w:rPr>
        <w:t>根据土壤环境评价项目类别、占地规模与敏感程度划分评价工作等级详见表1.5-1</w:t>
      </w:r>
      <w:r>
        <w:rPr>
          <w:rFonts w:hint="eastAsia"/>
          <w:sz w:val="24"/>
          <w:szCs w:val="32"/>
        </w:rPr>
        <w:t>6</w:t>
      </w:r>
      <w:r>
        <w:rPr>
          <w:sz w:val="24"/>
          <w:szCs w:val="32"/>
        </w:rPr>
        <w:t>。</w:t>
      </w:r>
    </w:p>
    <w:p>
      <w:pPr>
        <w:pStyle w:val="26"/>
        <w:spacing w:before="120" w:beforeLines="50" w:after="0" w:line="240" w:lineRule="auto"/>
        <w:ind w:firstLine="602" w:firstLineChars="250"/>
        <w:rPr>
          <w:b/>
          <w:sz w:val="24"/>
        </w:rPr>
      </w:pPr>
      <w:r>
        <w:rPr>
          <w:b/>
          <w:bCs/>
          <w:sz w:val="24"/>
        </w:rPr>
        <w:t>表</w:t>
      </w:r>
      <w:r>
        <w:rPr>
          <w:rFonts w:hint="eastAsia"/>
          <w:b/>
          <w:sz w:val="24"/>
        </w:rPr>
        <w:t>1</w:t>
      </w:r>
      <w:r>
        <w:rPr>
          <w:b/>
          <w:sz w:val="24"/>
        </w:rPr>
        <w:t>.5-1</w:t>
      </w:r>
      <w:r>
        <w:rPr>
          <w:rFonts w:hint="eastAsia"/>
          <w:b/>
          <w:sz w:val="24"/>
        </w:rPr>
        <w:t>6</w:t>
      </w:r>
      <w:r>
        <w:rPr>
          <w:b/>
          <w:sz w:val="24"/>
        </w:rPr>
        <w:t xml:space="preserve">           污染影响类土壤评价工作等级划分表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200"/>
        <w:gridCol w:w="905"/>
        <w:gridCol w:w="697"/>
        <w:gridCol w:w="751"/>
        <w:gridCol w:w="752"/>
        <w:gridCol w:w="696"/>
        <w:gridCol w:w="878"/>
        <w:gridCol w:w="697"/>
        <w:gridCol w:w="738"/>
        <w:gridCol w:w="75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99" w:hRule="atLeast"/>
          <w:jc w:val="center"/>
        </w:trPr>
        <w:tc>
          <w:tcPr>
            <w:tcW w:w="2284" w:type="dxa"/>
            <w:vMerge w:val="restart"/>
            <w:vAlign w:val="center"/>
          </w:tcPr>
          <w:p>
            <w:pPr>
              <w:snapToGrid w:val="0"/>
              <w:jc w:val="center"/>
              <w:rPr>
                <w:rFonts w:ascii="Times New Roman" w:hAnsi="Times New Roman" w:cs="Calibri"/>
                <w:b/>
                <w:bCs/>
                <w:color w:val="000000"/>
                <w:szCs w:val="21"/>
              </w:rPr>
            </w:pPr>
            <w:r>
              <w:rPr>
                <w:rFonts w:hint="eastAsia" w:ascii="Times New Roman" w:hAnsi="Times New Roman" w:cs="Calibri"/>
                <w:b/>
                <w:bCs/>
                <w:color w:val="000000"/>
                <w:szCs w:val="21"/>
              </w:rPr>
              <w:t>敏感程度</w:t>
            </w:r>
          </w:p>
          <w:p>
            <w:pPr>
              <w:snapToGrid w:val="0"/>
              <w:ind w:firstLine="421" w:firstLineChars="200"/>
              <w:jc w:val="center"/>
              <w:rPr>
                <w:rFonts w:ascii="Times New Roman" w:hAnsi="Times New Roman" w:cs="Calibri"/>
                <w:b/>
                <w:bCs/>
                <w:color w:val="000000"/>
                <w:szCs w:val="21"/>
              </w:rPr>
            </w:pPr>
            <w:r>
              <w:rPr>
                <w:rFonts w:hint="eastAsia" w:ascii="Times New Roman" w:hAnsi="Times New Roman" w:cs="Calibri"/>
                <w:b/>
                <w:bCs/>
                <w:color w:val="000000"/>
                <w:szCs w:val="21"/>
              </w:rPr>
              <w:t>评价工作等级</w:t>
            </w:r>
          </w:p>
          <w:p>
            <w:pPr>
              <w:jc w:val="center"/>
              <w:rPr>
                <w:rFonts w:ascii="Times New Roman" w:hAnsi="Times New Roman" w:cs="Calibri"/>
                <w:b/>
                <w:bCs/>
                <w:color w:val="000000"/>
                <w:szCs w:val="21"/>
              </w:rPr>
            </w:pPr>
            <w:r>
              <w:rPr>
                <w:rFonts w:hint="eastAsia" w:ascii="Times New Roman" w:hAnsi="Times New Roman" w:cs="Calibri"/>
                <w:b/>
                <w:bCs/>
                <w:color w:val="000000"/>
                <w:szCs w:val="21"/>
              </w:rPr>
              <w:t>占地规模</w:t>
            </w:r>
          </w:p>
        </w:tc>
        <w:tc>
          <w:tcPr>
            <w:tcW w:w="2422" w:type="dxa"/>
            <w:gridSpan w:val="3"/>
            <w:vAlign w:val="center"/>
          </w:tcPr>
          <w:p>
            <w:pPr>
              <w:jc w:val="center"/>
              <w:rPr>
                <w:rFonts w:ascii="Times New Roman" w:hAnsi="Times New Roman" w:cs="Calibri"/>
                <w:b/>
                <w:bCs/>
                <w:color w:val="000000"/>
                <w:szCs w:val="21"/>
              </w:rPr>
            </w:pPr>
            <w:r>
              <w:rPr>
                <w:rFonts w:ascii="Times New Roman" w:hAnsi="Times New Roman" w:cs="Calibri"/>
                <w:b/>
                <w:bCs/>
                <w:color w:val="000000"/>
                <w:szCs w:val="21"/>
              </w:rPr>
              <w:t>Ⅰ</w:t>
            </w:r>
            <w:r>
              <w:rPr>
                <w:rFonts w:hint="eastAsia" w:ascii="Times New Roman" w:hAnsi="Times New Roman" w:cs="Calibri"/>
                <w:b/>
                <w:bCs/>
                <w:color w:val="000000"/>
                <w:szCs w:val="21"/>
              </w:rPr>
              <w:t>类</w:t>
            </w:r>
          </w:p>
        </w:tc>
        <w:tc>
          <w:tcPr>
            <w:tcW w:w="2394" w:type="dxa"/>
            <w:gridSpan w:val="3"/>
            <w:vAlign w:val="center"/>
          </w:tcPr>
          <w:p>
            <w:pPr>
              <w:jc w:val="center"/>
              <w:rPr>
                <w:rFonts w:ascii="Times New Roman" w:hAnsi="Times New Roman" w:cs="Calibri"/>
                <w:b/>
                <w:bCs/>
                <w:color w:val="000000"/>
                <w:szCs w:val="21"/>
              </w:rPr>
            </w:pPr>
            <w:r>
              <w:rPr>
                <w:rFonts w:ascii="Times New Roman" w:hAnsi="Times New Roman" w:cs="Calibri"/>
                <w:b/>
                <w:bCs/>
                <w:color w:val="000000"/>
                <w:szCs w:val="21"/>
              </w:rPr>
              <w:t>Ⅱ</w:t>
            </w:r>
            <w:r>
              <w:rPr>
                <w:rFonts w:hint="eastAsia" w:ascii="Times New Roman" w:hAnsi="Times New Roman" w:cs="Calibri"/>
                <w:b/>
                <w:bCs/>
                <w:color w:val="000000"/>
                <w:szCs w:val="21"/>
              </w:rPr>
              <w:t>类</w:t>
            </w:r>
          </w:p>
        </w:tc>
        <w:tc>
          <w:tcPr>
            <w:tcW w:w="2254" w:type="dxa"/>
            <w:gridSpan w:val="3"/>
            <w:vAlign w:val="center"/>
          </w:tcPr>
          <w:p>
            <w:pPr>
              <w:jc w:val="center"/>
              <w:rPr>
                <w:rFonts w:ascii="Times New Roman" w:hAnsi="Times New Roman" w:cs="Calibri"/>
                <w:b/>
                <w:bCs/>
                <w:color w:val="000000"/>
                <w:szCs w:val="21"/>
              </w:rPr>
            </w:pPr>
            <w:r>
              <w:rPr>
                <w:rFonts w:ascii="Times New Roman" w:hAnsi="Times New Roman" w:cs="Calibri"/>
                <w:b/>
                <w:bCs/>
                <w:color w:val="000000"/>
                <w:szCs w:val="21"/>
              </w:rPr>
              <w:t>Ⅲ</w:t>
            </w:r>
            <w:r>
              <w:rPr>
                <w:rFonts w:hint="eastAsia" w:ascii="Times New Roman" w:hAnsi="Times New Roman" w:cs="Calibri"/>
                <w:b/>
                <w:bCs/>
                <w:color w:val="000000"/>
                <w:szCs w:val="21"/>
              </w:rPr>
              <w:t>类</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2" w:hRule="exact"/>
          <w:jc w:val="center"/>
        </w:trPr>
        <w:tc>
          <w:tcPr>
            <w:tcW w:w="2284" w:type="dxa"/>
            <w:vMerge w:val="continue"/>
            <w:vAlign w:val="center"/>
          </w:tcPr>
          <w:p>
            <w:pPr>
              <w:jc w:val="center"/>
              <w:rPr>
                <w:rFonts w:ascii="Times New Roman" w:hAnsi="Times New Roman" w:cs="Calibri"/>
                <w:b/>
                <w:bCs/>
                <w:color w:val="000000"/>
                <w:szCs w:val="21"/>
              </w:rPr>
            </w:pPr>
          </w:p>
        </w:tc>
        <w:tc>
          <w:tcPr>
            <w:tcW w:w="933" w:type="dxa"/>
            <w:vAlign w:val="center"/>
          </w:tcPr>
          <w:p>
            <w:pPr>
              <w:jc w:val="center"/>
              <w:rPr>
                <w:rFonts w:ascii="Times New Roman" w:hAnsi="Times New Roman" w:cs="Calibri"/>
                <w:b/>
                <w:bCs/>
                <w:color w:val="000000"/>
                <w:szCs w:val="21"/>
              </w:rPr>
            </w:pPr>
            <w:r>
              <w:rPr>
                <w:rFonts w:hint="eastAsia" w:ascii="Times New Roman" w:hAnsi="Times New Roman" w:cs="Calibri"/>
                <w:b/>
                <w:bCs/>
                <w:color w:val="000000"/>
                <w:szCs w:val="21"/>
              </w:rPr>
              <w:t>大</w:t>
            </w:r>
          </w:p>
        </w:tc>
        <w:tc>
          <w:tcPr>
            <w:tcW w:w="716" w:type="dxa"/>
            <w:vAlign w:val="center"/>
          </w:tcPr>
          <w:p>
            <w:pPr>
              <w:jc w:val="center"/>
              <w:rPr>
                <w:rFonts w:ascii="Times New Roman" w:hAnsi="Times New Roman" w:cs="Calibri"/>
                <w:b/>
                <w:bCs/>
                <w:color w:val="000000"/>
                <w:szCs w:val="21"/>
              </w:rPr>
            </w:pPr>
            <w:r>
              <w:rPr>
                <w:rFonts w:hint="eastAsia" w:ascii="Times New Roman" w:hAnsi="Times New Roman" w:cs="Calibri"/>
                <w:b/>
                <w:bCs/>
                <w:color w:val="000000"/>
                <w:szCs w:val="21"/>
              </w:rPr>
              <w:t>中</w:t>
            </w:r>
          </w:p>
        </w:tc>
        <w:tc>
          <w:tcPr>
            <w:tcW w:w="773" w:type="dxa"/>
            <w:vAlign w:val="center"/>
          </w:tcPr>
          <w:p>
            <w:pPr>
              <w:jc w:val="center"/>
              <w:rPr>
                <w:rFonts w:ascii="Times New Roman" w:hAnsi="Times New Roman" w:cs="Calibri"/>
                <w:b/>
                <w:bCs/>
                <w:color w:val="000000"/>
                <w:szCs w:val="21"/>
              </w:rPr>
            </w:pPr>
            <w:r>
              <w:rPr>
                <w:rFonts w:hint="eastAsia" w:ascii="Times New Roman" w:hAnsi="Times New Roman" w:cs="Calibri"/>
                <w:b/>
                <w:bCs/>
                <w:color w:val="000000"/>
                <w:szCs w:val="21"/>
              </w:rPr>
              <w:t>小</w:t>
            </w:r>
          </w:p>
        </w:tc>
        <w:tc>
          <w:tcPr>
            <w:tcW w:w="774" w:type="dxa"/>
            <w:vAlign w:val="center"/>
          </w:tcPr>
          <w:p>
            <w:pPr>
              <w:jc w:val="center"/>
              <w:rPr>
                <w:rFonts w:ascii="Times New Roman" w:hAnsi="Times New Roman" w:cs="Calibri"/>
                <w:b/>
                <w:bCs/>
                <w:color w:val="000000"/>
                <w:szCs w:val="21"/>
              </w:rPr>
            </w:pPr>
            <w:r>
              <w:rPr>
                <w:rFonts w:hint="eastAsia" w:ascii="Times New Roman" w:hAnsi="Times New Roman" w:cs="Calibri"/>
                <w:b/>
                <w:bCs/>
                <w:color w:val="000000"/>
                <w:szCs w:val="21"/>
              </w:rPr>
              <w:t>大</w:t>
            </w:r>
          </w:p>
        </w:tc>
        <w:tc>
          <w:tcPr>
            <w:tcW w:w="715" w:type="dxa"/>
            <w:vAlign w:val="center"/>
          </w:tcPr>
          <w:p>
            <w:pPr>
              <w:jc w:val="center"/>
              <w:rPr>
                <w:rFonts w:ascii="Times New Roman" w:hAnsi="Times New Roman" w:cs="Calibri"/>
                <w:b/>
                <w:bCs/>
                <w:color w:val="000000"/>
                <w:szCs w:val="21"/>
              </w:rPr>
            </w:pPr>
            <w:r>
              <w:rPr>
                <w:rFonts w:hint="eastAsia" w:ascii="Times New Roman" w:hAnsi="Times New Roman" w:cs="Calibri"/>
                <w:b/>
                <w:bCs/>
                <w:color w:val="000000"/>
                <w:szCs w:val="21"/>
              </w:rPr>
              <w:t>中</w:t>
            </w:r>
          </w:p>
        </w:tc>
        <w:tc>
          <w:tcPr>
            <w:tcW w:w="905" w:type="dxa"/>
            <w:vAlign w:val="center"/>
          </w:tcPr>
          <w:p>
            <w:pPr>
              <w:jc w:val="center"/>
              <w:rPr>
                <w:rFonts w:ascii="Times New Roman" w:hAnsi="Times New Roman" w:cs="Calibri"/>
                <w:b/>
                <w:bCs/>
                <w:color w:val="000000"/>
                <w:szCs w:val="21"/>
              </w:rPr>
            </w:pPr>
            <w:r>
              <w:rPr>
                <w:rFonts w:hint="eastAsia" w:ascii="Times New Roman" w:hAnsi="Times New Roman" w:cs="Calibri"/>
                <w:b/>
                <w:bCs/>
                <w:color w:val="000000"/>
                <w:szCs w:val="21"/>
              </w:rPr>
              <w:t>小</w:t>
            </w:r>
          </w:p>
        </w:tc>
        <w:tc>
          <w:tcPr>
            <w:tcW w:w="716" w:type="dxa"/>
            <w:vAlign w:val="center"/>
          </w:tcPr>
          <w:p>
            <w:pPr>
              <w:jc w:val="center"/>
              <w:rPr>
                <w:rFonts w:ascii="Times New Roman" w:hAnsi="Times New Roman" w:cs="Calibri"/>
                <w:b/>
                <w:bCs/>
                <w:color w:val="000000"/>
                <w:szCs w:val="21"/>
              </w:rPr>
            </w:pPr>
            <w:r>
              <w:rPr>
                <w:rFonts w:hint="eastAsia" w:ascii="Times New Roman" w:hAnsi="Times New Roman" w:cs="Calibri"/>
                <w:b/>
                <w:bCs/>
                <w:color w:val="000000"/>
                <w:szCs w:val="21"/>
              </w:rPr>
              <w:t>大</w:t>
            </w:r>
          </w:p>
        </w:tc>
        <w:tc>
          <w:tcPr>
            <w:tcW w:w="759" w:type="dxa"/>
            <w:vAlign w:val="center"/>
          </w:tcPr>
          <w:p>
            <w:pPr>
              <w:jc w:val="center"/>
              <w:rPr>
                <w:rFonts w:ascii="Times New Roman" w:hAnsi="Times New Roman" w:cs="Calibri"/>
                <w:b/>
                <w:bCs/>
                <w:color w:val="000000"/>
                <w:szCs w:val="21"/>
              </w:rPr>
            </w:pPr>
            <w:r>
              <w:rPr>
                <w:rFonts w:hint="eastAsia" w:ascii="Times New Roman" w:hAnsi="Times New Roman" w:cs="Calibri"/>
                <w:b/>
                <w:bCs/>
                <w:color w:val="000000"/>
                <w:szCs w:val="21"/>
              </w:rPr>
              <w:t>中</w:t>
            </w:r>
          </w:p>
        </w:tc>
        <w:tc>
          <w:tcPr>
            <w:tcW w:w="779" w:type="dxa"/>
            <w:vAlign w:val="center"/>
          </w:tcPr>
          <w:p>
            <w:pPr>
              <w:jc w:val="center"/>
              <w:rPr>
                <w:rFonts w:ascii="Times New Roman" w:hAnsi="Times New Roman" w:cs="Calibri"/>
                <w:b/>
                <w:bCs/>
                <w:color w:val="000000"/>
                <w:szCs w:val="21"/>
              </w:rPr>
            </w:pPr>
            <w:r>
              <w:rPr>
                <w:rFonts w:hint="eastAsia" w:ascii="Times New Roman" w:hAnsi="Times New Roman" w:cs="Calibri"/>
                <w:b/>
                <w:bCs/>
                <w:color w:val="000000"/>
                <w:szCs w:val="21"/>
              </w:rPr>
              <w:t>小</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exact"/>
          <w:jc w:val="center"/>
        </w:trPr>
        <w:tc>
          <w:tcPr>
            <w:tcW w:w="2284"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敏感</w:t>
            </w:r>
          </w:p>
        </w:tc>
        <w:tc>
          <w:tcPr>
            <w:tcW w:w="933"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一级</w:t>
            </w:r>
          </w:p>
        </w:tc>
        <w:tc>
          <w:tcPr>
            <w:tcW w:w="716"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一级</w:t>
            </w:r>
          </w:p>
        </w:tc>
        <w:tc>
          <w:tcPr>
            <w:tcW w:w="773"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一级</w:t>
            </w:r>
          </w:p>
        </w:tc>
        <w:tc>
          <w:tcPr>
            <w:tcW w:w="774"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二级</w:t>
            </w:r>
          </w:p>
        </w:tc>
        <w:tc>
          <w:tcPr>
            <w:tcW w:w="715"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二级</w:t>
            </w:r>
          </w:p>
        </w:tc>
        <w:tc>
          <w:tcPr>
            <w:tcW w:w="905"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二级</w:t>
            </w:r>
          </w:p>
        </w:tc>
        <w:tc>
          <w:tcPr>
            <w:tcW w:w="716"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三级</w:t>
            </w:r>
          </w:p>
        </w:tc>
        <w:tc>
          <w:tcPr>
            <w:tcW w:w="759"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三级</w:t>
            </w:r>
          </w:p>
        </w:tc>
        <w:tc>
          <w:tcPr>
            <w:tcW w:w="779"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三级</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exact"/>
          <w:jc w:val="center"/>
        </w:trPr>
        <w:tc>
          <w:tcPr>
            <w:tcW w:w="2284"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较敏感</w:t>
            </w:r>
          </w:p>
        </w:tc>
        <w:tc>
          <w:tcPr>
            <w:tcW w:w="933"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一级</w:t>
            </w:r>
          </w:p>
        </w:tc>
        <w:tc>
          <w:tcPr>
            <w:tcW w:w="716"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一级</w:t>
            </w:r>
          </w:p>
        </w:tc>
        <w:tc>
          <w:tcPr>
            <w:tcW w:w="773"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二级</w:t>
            </w:r>
          </w:p>
        </w:tc>
        <w:tc>
          <w:tcPr>
            <w:tcW w:w="774"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二级</w:t>
            </w:r>
          </w:p>
        </w:tc>
        <w:tc>
          <w:tcPr>
            <w:tcW w:w="715"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二级</w:t>
            </w:r>
          </w:p>
        </w:tc>
        <w:tc>
          <w:tcPr>
            <w:tcW w:w="905"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三级</w:t>
            </w:r>
          </w:p>
        </w:tc>
        <w:tc>
          <w:tcPr>
            <w:tcW w:w="716"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三级</w:t>
            </w:r>
          </w:p>
        </w:tc>
        <w:tc>
          <w:tcPr>
            <w:tcW w:w="759"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三级</w:t>
            </w:r>
          </w:p>
        </w:tc>
        <w:tc>
          <w:tcPr>
            <w:tcW w:w="779"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exact"/>
          <w:jc w:val="center"/>
        </w:trPr>
        <w:tc>
          <w:tcPr>
            <w:tcW w:w="2284"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不敏感</w:t>
            </w:r>
          </w:p>
        </w:tc>
        <w:tc>
          <w:tcPr>
            <w:tcW w:w="933"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一级</w:t>
            </w:r>
          </w:p>
        </w:tc>
        <w:tc>
          <w:tcPr>
            <w:tcW w:w="716"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二级</w:t>
            </w:r>
          </w:p>
        </w:tc>
        <w:tc>
          <w:tcPr>
            <w:tcW w:w="773"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二级</w:t>
            </w:r>
          </w:p>
        </w:tc>
        <w:tc>
          <w:tcPr>
            <w:tcW w:w="774"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二级</w:t>
            </w:r>
          </w:p>
        </w:tc>
        <w:tc>
          <w:tcPr>
            <w:tcW w:w="715"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三级</w:t>
            </w:r>
          </w:p>
        </w:tc>
        <w:tc>
          <w:tcPr>
            <w:tcW w:w="905"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三级</w:t>
            </w:r>
          </w:p>
        </w:tc>
        <w:tc>
          <w:tcPr>
            <w:tcW w:w="716"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三级</w:t>
            </w:r>
          </w:p>
        </w:tc>
        <w:tc>
          <w:tcPr>
            <w:tcW w:w="759"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w:t>
            </w:r>
          </w:p>
        </w:tc>
        <w:tc>
          <w:tcPr>
            <w:tcW w:w="779" w:type="dxa"/>
            <w:vAlign w:val="center"/>
          </w:tcPr>
          <w:p>
            <w:pPr>
              <w:jc w:val="center"/>
              <w:rPr>
                <w:rFonts w:ascii="Times New Roman" w:hAnsi="Times New Roman" w:cs="Calibri"/>
                <w:color w:val="000000"/>
                <w:szCs w:val="21"/>
              </w:rPr>
            </w:pPr>
            <w:r>
              <w:rPr>
                <w:rFonts w:hint="eastAsia" w:ascii="Times New Roman" w:hAnsi="Times New Roman" w:cs="Calibri"/>
                <w:color w:val="000000"/>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exact"/>
          <w:jc w:val="center"/>
        </w:trPr>
        <w:tc>
          <w:tcPr>
            <w:tcW w:w="9354" w:type="dxa"/>
            <w:gridSpan w:val="10"/>
            <w:vAlign w:val="center"/>
          </w:tcPr>
          <w:p>
            <w:pPr>
              <w:jc w:val="left"/>
              <w:rPr>
                <w:rFonts w:ascii="Times New Roman" w:hAnsi="Times New Roman" w:cs="Calibri"/>
                <w:color w:val="000000"/>
                <w:szCs w:val="21"/>
              </w:rPr>
            </w:pPr>
            <w:r>
              <w:rPr>
                <w:rFonts w:hint="eastAsia" w:ascii="Times New Roman" w:hAnsi="Times New Roman" w:cs="Calibri"/>
                <w:color w:val="000000"/>
                <w:szCs w:val="21"/>
              </w:rPr>
              <w:t>注：“-”表示可不开展土壤环境评价工作。</w:t>
            </w:r>
          </w:p>
        </w:tc>
      </w:tr>
    </w:tbl>
    <w:p>
      <w:pPr>
        <w:pStyle w:val="26"/>
        <w:spacing w:after="0" w:line="240" w:lineRule="auto"/>
        <w:ind w:firstLine="480" w:firstLineChars="200"/>
        <w:rPr>
          <w:sz w:val="24"/>
          <w:szCs w:val="32"/>
        </w:rPr>
      </w:pPr>
      <w:r>
        <w:rPr>
          <w:sz w:val="24"/>
          <w:szCs w:val="32"/>
        </w:rPr>
        <w:t>根据污染影响类土壤评价工作等级划分表本项目土壤评价工作等级见表</w:t>
      </w:r>
      <w:r>
        <w:rPr>
          <w:rFonts w:hint="eastAsia"/>
          <w:sz w:val="24"/>
          <w:szCs w:val="32"/>
        </w:rPr>
        <w:t>1</w:t>
      </w:r>
      <w:r>
        <w:rPr>
          <w:sz w:val="24"/>
          <w:szCs w:val="32"/>
        </w:rPr>
        <w:t>.5-1</w:t>
      </w:r>
      <w:r>
        <w:rPr>
          <w:rFonts w:hint="eastAsia"/>
          <w:sz w:val="24"/>
          <w:szCs w:val="32"/>
        </w:rPr>
        <w:t>7。</w:t>
      </w:r>
    </w:p>
    <w:p>
      <w:pPr>
        <w:pStyle w:val="26"/>
        <w:spacing w:before="240" w:beforeLines="100" w:after="0" w:line="240" w:lineRule="auto"/>
        <w:ind w:firstLine="602" w:firstLineChars="250"/>
        <w:rPr>
          <w:rFonts w:ascii="宋体" w:hAnsi="宋体" w:cs="宋体"/>
          <w:b/>
          <w:bCs/>
          <w:sz w:val="24"/>
        </w:rPr>
      </w:pPr>
      <w:r>
        <w:rPr>
          <w:b/>
          <w:bCs/>
          <w:sz w:val="24"/>
        </w:rPr>
        <w:t xml:space="preserve">表1.5-17  </w:t>
      </w:r>
      <w:r>
        <w:rPr>
          <w:rFonts w:ascii="宋体" w:hAnsi="宋体" w:cs="宋体"/>
          <w:b/>
          <w:bCs/>
          <w:sz w:val="24"/>
        </w:rPr>
        <w:t xml:space="preserve">           本项目土壤环境评价工作等级</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67"/>
        <w:gridCol w:w="2267"/>
        <w:gridCol w:w="2267"/>
        <w:gridCol w:w="22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37" w:type="dxa"/>
            <w:vAlign w:val="center"/>
          </w:tcPr>
          <w:p>
            <w:pPr>
              <w:pStyle w:val="27"/>
              <w:snapToGrid w:val="0"/>
              <w:jc w:val="center"/>
              <w:rPr>
                <w:rFonts w:ascii="Times New Roman" w:hAnsi="Times New Roman"/>
                <w:b/>
                <w:sz w:val="21"/>
                <w:szCs w:val="21"/>
              </w:rPr>
            </w:pPr>
            <w:r>
              <w:rPr>
                <w:rFonts w:ascii="Times New Roman" w:hAnsi="Times New Roman"/>
                <w:b/>
                <w:sz w:val="21"/>
                <w:szCs w:val="21"/>
              </w:rPr>
              <w:t>项目类别</w:t>
            </w:r>
          </w:p>
        </w:tc>
        <w:tc>
          <w:tcPr>
            <w:tcW w:w="2338" w:type="dxa"/>
            <w:vAlign w:val="center"/>
          </w:tcPr>
          <w:p>
            <w:pPr>
              <w:pStyle w:val="27"/>
              <w:snapToGrid w:val="0"/>
              <w:jc w:val="center"/>
              <w:rPr>
                <w:rFonts w:ascii="Times New Roman" w:hAnsi="Times New Roman"/>
                <w:b/>
                <w:sz w:val="21"/>
                <w:szCs w:val="21"/>
              </w:rPr>
            </w:pPr>
            <w:r>
              <w:rPr>
                <w:rFonts w:ascii="Times New Roman" w:hAnsi="Times New Roman"/>
                <w:b/>
                <w:sz w:val="21"/>
                <w:szCs w:val="21"/>
              </w:rPr>
              <w:t>环境敏感程度</w:t>
            </w:r>
          </w:p>
        </w:tc>
        <w:tc>
          <w:tcPr>
            <w:tcW w:w="2338" w:type="dxa"/>
            <w:vAlign w:val="center"/>
          </w:tcPr>
          <w:p>
            <w:pPr>
              <w:pStyle w:val="27"/>
              <w:snapToGrid w:val="0"/>
              <w:jc w:val="center"/>
              <w:rPr>
                <w:rFonts w:ascii="Times New Roman" w:hAnsi="Times New Roman"/>
                <w:b/>
                <w:sz w:val="21"/>
                <w:szCs w:val="21"/>
              </w:rPr>
            </w:pPr>
            <w:r>
              <w:rPr>
                <w:rFonts w:ascii="Times New Roman" w:hAnsi="Times New Roman"/>
                <w:b/>
                <w:sz w:val="21"/>
                <w:szCs w:val="21"/>
              </w:rPr>
              <w:t>建设规模</w:t>
            </w:r>
          </w:p>
        </w:tc>
        <w:tc>
          <w:tcPr>
            <w:tcW w:w="2341" w:type="dxa"/>
            <w:vAlign w:val="center"/>
          </w:tcPr>
          <w:p>
            <w:pPr>
              <w:pStyle w:val="27"/>
              <w:snapToGrid w:val="0"/>
              <w:jc w:val="center"/>
              <w:rPr>
                <w:rFonts w:ascii="Times New Roman" w:hAnsi="Times New Roman"/>
                <w:b/>
                <w:sz w:val="21"/>
                <w:szCs w:val="21"/>
              </w:rPr>
            </w:pPr>
            <w:r>
              <w:rPr>
                <w:rFonts w:ascii="Times New Roman" w:hAnsi="Times New Roman"/>
                <w:b/>
                <w:sz w:val="21"/>
                <w:szCs w:val="21"/>
              </w:rPr>
              <w:t>判定级别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37" w:type="dxa"/>
            <w:vAlign w:val="center"/>
          </w:tcPr>
          <w:p>
            <w:pPr>
              <w:pStyle w:val="27"/>
              <w:snapToGrid w:val="0"/>
              <w:jc w:val="center"/>
              <w:rPr>
                <w:rFonts w:ascii="Times New Roman" w:hAnsi="Times New Roman"/>
                <w:sz w:val="21"/>
                <w:szCs w:val="21"/>
              </w:rPr>
            </w:pPr>
            <w:r>
              <w:rPr>
                <w:rFonts w:ascii="Times New Roman" w:hAnsi="Times New Roman"/>
                <w:sz w:val="21"/>
                <w:szCs w:val="21"/>
              </w:rPr>
              <w:t>Ⅲ类</w:t>
            </w:r>
          </w:p>
        </w:tc>
        <w:tc>
          <w:tcPr>
            <w:tcW w:w="2338" w:type="dxa"/>
            <w:vAlign w:val="center"/>
          </w:tcPr>
          <w:p>
            <w:pPr>
              <w:pStyle w:val="27"/>
              <w:snapToGrid w:val="0"/>
              <w:jc w:val="center"/>
              <w:rPr>
                <w:rFonts w:ascii="Times New Roman" w:hAnsi="Times New Roman"/>
                <w:sz w:val="21"/>
                <w:szCs w:val="21"/>
              </w:rPr>
            </w:pPr>
            <w:r>
              <w:rPr>
                <w:rFonts w:ascii="Times New Roman" w:hAnsi="Times New Roman"/>
                <w:sz w:val="21"/>
                <w:szCs w:val="21"/>
              </w:rPr>
              <w:t>敏感</w:t>
            </w:r>
          </w:p>
        </w:tc>
        <w:tc>
          <w:tcPr>
            <w:tcW w:w="2338" w:type="dxa"/>
            <w:vAlign w:val="center"/>
          </w:tcPr>
          <w:p>
            <w:pPr>
              <w:pStyle w:val="27"/>
              <w:snapToGrid w:val="0"/>
              <w:jc w:val="center"/>
              <w:rPr>
                <w:rFonts w:ascii="Times New Roman" w:hAnsi="Times New Roman"/>
                <w:sz w:val="21"/>
                <w:szCs w:val="21"/>
              </w:rPr>
            </w:pPr>
            <w:r>
              <w:rPr>
                <w:rFonts w:hint="eastAsia" w:ascii="Times New Roman" w:hAnsi="Times New Roman"/>
                <w:sz w:val="21"/>
                <w:szCs w:val="21"/>
              </w:rPr>
              <w:t>小</w:t>
            </w:r>
          </w:p>
        </w:tc>
        <w:tc>
          <w:tcPr>
            <w:tcW w:w="2341" w:type="dxa"/>
            <w:vAlign w:val="center"/>
          </w:tcPr>
          <w:p>
            <w:pPr>
              <w:pStyle w:val="27"/>
              <w:snapToGrid w:val="0"/>
              <w:jc w:val="center"/>
              <w:rPr>
                <w:rFonts w:ascii="Times New Roman" w:hAnsi="Times New Roman"/>
                <w:sz w:val="21"/>
                <w:szCs w:val="21"/>
              </w:rPr>
            </w:pPr>
            <w:r>
              <w:rPr>
                <w:rFonts w:ascii="Times New Roman" w:hAnsi="Times New Roman"/>
                <w:sz w:val="21"/>
                <w:szCs w:val="21"/>
              </w:rPr>
              <w:t>三级</w:t>
            </w:r>
          </w:p>
        </w:tc>
      </w:tr>
    </w:tbl>
    <w:p>
      <w:pPr>
        <w:pStyle w:val="43"/>
        <w:adjustRightInd w:val="0"/>
        <w:snapToGrid w:val="0"/>
        <w:spacing w:line="540" w:lineRule="exact"/>
        <w:rPr>
          <w:snapToGrid w:val="0"/>
        </w:rPr>
      </w:pPr>
      <w:r>
        <w:rPr>
          <w:snapToGrid w:val="0"/>
        </w:rPr>
        <w:t>由表</w:t>
      </w:r>
      <w:r>
        <w:rPr>
          <w:rFonts w:hint="eastAsia"/>
          <w:snapToGrid w:val="0"/>
        </w:rPr>
        <w:t>1</w:t>
      </w:r>
      <w:r>
        <w:rPr>
          <w:snapToGrid w:val="0"/>
        </w:rPr>
        <w:t>.5-1</w:t>
      </w:r>
      <w:r>
        <w:rPr>
          <w:rFonts w:hint="eastAsia"/>
          <w:snapToGrid w:val="0"/>
        </w:rPr>
        <w:t>7</w:t>
      </w:r>
      <w:r>
        <w:rPr>
          <w:snapToGrid w:val="0"/>
        </w:rPr>
        <w:t>土壤环境评价工作等级判定结果，根据项目占地规模为“</w:t>
      </w:r>
      <w:r>
        <w:rPr>
          <w:rFonts w:hint="eastAsia"/>
          <w:snapToGrid w:val="0"/>
        </w:rPr>
        <w:t>小</w:t>
      </w:r>
      <w:r>
        <w:rPr>
          <w:snapToGrid w:val="0"/>
        </w:rPr>
        <w:t>型”，土壤环境敏感程度为“敏感”，项目类型为“III”类，</w:t>
      </w:r>
      <w:r>
        <w:rPr>
          <w:rFonts w:hint="eastAsia"/>
          <w:snapToGrid w:val="0"/>
        </w:rPr>
        <w:t>由此判断本项目土壤评价等级为三级</w:t>
      </w:r>
      <w:r>
        <w:rPr>
          <w:snapToGrid w:val="0"/>
        </w:rPr>
        <w:t>，本次土壤评价</w:t>
      </w:r>
      <w:r>
        <w:rPr>
          <w:rFonts w:hint="eastAsia"/>
          <w:snapToGrid w:val="0"/>
        </w:rPr>
        <w:t>按土壤三级要求开展评价工作</w:t>
      </w:r>
      <w:r>
        <w:rPr>
          <w:snapToGrid w:val="0"/>
        </w:rPr>
        <w:t>。</w:t>
      </w:r>
    </w:p>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1.5.7.2评价范围</w:t>
      </w:r>
    </w:p>
    <w:p>
      <w:pPr>
        <w:pStyle w:val="43"/>
        <w:adjustRightInd w:val="0"/>
        <w:snapToGrid w:val="0"/>
        <w:spacing w:line="540" w:lineRule="exact"/>
        <w:rPr>
          <w:snapToGrid w:val="0"/>
        </w:rPr>
      </w:pPr>
      <w:r>
        <w:rPr>
          <w:snapToGrid w:val="0"/>
        </w:rPr>
        <w:t>经对照</w:t>
      </w:r>
      <w:r>
        <w:rPr>
          <w:szCs w:val="32"/>
        </w:rPr>
        <w:t>《环境影响评级技术导则 土壤环境（试行）》（HJ964-2018）</w:t>
      </w:r>
      <w:r>
        <w:rPr>
          <w:snapToGrid w:val="0"/>
        </w:rPr>
        <w:t>中“7.2小节”要求，确定本次土壤环境影响评价范围包括项目占地范围内和占地边界外扩50m范围。</w:t>
      </w:r>
    </w:p>
    <w:p>
      <w:pPr>
        <w:pStyle w:val="5"/>
        <w:snapToGrid w:val="0"/>
        <w:spacing w:before="120" w:after="120" w:line="540" w:lineRule="exact"/>
        <w:contextualSpacing/>
        <w:rPr>
          <w:rFonts w:ascii="Times New Roman" w:hAnsi="Times New Roman"/>
          <w:bCs w:val="0"/>
          <w:sz w:val="28"/>
        </w:rPr>
      </w:pPr>
      <w:bookmarkStart w:id="330" w:name="_Toc2926"/>
      <w:r>
        <w:rPr>
          <w:rFonts w:hint="eastAsia" w:ascii="Times New Roman" w:hAnsi="Times New Roman"/>
          <w:bCs w:val="0"/>
          <w:sz w:val="28"/>
        </w:rPr>
        <w:t>1.5.8</w:t>
      </w:r>
      <w:r>
        <w:rPr>
          <w:rFonts w:ascii="Times New Roman" w:hAnsi="Times New Roman"/>
          <w:bCs w:val="0"/>
          <w:sz w:val="28"/>
        </w:rPr>
        <w:t>小结</w:t>
      </w:r>
      <w:bookmarkEnd w:id="330"/>
    </w:p>
    <w:p>
      <w:pPr>
        <w:pStyle w:val="43"/>
        <w:adjustRightInd w:val="0"/>
        <w:snapToGrid w:val="0"/>
        <w:spacing w:line="540" w:lineRule="exact"/>
        <w:rPr>
          <w:snapToGrid w:val="0"/>
        </w:rPr>
      </w:pPr>
      <w:r>
        <w:rPr>
          <w:snapToGrid w:val="0"/>
        </w:rPr>
        <w:t>本项目评价等级及评价范围判定结果见表1.5-1</w:t>
      </w:r>
      <w:r>
        <w:rPr>
          <w:rFonts w:hint="eastAsia"/>
          <w:snapToGrid w:val="0"/>
        </w:rPr>
        <w:t>8</w:t>
      </w:r>
      <w:r>
        <w:rPr>
          <w:snapToGrid w:val="0"/>
        </w:rPr>
        <w:t>及图1.5-1。</w:t>
      </w:r>
    </w:p>
    <w:p>
      <w:pPr>
        <w:pStyle w:val="26"/>
        <w:spacing w:before="120" w:beforeLines="50" w:after="0" w:line="240" w:lineRule="auto"/>
        <w:ind w:firstLine="481" w:firstLineChars="200"/>
        <w:jc w:val="center"/>
        <w:rPr>
          <w:rFonts w:ascii="宋体" w:hAnsi="宋体" w:cs="宋体"/>
          <w:b/>
          <w:bCs/>
          <w:sz w:val="24"/>
        </w:rPr>
      </w:pPr>
      <w:r>
        <w:rPr>
          <w:rFonts w:ascii="宋体" w:hAnsi="宋体" w:cs="宋体"/>
          <w:b/>
          <w:bCs/>
          <w:sz w:val="24"/>
        </w:rPr>
        <w:t>表</w:t>
      </w:r>
      <w:r>
        <w:rPr>
          <w:b/>
          <w:bCs/>
          <w:sz w:val="24"/>
        </w:rPr>
        <w:t>1.5-1</w:t>
      </w:r>
      <w:r>
        <w:rPr>
          <w:rFonts w:hint="eastAsia"/>
          <w:b/>
          <w:bCs/>
          <w:sz w:val="24"/>
        </w:rPr>
        <w:t>8</w:t>
      </w:r>
      <w:r>
        <w:rPr>
          <w:b/>
          <w:bCs/>
          <w:sz w:val="24"/>
        </w:rPr>
        <w:t xml:space="preserve"> </w:t>
      </w:r>
      <w:r>
        <w:rPr>
          <w:rFonts w:ascii="宋体" w:hAnsi="宋体" w:cs="宋体"/>
          <w:b/>
          <w:bCs/>
          <w:sz w:val="24"/>
        </w:rPr>
        <w:t xml:space="preserve">  </w:t>
      </w:r>
      <w:r>
        <w:rPr>
          <w:rFonts w:hint="eastAsia" w:ascii="宋体" w:hAnsi="宋体" w:cs="宋体"/>
          <w:b/>
          <w:bCs/>
          <w:sz w:val="24"/>
        </w:rPr>
        <w:t xml:space="preserve"> </w:t>
      </w:r>
      <w:r>
        <w:rPr>
          <w:rFonts w:ascii="宋体" w:hAnsi="宋体" w:cs="宋体"/>
          <w:b/>
          <w:bCs/>
          <w:sz w:val="24"/>
        </w:rPr>
        <w:t xml:space="preserve"> 本项目评价等级及评价范围判定表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17"/>
        <w:gridCol w:w="1175"/>
        <w:gridCol w:w="63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0" w:type="dxa"/>
            <w:vAlign w:val="center"/>
          </w:tcPr>
          <w:p>
            <w:pPr>
              <w:adjustRightInd w:val="0"/>
              <w:snapToGrid w:val="0"/>
              <w:jc w:val="center"/>
              <w:rPr>
                <w:rFonts w:ascii="Times New Roman" w:hAnsi="Times New Roman"/>
                <w:b/>
                <w:bCs/>
                <w:spacing w:val="6"/>
                <w:szCs w:val="21"/>
              </w:rPr>
            </w:pPr>
            <w:r>
              <w:rPr>
                <w:rFonts w:ascii="Times New Roman" w:hAnsi="Times New Roman"/>
                <w:b/>
                <w:bCs/>
                <w:spacing w:val="6"/>
                <w:szCs w:val="21"/>
              </w:rPr>
              <w:t>环境要素</w:t>
            </w:r>
          </w:p>
        </w:tc>
        <w:tc>
          <w:tcPr>
            <w:tcW w:w="1131" w:type="dxa"/>
            <w:vAlign w:val="center"/>
          </w:tcPr>
          <w:p>
            <w:pPr>
              <w:adjustRightInd w:val="0"/>
              <w:snapToGrid w:val="0"/>
              <w:rPr>
                <w:rFonts w:ascii="Times New Roman" w:hAnsi="Times New Roman"/>
                <w:b/>
                <w:bCs/>
                <w:spacing w:val="-12"/>
                <w:szCs w:val="21"/>
              </w:rPr>
            </w:pPr>
            <w:r>
              <w:rPr>
                <w:rFonts w:ascii="Times New Roman" w:hAnsi="Times New Roman"/>
                <w:b/>
                <w:bCs/>
                <w:spacing w:val="-12"/>
                <w:szCs w:val="21"/>
              </w:rPr>
              <w:t>评价等级</w:t>
            </w:r>
          </w:p>
        </w:tc>
        <w:tc>
          <w:tcPr>
            <w:tcW w:w="6140" w:type="dxa"/>
            <w:vAlign w:val="center"/>
          </w:tcPr>
          <w:p>
            <w:pPr>
              <w:adjustRightInd w:val="0"/>
              <w:snapToGrid w:val="0"/>
              <w:jc w:val="center"/>
              <w:rPr>
                <w:rFonts w:ascii="Times New Roman" w:hAnsi="Times New Roman"/>
                <w:b/>
                <w:bCs/>
                <w:spacing w:val="6"/>
                <w:szCs w:val="21"/>
              </w:rPr>
            </w:pPr>
            <w:r>
              <w:rPr>
                <w:rFonts w:ascii="Times New Roman" w:hAnsi="Times New Roman"/>
                <w:b/>
                <w:bCs/>
                <w:spacing w:val="-6"/>
                <w:szCs w:val="21"/>
              </w:rPr>
              <w:t>评价范围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0" w:type="dxa"/>
            <w:vAlign w:val="center"/>
          </w:tcPr>
          <w:p>
            <w:pPr>
              <w:adjustRightInd w:val="0"/>
              <w:snapToGrid w:val="0"/>
              <w:jc w:val="center"/>
              <w:rPr>
                <w:rFonts w:ascii="Times New Roman" w:hAnsi="Times New Roman"/>
                <w:szCs w:val="21"/>
              </w:rPr>
            </w:pPr>
            <w:r>
              <w:rPr>
                <w:rFonts w:ascii="Times New Roman" w:hAnsi="Times New Roman"/>
                <w:szCs w:val="21"/>
              </w:rPr>
              <w:t>环境空气</w:t>
            </w:r>
          </w:p>
        </w:tc>
        <w:tc>
          <w:tcPr>
            <w:tcW w:w="1131" w:type="dxa"/>
            <w:vAlign w:val="center"/>
          </w:tcPr>
          <w:p>
            <w:pPr>
              <w:adjustRightInd w:val="0"/>
              <w:snapToGrid w:val="0"/>
              <w:jc w:val="center"/>
              <w:rPr>
                <w:rFonts w:ascii="Times New Roman" w:hAnsi="Times New Roman"/>
                <w:spacing w:val="-16"/>
                <w:szCs w:val="21"/>
              </w:rPr>
            </w:pPr>
            <w:r>
              <w:rPr>
                <w:rFonts w:ascii="Times New Roman" w:hAnsi="Times New Roman"/>
                <w:spacing w:val="6"/>
                <w:szCs w:val="21"/>
              </w:rPr>
              <w:t>二级</w:t>
            </w:r>
          </w:p>
        </w:tc>
        <w:tc>
          <w:tcPr>
            <w:tcW w:w="6140" w:type="dxa"/>
            <w:vAlign w:val="center"/>
          </w:tcPr>
          <w:p>
            <w:pPr>
              <w:adjustRightInd w:val="0"/>
              <w:snapToGrid w:val="0"/>
              <w:jc w:val="center"/>
              <w:rPr>
                <w:rFonts w:ascii="Times New Roman" w:hAnsi="Times New Roman"/>
                <w:spacing w:val="-4"/>
                <w:szCs w:val="21"/>
              </w:rPr>
            </w:pPr>
            <w:r>
              <w:rPr>
                <w:rFonts w:ascii="Times New Roman" w:hAnsi="Times New Roman"/>
                <w:spacing w:val="-4"/>
                <w:szCs w:val="21"/>
              </w:rPr>
              <w:t>以项目厂址为中心，边长5km的矩形范围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0" w:type="dxa"/>
            <w:vAlign w:val="center"/>
          </w:tcPr>
          <w:p>
            <w:pPr>
              <w:adjustRightInd w:val="0"/>
              <w:snapToGrid w:val="0"/>
              <w:jc w:val="center"/>
              <w:rPr>
                <w:rFonts w:ascii="Times New Roman" w:hAnsi="Times New Roman"/>
                <w:szCs w:val="21"/>
              </w:rPr>
            </w:pPr>
            <w:r>
              <w:rPr>
                <w:rFonts w:ascii="Times New Roman" w:hAnsi="Times New Roman"/>
                <w:szCs w:val="21"/>
              </w:rPr>
              <w:t>地表水环境</w:t>
            </w:r>
          </w:p>
        </w:tc>
        <w:tc>
          <w:tcPr>
            <w:tcW w:w="1131" w:type="dxa"/>
            <w:vAlign w:val="center"/>
          </w:tcPr>
          <w:p>
            <w:pPr>
              <w:adjustRightInd w:val="0"/>
              <w:snapToGrid w:val="0"/>
              <w:jc w:val="center"/>
              <w:rPr>
                <w:rFonts w:ascii="Times New Roman" w:hAnsi="Times New Roman"/>
                <w:szCs w:val="21"/>
              </w:rPr>
            </w:pPr>
            <w:r>
              <w:rPr>
                <w:rFonts w:ascii="Times New Roman" w:hAnsi="Times New Roman"/>
                <w:szCs w:val="21"/>
              </w:rPr>
              <w:t>三级B</w:t>
            </w:r>
          </w:p>
        </w:tc>
        <w:tc>
          <w:tcPr>
            <w:tcW w:w="6140" w:type="dxa"/>
            <w:vAlign w:val="center"/>
          </w:tcPr>
          <w:p>
            <w:pPr>
              <w:adjustRightInd w:val="0"/>
              <w:snapToGrid w:val="0"/>
              <w:jc w:val="center"/>
              <w:rPr>
                <w:rFonts w:ascii="Times New Roman" w:hAnsi="Times New Roman"/>
                <w:spacing w:val="5"/>
                <w:szCs w:val="21"/>
              </w:rPr>
            </w:pPr>
            <w:r>
              <w:rPr>
                <w:rFonts w:ascii="Times New Roman" w:hAnsi="Times New Roman"/>
                <w:spacing w:val="5"/>
                <w:szCs w:val="21"/>
              </w:rPr>
              <w:t>一般性评述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0" w:type="dxa"/>
            <w:vAlign w:val="center"/>
          </w:tcPr>
          <w:p>
            <w:pPr>
              <w:adjustRightInd w:val="0"/>
              <w:snapToGrid w:val="0"/>
              <w:jc w:val="center"/>
              <w:rPr>
                <w:rFonts w:ascii="Times New Roman" w:hAnsi="Times New Roman"/>
                <w:spacing w:val="6"/>
                <w:szCs w:val="21"/>
              </w:rPr>
            </w:pPr>
            <w:r>
              <w:rPr>
                <w:rFonts w:ascii="Times New Roman" w:hAnsi="Times New Roman"/>
                <w:spacing w:val="6"/>
                <w:szCs w:val="21"/>
              </w:rPr>
              <w:t>地下水环境</w:t>
            </w:r>
          </w:p>
        </w:tc>
        <w:tc>
          <w:tcPr>
            <w:tcW w:w="1131" w:type="dxa"/>
            <w:vAlign w:val="center"/>
          </w:tcPr>
          <w:p>
            <w:pPr>
              <w:adjustRightInd w:val="0"/>
              <w:snapToGrid w:val="0"/>
              <w:jc w:val="center"/>
              <w:rPr>
                <w:rFonts w:ascii="Times New Roman" w:hAnsi="Times New Roman"/>
                <w:spacing w:val="6"/>
                <w:szCs w:val="21"/>
              </w:rPr>
            </w:pPr>
            <w:r>
              <w:rPr>
                <w:rFonts w:ascii="Times New Roman" w:hAnsi="Times New Roman"/>
                <w:spacing w:val="6"/>
                <w:szCs w:val="21"/>
              </w:rPr>
              <w:t>三级</w:t>
            </w:r>
          </w:p>
        </w:tc>
        <w:tc>
          <w:tcPr>
            <w:tcW w:w="6140" w:type="dxa"/>
            <w:vAlign w:val="center"/>
          </w:tcPr>
          <w:p>
            <w:pPr>
              <w:adjustRightInd w:val="0"/>
              <w:snapToGrid w:val="0"/>
              <w:jc w:val="center"/>
              <w:rPr>
                <w:rFonts w:ascii="Times New Roman" w:hAnsi="Times New Roman"/>
                <w:szCs w:val="21"/>
              </w:rPr>
            </w:pPr>
            <w:r>
              <w:rPr>
                <w:rFonts w:ascii="Times New Roman" w:hAnsi="Times New Roman"/>
              </w:rPr>
              <w:t>厂区地下水流向上游（</w:t>
            </w:r>
            <w:r>
              <w:rPr>
                <w:rFonts w:hint="eastAsia" w:ascii="Times New Roman" w:hAnsi="Times New Roman"/>
              </w:rPr>
              <w:t>西南侧</w:t>
            </w:r>
            <w:r>
              <w:rPr>
                <w:rFonts w:ascii="Times New Roman" w:hAnsi="Times New Roman"/>
              </w:rPr>
              <w:t>）1.5km，下游（</w:t>
            </w:r>
            <w:r>
              <w:rPr>
                <w:rFonts w:hint="eastAsia" w:ascii="Times New Roman" w:hAnsi="Times New Roman"/>
              </w:rPr>
              <w:t>东北</w:t>
            </w:r>
            <w:r>
              <w:rPr>
                <w:rFonts w:ascii="Times New Roman" w:hAnsi="Times New Roman"/>
              </w:rPr>
              <w:t>侧）1.5km，厂区西</w:t>
            </w:r>
            <w:r>
              <w:rPr>
                <w:rFonts w:hint="eastAsia" w:ascii="Times New Roman" w:hAnsi="Times New Roman"/>
              </w:rPr>
              <w:t>南</w:t>
            </w:r>
            <w:r>
              <w:rPr>
                <w:rFonts w:ascii="Times New Roman" w:hAnsi="Times New Roman"/>
              </w:rPr>
              <w:t>侧1km，东</w:t>
            </w:r>
            <w:r>
              <w:rPr>
                <w:rFonts w:hint="eastAsia" w:ascii="Times New Roman" w:hAnsi="Times New Roman"/>
              </w:rPr>
              <w:t>北</w:t>
            </w:r>
            <w:r>
              <w:rPr>
                <w:rFonts w:ascii="Times New Roman" w:hAnsi="Times New Roman"/>
              </w:rPr>
              <w:t>侧1km，调查评价区面积约为6km</w:t>
            </w:r>
            <w:r>
              <w:rPr>
                <w:rFonts w:ascii="Times New Roman" w:hAnsi="Times New Roman"/>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0" w:type="dxa"/>
            <w:vAlign w:val="center"/>
          </w:tcPr>
          <w:p>
            <w:pPr>
              <w:adjustRightInd w:val="0"/>
              <w:snapToGrid w:val="0"/>
              <w:jc w:val="center"/>
              <w:rPr>
                <w:rFonts w:ascii="Times New Roman" w:hAnsi="Times New Roman"/>
                <w:spacing w:val="6"/>
                <w:szCs w:val="21"/>
              </w:rPr>
            </w:pPr>
            <w:r>
              <w:rPr>
                <w:rFonts w:ascii="Times New Roman" w:hAnsi="Times New Roman"/>
                <w:spacing w:val="6"/>
                <w:szCs w:val="21"/>
              </w:rPr>
              <w:t>声环境</w:t>
            </w:r>
          </w:p>
        </w:tc>
        <w:tc>
          <w:tcPr>
            <w:tcW w:w="1131" w:type="dxa"/>
            <w:vAlign w:val="center"/>
          </w:tcPr>
          <w:p>
            <w:pPr>
              <w:adjustRightInd w:val="0"/>
              <w:snapToGrid w:val="0"/>
              <w:jc w:val="center"/>
              <w:rPr>
                <w:rFonts w:ascii="Times New Roman" w:hAnsi="Times New Roman"/>
                <w:spacing w:val="6"/>
                <w:szCs w:val="21"/>
              </w:rPr>
            </w:pPr>
            <w:r>
              <w:rPr>
                <w:rFonts w:ascii="Times New Roman" w:hAnsi="Times New Roman"/>
                <w:spacing w:val="6"/>
                <w:szCs w:val="21"/>
              </w:rPr>
              <w:t>二级</w:t>
            </w:r>
          </w:p>
        </w:tc>
        <w:tc>
          <w:tcPr>
            <w:tcW w:w="6140" w:type="dxa"/>
            <w:vAlign w:val="center"/>
          </w:tcPr>
          <w:p>
            <w:pPr>
              <w:adjustRightInd w:val="0"/>
              <w:snapToGrid w:val="0"/>
              <w:jc w:val="center"/>
              <w:rPr>
                <w:rFonts w:ascii="Times New Roman" w:hAnsi="Times New Roman"/>
              </w:rPr>
            </w:pPr>
            <w:r>
              <w:rPr>
                <w:rFonts w:ascii="Times New Roman" w:hAnsi="Times New Roman"/>
              </w:rPr>
              <w:t>声环境评价范围为</w:t>
            </w:r>
            <w:r>
              <w:rPr>
                <w:rFonts w:hint="eastAsia" w:ascii="Times New Roman" w:hAnsi="Times New Roman"/>
              </w:rPr>
              <w:t>占地</w:t>
            </w:r>
            <w:r>
              <w:rPr>
                <w:rFonts w:ascii="Times New Roman" w:hAnsi="Times New Roman"/>
              </w:rPr>
              <w:t>范围向外</w:t>
            </w:r>
            <w:r>
              <w:rPr>
                <w:rFonts w:hint="eastAsia" w:ascii="Times New Roman" w:hAnsi="Times New Roman"/>
              </w:rPr>
              <w:t>1</w:t>
            </w:r>
            <w:r>
              <w:rPr>
                <w:rFonts w:ascii="Times New Roman" w:hAnsi="Times New Roman"/>
              </w:rPr>
              <w:t>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0" w:type="dxa"/>
            <w:vAlign w:val="center"/>
          </w:tcPr>
          <w:p>
            <w:pPr>
              <w:adjustRightInd w:val="0"/>
              <w:snapToGrid w:val="0"/>
              <w:jc w:val="center"/>
              <w:rPr>
                <w:rFonts w:ascii="Times New Roman" w:hAnsi="Times New Roman"/>
                <w:spacing w:val="6"/>
                <w:szCs w:val="21"/>
              </w:rPr>
            </w:pPr>
            <w:r>
              <w:rPr>
                <w:rFonts w:ascii="Times New Roman" w:hAnsi="Times New Roman"/>
                <w:spacing w:val="6"/>
                <w:szCs w:val="21"/>
              </w:rPr>
              <w:t>土壤环境</w:t>
            </w:r>
          </w:p>
        </w:tc>
        <w:tc>
          <w:tcPr>
            <w:tcW w:w="1131" w:type="dxa"/>
            <w:vAlign w:val="center"/>
          </w:tcPr>
          <w:p>
            <w:pPr>
              <w:adjustRightInd w:val="0"/>
              <w:snapToGrid w:val="0"/>
              <w:jc w:val="center"/>
              <w:rPr>
                <w:rFonts w:ascii="Times New Roman" w:hAnsi="Times New Roman"/>
                <w:spacing w:val="6"/>
                <w:szCs w:val="21"/>
              </w:rPr>
            </w:pPr>
            <w:r>
              <w:rPr>
                <w:rFonts w:ascii="Times New Roman" w:hAnsi="Times New Roman"/>
                <w:spacing w:val="6"/>
                <w:szCs w:val="21"/>
              </w:rPr>
              <w:t>三级</w:t>
            </w:r>
          </w:p>
        </w:tc>
        <w:tc>
          <w:tcPr>
            <w:tcW w:w="6140" w:type="dxa"/>
            <w:vAlign w:val="center"/>
          </w:tcPr>
          <w:p>
            <w:pPr>
              <w:adjustRightInd w:val="0"/>
              <w:snapToGrid w:val="0"/>
              <w:jc w:val="center"/>
              <w:rPr>
                <w:rFonts w:ascii="Times New Roman" w:hAnsi="Times New Roman"/>
              </w:rPr>
            </w:pPr>
            <w:r>
              <w:rPr>
                <w:rFonts w:ascii="Times New Roman" w:hAnsi="Times New Roman"/>
              </w:rPr>
              <w:t>项目占地范围内和占地边界外扩</w:t>
            </w:r>
            <w:r>
              <w:rPr>
                <w:rFonts w:hint="eastAsia" w:ascii="Times New Roman" w:hAnsi="Times New Roman"/>
              </w:rPr>
              <w:t>50</w:t>
            </w:r>
            <w:r>
              <w:rPr>
                <w:rFonts w:ascii="Times New Roman" w:hAnsi="Times New Roman"/>
              </w:rPr>
              <w:t>m范围内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0" w:type="dxa"/>
            <w:vAlign w:val="center"/>
          </w:tcPr>
          <w:p>
            <w:pPr>
              <w:adjustRightInd w:val="0"/>
              <w:snapToGrid w:val="0"/>
              <w:jc w:val="center"/>
              <w:rPr>
                <w:rFonts w:ascii="Times New Roman" w:hAnsi="Times New Roman"/>
                <w:spacing w:val="6"/>
                <w:szCs w:val="21"/>
              </w:rPr>
            </w:pPr>
            <w:r>
              <w:rPr>
                <w:rFonts w:ascii="Times New Roman" w:hAnsi="Times New Roman"/>
                <w:spacing w:val="6"/>
                <w:szCs w:val="21"/>
              </w:rPr>
              <w:t>生态环境</w:t>
            </w:r>
          </w:p>
        </w:tc>
        <w:tc>
          <w:tcPr>
            <w:tcW w:w="1131" w:type="dxa"/>
            <w:vAlign w:val="center"/>
          </w:tcPr>
          <w:p>
            <w:pPr>
              <w:adjustRightInd w:val="0"/>
              <w:snapToGrid w:val="0"/>
              <w:jc w:val="center"/>
              <w:rPr>
                <w:rFonts w:ascii="Times New Roman" w:hAnsi="Times New Roman"/>
                <w:spacing w:val="6"/>
                <w:szCs w:val="21"/>
              </w:rPr>
            </w:pPr>
            <w:r>
              <w:rPr>
                <w:rFonts w:ascii="Times New Roman" w:hAnsi="Times New Roman"/>
                <w:spacing w:val="6"/>
                <w:szCs w:val="21"/>
              </w:rPr>
              <w:t>三级</w:t>
            </w:r>
          </w:p>
        </w:tc>
        <w:tc>
          <w:tcPr>
            <w:tcW w:w="6140" w:type="dxa"/>
            <w:vAlign w:val="center"/>
          </w:tcPr>
          <w:p>
            <w:pPr>
              <w:adjustRightInd w:val="0"/>
              <w:snapToGrid w:val="0"/>
              <w:jc w:val="center"/>
              <w:rPr>
                <w:rFonts w:ascii="Times New Roman" w:hAnsi="Times New Roman"/>
                <w:spacing w:val="-4"/>
                <w:szCs w:val="21"/>
              </w:rPr>
            </w:pPr>
            <w:r>
              <w:rPr>
                <w:rFonts w:ascii="Times New Roman" w:hAnsi="Times New Roman"/>
                <w:spacing w:val="-4"/>
                <w:szCs w:val="21"/>
              </w:rPr>
              <w:t>项目厂区区域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0" w:type="dxa"/>
            <w:vAlign w:val="center"/>
          </w:tcPr>
          <w:p>
            <w:pPr>
              <w:adjustRightInd w:val="0"/>
              <w:snapToGrid w:val="0"/>
              <w:jc w:val="center"/>
              <w:rPr>
                <w:rFonts w:ascii="Times New Roman" w:hAnsi="Times New Roman"/>
                <w:spacing w:val="6"/>
                <w:szCs w:val="21"/>
              </w:rPr>
            </w:pPr>
            <w:r>
              <w:rPr>
                <w:rFonts w:ascii="Times New Roman" w:hAnsi="Times New Roman"/>
                <w:spacing w:val="6"/>
                <w:szCs w:val="21"/>
              </w:rPr>
              <w:t>环境风险</w:t>
            </w:r>
          </w:p>
        </w:tc>
        <w:tc>
          <w:tcPr>
            <w:tcW w:w="1131" w:type="dxa"/>
            <w:vAlign w:val="center"/>
          </w:tcPr>
          <w:p>
            <w:pPr>
              <w:adjustRightInd w:val="0"/>
              <w:snapToGrid w:val="0"/>
              <w:jc w:val="center"/>
              <w:rPr>
                <w:rFonts w:ascii="Times New Roman" w:hAnsi="Times New Roman"/>
                <w:szCs w:val="22"/>
              </w:rPr>
            </w:pPr>
            <w:r>
              <w:rPr>
                <w:rFonts w:ascii="Times New Roman" w:hAnsi="Times New Roman"/>
                <w:szCs w:val="22"/>
              </w:rPr>
              <w:t>简单分析</w:t>
            </w:r>
          </w:p>
        </w:tc>
        <w:tc>
          <w:tcPr>
            <w:tcW w:w="6140" w:type="dxa"/>
            <w:vAlign w:val="center"/>
          </w:tcPr>
          <w:p>
            <w:pPr>
              <w:adjustRightInd w:val="0"/>
              <w:snapToGrid w:val="0"/>
              <w:jc w:val="center"/>
              <w:rPr>
                <w:rFonts w:ascii="Times New Roman" w:hAnsi="Times New Roman"/>
                <w:szCs w:val="22"/>
              </w:rPr>
            </w:pPr>
            <w:r>
              <w:rPr>
                <w:rFonts w:ascii="Times New Roman" w:hAnsi="Times New Roman"/>
                <w:szCs w:val="22"/>
              </w:rPr>
              <w:t>项目风险潜势为Ⅰ，只进行简单分析</w:t>
            </w:r>
          </w:p>
        </w:tc>
      </w:tr>
    </w:tbl>
    <w:p>
      <w:pPr>
        <w:keepNext w:val="0"/>
        <w:keepLines w:val="0"/>
        <w:pageBreakBefore w:val="0"/>
        <w:widowControl w:val="0"/>
        <w:kinsoku/>
        <w:wordWrap/>
        <w:overflowPunct/>
        <w:topLinePunct w:val="0"/>
        <w:autoSpaceDE/>
        <w:autoSpaceDN/>
        <w:bidi w:val="0"/>
        <w:adjustRightInd/>
        <w:snapToGrid w:val="0"/>
        <w:spacing w:line="540" w:lineRule="exact"/>
        <w:ind w:firstLine="480" w:firstLineChars="200"/>
        <w:contextualSpacing/>
        <w:jc w:val="left"/>
        <w:textAlignment w:val="auto"/>
        <w:outlineLvl w:val="9"/>
        <w:rPr>
          <w:rFonts w:ascii="Times New Roman" w:hAnsi="Times New Roman"/>
          <w:bCs/>
          <w:sz w:val="24"/>
          <w:szCs w:val="28"/>
        </w:rPr>
      </w:pPr>
      <w:bookmarkStart w:id="331" w:name="_Toc5814"/>
      <w:bookmarkStart w:id="332" w:name="_Toc1490"/>
      <w:bookmarkStart w:id="333" w:name="_Toc7240"/>
      <w:r>
        <w:rPr>
          <w:rFonts w:ascii="Times New Roman" w:hAnsi="Times New Roman"/>
          <w:bCs/>
          <w:sz w:val="24"/>
          <w:szCs w:val="28"/>
        </w:rPr>
        <w:t>根据《环境影响评价技术导则 大气环境》（HJ2.2-2018）的规定，二级评价项目大气环境影响评价范围边长取5km，则该项目最终评价范围确定为以项目场址为中心，边长5×5km的矩形范围内。项目评价范围详见图1.5-</w:t>
      </w:r>
      <w:r>
        <w:rPr>
          <w:rFonts w:hint="eastAsia" w:ascii="Times New Roman" w:hAnsi="Times New Roman"/>
          <w:bCs/>
          <w:sz w:val="24"/>
          <w:szCs w:val="28"/>
        </w:rPr>
        <w:t>1</w:t>
      </w:r>
      <w:r>
        <w:rPr>
          <w:rFonts w:ascii="Times New Roman" w:hAnsi="Times New Roman"/>
          <w:bCs/>
          <w:sz w:val="24"/>
          <w:szCs w:val="28"/>
        </w:rPr>
        <w:t>。</w:t>
      </w:r>
    </w:p>
    <w:p>
      <w:pPr>
        <w:keepNext w:val="0"/>
        <w:keepLines w:val="0"/>
        <w:pageBreakBefore w:val="0"/>
        <w:widowControl w:val="0"/>
        <w:kinsoku/>
        <w:wordWrap/>
        <w:overflowPunct/>
        <w:topLinePunct w:val="0"/>
        <w:autoSpaceDE/>
        <w:autoSpaceDN/>
        <w:bidi w:val="0"/>
        <w:adjustRightInd/>
        <w:snapToGrid w:val="0"/>
        <w:spacing w:line="240" w:lineRule="auto"/>
        <w:contextualSpacing/>
        <w:jc w:val="center"/>
        <w:textAlignment w:val="auto"/>
        <w:outlineLvl w:val="9"/>
        <w:rPr>
          <w:rFonts w:hint="eastAsia" w:ascii="Times New Roman" w:hAnsi="Times New Roman" w:eastAsia="宋体"/>
          <w:bCs w:val="0"/>
          <w:sz w:val="30"/>
          <w:szCs w:val="30"/>
        </w:rPr>
      </w:pPr>
      <w:r>
        <w:rPr>
          <w:rFonts w:hint="eastAsia"/>
          <w:b/>
          <w:bCs/>
          <w:sz w:val="24"/>
        </w:rPr>
        <w:drawing>
          <wp:anchor distT="0" distB="0" distL="114300" distR="114300" simplePos="0" relativeHeight="251679744" behindDoc="0" locked="0" layoutInCell="1" allowOverlap="1">
            <wp:simplePos x="0" y="0"/>
            <wp:positionH relativeFrom="column">
              <wp:posOffset>4571365</wp:posOffset>
            </wp:positionH>
            <wp:positionV relativeFrom="paragraph">
              <wp:posOffset>4171950</wp:posOffset>
            </wp:positionV>
            <wp:extent cx="1189990" cy="284480"/>
            <wp:effectExtent l="0" t="0" r="10160" b="1270"/>
            <wp:wrapNone/>
            <wp:docPr id="106" name="图片 106" descr="d81db369720682942125d032b4188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d81db369720682942125d032b4188dc"/>
                    <pic:cNvPicPr>
                      <a:picLocks noChangeAspect="1"/>
                    </pic:cNvPicPr>
                  </pic:nvPicPr>
                  <pic:blipFill>
                    <a:blip r:embed="rId15"/>
                    <a:stretch>
                      <a:fillRect/>
                    </a:stretch>
                  </pic:blipFill>
                  <pic:spPr>
                    <a:xfrm>
                      <a:off x="0" y="0"/>
                      <a:ext cx="1189990" cy="284480"/>
                    </a:xfrm>
                    <a:prstGeom prst="rect">
                      <a:avLst/>
                    </a:prstGeom>
                  </pic:spPr>
                </pic:pic>
              </a:graphicData>
            </a:graphic>
          </wp:anchor>
        </w:drawing>
      </w:r>
      <w:r>
        <w:rPr>
          <w:rFonts w:ascii="Times New Roman" w:hAnsi="Times New Roman"/>
          <w:bCs/>
          <w:sz w:val="24"/>
          <w:szCs w:val="28"/>
        </w:rPr>
        <w:drawing>
          <wp:inline distT="0" distB="0" distL="114300" distR="114300">
            <wp:extent cx="5763260" cy="4455795"/>
            <wp:effectExtent l="0" t="0" r="8890" b="1905"/>
            <wp:docPr id="47" name="图片 54" descr="F:\魏冬夏\牛场建设项目参考样本\牛场环境评价范围图（5.16）.bmp牛场环境评价范围图（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4" descr="F:\魏冬夏\牛场建设项目参考样本\牛场环境评价范围图（5.16）.bmp牛场环境评价范围图（5.16）"/>
                    <pic:cNvPicPr>
                      <a:picLocks noChangeAspect="1"/>
                    </pic:cNvPicPr>
                  </pic:nvPicPr>
                  <pic:blipFill>
                    <a:blip r:embed="rId16"/>
                    <a:stretch>
                      <a:fillRect/>
                    </a:stretch>
                  </pic:blipFill>
                  <pic:spPr>
                    <a:xfrm>
                      <a:off x="0" y="0"/>
                      <a:ext cx="5763260" cy="4455795"/>
                    </a:xfrm>
                    <a:prstGeom prst="rect">
                      <a:avLst/>
                    </a:prstGeom>
                    <a:noFill/>
                    <a:ln>
                      <a:noFill/>
                    </a:ln>
                  </pic:spPr>
                </pic:pic>
              </a:graphicData>
            </a:graphic>
          </wp:inline>
        </w:drawing>
      </w:r>
    </w:p>
    <w:p>
      <w:pPr>
        <w:jc w:val="center"/>
        <w:rPr>
          <w:rFonts w:hint="default" w:ascii="Times New Roman" w:hAnsi="Times New Roman" w:eastAsia="宋体" w:cs="Times New Roman"/>
          <w:b/>
          <w:bCs/>
          <w:sz w:val="24"/>
        </w:rPr>
      </w:pPr>
      <w:r>
        <w:rPr>
          <w:rFonts w:hint="default" w:ascii="Times New Roman" w:hAnsi="Times New Roman" w:eastAsia="宋体" w:cs="Times New Roman"/>
          <w:b/>
          <w:bCs/>
          <w:sz w:val="24"/>
        </w:rPr>
        <w:t>图1.5-1  环境评价范围图</w:t>
      </w:r>
    </w:p>
    <w:p>
      <w:pPr>
        <w:pStyle w:val="4"/>
        <w:snapToGrid w:val="0"/>
        <w:spacing w:before="120" w:after="120" w:line="540" w:lineRule="exact"/>
        <w:contextualSpacing/>
        <w:rPr>
          <w:rFonts w:ascii="Times New Roman" w:hAnsi="Times New Roman" w:eastAsia="宋体"/>
          <w:bCs w:val="0"/>
          <w:sz w:val="30"/>
          <w:szCs w:val="30"/>
        </w:rPr>
      </w:pPr>
      <w:bookmarkStart w:id="334" w:name="_Toc32264"/>
      <w:r>
        <w:rPr>
          <w:rFonts w:hint="eastAsia" w:ascii="Times New Roman" w:hAnsi="Times New Roman" w:eastAsia="宋体"/>
          <w:bCs w:val="0"/>
          <w:sz w:val="30"/>
          <w:szCs w:val="30"/>
        </w:rPr>
        <w:t>1</w:t>
      </w:r>
      <w:r>
        <w:rPr>
          <w:rFonts w:ascii="Times New Roman" w:hAnsi="Times New Roman" w:eastAsia="宋体"/>
          <w:bCs w:val="0"/>
          <w:sz w:val="30"/>
          <w:szCs w:val="30"/>
        </w:rPr>
        <w:t>.6控制污染目标与环境保护</w:t>
      </w:r>
      <w:bookmarkEnd w:id="313"/>
      <w:r>
        <w:rPr>
          <w:rFonts w:ascii="Times New Roman" w:hAnsi="Times New Roman" w:eastAsia="宋体"/>
          <w:bCs w:val="0"/>
          <w:sz w:val="30"/>
          <w:szCs w:val="30"/>
        </w:rPr>
        <w:t>目标</w:t>
      </w:r>
      <w:bookmarkEnd w:id="314"/>
      <w:bookmarkEnd w:id="315"/>
      <w:bookmarkEnd w:id="316"/>
      <w:bookmarkEnd w:id="317"/>
      <w:bookmarkEnd w:id="318"/>
      <w:bookmarkEnd w:id="319"/>
      <w:bookmarkEnd w:id="320"/>
      <w:bookmarkEnd w:id="321"/>
      <w:bookmarkEnd w:id="322"/>
      <w:bookmarkEnd w:id="331"/>
      <w:bookmarkEnd w:id="332"/>
      <w:bookmarkEnd w:id="333"/>
      <w:bookmarkEnd w:id="334"/>
    </w:p>
    <w:p>
      <w:pPr>
        <w:pStyle w:val="5"/>
        <w:snapToGrid w:val="0"/>
        <w:spacing w:before="120" w:after="120" w:line="540" w:lineRule="exact"/>
        <w:contextualSpacing/>
        <w:rPr>
          <w:rFonts w:ascii="Times New Roman" w:hAnsi="Times New Roman"/>
          <w:bCs w:val="0"/>
          <w:sz w:val="24"/>
        </w:rPr>
      </w:pPr>
      <w:bookmarkStart w:id="335" w:name="_Toc484463391"/>
      <w:bookmarkStart w:id="336" w:name="_Toc28575"/>
      <w:bookmarkStart w:id="337" w:name="_Toc28911"/>
      <w:bookmarkStart w:id="338" w:name="_Toc387745566"/>
      <w:bookmarkStart w:id="339" w:name="_Toc28007"/>
      <w:bookmarkStart w:id="340" w:name="_Toc16663"/>
      <w:bookmarkStart w:id="341" w:name="_Toc5174"/>
      <w:bookmarkStart w:id="342" w:name="_Toc332203175"/>
      <w:bookmarkStart w:id="343" w:name="_Toc491609967"/>
      <w:bookmarkStart w:id="344" w:name="_Toc29129"/>
      <w:bookmarkStart w:id="345" w:name="_Toc32542"/>
      <w:bookmarkStart w:id="346" w:name="_Toc388619984"/>
      <w:bookmarkStart w:id="347" w:name="_Toc13067"/>
      <w:bookmarkStart w:id="348" w:name="_Toc16814"/>
      <w:r>
        <w:rPr>
          <w:rFonts w:hint="eastAsia" w:ascii="Times New Roman" w:hAnsi="Times New Roman"/>
          <w:bCs w:val="0"/>
          <w:sz w:val="24"/>
        </w:rPr>
        <w:t>1</w:t>
      </w:r>
      <w:r>
        <w:rPr>
          <w:rFonts w:ascii="Times New Roman" w:hAnsi="Times New Roman"/>
          <w:bCs w:val="0"/>
          <w:sz w:val="24"/>
        </w:rPr>
        <w:t>.6.1控制污染目标</w:t>
      </w:r>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p>
    <w:p>
      <w:pPr>
        <w:pStyle w:val="43"/>
        <w:adjustRightInd w:val="0"/>
        <w:snapToGrid w:val="0"/>
        <w:spacing w:line="540" w:lineRule="exact"/>
        <w:rPr>
          <w:rFonts w:ascii="宋体" w:hAnsi="宋体" w:cs="宋体"/>
          <w:b/>
          <w:bCs/>
          <w:sz w:val="24"/>
        </w:rPr>
      </w:pPr>
      <w:r>
        <w:rPr>
          <w:snapToGrid w:val="0"/>
        </w:rPr>
        <w:t>按照“清洁生产”、“循环经济”、“达标排放”和“总量控制”原则，严格控制各种污染物的产生与排放，减少对外环境的影响，达到保护环境的目的。项目运营期主要控制目标为场界无组织废气、废水、噪声及固体废物的产生与排放；控制生产设备运行噪声。项目运营期污染控制内容与控制目标见表</w:t>
      </w:r>
      <w:r>
        <w:rPr>
          <w:rFonts w:hint="eastAsia"/>
          <w:snapToGrid w:val="0"/>
        </w:rPr>
        <w:t>1</w:t>
      </w:r>
      <w:r>
        <w:rPr>
          <w:snapToGrid w:val="0"/>
        </w:rPr>
        <w:t>.6-1。</w:t>
      </w:r>
    </w:p>
    <w:p>
      <w:pPr>
        <w:pStyle w:val="26"/>
        <w:spacing w:after="0" w:line="240" w:lineRule="auto"/>
        <w:jc w:val="both"/>
        <w:rPr>
          <w:rFonts w:ascii="宋体" w:hAnsi="宋体" w:cs="宋体"/>
          <w:b/>
          <w:bCs/>
          <w:sz w:val="24"/>
        </w:rPr>
      </w:pPr>
    </w:p>
    <w:p>
      <w:pPr>
        <w:pStyle w:val="26"/>
        <w:spacing w:after="0" w:line="240" w:lineRule="auto"/>
        <w:jc w:val="both"/>
        <w:rPr>
          <w:rFonts w:ascii="宋体" w:hAnsi="宋体" w:cs="宋体"/>
          <w:b/>
          <w:bCs/>
          <w:sz w:val="24"/>
        </w:rPr>
      </w:pPr>
    </w:p>
    <w:p>
      <w:pPr>
        <w:pStyle w:val="26"/>
        <w:spacing w:after="0" w:line="240" w:lineRule="auto"/>
        <w:jc w:val="center"/>
        <w:rPr>
          <w:rFonts w:ascii="宋体" w:hAnsi="宋体" w:cs="宋体"/>
          <w:b/>
          <w:bCs/>
          <w:sz w:val="24"/>
        </w:rPr>
      </w:pPr>
      <w:r>
        <w:rPr>
          <w:rFonts w:ascii="宋体" w:hAnsi="宋体" w:cs="宋体"/>
          <w:b/>
          <w:bCs/>
          <w:sz w:val="24"/>
        </w:rPr>
        <w:t>表</w:t>
      </w:r>
      <w:r>
        <w:rPr>
          <w:b/>
          <w:bCs/>
          <w:sz w:val="24"/>
        </w:rPr>
        <w:t xml:space="preserve">1.6-1 </w:t>
      </w:r>
      <w:r>
        <w:rPr>
          <w:rFonts w:ascii="宋体" w:hAnsi="宋体" w:cs="宋体"/>
          <w:b/>
          <w:bCs/>
          <w:sz w:val="24"/>
        </w:rPr>
        <w:t>项目污染控制内容与控制目标</w:t>
      </w:r>
    </w:p>
    <w:tbl>
      <w:tblPr>
        <w:tblStyle w:val="29"/>
        <w:tblW w:w="905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73"/>
        <w:gridCol w:w="1101"/>
        <w:gridCol w:w="1605"/>
        <w:gridCol w:w="59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dxa"/>
            <w:vAlign w:val="center"/>
          </w:tcPr>
          <w:p>
            <w:pPr>
              <w:adjustRightInd w:val="0"/>
              <w:snapToGrid w:val="0"/>
              <w:jc w:val="center"/>
              <w:rPr>
                <w:rFonts w:ascii="Times New Roman" w:hAnsi="Times New Roman"/>
                <w:b/>
                <w:bCs/>
                <w:szCs w:val="21"/>
              </w:rPr>
            </w:pPr>
            <w:r>
              <w:rPr>
                <w:rFonts w:ascii="Times New Roman" w:hAnsi="Times New Roman"/>
                <w:b/>
                <w:bCs/>
                <w:szCs w:val="21"/>
              </w:rPr>
              <w:t>时期</w:t>
            </w:r>
          </w:p>
        </w:tc>
        <w:tc>
          <w:tcPr>
            <w:tcW w:w="1101" w:type="dxa"/>
            <w:vAlign w:val="center"/>
          </w:tcPr>
          <w:p>
            <w:pPr>
              <w:adjustRightInd w:val="0"/>
              <w:snapToGrid w:val="0"/>
              <w:jc w:val="center"/>
              <w:rPr>
                <w:rFonts w:ascii="Times New Roman" w:hAnsi="Times New Roman"/>
                <w:b/>
                <w:bCs/>
                <w:szCs w:val="21"/>
              </w:rPr>
            </w:pPr>
            <w:r>
              <w:rPr>
                <w:rFonts w:ascii="Times New Roman" w:hAnsi="Times New Roman"/>
                <w:b/>
                <w:bCs/>
                <w:szCs w:val="21"/>
              </w:rPr>
              <w:t>控制对象</w:t>
            </w:r>
          </w:p>
        </w:tc>
        <w:tc>
          <w:tcPr>
            <w:tcW w:w="1605" w:type="dxa"/>
            <w:vAlign w:val="center"/>
          </w:tcPr>
          <w:p>
            <w:pPr>
              <w:adjustRightInd w:val="0"/>
              <w:snapToGrid w:val="0"/>
              <w:jc w:val="center"/>
              <w:rPr>
                <w:rFonts w:ascii="Times New Roman" w:hAnsi="Times New Roman"/>
                <w:b/>
                <w:bCs/>
                <w:szCs w:val="21"/>
              </w:rPr>
            </w:pPr>
            <w:r>
              <w:rPr>
                <w:rFonts w:ascii="Times New Roman" w:hAnsi="Times New Roman"/>
                <w:b/>
                <w:bCs/>
                <w:szCs w:val="21"/>
              </w:rPr>
              <w:t>控制内容</w:t>
            </w:r>
          </w:p>
        </w:tc>
        <w:tc>
          <w:tcPr>
            <w:tcW w:w="5974" w:type="dxa"/>
            <w:vAlign w:val="center"/>
          </w:tcPr>
          <w:p>
            <w:pPr>
              <w:adjustRightInd w:val="0"/>
              <w:snapToGrid w:val="0"/>
              <w:jc w:val="center"/>
              <w:rPr>
                <w:rFonts w:ascii="Times New Roman" w:hAnsi="Times New Roman"/>
                <w:b/>
                <w:bCs/>
                <w:szCs w:val="21"/>
              </w:rPr>
            </w:pPr>
            <w:r>
              <w:rPr>
                <w:rFonts w:ascii="Times New Roman" w:hAnsi="Times New Roman"/>
                <w:b/>
                <w:bCs/>
                <w:szCs w:val="21"/>
              </w:rPr>
              <w:t>控制目标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dxa"/>
            <w:vMerge w:val="restart"/>
            <w:vAlign w:val="center"/>
          </w:tcPr>
          <w:p>
            <w:pPr>
              <w:adjustRightInd w:val="0"/>
              <w:snapToGrid w:val="0"/>
              <w:jc w:val="center"/>
              <w:rPr>
                <w:rFonts w:ascii="Times New Roman" w:hAnsi="Times New Roman"/>
                <w:szCs w:val="21"/>
              </w:rPr>
            </w:pPr>
            <w:r>
              <w:rPr>
                <w:rFonts w:ascii="Times New Roman" w:hAnsi="Times New Roman"/>
                <w:szCs w:val="21"/>
              </w:rPr>
              <w:t>运营期</w:t>
            </w:r>
          </w:p>
        </w:tc>
        <w:tc>
          <w:tcPr>
            <w:tcW w:w="1101" w:type="dxa"/>
            <w:vAlign w:val="center"/>
          </w:tcPr>
          <w:p>
            <w:pPr>
              <w:adjustRightInd w:val="0"/>
              <w:snapToGrid w:val="0"/>
              <w:jc w:val="center"/>
              <w:rPr>
                <w:rFonts w:ascii="Times New Roman" w:hAnsi="Times New Roman"/>
                <w:szCs w:val="21"/>
              </w:rPr>
            </w:pPr>
            <w:r>
              <w:rPr>
                <w:rFonts w:ascii="Times New Roman" w:hAnsi="Times New Roman"/>
                <w:szCs w:val="21"/>
              </w:rPr>
              <w:t>废气</w:t>
            </w:r>
          </w:p>
        </w:tc>
        <w:tc>
          <w:tcPr>
            <w:tcW w:w="1605" w:type="dxa"/>
            <w:vAlign w:val="center"/>
          </w:tcPr>
          <w:p>
            <w:pPr>
              <w:adjustRightInd w:val="0"/>
              <w:snapToGrid w:val="0"/>
              <w:jc w:val="center"/>
              <w:rPr>
                <w:rFonts w:ascii="Times New Roman" w:hAnsi="Times New Roman"/>
                <w:szCs w:val="21"/>
              </w:rPr>
            </w:pPr>
            <w:r>
              <w:rPr>
                <w:rFonts w:ascii="Times New Roman" w:hAnsi="Times New Roman"/>
                <w:szCs w:val="21"/>
              </w:rPr>
              <w:t>牛舍及</w:t>
            </w:r>
            <w:r>
              <w:rPr>
                <w:rFonts w:hint="eastAsia" w:ascii="Times New Roman" w:hAnsi="Times New Roman"/>
                <w:szCs w:val="21"/>
              </w:rPr>
              <w:t>积</w:t>
            </w:r>
            <w:r>
              <w:rPr>
                <w:rFonts w:ascii="Times New Roman" w:hAnsi="Times New Roman"/>
                <w:szCs w:val="21"/>
              </w:rPr>
              <w:t>粪场</w:t>
            </w:r>
          </w:p>
        </w:tc>
        <w:tc>
          <w:tcPr>
            <w:tcW w:w="5974" w:type="dxa"/>
            <w:vAlign w:val="center"/>
          </w:tcPr>
          <w:p>
            <w:pPr>
              <w:adjustRightInd w:val="0"/>
              <w:snapToGrid w:val="0"/>
              <w:ind w:firstLine="420" w:firstLineChars="200"/>
              <w:jc w:val="center"/>
              <w:rPr>
                <w:rFonts w:ascii="Times New Roman" w:hAnsi="Times New Roman"/>
                <w:szCs w:val="21"/>
              </w:rPr>
            </w:pPr>
            <w:r>
              <w:rPr>
                <w:rFonts w:ascii="Times New Roman" w:hAnsi="Times New Roman"/>
                <w:szCs w:val="21"/>
              </w:rPr>
              <w:t>恶臭场界浓度均可达到《恶臭污染物排放标准》（GB14554-93）二级标准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zCs w:val="21"/>
              </w:rPr>
            </w:pPr>
          </w:p>
        </w:tc>
        <w:tc>
          <w:tcPr>
            <w:tcW w:w="1101" w:type="dxa"/>
            <w:vAlign w:val="center"/>
          </w:tcPr>
          <w:p>
            <w:pPr>
              <w:adjustRightInd w:val="0"/>
              <w:snapToGrid w:val="0"/>
              <w:jc w:val="center"/>
              <w:rPr>
                <w:rFonts w:ascii="Times New Roman" w:hAnsi="Times New Roman"/>
                <w:szCs w:val="21"/>
              </w:rPr>
            </w:pPr>
            <w:r>
              <w:rPr>
                <w:rFonts w:ascii="Times New Roman" w:hAnsi="Times New Roman"/>
                <w:szCs w:val="21"/>
              </w:rPr>
              <w:t>废水</w:t>
            </w:r>
          </w:p>
        </w:tc>
        <w:tc>
          <w:tcPr>
            <w:tcW w:w="1605" w:type="dxa"/>
            <w:vAlign w:val="center"/>
          </w:tcPr>
          <w:p>
            <w:pPr>
              <w:adjustRightInd w:val="0"/>
              <w:snapToGrid w:val="0"/>
              <w:jc w:val="center"/>
              <w:rPr>
                <w:rFonts w:ascii="Times New Roman" w:hAnsi="Times New Roman"/>
                <w:szCs w:val="21"/>
              </w:rPr>
            </w:pPr>
            <w:r>
              <w:rPr>
                <w:rFonts w:ascii="Times New Roman" w:hAnsi="Times New Roman"/>
                <w:szCs w:val="21"/>
              </w:rPr>
              <w:t>生活污水</w:t>
            </w:r>
          </w:p>
        </w:tc>
        <w:tc>
          <w:tcPr>
            <w:tcW w:w="5974" w:type="dxa"/>
            <w:vAlign w:val="center"/>
          </w:tcPr>
          <w:p>
            <w:pPr>
              <w:adjustRightInd w:val="0"/>
              <w:snapToGrid w:val="0"/>
              <w:ind w:firstLine="420" w:firstLineChars="200"/>
              <w:jc w:val="center"/>
              <w:rPr>
                <w:rFonts w:ascii="Times New Roman" w:hAnsi="Times New Roman"/>
                <w:szCs w:val="21"/>
              </w:rPr>
            </w:pPr>
            <w:r>
              <w:rPr>
                <w:rFonts w:hint="eastAsia" w:ascii="Times New Roman"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373" w:type="dxa"/>
            <w:vMerge w:val="continue"/>
            <w:vAlign w:val="center"/>
          </w:tcPr>
          <w:p>
            <w:pPr>
              <w:adjustRightInd w:val="0"/>
              <w:snapToGrid w:val="0"/>
              <w:jc w:val="center"/>
              <w:rPr>
                <w:rFonts w:ascii="Times New Roman" w:hAnsi="Times New Roman"/>
                <w:szCs w:val="21"/>
              </w:rPr>
            </w:pPr>
          </w:p>
        </w:tc>
        <w:tc>
          <w:tcPr>
            <w:tcW w:w="1101" w:type="dxa"/>
            <w:vAlign w:val="center"/>
          </w:tcPr>
          <w:p>
            <w:pPr>
              <w:adjustRightInd w:val="0"/>
              <w:snapToGrid w:val="0"/>
              <w:jc w:val="center"/>
              <w:rPr>
                <w:rFonts w:ascii="Times New Roman" w:hAnsi="Times New Roman"/>
                <w:szCs w:val="21"/>
              </w:rPr>
            </w:pPr>
            <w:r>
              <w:rPr>
                <w:rFonts w:ascii="Times New Roman" w:hAnsi="Times New Roman"/>
                <w:szCs w:val="21"/>
              </w:rPr>
              <w:t>噪声</w:t>
            </w:r>
          </w:p>
        </w:tc>
        <w:tc>
          <w:tcPr>
            <w:tcW w:w="1605" w:type="dxa"/>
            <w:vAlign w:val="center"/>
          </w:tcPr>
          <w:p>
            <w:pPr>
              <w:adjustRightInd w:val="0"/>
              <w:snapToGrid w:val="0"/>
              <w:jc w:val="center"/>
              <w:rPr>
                <w:rFonts w:ascii="Times New Roman" w:hAnsi="Times New Roman"/>
                <w:szCs w:val="21"/>
              </w:rPr>
            </w:pPr>
            <w:r>
              <w:rPr>
                <w:rFonts w:ascii="Times New Roman" w:hAnsi="Times New Roman"/>
                <w:szCs w:val="21"/>
              </w:rPr>
              <w:t>噪声</w:t>
            </w:r>
          </w:p>
        </w:tc>
        <w:tc>
          <w:tcPr>
            <w:tcW w:w="5974" w:type="dxa"/>
            <w:vAlign w:val="center"/>
          </w:tcPr>
          <w:p>
            <w:pPr>
              <w:adjustRightInd w:val="0"/>
              <w:snapToGrid w:val="0"/>
              <w:ind w:firstLine="420" w:firstLineChars="200"/>
              <w:jc w:val="center"/>
              <w:rPr>
                <w:rFonts w:ascii="Times New Roman" w:hAnsi="Times New Roman"/>
                <w:szCs w:val="21"/>
              </w:rPr>
            </w:pPr>
            <w:r>
              <w:rPr>
                <w:rFonts w:ascii="Times New Roman" w:hAnsi="Times New Roman"/>
                <w:szCs w:val="21"/>
              </w:rPr>
              <w:t>项目场界外1m处满足</w:t>
            </w:r>
            <w:r>
              <w:rPr>
                <w:rFonts w:ascii="Times New Roman" w:hAnsi="Times New Roman"/>
                <w:bCs/>
                <w:szCs w:val="21"/>
              </w:rPr>
              <w:t>《工业企业厂界环境噪声排放标准》（GB12348-2008）要求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21" w:hRule="atLeast"/>
          <w:jc w:val="center"/>
        </w:trPr>
        <w:tc>
          <w:tcPr>
            <w:tcW w:w="373" w:type="dxa"/>
            <w:vMerge w:val="continue"/>
            <w:vAlign w:val="center"/>
          </w:tcPr>
          <w:p>
            <w:pPr>
              <w:adjustRightInd w:val="0"/>
              <w:snapToGrid w:val="0"/>
              <w:jc w:val="center"/>
              <w:rPr>
                <w:rFonts w:ascii="Times New Roman" w:hAnsi="Times New Roman"/>
                <w:szCs w:val="21"/>
              </w:rPr>
            </w:pPr>
          </w:p>
        </w:tc>
        <w:tc>
          <w:tcPr>
            <w:tcW w:w="1101" w:type="dxa"/>
            <w:vAlign w:val="center"/>
          </w:tcPr>
          <w:p>
            <w:pPr>
              <w:adjustRightInd w:val="0"/>
              <w:snapToGrid w:val="0"/>
              <w:jc w:val="center"/>
              <w:rPr>
                <w:rFonts w:ascii="Times New Roman" w:hAnsi="Times New Roman"/>
                <w:szCs w:val="21"/>
              </w:rPr>
            </w:pPr>
            <w:r>
              <w:rPr>
                <w:rFonts w:ascii="Times New Roman" w:hAnsi="Times New Roman"/>
                <w:szCs w:val="21"/>
              </w:rPr>
              <w:t>固体废物</w:t>
            </w:r>
          </w:p>
        </w:tc>
        <w:tc>
          <w:tcPr>
            <w:tcW w:w="1605" w:type="dxa"/>
            <w:vAlign w:val="center"/>
          </w:tcPr>
          <w:p>
            <w:pPr>
              <w:adjustRightInd w:val="0"/>
              <w:snapToGrid w:val="0"/>
              <w:jc w:val="center"/>
              <w:rPr>
                <w:rFonts w:ascii="Times New Roman" w:hAnsi="Times New Roman"/>
                <w:szCs w:val="21"/>
              </w:rPr>
            </w:pPr>
            <w:r>
              <w:rPr>
                <w:rFonts w:ascii="Times New Roman" w:hAnsi="Times New Roman"/>
                <w:szCs w:val="21"/>
              </w:rPr>
              <w:t>固体废物</w:t>
            </w:r>
          </w:p>
        </w:tc>
        <w:tc>
          <w:tcPr>
            <w:tcW w:w="5974" w:type="dxa"/>
            <w:vAlign w:val="center"/>
          </w:tcPr>
          <w:p>
            <w:pPr>
              <w:pStyle w:val="46"/>
              <w:spacing w:line="240" w:lineRule="auto"/>
              <w:ind w:left="5" w:firstLine="420"/>
              <w:jc w:val="center"/>
              <w:rPr>
                <w:rFonts w:hAnsi="Times New Roman"/>
                <w:szCs w:val="21"/>
              </w:rPr>
            </w:pPr>
            <w:r>
              <w:rPr>
                <w:rFonts w:hAnsi="Times New Roman"/>
                <w:szCs w:val="21"/>
              </w:rPr>
              <w:t>牛场产生的各类</w:t>
            </w:r>
            <w:r>
              <w:rPr>
                <w:rFonts w:hint="eastAsia" w:hAnsi="Times New Roman"/>
                <w:szCs w:val="21"/>
                <w:lang w:eastAsia="zh-CN"/>
              </w:rPr>
              <w:t>固体废物</w:t>
            </w:r>
            <w:r>
              <w:rPr>
                <w:rFonts w:hAnsi="Times New Roman"/>
                <w:szCs w:val="21"/>
              </w:rPr>
              <w:t>按照标准要求妥善处置具体满足《畜禽养殖业污染物排放标准》(GB18596-2001)标准、《</w:t>
            </w:r>
            <w:r>
              <w:rPr>
                <w:rFonts w:hint="eastAsia" w:hAnsi="Times New Roman"/>
                <w:szCs w:val="21"/>
              </w:rPr>
              <w:t>一</w:t>
            </w:r>
            <w:r>
              <w:rPr>
                <w:rFonts w:hAnsi="Times New Roman"/>
                <w:szCs w:val="21"/>
              </w:rPr>
              <w:t>般工业固体废物贮存、处置场 污染控制标准》(GB18599-2001)及2013年修改单和《危险废物贮</w:t>
            </w:r>
          </w:p>
          <w:p>
            <w:pPr>
              <w:adjustRightInd w:val="0"/>
              <w:snapToGrid w:val="0"/>
              <w:ind w:firstLine="420" w:firstLineChars="200"/>
              <w:jc w:val="center"/>
              <w:rPr>
                <w:rFonts w:ascii="Times New Roman" w:hAnsi="Times New Roman"/>
                <w:szCs w:val="21"/>
              </w:rPr>
            </w:pPr>
            <w:r>
              <w:rPr>
                <w:rFonts w:ascii="Times New Roman" w:hAnsi="Times New Roman"/>
                <w:szCs w:val="21"/>
              </w:rPr>
              <w:t>存污染控制标准》(GB18597-2001)及 2013 年修改单、《病害动物 和病害动物产品生物安全处理规程》(GB16548-2006)及《宁夏农村畜禽养殖业污染防治技术</w:t>
            </w:r>
            <w:r>
              <w:rPr>
                <w:rFonts w:hint="eastAsia" w:ascii="Times New Roman" w:hAnsi="Times New Roman"/>
                <w:szCs w:val="21"/>
              </w:rPr>
              <w:t>规</w:t>
            </w:r>
            <w:r>
              <w:rPr>
                <w:rFonts w:ascii="Times New Roman" w:hAnsi="Times New Roman"/>
                <w:szCs w:val="21"/>
              </w:rPr>
              <w:t>范》(DB64/T702-2011)</w:t>
            </w:r>
          </w:p>
        </w:tc>
      </w:tr>
    </w:tbl>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349" w:name="_Toc17955"/>
      <w:bookmarkStart w:id="350" w:name="_Toc27151"/>
      <w:bookmarkStart w:id="351" w:name="_Toc20043"/>
      <w:bookmarkStart w:id="352" w:name="_Toc19037"/>
      <w:bookmarkStart w:id="353" w:name="_Toc387745568"/>
      <w:bookmarkStart w:id="354" w:name="_Toc484463393"/>
      <w:bookmarkStart w:id="355" w:name="_Toc32033"/>
      <w:bookmarkStart w:id="356" w:name="_Toc332203177"/>
      <w:bookmarkStart w:id="357" w:name="_Toc15074"/>
      <w:bookmarkStart w:id="358" w:name="_Toc491609969"/>
      <w:bookmarkStart w:id="359" w:name="_Toc5122"/>
      <w:bookmarkStart w:id="360" w:name="_Toc388619986"/>
      <w:bookmarkStart w:id="361" w:name="_Toc16126"/>
      <w:bookmarkStart w:id="362" w:name="_Toc26398"/>
      <w:r>
        <w:rPr>
          <w:rFonts w:hint="eastAsia" w:cs="Times New Roman"/>
          <w:bCs w:val="0"/>
          <w:snapToGrid w:val="0"/>
          <w:kern w:val="0"/>
          <w:sz w:val="28"/>
          <w:szCs w:val="28"/>
        </w:rPr>
        <w:t>1</w:t>
      </w:r>
      <w:r>
        <w:rPr>
          <w:rFonts w:cs="Times New Roman"/>
          <w:bCs w:val="0"/>
          <w:snapToGrid w:val="0"/>
          <w:kern w:val="0"/>
          <w:sz w:val="28"/>
          <w:szCs w:val="28"/>
        </w:rPr>
        <w:t>.6.2环境保护目标</w:t>
      </w:r>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p>
    <w:p>
      <w:pPr>
        <w:pStyle w:val="52"/>
        <w:tabs>
          <w:tab w:val="left" w:pos="284"/>
        </w:tabs>
        <w:snapToGrid w:val="0"/>
        <w:spacing w:before="120" w:beforeLines="50" w:after="120" w:afterLines="50" w:line="540" w:lineRule="exact"/>
        <w:contextualSpacing/>
        <w:outlineLvl w:val="3"/>
        <w:rPr>
          <w:rFonts w:cs="Times New Roman"/>
          <w:bCs w:val="0"/>
          <w:sz w:val="24"/>
        </w:rPr>
      </w:pPr>
      <w:r>
        <w:rPr>
          <w:rFonts w:hint="eastAsia" w:cs="Times New Roman"/>
          <w:bCs w:val="0"/>
          <w:sz w:val="24"/>
        </w:rPr>
        <w:t>1</w:t>
      </w:r>
      <w:r>
        <w:rPr>
          <w:rFonts w:cs="Times New Roman"/>
          <w:bCs w:val="0"/>
          <w:sz w:val="24"/>
        </w:rPr>
        <w:t>.6.2.1大气环境保护目标</w:t>
      </w:r>
    </w:p>
    <w:p>
      <w:pPr>
        <w:pStyle w:val="43"/>
        <w:adjustRightInd w:val="0"/>
        <w:snapToGrid w:val="0"/>
        <w:spacing w:line="540" w:lineRule="exact"/>
        <w:jc w:val="left"/>
      </w:pPr>
      <w:r>
        <w:rPr>
          <w:snapToGrid w:val="0"/>
        </w:rPr>
        <w:t>本项目位于</w:t>
      </w:r>
      <w:r>
        <w:rPr>
          <w:rFonts w:hint="eastAsia"/>
          <w:kern w:val="0"/>
          <w:szCs w:val="20"/>
        </w:rPr>
        <w:t>固原市隆德县神林乡神林村</w:t>
      </w:r>
      <w:r>
        <w:rPr>
          <w:snapToGrid w:val="0"/>
        </w:rPr>
        <w:t>，本次评价环境空气评价范围为以厂址为中心边长为5×5km的矩形区域作为评价范围，</w:t>
      </w:r>
      <w:r>
        <w:rPr>
          <w:rFonts w:hint="eastAsia"/>
          <w:snapToGrid w:val="0"/>
        </w:rPr>
        <w:t>本项目大气评价范围内无环境空气环境保护目标</w:t>
      </w:r>
      <w:r>
        <w:rPr>
          <w:snapToGrid w:val="0"/>
        </w:rPr>
        <w:t>。</w:t>
      </w:r>
    </w:p>
    <w:p>
      <w:pPr>
        <w:pStyle w:val="43"/>
        <w:adjustRightInd w:val="0"/>
        <w:snapToGrid w:val="0"/>
        <w:spacing w:line="240" w:lineRule="auto"/>
        <w:ind w:firstLine="0" w:firstLineChars="0"/>
        <w:jc w:val="left"/>
        <w:rPr>
          <w:rFonts w:hint="eastAsia" w:eastAsia="宋体"/>
          <w:snapToGrid w:val="0"/>
          <w:lang w:eastAsia="zh-CN"/>
        </w:rPr>
      </w:pPr>
      <w:r>
        <w:rPr>
          <w:rFonts w:hint="eastAsia"/>
          <w:b/>
          <w:bCs/>
          <w:sz w:val="24"/>
        </w:rPr>
        <w:drawing>
          <wp:anchor distT="0" distB="0" distL="114300" distR="114300" simplePos="0" relativeHeight="251686912" behindDoc="0" locked="0" layoutInCell="1" allowOverlap="1">
            <wp:simplePos x="0" y="0"/>
            <wp:positionH relativeFrom="column">
              <wp:posOffset>4561840</wp:posOffset>
            </wp:positionH>
            <wp:positionV relativeFrom="paragraph">
              <wp:posOffset>2952115</wp:posOffset>
            </wp:positionV>
            <wp:extent cx="1189990" cy="284480"/>
            <wp:effectExtent l="0" t="0" r="10160" b="1270"/>
            <wp:wrapNone/>
            <wp:docPr id="108" name="图片 108" descr="d81db369720682942125d032b4188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d81db369720682942125d032b4188dc"/>
                    <pic:cNvPicPr>
                      <a:picLocks noChangeAspect="1"/>
                    </pic:cNvPicPr>
                  </pic:nvPicPr>
                  <pic:blipFill>
                    <a:blip r:embed="rId15"/>
                    <a:stretch>
                      <a:fillRect/>
                    </a:stretch>
                  </pic:blipFill>
                  <pic:spPr>
                    <a:xfrm>
                      <a:off x="0" y="0"/>
                      <a:ext cx="1189990" cy="284480"/>
                    </a:xfrm>
                    <a:prstGeom prst="rect">
                      <a:avLst/>
                    </a:prstGeom>
                  </pic:spPr>
                </pic:pic>
              </a:graphicData>
            </a:graphic>
          </wp:anchor>
        </w:drawing>
      </w:r>
      <w:r>
        <w:rPr>
          <w:rFonts w:ascii="Times New Roman" w:hAnsi="Times New Roman"/>
          <w:b/>
          <w:bCs/>
          <w:sz w:val="24"/>
          <w:highlight w:val="none"/>
        </w:rPr>
        <w:drawing>
          <wp:anchor distT="0" distB="0" distL="114300" distR="114300" simplePos="0" relativeHeight="251680768" behindDoc="0" locked="0" layoutInCell="1" allowOverlap="1">
            <wp:simplePos x="0" y="0"/>
            <wp:positionH relativeFrom="column">
              <wp:posOffset>5091430</wp:posOffset>
            </wp:positionH>
            <wp:positionV relativeFrom="paragraph">
              <wp:posOffset>8890</wp:posOffset>
            </wp:positionV>
            <wp:extent cx="651510" cy="709295"/>
            <wp:effectExtent l="0" t="0" r="15240" b="14605"/>
            <wp:wrapNone/>
            <wp:docPr id="53" name="图片 53" descr="固原市风向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固原市风向玫瑰图"/>
                    <pic:cNvPicPr>
                      <a:picLocks noChangeAspect="1"/>
                    </pic:cNvPicPr>
                  </pic:nvPicPr>
                  <pic:blipFill>
                    <a:blip r:embed="rId17"/>
                    <a:stretch>
                      <a:fillRect/>
                    </a:stretch>
                  </pic:blipFill>
                  <pic:spPr>
                    <a:xfrm>
                      <a:off x="0" y="0"/>
                      <a:ext cx="651510" cy="709295"/>
                    </a:xfrm>
                    <a:prstGeom prst="rect">
                      <a:avLst/>
                    </a:prstGeom>
                  </pic:spPr>
                </pic:pic>
              </a:graphicData>
            </a:graphic>
          </wp:anchor>
        </w:drawing>
      </w:r>
      <w:r>
        <w:rPr>
          <w:rFonts w:hint="eastAsia" w:eastAsia="宋体"/>
          <w:snapToGrid w:val="0"/>
          <w:lang w:eastAsia="zh-CN"/>
        </w:rPr>
        <w:drawing>
          <wp:inline distT="0" distB="0" distL="114300" distR="114300">
            <wp:extent cx="5755640" cy="3243580"/>
            <wp:effectExtent l="0" t="0" r="16510" b="13970"/>
            <wp:docPr id="51" name="图片 5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图片1"/>
                    <pic:cNvPicPr>
                      <a:picLocks noChangeAspect="1"/>
                    </pic:cNvPicPr>
                  </pic:nvPicPr>
                  <pic:blipFill>
                    <a:blip r:embed="rId18"/>
                    <a:stretch>
                      <a:fillRect/>
                    </a:stretch>
                  </pic:blipFill>
                  <pic:spPr>
                    <a:xfrm>
                      <a:off x="0" y="0"/>
                      <a:ext cx="5755640" cy="3243580"/>
                    </a:xfrm>
                    <a:prstGeom prst="rect">
                      <a:avLst/>
                    </a:prstGeom>
                  </pic:spPr>
                </pic:pic>
              </a:graphicData>
            </a:graphic>
          </wp:inline>
        </w:drawing>
      </w:r>
    </w:p>
    <w:p>
      <w:pPr>
        <w:pStyle w:val="15"/>
        <w:ind w:firstLine="0" w:firstLineChars="0"/>
        <w:jc w:val="center"/>
        <w:rPr>
          <w:rFonts w:ascii="Times New Roman" w:hAnsi="Times New Roman"/>
          <w:b/>
          <w:bCs/>
          <w:sz w:val="24"/>
          <w:highlight w:val="none"/>
        </w:rPr>
      </w:pPr>
      <w:r>
        <w:rPr>
          <w:rFonts w:ascii="Times New Roman" w:hAnsi="Times New Roman"/>
          <w:b/>
          <w:bCs/>
          <w:sz w:val="24"/>
          <w:highlight w:val="none"/>
        </w:rPr>
        <w:t>图1.6-1大气环境保护目标图</w:t>
      </w:r>
    </w:p>
    <w:p>
      <w:pPr>
        <w:pStyle w:val="15"/>
        <w:ind w:firstLine="0" w:firstLineChars="0"/>
        <w:jc w:val="center"/>
        <w:rPr>
          <w:rFonts w:ascii="Times New Roman" w:hAnsi="Times New Roman"/>
        </w:rPr>
      </w:pPr>
      <w:r>
        <w:rPr>
          <w:rFonts w:ascii="Times New Roman" w:hAnsi="Times New Roman"/>
          <w:b/>
          <w:bCs/>
          <w:sz w:val="24"/>
        </w:rPr>
        <w:t>表1.6-2   大气环境保护目标</w:t>
      </w:r>
    </w:p>
    <w:tbl>
      <w:tblPr>
        <w:tblStyle w:val="29"/>
        <w:tblW w:w="910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7"/>
        <w:gridCol w:w="1155"/>
        <w:gridCol w:w="1230"/>
        <w:gridCol w:w="1215"/>
        <w:gridCol w:w="735"/>
        <w:gridCol w:w="725"/>
        <w:gridCol w:w="2680"/>
        <w:gridCol w:w="7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restart"/>
            <w:tcBorders>
              <w:tl2br w:val="nil"/>
              <w:tr2bl w:val="nil"/>
            </w:tcBorders>
            <w:vAlign w:val="center"/>
          </w:tcPr>
          <w:p>
            <w:pPr>
              <w:pStyle w:val="9"/>
              <w:adjustRightInd w:val="0"/>
              <w:snapToGrid w:val="0"/>
              <w:ind w:firstLine="0"/>
              <w:jc w:val="center"/>
              <w:rPr>
                <w:rFonts w:ascii="Times New Roman" w:hAnsi="Times New Roman"/>
                <w:b/>
                <w:bCs/>
                <w:szCs w:val="21"/>
              </w:rPr>
            </w:pPr>
            <w:r>
              <w:rPr>
                <w:rFonts w:hint="eastAsia" w:ascii="Times New Roman" w:hAnsi="Times New Roman"/>
                <w:b/>
                <w:bCs/>
                <w:szCs w:val="21"/>
              </w:rPr>
              <w:t>保护对象</w:t>
            </w:r>
          </w:p>
        </w:tc>
        <w:tc>
          <w:tcPr>
            <w:tcW w:w="2385" w:type="dxa"/>
            <w:gridSpan w:val="2"/>
            <w:tcBorders>
              <w:tl2br w:val="nil"/>
              <w:tr2bl w:val="nil"/>
            </w:tcBorders>
            <w:vAlign w:val="center"/>
          </w:tcPr>
          <w:p>
            <w:pPr>
              <w:pStyle w:val="9"/>
              <w:adjustRightInd w:val="0"/>
              <w:snapToGrid w:val="0"/>
              <w:ind w:firstLine="0"/>
              <w:jc w:val="center"/>
              <w:rPr>
                <w:rFonts w:ascii="Times New Roman" w:hAnsi="Times New Roman"/>
                <w:b/>
                <w:bCs/>
                <w:szCs w:val="21"/>
              </w:rPr>
            </w:pPr>
            <w:r>
              <w:rPr>
                <w:rFonts w:ascii="Times New Roman" w:hAnsi="Times New Roman"/>
                <w:b/>
                <w:bCs/>
                <w:szCs w:val="21"/>
              </w:rPr>
              <w:t>坐标</w:t>
            </w:r>
          </w:p>
        </w:tc>
        <w:tc>
          <w:tcPr>
            <w:tcW w:w="5355" w:type="dxa"/>
            <w:gridSpan w:val="4"/>
            <w:tcBorders>
              <w:tl2br w:val="nil"/>
              <w:tr2bl w:val="nil"/>
            </w:tcBorders>
            <w:vAlign w:val="center"/>
          </w:tcPr>
          <w:p>
            <w:pPr>
              <w:pStyle w:val="9"/>
              <w:adjustRightInd w:val="0"/>
              <w:snapToGrid w:val="0"/>
              <w:ind w:firstLine="0"/>
              <w:jc w:val="center"/>
              <w:rPr>
                <w:rFonts w:ascii="Times New Roman" w:hAnsi="Times New Roman"/>
                <w:b/>
                <w:bCs/>
                <w:szCs w:val="21"/>
              </w:rPr>
            </w:pPr>
            <w:r>
              <w:rPr>
                <w:rFonts w:ascii="Times New Roman" w:hAnsi="Times New Roman"/>
                <w:b/>
                <w:bCs/>
                <w:szCs w:val="21"/>
              </w:rPr>
              <w:t>环境保护目标</w:t>
            </w:r>
          </w:p>
        </w:tc>
        <w:tc>
          <w:tcPr>
            <w:tcW w:w="714" w:type="dxa"/>
            <w:vMerge w:val="restart"/>
            <w:tcBorders>
              <w:tl2br w:val="nil"/>
              <w:tr2bl w:val="nil"/>
            </w:tcBorders>
            <w:vAlign w:val="center"/>
          </w:tcPr>
          <w:p>
            <w:pPr>
              <w:pStyle w:val="9"/>
              <w:adjustRightInd w:val="0"/>
              <w:snapToGrid w:val="0"/>
              <w:ind w:firstLine="0"/>
              <w:jc w:val="center"/>
              <w:rPr>
                <w:rFonts w:ascii="Times New Roman" w:hAnsi="Times New Roman"/>
                <w:b/>
                <w:bCs/>
                <w:szCs w:val="21"/>
              </w:rPr>
            </w:pPr>
            <w:r>
              <w:rPr>
                <w:rFonts w:ascii="Times New Roman" w:hAnsi="Times New Roman"/>
                <w:b/>
                <w:bCs/>
                <w:szCs w:val="21"/>
              </w:rPr>
              <w:t>保护要求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rPr>
                <w:rFonts w:ascii="Times New Roman" w:hAnsi="Times New Roman"/>
                <w:b/>
                <w:szCs w:val="21"/>
              </w:rPr>
            </w:pPr>
            <w:r>
              <w:rPr>
                <w:rFonts w:hint="eastAsia" w:ascii="Times New Roman" w:hAnsi="Times New Roman"/>
                <w:b/>
                <w:szCs w:val="21"/>
              </w:rPr>
              <w:t>北纬</w:t>
            </w:r>
          </w:p>
        </w:tc>
        <w:tc>
          <w:tcPr>
            <w:tcW w:w="1230" w:type="dxa"/>
            <w:tcBorders>
              <w:tl2br w:val="nil"/>
              <w:tr2bl w:val="nil"/>
            </w:tcBorders>
            <w:vAlign w:val="center"/>
          </w:tcPr>
          <w:p>
            <w:pPr>
              <w:pStyle w:val="9"/>
              <w:adjustRightInd w:val="0"/>
              <w:snapToGrid w:val="0"/>
              <w:ind w:firstLine="0"/>
              <w:jc w:val="center"/>
              <w:rPr>
                <w:rFonts w:ascii="Times New Roman" w:hAnsi="Times New Roman"/>
                <w:b/>
                <w:szCs w:val="21"/>
              </w:rPr>
            </w:pPr>
            <w:r>
              <w:rPr>
                <w:rFonts w:hint="eastAsia" w:ascii="Times New Roman" w:hAnsi="Times New Roman"/>
                <w:b/>
                <w:szCs w:val="21"/>
              </w:rPr>
              <w:t>东经</w:t>
            </w:r>
          </w:p>
        </w:tc>
        <w:tc>
          <w:tcPr>
            <w:tcW w:w="1215" w:type="dxa"/>
            <w:tcBorders>
              <w:tl2br w:val="nil"/>
              <w:tr2bl w:val="nil"/>
            </w:tcBorders>
            <w:vAlign w:val="center"/>
          </w:tcPr>
          <w:p>
            <w:pPr>
              <w:pStyle w:val="57"/>
              <w:autoSpaceDE/>
              <w:autoSpaceDN/>
              <w:snapToGrid w:val="0"/>
              <w:rPr>
                <w:rFonts w:ascii="Times New Roman" w:hAnsi="Times New Roman"/>
                <w:b/>
              </w:rPr>
            </w:pPr>
            <w:r>
              <w:rPr>
                <w:rFonts w:hint="eastAsia" w:ascii="Times New Roman" w:hAnsi="Times New Roman"/>
                <w:b/>
              </w:rPr>
              <w:t>名称</w:t>
            </w:r>
          </w:p>
        </w:tc>
        <w:tc>
          <w:tcPr>
            <w:tcW w:w="735" w:type="dxa"/>
            <w:tcBorders>
              <w:tl2br w:val="nil"/>
              <w:tr2bl w:val="nil"/>
            </w:tcBorders>
            <w:vAlign w:val="center"/>
          </w:tcPr>
          <w:p>
            <w:pPr>
              <w:adjustRightInd w:val="0"/>
              <w:snapToGrid w:val="0"/>
              <w:jc w:val="center"/>
              <w:rPr>
                <w:b/>
                <w:kern w:val="0"/>
                <w:szCs w:val="21"/>
              </w:rPr>
            </w:pPr>
            <w:r>
              <w:rPr>
                <w:rFonts w:hint="eastAsia"/>
                <w:b/>
                <w:kern w:val="0"/>
                <w:szCs w:val="21"/>
              </w:rPr>
              <w:t>方位</w:t>
            </w:r>
          </w:p>
        </w:tc>
        <w:tc>
          <w:tcPr>
            <w:tcW w:w="725" w:type="dxa"/>
            <w:tcBorders>
              <w:tl2br w:val="nil"/>
              <w:tr2bl w:val="nil"/>
            </w:tcBorders>
            <w:vAlign w:val="center"/>
          </w:tcPr>
          <w:p>
            <w:pPr>
              <w:pStyle w:val="9"/>
              <w:adjustRightInd w:val="0"/>
              <w:snapToGrid w:val="0"/>
              <w:ind w:firstLine="0"/>
              <w:jc w:val="center"/>
              <w:rPr>
                <w:rFonts w:ascii="Times New Roman" w:hAnsi="Times New Roman"/>
                <w:b/>
                <w:szCs w:val="21"/>
              </w:rPr>
            </w:pPr>
            <w:r>
              <w:rPr>
                <w:rFonts w:hint="eastAsia" w:ascii="Times New Roman" w:hAnsi="Times New Roman"/>
                <w:b/>
                <w:szCs w:val="21"/>
              </w:rPr>
              <w:t>距离（m）</w:t>
            </w:r>
          </w:p>
        </w:tc>
        <w:tc>
          <w:tcPr>
            <w:tcW w:w="2680" w:type="dxa"/>
            <w:tcBorders>
              <w:tl2br w:val="nil"/>
              <w:tr2bl w:val="nil"/>
            </w:tcBorders>
            <w:vAlign w:val="center"/>
          </w:tcPr>
          <w:p>
            <w:pPr>
              <w:pStyle w:val="9"/>
              <w:adjustRightInd w:val="0"/>
              <w:snapToGrid w:val="0"/>
              <w:ind w:firstLine="0"/>
              <w:jc w:val="center"/>
              <w:rPr>
                <w:rFonts w:ascii="Times New Roman" w:hAnsi="Times New Roman"/>
                <w:b/>
                <w:szCs w:val="21"/>
              </w:rPr>
            </w:pPr>
            <w:r>
              <w:rPr>
                <w:rFonts w:hint="eastAsia" w:ascii="Times New Roman" w:hAnsi="Times New Roman"/>
                <w:b/>
                <w:szCs w:val="21"/>
              </w:rPr>
              <w:t>功能</w:t>
            </w:r>
          </w:p>
        </w:tc>
        <w:tc>
          <w:tcPr>
            <w:tcW w:w="714" w:type="dxa"/>
            <w:vMerge w:val="continue"/>
            <w:tcBorders>
              <w:tl2br w:val="nil"/>
              <w:tr2bl w:val="nil"/>
            </w:tcBorders>
            <w:vAlign w:val="center"/>
          </w:tcPr>
          <w:p>
            <w:pPr>
              <w:pStyle w:val="57"/>
              <w:autoSpaceDE/>
              <w:autoSpaceDN/>
              <w:snapToGrid w:val="0"/>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restart"/>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环境空气</w:t>
            </w: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color w:val="auto"/>
                <w:szCs w:val="21"/>
              </w:rPr>
            </w:pPr>
            <w:r>
              <w:rPr>
                <w:rFonts w:ascii="Times New Roman" w:hAnsi="Times New Roman"/>
                <w:color w:val="auto"/>
                <w:szCs w:val="21"/>
              </w:rPr>
              <w:t>3</w:t>
            </w:r>
            <w:r>
              <w:rPr>
                <w:rFonts w:hint="eastAsia" w:ascii="Times New Roman" w:hAnsi="Times New Roman"/>
                <w:color w:val="auto"/>
                <w:szCs w:val="21"/>
              </w:rPr>
              <w:t>5</w:t>
            </w:r>
            <w:r>
              <w:rPr>
                <w:rFonts w:ascii="Times New Roman" w:hAnsi="Times New Roman"/>
                <w:color w:val="auto"/>
                <w:szCs w:val="21"/>
              </w:rPr>
              <w:t>°</w:t>
            </w:r>
            <w:r>
              <w:rPr>
                <w:rFonts w:hint="eastAsia" w:ascii="Times New Roman" w:hAnsi="Times New Roman"/>
                <w:color w:val="auto"/>
                <w:szCs w:val="21"/>
              </w:rPr>
              <w:t>34</w:t>
            </w:r>
            <w:r>
              <w:rPr>
                <w:rFonts w:ascii="Times New Roman" w:hAnsi="Times New Roman"/>
                <w:color w:val="auto"/>
                <w:szCs w:val="21"/>
              </w:rPr>
              <w:t>'</w:t>
            </w:r>
            <w:r>
              <w:rPr>
                <w:rFonts w:hint="eastAsia" w:ascii="Times New Roman" w:hAnsi="Times New Roman"/>
                <w:color w:val="auto"/>
                <w:szCs w:val="21"/>
              </w:rPr>
              <w:t>21</w:t>
            </w:r>
            <w:r>
              <w:rPr>
                <w:rFonts w:ascii="Times New Roman" w:hAnsi="Times New Roman"/>
                <w:color w:val="auto"/>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color w:val="auto"/>
                <w:szCs w:val="21"/>
              </w:rPr>
            </w:pPr>
            <w:r>
              <w:rPr>
                <w:rFonts w:ascii="Times New Roman" w:hAnsi="Times New Roman"/>
                <w:color w:val="auto"/>
                <w:szCs w:val="21"/>
              </w:rPr>
              <w:t>10</w:t>
            </w:r>
            <w:r>
              <w:rPr>
                <w:rFonts w:hint="eastAsia" w:ascii="Times New Roman" w:hAnsi="Times New Roman"/>
                <w:color w:val="auto"/>
                <w:szCs w:val="21"/>
              </w:rPr>
              <w:t>5</w:t>
            </w:r>
            <w:r>
              <w:rPr>
                <w:rFonts w:ascii="Times New Roman" w:hAnsi="Times New Roman"/>
                <w:color w:val="auto"/>
                <w:szCs w:val="21"/>
              </w:rPr>
              <w:t>°</w:t>
            </w:r>
            <w:r>
              <w:rPr>
                <w:rFonts w:hint="eastAsia" w:ascii="Times New Roman" w:hAnsi="Times New Roman"/>
                <w:color w:val="auto"/>
                <w:szCs w:val="21"/>
              </w:rPr>
              <w:t>55</w:t>
            </w:r>
            <w:r>
              <w:rPr>
                <w:rFonts w:ascii="Times New Roman" w:hAnsi="Times New Roman"/>
                <w:color w:val="auto"/>
                <w:szCs w:val="21"/>
              </w:rPr>
              <w:t>'</w:t>
            </w:r>
            <w:r>
              <w:rPr>
                <w:rFonts w:hint="eastAsia" w:ascii="Times New Roman" w:hAnsi="Times New Roman"/>
                <w:color w:val="auto"/>
                <w:szCs w:val="21"/>
              </w:rPr>
              <w:t>21</w:t>
            </w:r>
            <w:r>
              <w:rPr>
                <w:rFonts w:ascii="Times New Roman" w:hAnsi="Times New Roman"/>
                <w:color w:val="auto"/>
                <w:szCs w:val="21"/>
              </w:rPr>
              <w:t>"</w:t>
            </w:r>
          </w:p>
        </w:tc>
        <w:tc>
          <w:tcPr>
            <w:tcW w:w="1215" w:type="dxa"/>
            <w:tcBorders>
              <w:tl2br w:val="nil"/>
              <w:tr2bl w:val="nil"/>
            </w:tcBorders>
            <w:vAlign w:val="center"/>
          </w:tcPr>
          <w:p>
            <w:pPr>
              <w:pStyle w:val="57"/>
              <w:autoSpaceDE/>
              <w:autoSpaceDN/>
              <w:snapToGrid w:val="0"/>
              <w:rPr>
                <w:rFonts w:ascii="Times New Roman" w:hAnsi="Times New Roman"/>
                <w:color w:val="auto"/>
              </w:rPr>
            </w:pPr>
            <w:r>
              <w:rPr>
                <w:rFonts w:hint="eastAsia" w:ascii="Times New Roman" w:hAnsi="Times New Roman"/>
                <w:color w:val="auto"/>
              </w:rPr>
              <w:t>神林村</w:t>
            </w:r>
          </w:p>
        </w:tc>
        <w:tc>
          <w:tcPr>
            <w:tcW w:w="735" w:type="dxa"/>
            <w:tcBorders>
              <w:tl2br w:val="nil"/>
              <w:tr2bl w:val="nil"/>
            </w:tcBorders>
            <w:vAlign w:val="center"/>
          </w:tcPr>
          <w:p>
            <w:pPr>
              <w:adjustRightInd w:val="0"/>
              <w:snapToGrid w:val="0"/>
              <w:jc w:val="center"/>
              <w:rPr>
                <w:color w:val="auto"/>
                <w:kern w:val="0"/>
                <w:szCs w:val="21"/>
              </w:rPr>
            </w:pPr>
            <w:r>
              <w:rPr>
                <w:rFonts w:hint="eastAsia"/>
                <w:color w:val="auto"/>
                <w:kern w:val="0"/>
                <w:szCs w:val="21"/>
              </w:rPr>
              <w:t>北</w:t>
            </w:r>
          </w:p>
        </w:tc>
        <w:tc>
          <w:tcPr>
            <w:tcW w:w="725" w:type="dxa"/>
            <w:tcBorders>
              <w:tl2br w:val="nil"/>
              <w:tr2bl w:val="nil"/>
            </w:tcBorders>
            <w:vAlign w:val="center"/>
          </w:tcPr>
          <w:p>
            <w:pPr>
              <w:pStyle w:val="9"/>
              <w:adjustRightInd w:val="0"/>
              <w:snapToGrid w:val="0"/>
              <w:ind w:firstLine="0"/>
              <w:jc w:val="center"/>
              <w:rPr>
                <w:rFonts w:ascii="Times New Roman" w:hAnsi="Times New Roman"/>
                <w:color w:val="auto"/>
                <w:szCs w:val="21"/>
              </w:rPr>
            </w:pPr>
            <w:r>
              <w:rPr>
                <w:rFonts w:hint="eastAsia" w:ascii="Times New Roman" w:hAnsi="Times New Roman"/>
                <w:color w:val="auto"/>
                <w:szCs w:val="21"/>
                <w:lang w:val="en-US" w:eastAsia="zh-CN"/>
              </w:rPr>
              <w:t>5</w:t>
            </w:r>
            <w:r>
              <w:rPr>
                <w:rFonts w:hint="eastAsia" w:ascii="Times New Roman" w:hAnsi="Times New Roman"/>
                <w:color w:val="auto"/>
                <w:szCs w:val="21"/>
              </w:rPr>
              <w:t>82</w:t>
            </w:r>
          </w:p>
        </w:tc>
        <w:tc>
          <w:tcPr>
            <w:tcW w:w="2680" w:type="dxa"/>
            <w:tcBorders>
              <w:tl2br w:val="nil"/>
              <w:tr2bl w:val="nil"/>
            </w:tcBorders>
            <w:vAlign w:val="center"/>
          </w:tcPr>
          <w:p>
            <w:pPr>
              <w:pStyle w:val="9"/>
              <w:adjustRightInd w:val="0"/>
              <w:snapToGrid w:val="0"/>
              <w:ind w:firstLine="0"/>
              <w:jc w:val="center"/>
              <w:rPr>
                <w:rFonts w:ascii="Times New Roman" w:hAnsi="Times New Roman"/>
                <w:color w:val="auto"/>
                <w:szCs w:val="21"/>
              </w:rPr>
            </w:pPr>
            <w:r>
              <w:rPr>
                <w:rFonts w:ascii="Times New Roman" w:hAnsi="Times New Roman"/>
                <w:color w:val="auto"/>
                <w:szCs w:val="21"/>
              </w:rPr>
              <w:t>居住/</w:t>
            </w:r>
            <w:r>
              <w:rPr>
                <w:rFonts w:hint="eastAsia" w:ascii="Times New Roman" w:hAnsi="Times New Roman"/>
                <w:color w:val="auto"/>
                <w:szCs w:val="21"/>
              </w:rPr>
              <w:t>350</w:t>
            </w:r>
            <w:r>
              <w:rPr>
                <w:rFonts w:ascii="Times New Roman" w:hAnsi="Times New Roman"/>
                <w:color w:val="auto"/>
                <w:szCs w:val="21"/>
              </w:rPr>
              <w:t>户（有</w:t>
            </w:r>
            <w:r>
              <w:rPr>
                <w:rFonts w:hint="eastAsia" w:ascii="Times New Roman" w:hAnsi="Times New Roman"/>
                <w:color w:val="auto"/>
                <w:szCs w:val="21"/>
              </w:rPr>
              <w:t>神林小学</w:t>
            </w:r>
            <w:r>
              <w:rPr>
                <w:rFonts w:ascii="Times New Roman" w:hAnsi="Times New Roman"/>
                <w:color w:val="auto"/>
                <w:szCs w:val="21"/>
              </w:rPr>
              <w:t>）</w:t>
            </w:r>
          </w:p>
        </w:tc>
        <w:tc>
          <w:tcPr>
            <w:tcW w:w="714" w:type="dxa"/>
            <w:vMerge w:val="restart"/>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满足《环境空气质量标准》（GB3095-2012）中二级标准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51</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r>
              <w:rPr>
                <w:rFonts w:hint="eastAsia" w:ascii="Times New Roman" w:hAnsi="Times New Roman"/>
                <w:szCs w:val="21"/>
              </w:rPr>
              <w:t>2</w:t>
            </w:r>
            <w:r>
              <w:rPr>
                <w:rFonts w:ascii="Times New Roman" w:hAnsi="Times New Roman"/>
                <w:szCs w:val="21"/>
              </w:rPr>
              <w:t>"</w:t>
            </w:r>
          </w:p>
        </w:tc>
        <w:tc>
          <w:tcPr>
            <w:tcW w:w="1215" w:type="dxa"/>
            <w:tcBorders>
              <w:tl2br w:val="nil"/>
              <w:tr2bl w:val="nil"/>
            </w:tcBorders>
            <w:vAlign w:val="center"/>
          </w:tcPr>
          <w:p>
            <w:pPr>
              <w:pStyle w:val="57"/>
              <w:autoSpaceDE/>
              <w:autoSpaceDN/>
              <w:snapToGrid w:val="0"/>
              <w:jc w:val="both"/>
              <w:rPr>
                <w:rFonts w:ascii="Times New Roman" w:hAnsi="Times New Roman"/>
              </w:rPr>
            </w:pPr>
            <w:r>
              <w:rPr>
                <w:rFonts w:hint="eastAsia" w:ascii="Times New Roman" w:hAnsi="Times New Roman"/>
              </w:rPr>
              <w:t>阎家庄子</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北</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882</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120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47</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54</w:t>
            </w:r>
            <w:r>
              <w:rPr>
                <w:rFonts w:ascii="Times New Roman" w:hAnsi="Times New Roman"/>
                <w:szCs w:val="21"/>
              </w:rPr>
              <w:t>'</w:t>
            </w:r>
            <w:r>
              <w:rPr>
                <w:rFonts w:hint="eastAsia" w:ascii="Times New Roman" w:hAnsi="Times New Roman"/>
                <w:szCs w:val="21"/>
              </w:rPr>
              <w:t>30</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阎庄村</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西北</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1263</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40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25</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54</w:t>
            </w:r>
            <w:r>
              <w:rPr>
                <w:rFonts w:ascii="Times New Roman" w:hAnsi="Times New Roman"/>
                <w:szCs w:val="21"/>
              </w:rPr>
              <w:t>'</w:t>
            </w:r>
            <w:r>
              <w:rPr>
                <w:rFonts w:hint="eastAsia" w:ascii="Times New Roman" w:hAnsi="Times New Roman"/>
                <w:szCs w:val="21"/>
              </w:rPr>
              <w:t>21</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刘家庄</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西北</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1430</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50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39</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54</w:t>
            </w:r>
            <w:r>
              <w:rPr>
                <w:rFonts w:ascii="Times New Roman" w:hAnsi="Times New Roman"/>
                <w:szCs w:val="21"/>
              </w:rPr>
              <w:t>'</w:t>
            </w:r>
            <w:r>
              <w:rPr>
                <w:rFonts w:hint="eastAsia" w:ascii="Times New Roman" w:hAnsi="Times New Roman"/>
                <w:szCs w:val="21"/>
              </w:rPr>
              <w:t>10</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陶袁家</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西北</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1611</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55</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29</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53</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辛家庄</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西</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1925</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230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14</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53</w:t>
            </w:r>
            <w:r>
              <w:rPr>
                <w:rFonts w:ascii="Times New Roman" w:hAnsi="Times New Roman"/>
                <w:szCs w:val="21"/>
              </w:rPr>
              <w:t>'</w:t>
            </w:r>
            <w:r>
              <w:rPr>
                <w:rFonts w:hint="eastAsia" w:ascii="Times New Roman" w:hAnsi="Times New Roman"/>
                <w:szCs w:val="21"/>
              </w:rPr>
              <w:t>42</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辛平村</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西</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2229</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200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0</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53</w:t>
            </w:r>
            <w:r>
              <w:rPr>
                <w:rFonts w:ascii="Times New Roman" w:hAnsi="Times New Roman"/>
                <w:szCs w:val="21"/>
              </w:rPr>
              <w:t>'</w:t>
            </w:r>
            <w:r>
              <w:rPr>
                <w:rFonts w:hint="eastAsia" w:ascii="Times New Roman" w:hAnsi="Times New Roman"/>
                <w:szCs w:val="21"/>
              </w:rPr>
              <w:t>54</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神林乡双村</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西</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2011</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300</w:t>
            </w:r>
            <w:r>
              <w:rPr>
                <w:rFonts w:ascii="Times New Roman" w:hAnsi="Times New Roman"/>
                <w:szCs w:val="21"/>
              </w:rPr>
              <w:t>户（有</w:t>
            </w:r>
            <w:r>
              <w:rPr>
                <w:rFonts w:hint="eastAsia" w:ascii="Times New Roman" w:hAnsi="Times New Roman"/>
                <w:szCs w:val="21"/>
              </w:rPr>
              <w:t>双村小学</w:t>
            </w:r>
            <w:r>
              <w:rPr>
                <w:rFonts w:ascii="Times New Roman" w:hAnsi="Times New Roman"/>
                <w:szCs w:val="21"/>
              </w:rPr>
              <w:t>）</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33</w:t>
            </w:r>
            <w:r>
              <w:rPr>
                <w:rFonts w:ascii="Times New Roman" w:hAnsi="Times New Roman"/>
                <w:szCs w:val="21"/>
              </w:rPr>
              <w:t>'</w:t>
            </w:r>
            <w:r>
              <w:rPr>
                <w:rFonts w:hint="eastAsia" w:ascii="Times New Roman" w:hAnsi="Times New Roman"/>
                <w:szCs w:val="21"/>
              </w:rPr>
              <w:t>41</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54</w:t>
            </w:r>
            <w:r>
              <w:rPr>
                <w:rFonts w:ascii="Times New Roman" w:hAnsi="Times New Roman"/>
                <w:szCs w:val="21"/>
              </w:rPr>
              <w:t>'</w:t>
            </w:r>
            <w:r>
              <w:rPr>
                <w:rFonts w:hint="eastAsia" w:ascii="Times New Roman" w:hAnsi="Times New Roman"/>
                <w:szCs w:val="21"/>
              </w:rPr>
              <w:t>19</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周家咀头</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西南</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1797</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50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33</w:t>
            </w:r>
            <w:r>
              <w:rPr>
                <w:rFonts w:ascii="Times New Roman" w:hAnsi="Times New Roman"/>
                <w:szCs w:val="21"/>
              </w:rPr>
              <w:t>'</w:t>
            </w:r>
            <w:r>
              <w:rPr>
                <w:rFonts w:hint="eastAsia" w:ascii="Times New Roman" w:hAnsi="Times New Roman"/>
                <w:szCs w:val="21"/>
              </w:rPr>
              <w:t>24</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r>
              <w:rPr>
                <w:rFonts w:hint="eastAsia" w:ascii="Times New Roman" w:hAnsi="Times New Roman"/>
                <w:szCs w:val="21"/>
              </w:rPr>
              <w:t>9</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辛桃李</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南</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1669</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55</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33</w:t>
            </w:r>
            <w:r>
              <w:rPr>
                <w:rFonts w:ascii="Times New Roman" w:hAnsi="Times New Roman"/>
                <w:szCs w:val="21"/>
              </w:rPr>
              <w:t>'</w:t>
            </w:r>
            <w:r>
              <w:rPr>
                <w:rFonts w:hint="eastAsia" w:ascii="Times New Roman" w:hAnsi="Times New Roman"/>
                <w:szCs w:val="21"/>
              </w:rPr>
              <w:t>22</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r>
              <w:rPr>
                <w:rFonts w:hint="eastAsia" w:ascii="Times New Roman" w:hAnsi="Times New Roman"/>
                <w:szCs w:val="21"/>
              </w:rPr>
              <w:t>30</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桃李村</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南</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1785</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40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33</w:t>
            </w:r>
            <w:r>
              <w:rPr>
                <w:rFonts w:ascii="Times New Roman" w:hAnsi="Times New Roman"/>
                <w:szCs w:val="21"/>
              </w:rPr>
              <w:t>'</w:t>
            </w:r>
            <w:r>
              <w:rPr>
                <w:rFonts w:hint="eastAsia" w:ascii="Times New Roman" w:hAnsi="Times New Roman"/>
                <w:szCs w:val="21"/>
              </w:rPr>
              <w:t>49</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r>
              <w:rPr>
                <w:rFonts w:hint="eastAsia" w:ascii="Times New Roman" w:hAnsi="Times New Roman"/>
                <w:szCs w:val="21"/>
              </w:rPr>
              <w:t>25</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下短岔</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南</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955</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50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3</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r>
              <w:rPr>
                <w:rFonts w:hint="eastAsia" w:ascii="Times New Roman" w:hAnsi="Times New Roman"/>
                <w:szCs w:val="21"/>
              </w:rPr>
              <w:t>56</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上岔村</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东南</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1106</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60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33</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56</w:t>
            </w:r>
            <w:r>
              <w:rPr>
                <w:rFonts w:ascii="Times New Roman" w:hAnsi="Times New Roman"/>
                <w:szCs w:val="21"/>
              </w:rPr>
              <w:t>'</w:t>
            </w:r>
            <w:r>
              <w:rPr>
                <w:rFonts w:hint="eastAsia" w:ascii="Times New Roman" w:hAnsi="Times New Roman"/>
                <w:szCs w:val="21"/>
              </w:rPr>
              <w:t>45</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时家河</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东</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2161</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50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56</w:t>
            </w:r>
            <w:r>
              <w:rPr>
                <w:rFonts w:ascii="Times New Roman" w:hAnsi="Times New Roman"/>
                <w:szCs w:val="21"/>
              </w:rPr>
              <w:t>'</w:t>
            </w:r>
            <w:r>
              <w:rPr>
                <w:rFonts w:hint="eastAsia" w:ascii="Times New Roman" w:hAnsi="Times New Roman"/>
                <w:szCs w:val="21"/>
              </w:rPr>
              <w:t>8</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李妥上汉堡子</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东北</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1481</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300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647"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c>
          <w:tcPr>
            <w:tcW w:w="1155"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50</w:t>
            </w:r>
            <w:r>
              <w:rPr>
                <w:rFonts w:ascii="Times New Roman" w:hAnsi="Times New Roman"/>
                <w:szCs w:val="21"/>
              </w:rPr>
              <w:t>"</w:t>
            </w:r>
          </w:p>
        </w:tc>
        <w:tc>
          <w:tcPr>
            <w:tcW w:w="1230" w:type="dxa"/>
            <w:tcBorders>
              <w:tl2br w:val="nil"/>
              <w:tr2bl w:val="nil"/>
            </w:tcBorders>
            <w:vAlign w:val="center"/>
          </w:tcPr>
          <w:p>
            <w:pPr>
              <w:pStyle w:val="9"/>
              <w:adjustRightInd w:val="0"/>
              <w:snapToGrid w:val="0"/>
              <w:ind w:firstLine="0"/>
              <w:jc w:val="center"/>
              <w:textAlignment w:val="baseline"/>
              <w:rPr>
                <w:rFonts w:ascii="Times New Roman" w:hAnsi="Times New Roman"/>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56</w:t>
            </w:r>
            <w:r>
              <w:rPr>
                <w:rFonts w:ascii="Times New Roman" w:hAnsi="Times New Roman"/>
                <w:szCs w:val="21"/>
              </w:rPr>
              <w:t>'</w:t>
            </w:r>
            <w:r>
              <w:rPr>
                <w:rFonts w:hint="eastAsia" w:ascii="Times New Roman" w:hAnsi="Times New Roman"/>
                <w:szCs w:val="21"/>
              </w:rPr>
              <w:t>6</w:t>
            </w:r>
            <w:r>
              <w:rPr>
                <w:rFonts w:ascii="Times New Roman" w:hAnsi="Times New Roman"/>
                <w:szCs w:val="21"/>
              </w:rPr>
              <w:t>"</w:t>
            </w:r>
          </w:p>
        </w:tc>
        <w:tc>
          <w:tcPr>
            <w:tcW w:w="1215" w:type="dxa"/>
            <w:tcBorders>
              <w:tl2br w:val="nil"/>
              <w:tr2bl w:val="nil"/>
            </w:tcBorders>
            <w:vAlign w:val="center"/>
          </w:tcPr>
          <w:p>
            <w:pPr>
              <w:pStyle w:val="57"/>
              <w:autoSpaceDE/>
              <w:autoSpaceDN/>
              <w:snapToGrid w:val="0"/>
              <w:rPr>
                <w:rFonts w:ascii="Times New Roman" w:hAnsi="Times New Roman"/>
              </w:rPr>
            </w:pPr>
            <w:r>
              <w:rPr>
                <w:rFonts w:hint="eastAsia" w:ascii="Times New Roman" w:hAnsi="Times New Roman"/>
              </w:rPr>
              <w:t>庞庄村</w:t>
            </w:r>
          </w:p>
        </w:tc>
        <w:tc>
          <w:tcPr>
            <w:tcW w:w="735" w:type="dxa"/>
            <w:tcBorders>
              <w:tl2br w:val="nil"/>
              <w:tr2bl w:val="nil"/>
            </w:tcBorders>
            <w:vAlign w:val="center"/>
          </w:tcPr>
          <w:p>
            <w:pPr>
              <w:adjustRightInd w:val="0"/>
              <w:snapToGrid w:val="0"/>
              <w:jc w:val="center"/>
              <w:rPr>
                <w:kern w:val="0"/>
                <w:szCs w:val="21"/>
              </w:rPr>
            </w:pPr>
            <w:r>
              <w:rPr>
                <w:rFonts w:hint="eastAsia"/>
                <w:kern w:val="0"/>
                <w:szCs w:val="21"/>
              </w:rPr>
              <w:t>东北</w:t>
            </w:r>
          </w:p>
        </w:tc>
        <w:tc>
          <w:tcPr>
            <w:tcW w:w="725" w:type="dxa"/>
            <w:tcBorders>
              <w:tl2br w:val="nil"/>
              <w:tr2bl w:val="nil"/>
            </w:tcBorders>
            <w:vAlign w:val="center"/>
          </w:tcPr>
          <w:p>
            <w:pPr>
              <w:pStyle w:val="9"/>
              <w:adjustRightInd w:val="0"/>
              <w:snapToGrid w:val="0"/>
              <w:ind w:firstLine="0"/>
              <w:jc w:val="center"/>
              <w:rPr>
                <w:rFonts w:ascii="Times New Roman" w:hAnsi="Times New Roman"/>
                <w:szCs w:val="21"/>
              </w:rPr>
            </w:pPr>
            <w:r>
              <w:rPr>
                <w:rFonts w:hint="eastAsia" w:ascii="Times New Roman" w:hAnsi="Times New Roman"/>
                <w:szCs w:val="21"/>
              </w:rPr>
              <w:t>1341</w:t>
            </w:r>
          </w:p>
        </w:tc>
        <w:tc>
          <w:tcPr>
            <w:tcW w:w="2680" w:type="dxa"/>
            <w:tcBorders>
              <w:tl2br w:val="nil"/>
              <w:tr2bl w:val="nil"/>
            </w:tcBorders>
            <w:vAlign w:val="center"/>
          </w:tcPr>
          <w:p>
            <w:pPr>
              <w:pStyle w:val="9"/>
              <w:adjustRightInd w:val="0"/>
              <w:snapToGrid w:val="0"/>
              <w:ind w:firstLine="0"/>
              <w:jc w:val="center"/>
              <w:rPr>
                <w:rFonts w:ascii="Times New Roman" w:hAnsi="Times New Roman"/>
                <w:szCs w:val="21"/>
              </w:rPr>
            </w:pPr>
            <w:r>
              <w:rPr>
                <w:rFonts w:ascii="Times New Roman" w:hAnsi="Times New Roman"/>
                <w:szCs w:val="21"/>
              </w:rPr>
              <w:t>居住/</w:t>
            </w:r>
            <w:r>
              <w:rPr>
                <w:rFonts w:hint="eastAsia" w:ascii="Times New Roman" w:hAnsi="Times New Roman"/>
                <w:szCs w:val="21"/>
              </w:rPr>
              <w:t>300</w:t>
            </w:r>
            <w:r>
              <w:rPr>
                <w:rFonts w:ascii="Times New Roman" w:hAnsi="Times New Roman"/>
                <w:szCs w:val="21"/>
              </w:rPr>
              <w:t>户</w:t>
            </w:r>
          </w:p>
        </w:tc>
        <w:tc>
          <w:tcPr>
            <w:tcW w:w="714" w:type="dxa"/>
            <w:vMerge w:val="continue"/>
            <w:tcBorders>
              <w:tl2br w:val="nil"/>
              <w:tr2bl w:val="nil"/>
            </w:tcBorders>
            <w:vAlign w:val="center"/>
          </w:tcPr>
          <w:p>
            <w:pPr>
              <w:pStyle w:val="9"/>
              <w:adjustRightInd w:val="0"/>
              <w:snapToGrid w:val="0"/>
              <w:ind w:firstLine="0"/>
              <w:jc w:val="center"/>
              <w:rPr>
                <w:rFonts w:ascii="Times New Roman" w:hAnsi="Times New Roman"/>
                <w:szCs w:val="21"/>
              </w:rPr>
            </w:pPr>
          </w:p>
        </w:tc>
      </w:tr>
    </w:tbl>
    <w:p>
      <w:pPr>
        <w:pStyle w:val="43"/>
        <w:adjustRightInd w:val="0"/>
        <w:snapToGrid w:val="0"/>
        <w:spacing w:line="540" w:lineRule="exact"/>
        <w:ind w:firstLine="0" w:firstLineChars="0"/>
        <w:outlineLvl w:val="3"/>
        <w:rPr>
          <w:b/>
        </w:rPr>
      </w:pPr>
      <w:r>
        <w:rPr>
          <w:rFonts w:hint="eastAsia"/>
          <w:b/>
        </w:rPr>
        <w:t>1</w:t>
      </w:r>
      <w:r>
        <w:rPr>
          <w:b/>
        </w:rPr>
        <w:t>.6.2.</w:t>
      </w:r>
      <w:r>
        <w:rPr>
          <w:rFonts w:hint="eastAsia"/>
          <w:b/>
        </w:rPr>
        <w:t>2地表水</w:t>
      </w:r>
      <w:r>
        <w:rPr>
          <w:b/>
        </w:rPr>
        <w:t>环境保护目标</w:t>
      </w:r>
    </w:p>
    <w:p>
      <w:pPr>
        <w:pStyle w:val="27"/>
        <w:widowControl w:val="0"/>
        <w:autoSpaceDE w:val="0"/>
        <w:autoSpaceDN w:val="0"/>
        <w:spacing w:before="0" w:beforeAutospacing="0" w:after="0" w:afterAutospacing="0" w:line="540" w:lineRule="exact"/>
        <w:ind w:left="113" w:right="176" w:firstLine="482"/>
        <w:rPr>
          <w:rFonts w:cs="宋体"/>
          <w:b/>
          <w:bCs/>
        </w:rPr>
      </w:pPr>
      <w:r>
        <w:rPr>
          <w:rFonts w:ascii="Times New Roman" w:hAnsi="Times New Roman"/>
          <w:snapToGrid w:val="0"/>
          <w:kern w:val="2"/>
        </w:rPr>
        <w:t>本项目所在区域主要地表水体为</w:t>
      </w:r>
      <w:r>
        <w:rPr>
          <w:rFonts w:hint="eastAsia" w:ascii="Times New Roman" w:hAnsi="Times New Roman"/>
          <w:snapToGrid w:val="0"/>
          <w:kern w:val="2"/>
        </w:rPr>
        <w:t>渝</w:t>
      </w:r>
      <w:r>
        <w:rPr>
          <w:rFonts w:ascii="Times New Roman" w:hAnsi="Times New Roman"/>
          <w:snapToGrid w:val="0"/>
          <w:kern w:val="2"/>
        </w:rPr>
        <w:t>河，保护要求达到《地表水环境质量标准》（GB3838-2002）中</w:t>
      </w:r>
      <w:r>
        <w:rPr>
          <w:rFonts w:ascii="Times New Roman" w:hAnsi="Times New Roman"/>
          <w:snapToGrid w:val="0"/>
          <w:kern w:val="2"/>
        </w:rPr>
        <w:fldChar w:fldCharType="begin"/>
      </w:r>
      <w:r>
        <w:rPr>
          <w:rFonts w:ascii="Times New Roman" w:hAnsi="Times New Roman"/>
          <w:snapToGrid w:val="0"/>
          <w:kern w:val="2"/>
        </w:rPr>
        <w:instrText xml:space="preserve"> = 3 \* ROMAN \* MERGEFORMAT </w:instrText>
      </w:r>
      <w:r>
        <w:rPr>
          <w:rFonts w:ascii="Times New Roman" w:hAnsi="Times New Roman"/>
          <w:snapToGrid w:val="0"/>
          <w:kern w:val="2"/>
        </w:rPr>
        <w:fldChar w:fldCharType="separate"/>
      </w:r>
      <w:r>
        <w:rPr>
          <w:rFonts w:ascii="Times New Roman" w:hAnsi="Times New Roman"/>
        </w:rPr>
        <w:t>III</w:t>
      </w:r>
      <w:r>
        <w:rPr>
          <w:rFonts w:ascii="Times New Roman" w:hAnsi="Times New Roman"/>
          <w:snapToGrid w:val="0"/>
          <w:kern w:val="2"/>
        </w:rPr>
        <w:fldChar w:fldCharType="end"/>
      </w:r>
      <w:r>
        <w:rPr>
          <w:rFonts w:ascii="Times New Roman" w:hAnsi="Times New Roman"/>
          <w:snapToGrid w:val="0"/>
          <w:kern w:val="2"/>
        </w:rPr>
        <w:t>类标准。项目地表水环境保护目标见表1.6-</w:t>
      </w:r>
      <w:r>
        <w:rPr>
          <w:rFonts w:hint="eastAsia" w:ascii="Times New Roman" w:hAnsi="Times New Roman"/>
          <w:snapToGrid w:val="0"/>
          <w:kern w:val="2"/>
        </w:rPr>
        <w:t>3</w:t>
      </w:r>
    </w:p>
    <w:p>
      <w:pPr>
        <w:pStyle w:val="26"/>
        <w:spacing w:after="0" w:line="240" w:lineRule="auto"/>
        <w:jc w:val="center"/>
        <w:rPr>
          <w:rFonts w:ascii="宋体" w:hAnsi="宋体" w:cs="宋体"/>
          <w:b/>
          <w:bCs/>
          <w:sz w:val="24"/>
        </w:rPr>
      </w:pPr>
      <w:r>
        <w:rPr>
          <w:rFonts w:ascii="宋体" w:hAnsi="宋体" w:cs="宋体"/>
          <w:b/>
          <w:bCs/>
          <w:sz w:val="24"/>
        </w:rPr>
        <w:t>表</w:t>
      </w:r>
      <w:r>
        <w:rPr>
          <w:rFonts w:hint="eastAsia"/>
          <w:b/>
          <w:bCs/>
          <w:sz w:val="24"/>
        </w:rPr>
        <w:t>1</w:t>
      </w:r>
      <w:r>
        <w:rPr>
          <w:b/>
          <w:bCs/>
          <w:sz w:val="24"/>
        </w:rPr>
        <w:t>.6-</w:t>
      </w:r>
      <w:r>
        <w:rPr>
          <w:rFonts w:hint="eastAsia"/>
          <w:b/>
          <w:bCs/>
          <w:sz w:val="24"/>
        </w:rPr>
        <w:t>3</w:t>
      </w:r>
      <w:r>
        <w:rPr>
          <w:b/>
          <w:bCs/>
          <w:sz w:val="24"/>
        </w:rPr>
        <w:t xml:space="preserve"> </w:t>
      </w:r>
      <w:r>
        <w:rPr>
          <w:rFonts w:ascii="宋体" w:hAnsi="宋体" w:cs="宋体"/>
          <w:b/>
          <w:bCs/>
          <w:sz w:val="24"/>
        </w:rPr>
        <w:t xml:space="preserve">  项目地表水环境保护目标一览表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3"/>
        <w:gridCol w:w="1209"/>
        <w:gridCol w:w="1383"/>
        <w:gridCol w:w="1187"/>
        <w:gridCol w:w="871"/>
        <w:gridCol w:w="1130"/>
        <w:gridCol w:w="22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5" w:type="dxa"/>
            <w:vMerge w:val="restart"/>
            <w:vAlign w:val="center"/>
          </w:tcPr>
          <w:p>
            <w:pPr>
              <w:pStyle w:val="2"/>
              <w:jc w:val="center"/>
              <w:rPr>
                <w:rFonts w:ascii="Times New Roman" w:hAnsi="Times New Roman"/>
                <w:b/>
                <w:snapToGrid w:val="0"/>
                <w:sz w:val="21"/>
                <w:szCs w:val="21"/>
              </w:rPr>
            </w:pPr>
            <w:r>
              <w:rPr>
                <w:rFonts w:ascii="Times New Roman" w:hAnsi="Times New Roman"/>
                <w:b/>
                <w:snapToGrid w:val="0"/>
                <w:sz w:val="21"/>
                <w:szCs w:val="21"/>
              </w:rPr>
              <w:t>名称</w:t>
            </w:r>
          </w:p>
        </w:tc>
        <w:tc>
          <w:tcPr>
            <w:tcW w:w="1211" w:type="dxa"/>
            <w:vMerge w:val="restart"/>
            <w:vAlign w:val="center"/>
          </w:tcPr>
          <w:p>
            <w:pPr>
              <w:pStyle w:val="2"/>
              <w:jc w:val="center"/>
              <w:rPr>
                <w:rFonts w:ascii="Times New Roman" w:hAnsi="Times New Roman"/>
                <w:b/>
                <w:snapToGrid w:val="0"/>
                <w:sz w:val="21"/>
                <w:szCs w:val="21"/>
              </w:rPr>
            </w:pPr>
            <w:r>
              <w:rPr>
                <w:rFonts w:ascii="Times New Roman" w:hAnsi="Times New Roman"/>
                <w:b/>
                <w:snapToGrid w:val="0"/>
                <w:sz w:val="21"/>
                <w:szCs w:val="21"/>
              </w:rPr>
              <w:t>保护对象</w:t>
            </w:r>
          </w:p>
        </w:tc>
        <w:tc>
          <w:tcPr>
            <w:tcW w:w="1385" w:type="dxa"/>
            <w:vMerge w:val="restart"/>
            <w:vAlign w:val="center"/>
          </w:tcPr>
          <w:p>
            <w:pPr>
              <w:pStyle w:val="2"/>
              <w:jc w:val="center"/>
              <w:rPr>
                <w:rFonts w:ascii="Times New Roman" w:hAnsi="Times New Roman"/>
                <w:b/>
                <w:snapToGrid w:val="0"/>
                <w:sz w:val="21"/>
                <w:szCs w:val="21"/>
              </w:rPr>
            </w:pPr>
            <w:r>
              <w:rPr>
                <w:rFonts w:ascii="Times New Roman" w:hAnsi="Times New Roman"/>
                <w:b/>
                <w:snapToGrid w:val="0"/>
                <w:sz w:val="21"/>
                <w:szCs w:val="21"/>
              </w:rPr>
              <w:t>保护内容</w:t>
            </w:r>
          </w:p>
        </w:tc>
        <w:tc>
          <w:tcPr>
            <w:tcW w:w="1189" w:type="dxa"/>
            <w:vMerge w:val="restart"/>
            <w:vAlign w:val="center"/>
          </w:tcPr>
          <w:p>
            <w:pPr>
              <w:pStyle w:val="2"/>
              <w:jc w:val="center"/>
              <w:rPr>
                <w:rFonts w:ascii="Times New Roman" w:hAnsi="Times New Roman"/>
                <w:b/>
                <w:snapToGrid w:val="0"/>
                <w:sz w:val="21"/>
                <w:szCs w:val="21"/>
              </w:rPr>
            </w:pPr>
            <w:r>
              <w:rPr>
                <w:rFonts w:ascii="Times New Roman" w:hAnsi="Times New Roman"/>
                <w:b/>
                <w:snapToGrid w:val="0"/>
                <w:sz w:val="21"/>
                <w:szCs w:val="21"/>
              </w:rPr>
              <w:t>环境功能区</w:t>
            </w:r>
          </w:p>
        </w:tc>
        <w:tc>
          <w:tcPr>
            <w:tcW w:w="872" w:type="dxa"/>
            <w:vMerge w:val="restart"/>
            <w:vAlign w:val="center"/>
          </w:tcPr>
          <w:p>
            <w:pPr>
              <w:pStyle w:val="2"/>
              <w:jc w:val="center"/>
              <w:rPr>
                <w:rFonts w:ascii="Times New Roman" w:hAnsi="Times New Roman"/>
                <w:b/>
                <w:snapToGrid w:val="0"/>
                <w:sz w:val="21"/>
                <w:szCs w:val="21"/>
              </w:rPr>
            </w:pPr>
            <w:r>
              <w:rPr>
                <w:rFonts w:ascii="Times New Roman" w:hAnsi="Times New Roman"/>
                <w:b/>
                <w:snapToGrid w:val="0"/>
                <w:sz w:val="21"/>
                <w:szCs w:val="21"/>
              </w:rPr>
              <w:t>相对场</w:t>
            </w:r>
          </w:p>
          <w:p>
            <w:pPr>
              <w:pStyle w:val="2"/>
              <w:jc w:val="center"/>
              <w:rPr>
                <w:rFonts w:ascii="Times New Roman" w:hAnsi="Times New Roman"/>
                <w:b/>
                <w:snapToGrid w:val="0"/>
                <w:sz w:val="21"/>
                <w:szCs w:val="21"/>
              </w:rPr>
            </w:pPr>
            <w:r>
              <w:rPr>
                <w:rFonts w:ascii="Times New Roman" w:hAnsi="Times New Roman"/>
                <w:b/>
                <w:snapToGrid w:val="0"/>
                <w:sz w:val="21"/>
                <w:szCs w:val="21"/>
              </w:rPr>
              <w:t>址方位</w:t>
            </w:r>
          </w:p>
        </w:tc>
        <w:tc>
          <w:tcPr>
            <w:tcW w:w="1132" w:type="dxa"/>
            <w:vMerge w:val="restart"/>
            <w:vAlign w:val="center"/>
          </w:tcPr>
          <w:p>
            <w:pPr>
              <w:pStyle w:val="2"/>
              <w:jc w:val="center"/>
              <w:rPr>
                <w:rFonts w:ascii="Times New Roman" w:hAnsi="Times New Roman"/>
                <w:b/>
                <w:snapToGrid w:val="0"/>
                <w:sz w:val="21"/>
                <w:szCs w:val="21"/>
              </w:rPr>
            </w:pPr>
            <w:r>
              <w:rPr>
                <w:rFonts w:ascii="Times New Roman" w:hAnsi="Times New Roman"/>
                <w:b/>
                <w:snapToGrid w:val="0"/>
                <w:sz w:val="21"/>
                <w:szCs w:val="21"/>
              </w:rPr>
              <w:t>相对场界距离</w:t>
            </w:r>
          </w:p>
        </w:tc>
        <w:tc>
          <w:tcPr>
            <w:tcW w:w="2252" w:type="dxa"/>
            <w:vMerge w:val="restart"/>
            <w:vAlign w:val="center"/>
          </w:tcPr>
          <w:p>
            <w:pPr>
              <w:pStyle w:val="2"/>
              <w:jc w:val="center"/>
              <w:rPr>
                <w:rFonts w:ascii="Times New Roman" w:hAnsi="Times New Roman"/>
                <w:b/>
                <w:snapToGrid w:val="0"/>
                <w:sz w:val="21"/>
                <w:szCs w:val="21"/>
              </w:rPr>
            </w:pPr>
            <w:r>
              <w:rPr>
                <w:rFonts w:ascii="Times New Roman" w:hAnsi="Times New Roman"/>
                <w:b/>
                <w:snapToGrid w:val="0"/>
                <w:sz w:val="21"/>
                <w:szCs w:val="21"/>
              </w:rPr>
              <w:t>环境质量控制标准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5" w:type="dxa"/>
            <w:vMerge w:val="continue"/>
            <w:vAlign w:val="center"/>
          </w:tcPr>
          <w:p>
            <w:pPr>
              <w:pStyle w:val="2"/>
              <w:jc w:val="center"/>
              <w:rPr>
                <w:rFonts w:ascii="Times New Roman" w:hAnsi="Times New Roman"/>
              </w:rPr>
            </w:pPr>
          </w:p>
        </w:tc>
        <w:tc>
          <w:tcPr>
            <w:tcW w:w="1211" w:type="dxa"/>
            <w:vMerge w:val="continue"/>
            <w:vAlign w:val="center"/>
          </w:tcPr>
          <w:p>
            <w:pPr>
              <w:pStyle w:val="2"/>
              <w:jc w:val="center"/>
              <w:rPr>
                <w:rFonts w:ascii="Times New Roman" w:hAnsi="Times New Roman"/>
                <w:bCs/>
                <w:snapToGrid w:val="0"/>
                <w:sz w:val="21"/>
                <w:szCs w:val="21"/>
              </w:rPr>
            </w:pPr>
          </w:p>
        </w:tc>
        <w:tc>
          <w:tcPr>
            <w:tcW w:w="1385" w:type="dxa"/>
            <w:vMerge w:val="continue"/>
            <w:vAlign w:val="center"/>
          </w:tcPr>
          <w:p>
            <w:pPr>
              <w:pStyle w:val="2"/>
              <w:jc w:val="center"/>
              <w:rPr>
                <w:rFonts w:ascii="Times New Roman" w:hAnsi="Times New Roman"/>
                <w:bCs/>
                <w:snapToGrid w:val="0"/>
                <w:sz w:val="21"/>
                <w:szCs w:val="21"/>
              </w:rPr>
            </w:pPr>
          </w:p>
        </w:tc>
        <w:tc>
          <w:tcPr>
            <w:tcW w:w="1189" w:type="dxa"/>
            <w:vMerge w:val="continue"/>
            <w:vAlign w:val="center"/>
          </w:tcPr>
          <w:p>
            <w:pPr>
              <w:pStyle w:val="2"/>
              <w:jc w:val="center"/>
              <w:rPr>
                <w:rFonts w:ascii="Times New Roman" w:hAnsi="Times New Roman"/>
                <w:bCs/>
                <w:snapToGrid w:val="0"/>
                <w:sz w:val="21"/>
                <w:szCs w:val="21"/>
              </w:rPr>
            </w:pPr>
          </w:p>
        </w:tc>
        <w:tc>
          <w:tcPr>
            <w:tcW w:w="872" w:type="dxa"/>
            <w:vMerge w:val="continue"/>
            <w:vAlign w:val="center"/>
          </w:tcPr>
          <w:p>
            <w:pPr>
              <w:pStyle w:val="2"/>
              <w:jc w:val="center"/>
              <w:rPr>
                <w:rFonts w:ascii="Times New Roman" w:hAnsi="Times New Roman"/>
                <w:bCs/>
                <w:snapToGrid w:val="0"/>
                <w:sz w:val="21"/>
                <w:szCs w:val="21"/>
              </w:rPr>
            </w:pPr>
          </w:p>
        </w:tc>
        <w:tc>
          <w:tcPr>
            <w:tcW w:w="1132" w:type="dxa"/>
            <w:vMerge w:val="continue"/>
            <w:vAlign w:val="center"/>
          </w:tcPr>
          <w:p>
            <w:pPr>
              <w:pStyle w:val="2"/>
              <w:jc w:val="center"/>
              <w:rPr>
                <w:rFonts w:ascii="Times New Roman" w:hAnsi="Times New Roman"/>
                <w:bCs/>
                <w:snapToGrid w:val="0"/>
                <w:sz w:val="21"/>
                <w:szCs w:val="21"/>
              </w:rPr>
            </w:pPr>
          </w:p>
        </w:tc>
        <w:tc>
          <w:tcPr>
            <w:tcW w:w="2252" w:type="dxa"/>
            <w:vMerge w:val="continue"/>
            <w:vAlign w:val="center"/>
          </w:tcPr>
          <w:p>
            <w:pPr>
              <w:pStyle w:val="2"/>
              <w:jc w:val="center"/>
              <w:rPr>
                <w:rFonts w:ascii="Times New Roman" w:hAnsi="Times New Roman"/>
                <w:bCs/>
                <w:snapToGrid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5" w:type="dxa"/>
            <w:vAlign w:val="center"/>
          </w:tcPr>
          <w:p>
            <w:pPr>
              <w:pStyle w:val="2"/>
              <w:jc w:val="center"/>
              <w:rPr>
                <w:rFonts w:ascii="Times New Roman" w:hAnsi="Times New Roman"/>
                <w:sz w:val="21"/>
                <w:szCs w:val="21"/>
              </w:rPr>
            </w:pPr>
            <w:r>
              <w:rPr>
                <w:rFonts w:hint="eastAsia" w:ascii="Times New Roman" w:hAnsi="Times New Roman"/>
                <w:snapToGrid w:val="0"/>
                <w:sz w:val="21"/>
                <w:szCs w:val="21"/>
              </w:rPr>
              <w:t>渝河</w:t>
            </w:r>
          </w:p>
        </w:tc>
        <w:tc>
          <w:tcPr>
            <w:tcW w:w="1211" w:type="dxa"/>
            <w:vAlign w:val="center"/>
          </w:tcPr>
          <w:p>
            <w:pPr>
              <w:pStyle w:val="2"/>
              <w:jc w:val="center"/>
              <w:rPr>
                <w:rFonts w:ascii="Times New Roman" w:hAnsi="Times New Roman"/>
                <w:snapToGrid w:val="0"/>
                <w:sz w:val="21"/>
                <w:szCs w:val="21"/>
              </w:rPr>
            </w:pPr>
            <w:r>
              <w:rPr>
                <w:rFonts w:hint="eastAsia" w:ascii="Times New Roman" w:hAnsi="Times New Roman"/>
                <w:snapToGrid w:val="0"/>
                <w:sz w:val="21"/>
                <w:szCs w:val="21"/>
              </w:rPr>
              <w:t>小河</w:t>
            </w:r>
          </w:p>
        </w:tc>
        <w:tc>
          <w:tcPr>
            <w:tcW w:w="1385" w:type="dxa"/>
            <w:vAlign w:val="center"/>
          </w:tcPr>
          <w:p>
            <w:pPr>
              <w:pStyle w:val="2"/>
              <w:jc w:val="center"/>
              <w:rPr>
                <w:rFonts w:ascii="Times New Roman" w:hAnsi="Times New Roman"/>
                <w:snapToGrid w:val="0"/>
                <w:sz w:val="21"/>
                <w:szCs w:val="21"/>
              </w:rPr>
            </w:pPr>
            <w:r>
              <w:rPr>
                <w:rFonts w:ascii="Times New Roman" w:hAnsi="Times New Roman"/>
                <w:sz w:val="21"/>
                <w:szCs w:val="21"/>
              </w:rPr>
              <w:t>地表水环境</w:t>
            </w:r>
          </w:p>
        </w:tc>
        <w:tc>
          <w:tcPr>
            <w:tcW w:w="1189" w:type="dxa"/>
            <w:vAlign w:val="center"/>
          </w:tcPr>
          <w:p>
            <w:pPr>
              <w:pStyle w:val="2"/>
              <w:jc w:val="center"/>
              <w:rPr>
                <w:rFonts w:ascii="Times New Roman" w:hAnsi="Times New Roman"/>
                <w:snapToGrid w:val="0"/>
                <w:sz w:val="21"/>
                <w:szCs w:val="21"/>
              </w:rPr>
            </w:pPr>
            <w:r>
              <w:rPr>
                <w:rFonts w:ascii="Times New Roman" w:hAnsi="Times New Roman"/>
                <w:snapToGrid w:val="0"/>
              </w:rPr>
              <w:fldChar w:fldCharType="begin"/>
            </w:r>
            <w:r>
              <w:rPr>
                <w:rFonts w:ascii="Times New Roman" w:hAnsi="Times New Roman"/>
                <w:snapToGrid w:val="0"/>
              </w:rPr>
              <w:instrText xml:space="preserve"> = 3 \* ROMAN \* MERGEFORMAT </w:instrText>
            </w:r>
            <w:r>
              <w:rPr>
                <w:rFonts w:ascii="Times New Roman" w:hAnsi="Times New Roman"/>
                <w:snapToGrid w:val="0"/>
              </w:rPr>
              <w:fldChar w:fldCharType="separate"/>
            </w:r>
            <w:r>
              <w:rPr>
                <w:rFonts w:ascii="Times New Roman" w:hAnsi="Times New Roman"/>
              </w:rPr>
              <w:t>III</w:t>
            </w:r>
            <w:r>
              <w:rPr>
                <w:rFonts w:ascii="Times New Roman" w:hAnsi="Times New Roman"/>
                <w:snapToGrid w:val="0"/>
              </w:rPr>
              <w:fldChar w:fldCharType="end"/>
            </w:r>
            <w:r>
              <w:rPr>
                <w:rFonts w:ascii="Times New Roman" w:hAnsi="Times New Roman"/>
                <w:snapToGrid w:val="0"/>
                <w:sz w:val="21"/>
                <w:szCs w:val="21"/>
              </w:rPr>
              <w:t>类水体</w:t>
            </w:r>
          </w:p>
        </w:tc>
        <w:tc>
          <w:tcPr>
            <w:tcW w:w="872" w:type="dxa"/>
            <w:vAlign w:val="center"/>
          </w:tcPr>
          <w:p>
            <w:pPr>
              <w:pStyle w:val="2"/>
              <w:jc w:val="center"/>
              <w:rPr>
                <w:rFonts w:ascii="Times New Roman" w:hAnsi="Times New Roman"/>
                <w:snapToGrid w:val="0"/>
                <w:sz w:val="21"/>
                <w:szCs w:val="21"/>
              </w:rPr>
            </w:pPr>
            <w:r>
              <w:rPr>
                <w:rFonts w:hint="eastAsia" w:ascii="Times New Roman" w:hAnsi="Times New Roman"/>
                <w:snapToGrid w:val="0"/>
                <w:sz w:val="21"/>
                <w:szCs w:val="21"/>
              </w:rPr>
              <w:t>N</w:t>
            </w:r>
          </w:p>
        </w:tc>
        <w:tc>
          <w:tcPr>
            <w:tcW w:w="1132" w:type="dxa"/>
            <w:vAlign w:val="center"/>
          </w:tcPr>
          <w:p>
            <w:pPr>
              <w:pStyle w:val="2"/>
              <w:jc w:val="center"/>
              <w:rPr>
                <w:rFonts w:ascii="Times New Roman" w:hAnsi="Times New Roman"/>
                <w:snapToGrid w:val="0"/>
                <w:sz w:val="21"/>
                <w:szCs w:val="21"/>
              </w:rPr>
            </w:pPr>
            <w:r>
              <w:rPr>
                <w:rFonts w:hint="eastAsia" w:ascii="Times New Roman" w:hAnsi="Times New Roman"/>
                <w:snapToGrid w:val="0"/>
                <w:sz w:val="21"/>
                <w:szCs w:val="21"/>
              </w:rPr>
              <w:t>0.1k</w:t>
            </w:r>
            <w:r>
              <w:rPr>
                <w:rFonts w:ascii="Times New Roman" w:hAnsi="Times New Roman"/>
                <w:snapToGrid w:val="0"/>
                <w:sz w:val="21"/>
                <w:szCs w:val="21"/>
              </w:rPr>
              <w:t>m</w:t>
            </w:r>
          </w:p>
        </w:tc>
        <w:tc>
          <w:tcPr>
            <w:tcW w:w="2252" w:type="dxa"/>
            <w:vAlign w:val="center"/>
          </w:tcPr>
          <w:p>
            <w:pPr>
              <w:pStyle w:val="2"/>
              <w:jc w:val="center"/>
              <w:rPr>
                <w:rFonts w:ascii="Times New Roman" w:hAnsi="Times New Roman"/>
                <w:snapToGrid w:val="0"/>
                <w:sz w:val="21"/>
                <w:szCs w:val="21"/>
              </w:rPr>
            </w:pPr>
            <w:r>
              <w:rPr>
                <w:rFonts w:ascii="Times New Roman" w:hAnsi="Times New Roman"/>
                <w:snapToGrid w:val="0"/>
                <w:sz w:val="21"/>
                <w:szCs w:val="21"/>
              </w:rPr>
              <w:t>《地表水环境质量标准》（GB3838-2002）</w:t>
            </w:r>
            <w:r>
              <w:rPr>
                <w:rFonts w:hint="eastAsia"/>
                <w:sz w:val="21"/>
                <w:szCs w:val="21"/>
              </w:rPr>
              <w:t>中Ⅲ类标准</w:t>
            </w:r>
          </w:p>
        </w:tc>
      </w:tr>
    </w:tbl>
    <w:p>
      <w:pPr>
        <w:snapToGrid w:val="0"/>
        <w:spacing w:before="120" w:after="120" w:line="540" w:lineRule="exact"/>
        <w:contextualSpacing/>
        <w:outlineLvl w:val="3"/>
        <w:rPr>
          <w:rFonts w:ascii="Times New Roman" w:hAnsi="Times New Roman"/>
          <w:b/>
          <w:sz w:val="24"/>
        </w:rPr>
      </w:pPr>
      <w:r>
        <w:rPr>
          <w:rFonts w:hint="eastAsia" w:ascii="Times New Roman" w:hAnsi="Times New Roman"/>
          <w:b/>
          <w:sz w:val="24"/>
        </w:rPr>
        <w:t>1</w:t>
      </w:r>
      <w:r>
        <w:rPr>
          <w:rFonts w:ascii="Times New Roman" w:hAnsi="Times New Roman"/>
          <w:b/>
          <w:sz w:val="24"/>
        </w:rPr>
        <w:t>.6.2.</w:t>
      </w:r>
      <w:r>
        <w:rPr>
          <w:rFonts w:hint="eastAsia" w:ascii="Times New Roman" w:hAnsi="Times New Roman"/>
          <w:b/>
          <w:sz w:val="24"/>
        </w:rPr>
        <w:t>3地下水</w:t>
      </w:r>
      <w:r>
        <w:rPr>
          <w:rFonts w:ascii="Times New Roman" w:hAnsi="Times New Roman"/>
          <w:b/>
          <w:sz w:val="24"/>
        </w:rPr>
        <w:t>环境保护目标</w:t>
      </w:r>
    </w:p>
    <w:p>
      <w:pPr>
        <w:snapToGrid w:val="0"/>
        <w:spacing w:before="120" w:after="120" w:line="540" w:lineRule="exact"/>
        <w:contextualSpacing/>
        <w:rPr>
          <w:b/>
          <w:bCs/>
          <w:sz w:val="24"/>
        </w:rPr>
      </w:pPr>
      <w:r>
        <w:rPr>
          <w:rFonts w:hint="eastAsia" w:ascii="Times New Roman" w:hAnsi="Times New Roman"/>
          <w:snapToGrid w:val="0"/>
          <w:sz w:val="24"/>
        </w:rPr>
        <w:t>项目地下水环境保护目</w:t>
      </w:r>
      <w:r>
        <w:rPr>
          <w:rFonts w:hint="eastAsia" w:ascii="Times New Roman" w:hAnsi="Times New Roman"/>
          <w:sz w:val="24"/>
        </w:rPr>
        <w:t>标见表1.6-4</w:t>
      </w:r>
    </w:p>
    <w:p>
      <w:pPr>
        <w:pStyle w:val="26"/>
        <w:spacing w:after="0" w:line="240" w:lineRule="auto"/>
        <w:jc w:val="center"/>
        <w:rPr>
          <w:b/>
          <w:bCs/>
          <w:sz w:val="24"/>
        </w:rPr>
      </w:pPr>
    </w:p>
    <w:p>
      <w:pPr>
        <w:pStyle w:val="26"/>
        <w:spacing w:after="0" w:line="240" w:lineRule="auto"/>
        <w:jc w:val="center"/>
        <w:rPr>
          <w:b/>
          <w:bCs/>
          <w:sz w:val="24"/>
        </w:rPr>
      </w:pPr>
    </w:p>
    <w:p>
      <w:pPr>
        <w:pStyle w:val="26"/>
        <w:spacing w:after="0" w:line="240" w:lineRule="auto"/>
        <w:jc w:val="center"/>
        <w:rPr>
          <w:b/>
          <w:bCs/>
          <w:sz w:val="24"/>
        </w:rPr>
      </w:pPr>
    </w:p>
    <w:p>
      <w:pPr>
        <w:pStyle w:val="26"/>
        <w:spacing w:after="0" w:line="240" w:lineRule="auto"/>
        <w:jc w:val="center"/>
        <w:rPr>
          <w:rFonts w:ascii="宋体" w:hAnsi="宋体" w:cs="宋体"/>
          <w:b/>
          <w:bCs/>
          <w:sz w:val="24"/>
        </w:rPr>
      </w:pPr>
      <w:r>
        <w:rPr>
          <w:b/>
          <w:bCs/>
          <w:sz w:val="24"/>
        </w:rPr>
        <w:t>表1.6-</w:t>
      </w:r>
      <w:r>
        <w:rPr>
          <w:rFonts w:hint="eastAsia"/>
          <w:b/>
          <w:bCs/>
          <w:sz w:val="24"/>
        </w:rPr>
        <w:t>4</w:t>
      </w:r>
      <w:r>
        <w:rPr>
          <w:rFonts w:ascii="宋体" w:hAnsi="宋体" w:cs="宋体"/>
          <w:b/>
          <w:bCs/>
          <w:sz w:val="24"/>
        </w:rPr>
        <w:t xml:space="preserve"> </w:t>
      </w:r>
      <w:r>
        <w:rPr>
          <w:rFonts w:hint="eastAsia" w:ascii="宋体" w:hAnsi="宋体" w:cs="宋体"/>
          <w:b/>
          <w:bCs/>
          <w:sz w:val="24"/>
          <w:lang w:val="en-US" w:eastAsia="zh-CN"/>
        </w:rPr>
        <w:t xml:space="preserve">   </w:t>
      </w:r>
      <w:r>
        <w:rPr>
          <w:rFonts w:ascii="宋体" w:hAnsi="宋体" w:cs="宋体"/>
          <w:b/>
          <w:bCs/>
          <w:sz w:val="24"/>
        </w:rPr>
        <w:t>项目地下水环境保护目标一览表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1670"/>
        <w:gridCol w:w="1084"/>
        <w:gridCol w:w="1340"/>
        <w:gridCol w:w="939"/>
        <w:gridCol w:w="995"/>
        <w:gridCol w:w="20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dxa"/>
            <w:vMerge w:val="restart"/>
            <w:vAlign w:val="center"/>
          </w:tcPr>
          <w:p>
            <w:pPr>
              <w:pStyle w:val="2"/>
              <w:adjustRightInd w:val="0"/>
              <w:jc w:val="center"/>
              <w:rPr>
                <w:rFonts w:ascii="Times New Roman" w:hAnsi="Times New Roman" w:cs="宋体"/>
                <w:b/>
                <w:snapToGrid w:val="0"/>
                <w:sz w:val="21"/>
                <w:szCs w:val="21"/>
              </w:rPr>
            </w:pPr>
            <w:r>
              <w:rPr>
                <w:rFonts w:hint="eastAsia" w:ascii="Times New Roman" w:hAnsi="Times New Roman" w:cs="宋体"/>
                <w:b/>
                <w:snapToGrid w:val="0"/>
                <w:sz w:val="21"/>
                <w:szCs w:val="21"/>
              </w:rPr>
              <w:t>名称</w:t>
            </w:r>
          </w:p>
        </w:tc>
        <w:tc>
          <w:tcPr>
            <w:tcW w:w="1647" w:type="dxa"/>
            <w:vMerge w:val="restart"/>
            <w:vAlign w:val="center"/>
          </w:tcPr>
          <w:p>
            <w:pPr>
              <w:pStyle w:val="2"/>
              <w:adjustRightInd w:val="0"/>
              <w:jc w:val="center"/>
              <w:rPr>
                <w:rFonts w:ascii="Times New Roman" w:hAnsi="Times New Roman" w:cs="宋体"/>
                <w:b/>
                <w:snapToGrid w:val="0"/>
                <w:sz w:val="21"/>
                <w:szCs w:val="21"/>
              </w:rPr>
            </w:pPr>
            <w:r>
              <w:rPr>
                <w:rFonts w:hint="eastAsia" w:ascii="Times New Roman" w:hAnsi="Times New Roman" w:cs="宋体"/>
                <w:b/>
                <w:snapToGrid w:val="0"/>
                <w:sz w:val="21"/>
                <w:szCs w:val="21"/>
              </w:rPr>
              <w:t>保护对象</w:t>
            </w:r>
          </w:p>
        </w:tc>
        <w:tc>
          <w:tcPr>
            <w:tcW w:w="1069" w:type="dxa"/>
            <w:vMerge w:val="restart"/>
            <w:vAlign w:val="center"/>
          </w:tcPr>
          <w:p>
            <w:pPr>
              <w:pStyle w:val="2"/>
              <w:adjustRightInd w:val="0"/>
              <w:jc w:val="center"/>
              <w:rPr>
                <w:rFonts w:ascii="Times New Roman" w:hAnsi="Times New Roman" w:cs="宋体"/>
                <w:b/>
                <w:snapToGrid w:val="0"/>
                <w:sz w:val="21"/>
                <w:szCs w:val="21"/>
              </w:rPr>
            </w:pPr>
            <w:r>
              <w:rPr>
                <w:rFonts w:hint="eastAsia" w:ascii="Times New Roman" w:hAnsi="Times New Roman" w:cs="宋体"/>
                <w:b/>
                <w:snapToGrid w:val="0"/>
                <w:sz w:val="21"/>
                <w:szCs w:val="21"/>
              </w:rPr>
              <w:t>保护内容</w:t>
            </w:r>
          </w:p>
        </w:tc>
        <w:tc>
          <w:tcPr>
            <w:tcW w:w="1322" w:type="dxa"/>
            <w:vMerge w:val="restart"/>
            <w:vAlign w:val="center"/>
          </w:tcPr>
          <w:p>
            <w:pPr>
              <w:pStyle w:val="2"/>
              <w:adjustRightInd w:val="0"/>
              <w:jc w:val="center"/>
              <w:rPr>
                <w:rFonts w:ascii="Times New Roman" w:hAnsi="Times New Roman" w:cs="宋体"/>
                <w:b/>
                <w:snapToGrid w:val="0"/>
                <w:sz w:val="21"/>
                <w:szCs w:val="21"/>
              </w:rPr>
            </w:pPr>
            <w:r>
              <w:rPr>
                <w:rFonts w:hint="eastAsia" w:ascii="Times New Roman" w:hAnsi="Times New Roman" w:cs="宋体"/>
                <w:b/>
                <w:snapToGrid w:val="0"/>
                <w:sz w:val="21"/>
                <w:szCs w:val="21"/>
              </w:rPr>
              <w:t>环境功能区</w:t>
            </w:r>
          </w:p>
        </w:tc>
        <w:tc>
          <w:tcPr>
            <w:tcW w:w="926" w:type="dxa"/>
            <w:vMerge w:val="restart"/>
            <w:vAlign w:val="center"/>
          </w:tcPr>
          <w:p>
            <w:pPr>
              <w:pStyle w:val="2"/>
              <w:adjustRightInd w:val="0"/>
              <w:jc w:val="center"/>
              <w:rPr>
                <w:rFonts w:ascii="Times New Roman" w:hAnsi="Times New Roman" w:cs="宋体"/>
                <w:b/>
                <w:snapToGrid w:val="0"/>
                <w:sz w:val="21"/>
                <w:szCs w:val="21"/>
              </w:rPr>
            </w:pPr>
            <w:r>
              <w:rPr>
                <w:rFonts w:hint="eastAsia" w:ascii="Times New Roman" w:hAnsi="Times New Roman" w:cs="宋体"/>
                <w:b/>
                <w:snapToGrid w:val="0"/>
                <w:sz w:val="21"/>
                <w:szCs w:val="21"/>
              </w:rPr>
              <w:t>相对场址方位</w:t>
            </w:r>
          </w:p>
        </w:tc>
        <w:tc>
          <w:tcPr>
            <w:tcW w:w="982" w:type="dxa"/>
            <w:vMerge w:val="restart"/>
            <w:vAlign w:val="center"/>
          </w:tcPr>
          <w:p>
            <w:pPr>
              <w:pStyle w:val="2"/>
              <w:adjustRightInd w:val="0"/>
              <w:jc w:val="center"/>
              <w:rPr>
                <w:rFonts w:ascii="Times New Roman" w:hAnsi="Times New Roman" w:cs="宋体"/>
                <w:b/>
                <w:snapToGrid w:val="0"/>
                <w:sz w:val="21"/>
                <w:szCs w:val="21"/>
              </w:rPr>
            </w:pPr>
            <w:r>
              <w:rPr>
                <w:rFonts w:hint="eastAsia" w:ascii="Times New Roman" w:hAnsi="Times New Roman" w:cs="宋体"/>
                <w:b/>
                <w:snapToGrid w:val="0"/>
                <w:sz w:val="21"/>
                <w:szCs w:val="21"/>
              </w:rPr>
              <w:t>相对场界距离</w:t>
            </w:r>
          </w:p>
        </w:tc>
        <w:tc>
          <w:tcPr>
            <w:tcW w:w="2015" w:type="dxa"/>
            <w:vMerge w:val="restart"/>
            <w:vAlign w:val="center"/>
          </w:tcPr>
          <w:p>
            <w:pPr>
              <w:pStyle w:val="2"/>
              <w:adjustRightInd w:val="0"/>
              <w:jc w:val="center"/>
              <w:rPr>
                <w:rFonts w:ascii="Times New Roman" w:hAnsi="Times New Roman" w:cs="宋体"/>
                <w:b/>
                <w:snapToGrid w:val="0"/>
                <w:sz w:val="21"/>
                <w:szCs w:val="21"/>
              </w:rPr>
            </w:pPr>
            <w:r>
              <w:rPr>
                <w:rFonts w:hint="eastAsia" w:ascii="Times New Roman" w:hAnsi="Times New Roman" w:cs="宋体"/>
                <w:b/>
                <w:snapToGrid w:val="0"/>
                <w:sz w:val="21"/>
                <w:szCs w:val="21"/>
              </w:rPr>
              <w:t>环境质量控制标准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dxa"/>
            <w:vMerge w:val="continue"/>
            <w:vAlign w:val="center"/>
          </w:tcPr>
          <w:p>
            <w:pPr>
              <w:pStyle w:val="2"/>
              <w:adjustRightInd w:val="0"/>
              <w:jc w:val="center"/>
              <w:rPr>
                <w:rFonts w:ascii="Times New Roman" w:hAnsi="Times New Roman"/>
                <w:sz w:val="21"/>
                <w:szCs w:val="21"/>
              </w:rPr>
            </w:pPr>
          </w:p>
        </w:tc>
        <w:tc>
          <w:tcPr>
            <w:tcW w:w="1647" w:type="dxa"/>
            <w:vMerge w:val="continue"/>
            <w:vAlign w:val="center"/>
          </w:tcPr>
          <w:p>
            <w:pPr>
              <w:pStyle w:val="2"/>
              <w:adjustRightInd w:val="0"/>
              <w:jc w:val="center"/>
              <w:rPr>
                <w:rFonts w:ascii="Times New Roman" w:hAnsi="Times New Roman" w:cs="宋体"/>
                <w:bCs/>
                <w:snapToGrid w:val="0"/>
                <w:sz w:val="21"/>
                <w:szCs w:val="21"/>
              </w:rPr>
            </w:pPr>
          </w:p>
        </w:tc>
        <w:tc>
          <w:tcPr>
            <w:tcW w:w="1069" w:type="dxa"/>
            <w:vMerge w:val="continue"/>
            <w:vAlign w:val="center"/>
          </w:tcPr>
          <w:p>
            <w:pPr>
              <w:pStyle w:val="2"/>
              <w:adjustRightInd w:val="0"/>
              <w:jc w:val="center"/>
              <w:rPr>
                <w:rFonts w:ascii="Times New Roman" w:hAnsi="Times New Roman" w:cs="宋体"/>
                <w:bCs/>
                <w:snapToGrid w:val="0"/>
                <w:sz w:val="21"/>
                <w:szCs w:val="21"/>
              </w:rPr>
            </w:pPr>
          </w:p>
        </w:tc>
        <w:tc>
          <w:tcPr>
            <w:tcW w:w="1322" w:type="dxa"/>
            <w:vMerge w:val="continue"/>
            <w:vAlign w:val="center"/>
          </w:tcPr>
          <w:p>
            <w:pPr>
              <w:pStyle w:val="2"/>
              <w:adjustRightInd w:val="0"/>
              <w:jc w:val="center"/>
              <w:rPr>
                <w:rFonts w:ascii="Times New Roman" w:hAnsi="Times New Roman" w:cs="宋体"/>
                <w:bCs/>
                <w:snapToGrid w:val="0"/>
                <w:sz w:val="21"/>
                <w:szCs w:val="21"/>
              </w:rPr>
            </w:pPr>
          </w:p>
        </w:tc>
        <w:tc>
          <w:tcPr>
            <w:tcW w:w="926" w:type="dxa"/>
            <w:vMerge w:val="continue"/>
            <w:vAlign w:val="center"/>
          </w:tcPr>
          <w:p>
            <w:pPr>
              <w:pStyle w:val="2"/>
              <w:adjustRightInd w:val="0"/>
              <w:jc w:val="center"/>
              <w:rPr>
                <w:rFonts w:ascii="Times New Roman" w:hAnsi="Times New Roman" w:cs="宋体"/>
                <w:bCs/>
                <w:snapToGrid w:val="0"/>
                <w:sz w:val="21"/>
                <w:szCs w:val="21"/>
              </w:rPr>
            </w:pPr>
          </w:p>
        </w:tc>
        <w:tc>
          <w:tcPr>
            <w:tcW w:w="982" w:type="dxa"/>
            <w:vMerge w:val="continue"/>
            <w:vAlign w:val="center"/>
          </w:tcPr>
          <w:p>
            <w:pPr>
              <w:pStyle w:val="2"/>
              <w:adjustRightInd w:val="0"/>
              <w:jc w:val="center"/>
              <w:rPr>
                <w:rFonts w:ascii="Times New Roman" w:hAnsi="Times New Roman" w:cs="宋体"/>
                <w:bCs/>
                <w:snapToGrid w:val="0"/>
                <w:sz w:val="21"/>
                <w:szCs w:val="21"/>
              </w:rPr>
            </w:pPr>
          </w:p>
        </w:tc>
        <w:tc>
          <w:tcPr>
            <w:tcW w:w="2015" w:type="dxa"/>
            <w:vMerge w:val="continue"/>
            <w:vAlign w:val="center"/>
          </w:tcPr>
          <w:p>
            <w:pPr>
              <w:pStyle w:val="2"/>
              <w:adjustRightInd w:val="0"/>
              <w:jc w:val="center"/>
              <w:rPr>
                <w:rFonts w:ascii="Times New Roman" w:hAnsi="Times New Roman" w:cs="宋体"/>
                <w:bCs/>
                <w:snapToGrid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dxa"/>
            <w:vAlign w:val="center"/>
          </w:tcPr>
          <w:p>
            <w:pPr>
              <w:pStyle w:val="2"/>
              <w:adjustRightInd w:val="0"/>
              <w:jc w:val="center"/>
              <w:rPr>
                <w:rFonts w:ascii="Times New Roman" w:hAnsi="Times New Roman"/>
                <w:snapToGrid w:val="0"/>
                <w:sz w:val="21"/>
                <w:szCs w:val="21"/>
              </w:rPr>
            </w:pPr>
            <w:r>
              <w:rPr>
                <w:rFonts w:ascii="Times New Roman" w:hAnsi="Times New Roman"/>
                <w:snapToGrid w:val="0"/>
                <w:sz w:val="21"/>
                <w:szCs w:val="21"/>
              </w:rPr>
              <w:t>场区及周边</w:t>
            </w:r>
          </w:p>
        </w:tc>
        <w:tc>
          <w:tcPr>
            <w:tcW w:w="1647" w:type="dxa"/>
            <w:vAlign w:val="center"/>
          </w:tcPr>
          <w:p>
            <w:pPr>
              <w:pStyle w:val="2"/>
              <w:adjustRightInd w:val="0"/>
              <w:jc w:val="center"/>
              <w:rPr>
                <w:rFonts w:ascii="Times New Roman" w:hAnsi="Times New Roman"/>
                <w:snapToGrid w:val="0"/>
                <w:sz w:val="21"/>
                <w:szCs w:val="21"/>
              </w:rPr>
            </w:pPr>
            <w:r>
              <w:rPr>
                <w:rFonts w:ascii="Times New Roman" w:hAnsi="Times New Roman"/>
                <w:snapToGrid w:val="0"/>
                <w:sz w:val="21"/>
                <w:szCs w:val="21"/>
              </w:rPr>
              <w:t>场区及周边地下潜水含水层</w:t>
            </w:r>
          </w:p>
        </w:tc>
        <w:tc>
          <w:tcPr>
            <w:tcW w:w="1069" w:type="dxa"/>
            <w:vAlign w:val="center"/>
          </w:tcPr>
          <w:p>
            <w:pPr>
              <w:adjustRightInd w:val="0"/>
              <w:snapToGrid w:val="0"/>
              <w:jc w:val="center"/>
              <w:rPr>
                <w:rFonts w:ascii="Times New Roman" w:hAnsi="Times New Roman"/>
                <w:szCs w:val="21"/>
              </w:rPr>
            </w:pPr>
            <w:r>
              <w:rPr>
                <w:rFonts w:ascii="Times New Roman" w:hAnsi="Times New Roman"/>
                <w:szCs w:val="21"/>
              </w:rPr>
              <w:t>地下水</w:t>
            </w:r>
          </w:p>
          <w:p>
            <w:pPr>
              <w:pStyle w:val="2"/>
              <w:adjustRightInd w:val="0"/>
              <w:jc w:val="center"/>
              <w:rPr>
                <w:rFonts w:ascii="Times New Roman" w:hAnsi="Times New Roman"/>
                <w:snapToGrid w:val="0"/>
                <w:sz w:val="21"/>
                <w:szCs w:val="21"/>
              </w:rPr>
            </w:pPr>
            <w:r>
              <w:rPr>
                <w:rFonts w:ascii="Times New Roman" w:hAnsi="Times New Roman"/>
                <w:sz w:val="21"/>
                <w:szCs w:val="21"/>
              </w:rPr>
              <w:t>环境</w:t>
            </w:r>
          </w:p>
        </w:tc>
        <w:tc>
          <w:tcPr>
            <w:tcW w:w="1322" w:type="dxa"/>
            <w:vAlign w:val="center"/>
          </w:tcPr>
          <w:p>
            <w:pPr>
              <w:pStyle w:val="2"/>
              <w:adjustRightInd w:val="0"/>
              <w:jc w:val="center"/>
              <w:rPr>
                <w:rFonts w:ascii="Times New Roman" w:hAnsi="Times New Roman"/>
                <w:snapToGrid w:val="0"/>
                <w:sz w:val="21"/>
                <w:szCs w:val="21"/>
              </w:rPr>
            </w:pPr>
            <w:r>
              <w:rPr>
                <w:rFonts w:ascii="Times New Roman" w:hAnsi="Times New Roman"/>
                <w:snapToGrid w:val="0"/>
                <w:sz w:val="21"/>
                <w:szCs w:val="21"/>
              </w:rPr>
              <w:t>Ⅲ类水体</w:t>
            </w:r>
          </w:p>
        </w:tc>
        <w:tc>
          <w:tcPr>
            <w:tcW w:w="926" w:type="dxa"/>
            <w:vAlign w:val="center"/>
          </w:tcPr>
          <w:p>
            <w:pPr>
              <w:pStyle w:val="2"/>
              <w:adjustRightInd w:val="0"/>
              <w:jc w:val="center"/>
              <w:rPr>
                <w:rFonts w:ascii="Times New Roman" w:hAnsi="Times New Roman"/>
                <w:snapToGrid w:val="0"/>
                <w:sz w:val="21"/>
                <w:szCs w:val="21"/>
              </w:rPr>
            </w:pPr>
            <w:r>
              <w:rPr>
                <w:rFonts w:ascii="Times New Roman" w:hAnsi="Times New Roman"/>
                <w:snapToGrid w:val="0"/>
                <w:sz w:val="21"/>
                <w:szCs w:val="21"/>
              </w:rPr>
              <w:t>/</w:t>
            </w:r>
          </w:p>
        </w:tc>
        <w:tc>
          <w:tcPr>
            <w:tcW w:w="982" w:type="dxa"/>
            <w:vAlign w:val="center"/>
          </w:tcPr>
          <w:p>
            <w:pPr>
              <w:pStyle w:val="2"/>
              <w:adjustRightInd w:val="0"/>
              <w:jc w:val="center"/>
              <w:rPr>
                <w:rFonts w:ascii="Times New Roman" w:hAnsi="Times New Roman"/>
                <w:snapToGrid w:val="0"/>
                <w:sz w:val="21"/>
                <w:szCs w:val="21"/>
              </w:rPr>
            </w:pPr>
            <w:r>
              <w:rPr>
                <w:rFonts w:ascii="Times New Roman" w:hAnsi="Times New Roman"/>
                <w:snapToGrid w:val="0"/>
                <w:sz w:val="21"/>
                <w:szCs w:val="21"/>
              </w:rPr>
              <w:t>/</w:t>
            </w:r>
          </w:p>
        </w:tc>
        <w:tc>
          <w:tcPr>
            <w:tcW w:w="2015" w:type="dxa"/>
            <w:vAlign w:val="center"/>
          </w:tcPr>
          <w:p>
            <w:pPr>
              <w:pStyle w:val="2"/>
              <w:adjustRightInd w:val="0"/>
              <w:jc w:val="center"/>
              <w:rPr>
                <w:rFonts w:ascii="Times New Roman" w:hAnsi="Times New Roman"/>
                <w:snapToGrid w:val="0"/>
                <w:sz w:val="21"/>
                <w:szCs w:val="21"/>
              </w:rPr>
            </w:pPr>
            <w:r>
              <w:rPr>
                <w:rFonts w:ascii="Times New Roman" w:hAnsi="Times New Roman"/>
                <w:snapToGrid w:val="0"/>
                <w:sz w:val="21"/>
                <w:szCs w:val="21"/>
              </w:rPr>
              <w:t>《地下水质量标准》（GBT14148-2017）</w:t>
            </w:r>
            <w:r>
              <w:rPr>
                <w:rFonts w:hint="eastAsia"/>
                <w:bCs/>
                <w:sz w:val="21"/>
                <w:szCs w:val="21"/>
              </w:rPr>
              <w:t>中Ⅲ类标准</w:t>
            </w:r>
          </w:p>
        </w:tc>
      </w:tr>
    </w:tbl>
    <w:p>
      <w:pPr>
        <w:pStyle w:val="51"/>
        <w:snapToGrid w:val="0"/>
        <w:spacing w:before="120" w:beforeLines="50" w:after="120" w:afterLines="50" w:line="540" w:lineRule="exact"/>
        <w:contextualSpacing/>
        <w:rPr>
          <w:rFonts w:cs="Times New Roman"/>
          <w:bCs w:val="0"/>
          <w:snapToGrid w:val="0"/>
          <w:kern w:val="0"/>
          <w:sz w:val="30"/>
          <w:szCs w:val="30"/>
        </w:rPr>
      </w:pPr>
      <w:bookmarkStart w:id="363" w:name="_Toc12296"/>
      <w:bookmarkStart w:id="364" w:name="_Toc20888"/>
      <w:bookmarkStart w:id="365" w:name="_Toc25535"/>
      <w:bookmarkStart w:id="366" w:name="_Toc22046"/>
      <w:r>
        <w:rPr>
          <w:rFonts w:hint="eastAsia" w:cs="Times New Roman"/>
          <w:bCs w:val="0"/>
          <w:snapToGrid w:val="0"/>
          <w:kern w:val="0"/>
          <w:sz w:val="30"/>
          <w:szCs w:val="30"/>
        </w:rPr>
        <w:t>1</w:t>
      </w:r>
      <w:r>
        <w:rPr>
          <w:rFonts w:cs="Times New Roman"/>
          <w:bCs w:val="0"/>
          <w:snapToGrid w:val="0"/>
          <w:kern w:val="0"/>
          <w:sz w:val="30"/>
          <w:szCs w:val="30"/>
        </w:rPr>
        <w:t>.7产业政策及规划符合性分析</w:t>
      </w:r>
      <w:bookmarkEnd w:id="363"/>
      <w:bookmarkEnd w:id="364"/>
      <w:bookmarkEnd w:id="365"/>
      <w:bookmarkEnd w:id="366"/>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367" w:name="_Toc7957"/>
      <w:bookmarkStart w:id="368" w:name="_Toc9158"/>
      <w:bookmarkStart w:id="369" w:name="_Toc21765"/>
      <w:bookmarkStart w:id="370" w:name="_Toc15947"/>
      <w:bookmarkStart w:id="371" w:name="_Toc30484"/>
      <w:r>
        <w:rPr>
          <w:rFonts w:hint="eastAsia" w:cs="Times New Roman"/>
          <w:bCs w:val="0"/>
          <w:snapToGrid w:val="0"/>
          <w:kern w:val="0"/>
          <w:sz w:val="28"/>
          <w:szCs w:val="28"/>
        </w:rPr>
        <w:t>1</w:t>
      </w:r>
      <w:r>
        <w:rPr>
          <w:rFonts w:cs="Times New Roman"/>
          <w:bCs w:val="0"/>
          <w:snapToGrid w:val="0"/>
          <w:kern w:val="0"/>
          <w:sz w:val="28"/>
          <w:szCs w:val="28"/>
        </w:rPr>
        <w:t>.7.</w:t>
      </w:r>
      <w:r>
        <w:rPr>
          <w:rFonts w:hint="eastAsia" w:cs="Times New Roman"/>
          <w:bCs w:val="0"/>
          <w:snapToGrid w:val="0"/>
          <w:kern w:val="0"/>
          <w:sz w:val="28"/>
          <w:szCs w:val="28"/>
        </w:rPr>
        <w:t>1</w:t>
      </w:r>
      <w:r>
        <w:rPr>
          <w:rFonts w:cs="Times New Roman"/>
          <w:bCs w:val="0"/>
          <w:snapToGrid w:val="0"/>
          <w:kern w:val="0"/>
          <w:sz w:val="28"/>
          <w:szCs w:val="28"/>
          <w:highlight w:val="none"/>
        </w:rPr>
        <w:t>产业政策符合性分析</w:t>
      </w:r>
      <w:bookmarkEnd w:id="367"/>
    </w:p>
    <w:p>
      <w:pPr>
        <w:pStyle w:val="24"/>
        <w:widowControl/>
        <w:adjustRightInd w:val="0"/>
        <w:snapToGrid w:val="0"/>
        <w:spacing w:line="540" w:lineRule="exact"/>
        <w:ind w:firstLine="480"/>
        <w:rPr>
          <w:rFonts w:ascii="Times New Roman" w:hAnsi="Times New Roman"/>
        </w:rPr>
      </w:pPr>
      <w:r>
        <w:rPr>
          <w:rFonts w:ascii="Times New Roman" w:hAnsi="Times New Roman"/>
        </w:rPr>
        <w:t>本项目建设地点位于</w:t>
      </w:r>
      <w:r>
        <w:rPr>
          <w:rFonts w:hint="eastAsia" w:ascii="Times New Roman" w:hAnsi="Times New Roman"/>
        </w:rPr>
        <w:t>固原市隆德县神林乡神林村</w:t>
      </w:r>
      <w:r>
        <w:rPr>
          <w:rFonts w:ascii="Times New Roman" w:hAnsi="Times New Roman"/>
        </w:rPr>
        <w:t>，根据《宁夏主体功能区规划（2011～2020）》，确定为</w:t>
      </w:r>
      <w:r>
        <w:rPr>
          <w:rFonts w:hint="eastAsia" w:ascii="Times New Roman" w:hAnsi="Times New Roman"/>
        </w:rPr>
        <w:t>国家重点生态功能区（限制开发区域）——限制进行大规模高强度工业化、城镇化开发的重点生态功能区</w:t>
      </w:r>
      <w:r>
        <w:rPr>
          <w:rFonts w:ascii="Times New Roman" w:hAnsi="Times New Roman"/>
        </w:rPr>
        <w:t>，功能定位是</w:t>
      </w:r>
      <w:r>
        <w:rPr>
          <w:rFonts w:hint="eastAsia" w:ascii="Times New Roman" w:hAnsi="Times New Roman"/>
        </w:rPr>
        <w:t>保障国家生态安全的重要区域，西北重要的生态功能区，人与自然和谐相处的示范区；</w:t>
      </w:r>
    </w:p>
    <w:p>
      <w:pPr>
        <w:pStyle w:val="24"/>
        <w:widowControl/>
        <w:adjustRightInd w:val="0"/>
        <w:snapToGrid w:val="0"/>
        <w:spacing w:line="540" w:lineRule="exact"/>
        <w:ind w:firstLine="480"/>
        <w:rPr>
          <w:rFonts w:ascii="Times New Roman" w:hAnsi="Times New Roman"/>
        </w:rPr>
      </w:pPr>
      <w:r>
        <w:rPr>
          <w:rFonts w:hint="eastAsia" w:ascii="Times New Roman" w:hAnsi="Times New Roman"/>
        </w:rPr>
        <w:t>发展方向：限制开发生态区域以修复生态、保护环境、提供生态产品为首要任务,增强水源涵养、水土保持、防风固沙、维护湿地生态等功能，提高生态产品供给的能力，因地制宜地发展资源环境可承载的活宜产业，引导超载人口逐步有序转移。--水源涵养型。推进土石山区天然林保护和南部山区、中部干旱带围栏封育治理土壤侵蚀维护与重建森林、草原、湿地等生态系统。严格保护具有水源涵养功能的自然植被 限制或禁止无序采矿、毁林开荒、开垦草地等行为。加大植树造林力度，减少面源污染。-水土保持型。大力推行节水灌溉发展旱作节水农业。禁止陡坡垦殖。加强小流域综合治理，恢复退化植被。严格对资源开发和建设项目的监管加大矿山环境整治修复力度,控制人为因素对土壤的侵蚀。大力发展草畜产业、马铃薯产业、林果产业、中药材产业等适合当地资源环境的特色农业和加工业，拓宽农民增收渠道，解决农民长远生计，巩固退耕还林成果。--防风固沙型。加大退牧还草力度，实施围栏禁牧，恢复草地植被。转变传统畜牧业生产方式，推行舍饲圈养。加强对内陆河流的规划管理保护沙区湿地。推进沙漠化地区防沙治沙，加强防护林带建设和监管。在有条件地区发展扬黄灌溉农业和节水补灌农业,适度发展矿产采掘和加工业，禁止发展高耗水工业。</w:t>
      </w:r>
    </w:p>
    <w:p>
      <w:pPr>
        <w:widowControl/>
        <w:adjustRightInd w:val="0"/>
        <w:snapToGrid w:val="0"/>
        <w:spacing w:line="540" w:lineRule="exact"/>
        <w:ind w:firstLine="480" w:firstLineChars="200"/>
        <w:rPr>
          <w:rFonts w:ascii="Times New Roman" w:hAnsi="Times New Roman"/>
          <w:bCs/>
          <w:sz w:val="24"/>
        </w:rPr>
      </w:pPr>
      <w:r>
        <w:rPr>
          <w:rFonts w:ascii="Times New Roman" w:hAnsi="Times New Roman"/>
          <w:sz w:val="24"/>
        </w:rPr>
        <w:t>本项目属于</w:t>
      </w:r>
      <w:r>
        <w:rPr>
          <w:rFonts w:hint="eastAsia" w:ascii="Times New Roman" w:hAnsi="Times New Roman"/>
          <w:sz w:val="24"/>
        </w:rPr>
        <w:t>小型</w:t>
      </w:r>
      <w:r>
        <w:rPr>
          <w:rFonts w:ascii="Times New Roman" w:hAnsi="Times New Roman"/>
          <w:sz w:val="24"/>
        </w:rPr>
        <w:t>规模化、标准化畜禽养殖项目，</w:t>
      </w:r>
      <w:r>
        <w:rPr>
          <w:rFonts w:hint="eastAsia" w:ascii="Times New Roman" w:hAnsi="Times New Roman"/>
          <w:sz w:val="24"/>
        </w:rPr>
        <w:t>不属于大规模高强度工业化、城镇化开发</w:t>
      </w:r>
      <w:r>
        <w:rPr>
          <w:rFonts w:ascii="Times New Roman" w:hAnsi="Times New Roman"/>
          <w:sz w:val="24"/>
        </w:rPr>
        <w:t>。</w:t>
      </w:r>
      <w:r>
        <w:rPr>
          <w:rFonts w:hint="eastAsia" w:ascii="Times New Roman" w:hAnsi="Times New Roman"/>
          <w:sz w:val="24"/>
        </w:rPr>
        <w:t>应当属于环境友好型的产业</w:t>
      </w:r>
      <w:r>
        <w:rPr>
          <w:rFonts w:ascii="Times New Roman" w:hAnsi="Times New Roman"/>
          <w:sz w:val="24"/>
        </w:rPr>
        <w:t>。</w:t>
      </w:r>
      <w:r>
        <w:rPr>
          <w:rFonts w:hint="eastAsia" w:ascii="Times New Roman" w:hAnsi="Times New Roman"/>
          <w:sz w:val="24"/>
        </w:rPr>
        <w:t>不影响生态系统功能的是以产业、特色产业。</w:t>
      </w:r>
      <w:r>
        <w:rPr>
          <w:rFonts w:ascii="Times New Roman" w:hAnsi="Times New Roman"/>
          <w:sz w:val="24"/>
        </w:rPr>
        <w:t>本项目的功能定位符合《宁夏主体功能区规划（2011～2020）》要求。综上所述，本项目的建设符合国家及地方主体功能区划要求。</w:t>
      </w:r>
    </w:p>
    <w:p>
      <w:pPr>
        <w:pStyle w:val="51"/>
        <w:snapToGrid w:val="0"/>
        <w:spacing w:before="120" w:beforeLines="50" w:after="120" w:afterLines="50" w:line="540" w:lineRule="exact"/>
        <w:contextualSpacing/>
        <w:outlineLvl w:val="3"/>
        <w:rPr>
          <w:rFonts w:hint="eastAsia" w:cs="Times New Roman"/>
          <w:b w:val="0"/>
          <w:bCs w:val="0"/>
          <w:color w:val="FF0000"/>
          <w:kern w:val="2"/>
          <w:sz w:val="24"/>
          <w:szCs w:val="24"/>
          <w:lang w:val="en-US" w:eastAsia="zh-CN" w:bidi="ar-SA"/>
        </w:rPr>
      </w:pPr>
      <w:bookmarkStart w:id="372" w:name="_Toc1637"/>
      <w:bookmarkStart w:id="373" w:name="_Toc11553"/>
      <w:r>
        <w:rPr>
          <w:rFonts w:hint="eastAsia" w:ascii="Times New Roman" w:hAnsi="Times New Roman" w:cs="Times New Roman"/>
          <w:b/>
          <w:bCs/>
          <w:snapToGrid w:val="0"/>
          <w:kern w:val="2"/>
          <w:sz w:val="24"/>
          <w:szCs w:val="24"/>
          <w:lang w:val="en-US" w:eastAsia="zh-CN" w:bidi="ar-SA"/>
        </w:rPr>
        <w:t>1</w:t>
      </w:r>
      <w:r>
        <w:rPr>
          <w:rFonts w:hint="eastAsia" w:ascii="Times New Roman" w:hAnsi="Times New Roman" w:cs="Times New Roman"/>
          <w:b/>
          <w:bCs/>
          <w:snapToGrid w:val="0"/>
          <w:color w:val="FF0000"/>
          <w:kern w:val="2"/>
          <w:sz w:val="24"/>
          <w:szCs w:val="24"/>
          <w:lang w:val="en-US" w:eastAsia="zh-CN" w:bidi="ar-SA"/>
        </w:rPr>
        <w:t>.7.</w:t>
      </w:r>
      <w:r>
        <w:rPr>
          <w:rFonts w:hint="eastAsia" w:cs="Times New Roman"/>
          <w:b/>
          <w:bCs/>
          <w:snapToGrid w:val="0"/>
          <w:color w:val="FF0000"/>
          <w:kern w:val="2"/>
          <w:sz w:val="24"/>
          <w:szCs w:val="24"/>
          <w:lang w:val="en-US" w:eastAsia="zh-CN" w:bidi="ar-SA"/>
        </w:rPr>
        <w:t>1</w:t>
      </w:r>
      <w:r>
        <w:rPr>
          <w:rFonts w:hint="eastAsia" w:ascii="Times New Roman" w:hAnsi="Times New Roman" w:cs="Times New Roman"/>
          <w:b/>
          <w:bCs/>
          <w:snapToGrid w:val="0"/>
          <w:color w:val="FF0000"/>
          <w:kern w:val="2"/>
          <w:sz w:val="24"/>
          <w:szCs w:val="24"/>
          <w:lang w:val="en-US" w:eastAsia="zh-CN" w:bidi="ar-SA"/>
        </w:rPr>
        <w:t>.1与《宁夏回族自治区农业农村现代化发展“十四五”规划》符合性分析</w:t>
      </w:r>
      <w:bookmarkEnd w:id="372"/>
    </w:p>
    <w:p>
      <w:pPr>
        <w:pStyle w:val="51"/>
        <w:snapToGrid w:val="0"/>
        <w:spacing w:before="120" w:beforeLines="50" w:after="120" w:afterLines="50" w:line="540" w:lineRule="exact"/>
        <w:ind w:firstLine="480" w:firstLineChars="200"/>
        <w:contextualSpacing/>
        <w:outlineLvl w:val="9"/>
        <w:rPr>
          <w:rFonts w:hint="eastAsia" w:ascii="Times New Roman" w:hAnsi="Times New Roman" w:eastAsia="宋体" w:cs="Times New Roman"/>
          <w:b w:val="0"/>
          <w:bCs w:val="0"/>
          <w:color w:val="FF0000"/>
          <w:kern w:val="2"/>
          <w:sz w:val="24"/>
          <w:szCs w:val="24"/>
          <w:lang w:val="en-US" w:eastAsia="zh-CN" w:bidi="ar-SA"/>
        </w:rPr>
      </w:pPr>
      <w:bookmarkStart w:id="374" w:name="_Toc19623"/>
      <w:r>
        <w:rPr>
          <w:rFonts w:hint="eastAsia" w:cs="Times New Roman"/>
          <w:b w:val="0"/>
          <w:bCs w:val="0"/>
          <w:color w:val="FF0000"/>
          <w:kern w:val="2"/>
          <w:sz w:val="24"/>
          <w:szCs w:val="24"/>
          <w:lang w:val="en-US" w:eastAsia="zh-CN" w:bidi="ar-SA"/>
        </w:rPr>
        <w:t>项目肉牛</w:t>
      </w:r>
      <w:r>
        <w:rPr>
          <w:rFonts w:hint="default" w:ascii="Times New Roman" w:hAnsi="Times New Roman" w:eastAsia="宋体" w:cs="Times New Roman"/>
          <w:b w:val="0"/>
          <w:bCs w:val="0"/>
          <w:color w:val="FF0000"/>
          <w:kern w:val="2"/>
          <w:sz w:val="24"/>
          <w:szCs w:val="24"/>
          <w:lang w:val="en-US" w:eastAsia="zh-CN" w:bidi="ar-SA"/>
        </w:rPr>
        <w:t>常年存栏量为1000头，属于畜禽标准化养殖场。根据《宁夏回族自治区农业农村现代化发展“十四五”规划》（宁政办发〔2021〕87号）中提出“推进畜禽粪污资源化利用，开展畜禽养殖场区、散养密集区粪污无害化处理，推广粪污全量收集还田利用，鼓励发展收贮运社会化服务组织。到2025年，规模养殖场粪污处理设施装备配套率达到95%以上，畜禽粪污综合利用率达到90%以上。”建设单位建设规模化养殖场，牛粪采取机械+人工干法清粪方式将粪便及时、单独清出，做到日产日清，收集后暂存于临时堆粪场，</w:t>
      </w:r>
      <w:r>
        <w:rPr>
          <w:rFonts w:hint="eastAsia" w:cs="Times New Roman"/>
          <w:b w:val="0"/>
          <w:bCs w:val="0"/>
          <w:color w:val="FF0000"/>
          <w:kern w:val="2"/>
          <w:sz w:val="24"/>
          <w:szCs w:val="24"/>
          <w:lang w:val="en-US" w:eastAsia="zh-CN" w:bidi="ar-SA"/>
        </w:rPr>
        <w:t>由相关单位定期运走</w:t>
      </w:r>
      <w:r>
        <w:rPr>
          <w:rFonts w:hint="default" w:ascii="Times New Roman" w:hAnsi="Times New Roman" w:eastAsia="宋体" w:cs="Times New Roman"/>
          <w:b w:val="0"/>
          <w:bCs w:val="0"/>
          <w:color w:val="FF0000"/>
          <w:kern w:val="2"/>
          <w:sz w:val="24"/>
          <w:szCs w:val="24"/>
          <w:lang w:val="en-US" w:eastAsia="zh-CN" w:bidi="ar-SA"/>
        </w:rPr>
        <w:t>，实现粪便无害化处置，因此，项目的实施与《宁夏回族自治区农业农村现代化发展“十四五”规划》（宁政办发〔2021〕87号）相符。</w:t>
      </w:r>
      <w:bookmarkEnd w:id="374"/>
    </w:p>
    <w:p>
      <w:pPr>
        <w:pStyle w:val="51"/>
        <w:snapToGrid w:val="0"/>
        <w:spacing w:before="120" w:beforeLines="50" w:after="120" w:afterLines="50" w:line="540" w:lineRule="exact"/>
        <w:contextualSpacing/>
        <w:outlineLvl w:val="2"/>
        <w:rPr>
          <w:rFonts w:ascii="Times New Roman" w:hAnsi="Times New Roman" w:eastAsia="宋体" w:cs="Times New Roman"/>
          <w:snapToGrid w:val="0"/>
          <w:kern w:val="2"/>
          <w:sz w:val="24"/>
          <w:szCs w:val="24"/>
          <w:lang w:val="en-US" w:eastAsia="zh-CN" w:bidi="ar-SA"/>
        </w:rPr>
      </w:pPr>
      <w:bookmarkStart w:id="375" w:name="_Toc12942"/>
      <w:r>
        <w:rPr>
          <w:rFonts w:hint="eastAsia" w:cs="Times New Roman"/>
          <w:bCs w:val="0"/>
          <w:snapToGrid w:val="0"/>
          <w:kern w:val="0"/>
        </w:rPr>
        <w:t>1</w:t>
      </w:r>
      <w:r>
        <w:rPr>
          <w:rFonts w:cs="Times New Roman"/>
          <w:bCs w:val="0"/>
          <w:snapToGrid w:val="0"/>
          <w:kern w:val="0"/>
        </w:rPr>
        <w:t>.7.</w:t>
      </w:r>
      <w:r>
        <w:rPr>
          <w:rFonts w:hint="eastAsia" w:cs="Times New Roman"/>
          <w:bCs w:val="0"/>
          <w:snapToGrid w:val="0"/>
          <w:kern w:val="0"/>
          <w:highlight w:val="none"/>
        </w:rPr>
        <w:t>2</w:t>
      </w:r>
      <w:r>
        <w:rPr>
          <w:rFonts w:hint="eastAsia" w:cs="Times New Roman"/>
          <w:bCs w:val="0"/>
          <w:snapToGrid w:val="0"/>
          <w:kern w:val="0"/>
          <w:highlight w:val="none"/>
          <w:lang w:eastAsia="zh-CN"/>
        </w:rPr>
        <w:t>与固原市</w:t>
      </w:r>
      <w:r>
        <w:rPr>
          <w:rFonts w:cs="Times New Roman"/>
          <w:bCs w:val="0"/>
          <w:snapToGrid w:val="0"/>
          <w:kern w:val="0"/>
          <w:highlight w:val="none"/>
        </w:rPr>
        <w:t>产业政策符合性分析</w:t>
      </w:r>
      <w:bookmarkEnd w:id="368"/>
      <w:bookmarkEnd w:id="369"/>
      <w:bookmarkEnd w:id="370"/>
      <w:bookmarkEnd w:id="371"/>
      <w:bookmarkEnd w:id="373"/>
      <w:bookmarkEnd w:id="375"/>
    </w:p>
    <w:p>
      <w:pPr>
        <w:pStyle w:val="43"/>
        <w:keepNext w:val="0"/>
        <w:keepLines w:val="0"/>
        <w:pageBreakBefore w:val="0"/>
        <w:widowControl w:val="0"/>
        <w:kinsoku/>
        <w:wordWrap/>
        <w:overflowPunct/>
        <w:topLinePunct w:val="0"/>
        <w:autoSpaceDE/>
        <w:autoSpaceDN/>
        <w:bidi w:val="0"/>
        <w:adjustRightInd w:val="0"/>
        <w:snapToGrid w:val="0"/>
        <w:spacing w:line="540" w:lineRule="exact"/>
        <w:textAlignment w:val="auto"/>
        <w:rPr>
          <w:snapToGrid w:val="0"/>
          <w:lang w:val="zh-CN"/>
        </w:rPr>
      </w:pPr>
      <w:r>
        <w:rPr>
          <w:rFonts w:ascii="Times New Roman" w:hAnsi="Times New Roman" w:eastAsia="宋体" w:cs="Times New Roman"/>
          <w:snapToGrid w:val="0"/>
          <w:kern w:val="2"/>
          <w:sz w:val="24"/>
          <w:szCs w:val="24"/>
          <w:lang w:val="en-US" w:eastAsia="zh-CN" w:bidi="ar-SA"/>
        </w:rPr>
        <w:t>根据中华人民共和国国家发</w:t>
      </w:r>
      <w:r>
        <w:rPr>
          <w:snapToGrid w:val="0"/>
        </w:rPr>
        <w:t>展和改革委员会令第29号《产业结构调整指导目录(2019年本)》，</w:t>
      </w:r>
      <w:r>
        <w:rPr>
          <w:snapToGrid w:val="0"/>
          <w:lang w:val="zh-CN"/>
        </w:rPr>
        <w:t>本项目属于《产业结构调整指导目录（201</w:t>
      </w:r>
      <w:r>
        <w:rPr>
          <w:snapToGrid w:val="0"/>
        </w:rPr>
        <w:t>9</w:t>
      </w:r>
      <w:r>
        <w:rPr>
          <w:snapToGrid w:val="0"/>
          <w:lang w:val="zh-CN"/>
        </w:rPr>
        <w:t>年本）》中鼓励类中第一项“农林业”第</w:t>
      </w:r>
      <w:r>
        <w:rPr>
          <w:snapToGrid w:val="0"/>
        </w:rPr>
        <w:t>4</w:t>
      </w:r>
      <w:r>
        <w:rPr>
          <w:snapToGrid w:val="0"/>
          <w:lang w:val="zh-CN"/>
        </w:rPr>
        <w:t>条“畜禽标准化规模技术开发与应</w:t>
      </w:r>
      <w:r>
        <w:rPr>
          <w:snapToGrid w:val="0"/>
        </w:rPr>
        <w:t>用</w:t>
      </w:r>
      <w:r>
        <w:rPr>
          <w:snapToGrid w:val="0"/>
          <w:lang w:val="zh-CN"/>
        </w:rPr>
        <w:t>”的产业政策，符合《产业结构调整指导目录（201</w:t>
      </w:r>
      <w:r>
        <w:rPr>
          <w:snapToGrid w:val="0"/>
        </w:rPr>
        <w:t>9</w:t>
      </w:r>
      <w:r>
        <w:rPr>
          <w:snapToGrid w:val="0"/>
          <w:lang w:val="zh-CN"/>
        </w:rPr>
        <w:t>年本）》。</w:t>
      </w:r>
    </w:p>
    <w:p>
      <w:pPr>
        <w:keepNext w:val="0"/>
        <w:keepLines w:val="0"/>
        <w:pageBreakBefore w:val="0"/>
        <w:widowControl w:val="0"/>
        <w:kinsoku/>
        <w:wordWrap/>
        <w:overflowPunct/>
        <w:topLinePunct w:val="0"/>
        <w:autoSpaceDE/>
        <w:autoSpaceDN/>
        <w:bidi w:val="0"/>
        <w:spacing w:line="540" w:lineRule="exact"/>
        <w:textAlignment w:val="auto"/>
        <w:outlineLvl w:val="3"/>
        <w:rPr>
          <w:rFonts w:hint="eastAsia" w:ascii="Times New Roman" w:hAnsi="Times New Roman" w:eastAsia="宋体" w:cs="Times New Roman"/>
          <w:b/>
          <w:bCs/>
          <w:snapToGrid w:val="0"/>
          <w:kern w:val="2"/>
          <w:sz w:val="24"/>
          <w:szCs w:val="24"/>
          <w:lang w:val="en-US" w:eastAsia="zh-CN" w:bidi="ar-SA"/>
        </w:rPr>
      </w:pPr>
      <w:r>
        <w:rPr>
          <w:rFonts w:hint="eastAsia" w:ascii="Times New Roman" w:hAnsi="Times New Roman" w:cs="Times New Roman"/>
          <w:b/>
          <w:bCs/>
          <w:snapToGrid w:val="0"/>
          <w:kern w:val="2"/>
          <w:sz w:val="24"/>
          <w:szCs w:val="24"/>
          <w:lang w:val="en-US" w:eastAsia="zh-CN" w:bidi="ar-SA"/>
        </w:rPr>
        <w:t>1.7.2.1</w:t>
      </w:r>
      <w:r>
        <w:rPr>
          <w:rFonts w:hint="eastAsia" w:ascii="Times New Roman" w:hAnsi="Times New Roman" w:eastAsia="宋体" w:cs="Times New Roman"/>
          <w:b/>
          <w:bCs/>
          <w:snapToGrid w:val="0"/>
          <w:kern w:val="2"/>
          <w:sz w:val="24"/>
          <w:szCs w:val="24"/>
          <w:lang w:val="en-US" w:eastAsia="zh-CN" w:bidi="ar-SA"/>
        </w:rPr>
        <w:t>与地方产业政策符合性分析</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ascii="Times New Roman" w:hAnsi="Times New Roman" w:eastAsia="宋体" w:cs="Times New Roman"/>
          <w:b/>
          <w:bCs/>
          <w:kern w:val="2"/>
          <w:sz w:val="24"/>
          <w:szCs w:val="24"/>
          <w:highlight w:val="none"/>
          <w:lang w:val="zh-CN" w:eastAsia="zh-CN" w:bidi="ar-SA"/>
        </w:rPr>
      </w:pPr>
      <w:r>
        <w:rPr>
          <w:rFonts w:hint="eastAsia" w:ascii="Times New Roman" w:hAnsi="Times New Roman" w:eastAsia="宋体" w:cs="Times New Roman"/>
          <w:kern w:val="2"/>
          <w:sz w:val="24"/>
          <w:szCs w:val="24"/>
          <w:lang w:val="zh-CN" w:eastAsia="zh-CN" w:bidi="ar-SA"/>
        </w:rPr>
        <w:t>本项目位于固原市隆德县</w:t>
      </w:r>
      <w:r>
        <w:rPr>
          <w:rFonts w:hint="eastAsia" w:ascii="Times New Roman" w:hAnsi="Times New Roman" w:cs="Times New Roman"/>
          <w:kern w:val="2"/>
          <w:sz w:val="24"/>
          <w:szCs w:val="24"/>
          <w:lang w:val="zh-CN" w:eastAsia="zh-CN" w:bidi="ar-SA"/>
        </w:rPr>
        <w:t>神林乡神林村</w:t>
      </w:r>
      <w:r>
        <w:rPr>
          <w:rFonts w:hint="eastAsia" w:ascii="Times New Roman" w:hAnsi="Times New Roman" w:eastAsia="宋体" w:cs="Times New Roman"/>
          <w:kern w:val="2"/>
          <w:sz w:val="24"/>
          <w:szCs w:val="24"/>
          <w:lang w:val="zh-CN" w:eastAsia="zh-CN" w:bidi="ar-SA"/>
        </w:rPr>
        <w:t>，主要为畜禽养殖。根据《自治区发展改革委关于印发宁夏回族自治区国家重点生态功能区产业准入负面清单(试行版</w:t>
      </w:r>
      <w:r>
        <w:rPr>
          <w:rFonts w:ascii="Times New Roman" w:hAnsi="Times New Roman" w:eastAsia="宋体" w:cs="Times New Roman"/>
          <w:kern w:val="2"/>
          <w:sz w:val="24"/>
          <w:szCs w:val="24"/>
          <w:lang w:val="zh-CN" w:eastAsia="zh-CN" w:bidi="ar-SA"/>
        </w:rPr>
        <w:t>)</w:t>
      </w:r>
      <w:r>
        <w:rPr>
          <w:rFonts w:hint="eastAsia" w:ascii="Times New Roman" w:hAnsi="Times New Roman" w:eastAsia="宋体" w:cs="Times New Roman"/>
          <w:kern w:val="2"/>
          <w:sz w:val="24"/>
          <w:szCs w:val="24"/>
          <w:lang w:val="zh-CN" w:eastAsia="zh-CN" w:bidi="ar-SA"/>
        </w:rPr>
        <w:t>的通知》(宁发改规划</w:t>
      </w:r>
      <w:r>
        <w:rPr>
          <w:rFonts w:ascii="Times New Roman" w:hAnsi="Times New Roman" w:eastAsia="宋体" w:cs="Times New Roman"/>
          <w:kern w:val="2"/>
          <w:sz w:val="24"/>
          <w:szCs w:val="24"/>
          <w:lang w:val="zh-CN" w:eastAsia="zh-CN" w:bidi="ar-SA"/>
        </w:rPr>
        <w:t>〔2016〕426号)</w:t>
      </w:r>
      <w:r>
        <w:rPr>
          <w:rFonts w:hint="eastAsia" w:ascii="Times New Roman" w:hAnsi="Times New Roman" w:eastAsia="宋体" w:cs="Times New Roman"/>
          <w:kern w:val="2"/>
          <w:sz w:val="24"/>
          <w:szCs w:val="24"/>
          <w:lang w:val="zh-CN" w:eastAsia="zh-CN" w:bidi="ar-SA"/>
        </w:rPr>
        <w:t>中隆德县国家重点生态功能区产业准入负面清单，具体见表1</w:t>
      </w:r>
      <w:r>
        <w:rPr>
          <w:rFonts w:ascii="Times New Roman" w:hAnsi="Times New Roman" w:eastAsia="宋体" w:cs="Times New Roman"/>
          <w:kern w:val="2"/>
          <w:sz w:val="24"/>
          <w:szCs w:val="24"/>
          <w:lang w:val="zh-CN" w:eastAsia="zh-CN" w:bidi="ar-SA"/>
        </w:rPr>
        <w:t>.</w:t>
      </w:r>
      <w:r>
        <w:rPr>
          <w:rFonts w:hint="eastAsia" w:ascii="Times New Roman" w:hAnsi="Times New Roman" w:cs="Times New Roman"/>
          <w:kern w:val="2"/>
          <w:sz w:val="24"/>
          <w:szCs w:val="24"/>
          <w:lang w:val="en-US" w:eastAsia="zh-CN" w:bidi="ar-SA"/>
        </w:rPr>
        <w:t>7</w:t>
      </w:r>
      <w:r>
        <w:rPr>
          <w:rFonts w:hint="eastAsia" w:ascii="Times New Roman" w:hAnsi="Times New Roman" w:eastAsia="宋体" w:cs="Times New Roman"/>
          <w:kern w:val="2"/>
          <w:sz w:val="24"/>
          <w:szCs w:val="24"/>
          <w:lang w:val="zh-CN" w:eastAsia="zh-CN" w:bidi="ar-SA"/>
        </w:rPr>
        <w:t>-</w:t>
      </w:r>
      <w:r>
        <w:rPr>
          <w:rFonts w:ascii="Times New Roman" w:hAnsi="Times New Roman" w:eastAsia="宋体" w:cs="Times New Roman"/>
          <w:kern w:val="2"/>
          <w:sz w:val="24"/>
          <w:szCs w:val="24"/>
          <w:lang w:val="zh-CN" w:eastAsia="zh-CN" w:bidi="ar-SA"/>
        </w:rPr>
        <w:t>1</w:t>
      </w:r>
      <w:r>
        <w:rPr>
          <w:rFonts w:hint="eastAsia" w:ascii="Times New Roman" w:hAnsi="Times New Roman" w:eastAsia="宋体" w:cs="Times New Roman"/>
          <w:kern w:val="2"/>
          <w:sz w:val="24"/>
          <w:szCs w:val="24"/>
          <w:lang w:val="zh-CN" w:eastAsia="zh-CN" w:bidi="ar-SA"/>
        </w:rPr>
        <w:t>。</w:t>
      </w:r>
    </w:p>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ascii="Times New Roman" w:hAnsi="Times New Roman" w:eastAsia="宋体" w:cs="Times New Roman"/>
          <w:b/>
          <w:bCs/>
          <w:kern w:val="2"/>
          <w:sz w:val="24"/>
          <w:szCs w:val="24"/>
          <w:highlight w:val="none"/>
          <w:lang w:val="zh-CN" w:eastAsia="zh-CN" w:bidi="ar-SA"/>
        </w:rPr>
      </w:pPr>
    </w:p>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ascii="Times New Roman" w:hAnsi="Times New Roman" w:eastAsia="宋体" w:cs="Times New Roman"/>
          <w:kern w:val="2"/>
          <w:sz w:val="24"/>
          <w:szCs w:val="24"/>
          <w:highlight w:val="none"/>
          <w:lang w:val="zh-CN" w:eastAsia="zh-CN" w:bidi="ar-SA"/>
        </w:rPr>
      </w:pPr>
      <w:r>
        <w:rPr>
          <w:rFonts w:ascii="Times New Roman" w:hAnsi="Times New Roman" w:eastAsia="宋体" w:cs="Times New Roman"/>
          <w:b/>
          <w:bCs/>
          <w:kern w:val="2"/>
          <w:sz w:val="24"/>
          <w:szCs w:val="24"/>
          <w:highlight w:val="none"/>
          <w:lang w:val="zh-CN" w:eastAsia="zh-CN" w:bidi="ar-SA"/>
        </w:rPr>
        <w:t>表1.</w:t>
      </w:r>
      <w:r>
        <w:rPr>
          <w:rFonts w:hint="eastAsia" w:ascii="Times New Roman" w:hAnsi="Times New Roman" w:cs="Times New Roman"/>
          <w:b/>
          <w:bCs/>
          <w:kern w:val="2"/>
          <w:sz w:val="24"/>
          <w:szCs w:val="24"/>
          <w:highlight w:val="none"/>
          <w:lang w:val="en-US" w:eastAsia="zh-CN" w:bidi="ar-SA"/>
        </w:rPr>
        <w:t>7</w:t>
      </w:r>
      <w:r>
        <w:rPr>
          <w:rFonts w:ascii="Times New Roman" w:hAnsi="Times New Roman" w:eastAsia="宋体" w:cs="Times New Roman"/>
          <w:b/>
          <w:bCs/>
          <w:kern w:val="2"/>
          <w:sz w:val="24"/>
          <w:szCs w:val="24"/>
          <w:highlight w:val="none"/>
          <w:lang w:val="zh-CN" w:eastAsia="zh-CN" w:bidi="ar-SA"/>
        </w:rPr>
        <w:t>-1 隆德县国家重点生态功能区产业准入负面清单</w:t>
      </w:r>
    </w:p>
    <w:tbl>
      <w:tblPr>
        <w:tblStyle w:val="30"/>
        <w:tblW w:w="906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27"/>
        <w:gridCol w:w="1308"/>
        <w:gridCol w:w="1309"/>
        <w:gridCol w:w="1209"/>
        <w:gridCol w:w="1134"/>
        <w:gridCol w:w="1134"/>
        <w:gridCol w:w="1276"/>
        <w:gridCol w:w="12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7" w:type="dxa"/>
            <w:tcBorders>
              <w:tl2br w:val="nil"/>
              <w:tr2bl w:val="nil"/>
            </w:tcBorders>
            <w:vAlign w:val="center"/>
          </w:tcPr>
          <w:p>
            <w:pPr>
              <w:spacing w:line="240" w:lineRule="exact"/>
              <w:jc w:val="center"/>
              <w:rPr>
                <w:rFonts w:cs="Times New Roman"/>
                <w:b/>
                <w:bCs/>
                <w:sz w:val="21"/>
                <w:szCs w:val="21"/>
              </w:rPr>
            </w:pPr>
            <w:r>
              <w:rPr>
                <w:rFonts w:hint="eastAsia" w:cs="Times New Roman"/>
                <w:b/>
                <w:bCs/>
                <w:sz w:val="21"/>
                <w:szCs w:val="21"/>
              </w:rPr>
              <w:t>序号</w:t>
            </w:r>
          </w:p>
        </w:tc>
        <w:tc>
          <w:tcPr>
            <w:tcW w:w="1308" w:type="dxa"/>
            <w:tcBorders>
              <w:tl2br w:val="nil"/>
              <w:tr2bl w:val="nil"/>
            </w:tcBorders>
            <w:vAlign w:val="center"/>
          </w:tcPr>
          <w:p>
            <w:pPr>
              <w:spacing w:line="240" w:lineRule="exact"/>
              <w:jc w:val="center"/>
              <w:rPr>
                <w:rFonts w:cs="Times New Roman"/>
                <w:b/>
                <w:bCs/>
                <w:sz w:val="21"/>
                <w:szCs w:val="21"/>
              </w:rPr>
            </w:pPr>
            <w:r>
              <w:rPr>
                <w:rFonts w:hint="eastAsia" w:cs="Times New Roman"/>
                <w:b/>
                <w:bCs/>
                <w:sz w:val="21"/>
                <w:szCs w:val="21"/>
              </w:rPr>
              <w:t>门类(代码及名称)</w:t>
            </w:r>
          </w:p>
        </w:tc>
        <w:tc>
          <w:tcPr>
            <w:tcW w:w="1309" w:type="dxa"/>
            <w:tcBorders>
              <w:tl2br w:val="nil"/>
              <w:tr2bl w:val="nil"/>
            </w:tcBorders>
            <w:vAlign w:val="center"/>
          </w:tcPr>
          <w:p>
            <w:pPr>
              <w:spacing w:line="240" w:lineRule="exact"/>
              <w:jc w:val="center"/>
              <w:rPr>
                <w:rFonts w:cs="Times New Roman"/>
                <w:b/>
                <w:bCs/>
                <w:sz w:val="21"/>
                <w:szCs w:val="21"/>
              </w:rPr>
            </w:pPr>
            <w:r>
              <w:rPr>
                <w:rFonts w:hint="eastAsia" w:cs="Times New Roman"/>
                <w:b/>
                <w:bCs/>
                <w:sz w:val="21"/>
                <w:szCs w:val="21"/>
              </w:rPr>
              <w:t>大类(代码及名称)</w:t>
            </w:r>
          </w:p>
        </w:tc>
        <w:tc>
          <w:tcPr>
            <w:tcW w:w="1209" w:type="dxa"/>
            <w:tcBorders>
              <w:tl2br w:val="nil"/>
              <w:tr2bl w:val="nil"/>
            </w:tcBorders>
            <w:vAlign w:val="center"/>
          </w:tcPr>
          <w:p>
            <w:pPr>
              <w:spacing w:line="240" w:lineRule="exact"/>
              <w:jc w:val="center"/>
              <w:rPr>
                <w:rFonts w:cs="Times New Roman"/>
                <w:b/>
                <w:bCs/>
                <w:sz w:val="21"/>
                <w:szCs w:val="21"/>
              </w:rPr>
            </w:pPr>
            <w:r>
              <w:rPr>
                <w:rFonts w:hint="eastAsia" w:cs="Times New Roman"/>
                <w:b/>
                <w:bCs/>
                <w:sz w:val="21"/>
                <w:szCs w:val="21"/>
              </w:rPr>
              <w:t>中类(代码及名称)</w:t>
            </w:r>
          </w:p>
        </w:tc>
        <w:tc>
          <w:tcPr>
            <w:tcW w:w="1134" w:type="dxa"/>
            <w:tcBorders>
              <w:tl2br w:val="nil"/>
              <w:tr2bl w:val="nil"/>
            </w:tcBorders>
            <w:vAlign w:val="center"/>
          </w:tcPr>
          <w:p>
            <w:pPr>
              <w:spacing w:line="240" w:lineRule="exact"/>
              <w:jc w:val="center"/>
              <w:rPr>
                <w:rFonts w:cs="Times New Roman"/>
                <w:b/>
                <w:bCs/>
                <w:sz w:val="21"/>
                <w:szCs w:val="21"/>
              </w:rPr>
            </w:pPr>
            <w:r>
              <w:rPr>
                <w:rFonts w:hint="eastAsia" w:cs="Times New Roman"/>
                <w:b/>
                <w:bCs/>
                <w:sz w:val="21"/>
                <w:szCs w:val="21"/>
              </w:rPr>
              <w:t>小类(代码及名称)</w:t>
            </w:r>
          </w:p>
        </w:tc>
        <w:tc>
          <w:tcPr>
            <w:tcW w:w="1134" w:type="dxa"/>
            <w:tcBorders>
              <w:tl2br w:val="nil"/>
              <w:tr2bl w:val="nil"/>
            </w:tcBorders>
            <w:vAlign w:val="center"/>
          </w:tcPr>
          <w:p>
            <w:pPr>
              <w:spacing w:line="240" w:lineRule="exact"/>
              <w:jc w:val="center"/>
              <w:rPr>
                <w:rFonts w:cs="Times New Roman"/>
                <w:b/>
                <w:bCs/>
                <w:sz w:val="21"/>
                <w:szCs w:val="21"/>
              </w:rPr>
            </w:pPr>
            <w:r>
              <w:rPr>
                <w:rFonts w:hint="eastAsia" w:cs="Times New Roman"/>
                <w:b/>
                <w:bCs/>
                <w:sz w:val="21"/>
                <w:szCs w:val="21"/>
              </w:rPr>
              <w:t>产业存在状况</w:t>
            </w:r>
          </w:p>
        </w:tc>
        <w:tc>
          <w:tcPr>
            <w:tcW w:w="1276" w:type="dxa"/>
            <w:tcBorders>
              <w:tl2br w:val="nil"/>
              <w:tr2bl w:val="nil"/>
            </w:tcBorders>
            <w:vAlign w:val="center"/>
          </w:tcPr>
          <w:p>
            <w:pPr>
              <w:spacing w:line="240" w:lineRule="exact"/>
              <w:jc w:val="center"/>
              <w:rPr>
                <w:rFonts w:cs="Times New Roman"/>
                <w:b/>
                <w:bCs/>
                <w:sz w:val="21"/>
                <w:szCs w:val="21"/>
              </w:rPr>
            </w:pPr>
            <w:r>
              <w:rPr>
                <w:rFonts w:hint="eastAsia" w:cs="Times New Roman"/>
                <w:b/>
                <w:bCs/>
                <w:sz w:val="21"/>
                <w:szCs w:val="21"/>
              </w:rPr>
              <w:t>管控要求</w:t>
            </w:r>
          </w:p>
        </w:tc>
        <w:tc>
          <w:tcPr>
            <w:tcW w:w="1264" w:type="dxa"/>
            <w:tcBorders>
              <w:tl2br w:val="nil"/>
              <w:tr2bl w:val="nil"/>
            </w:tcBorders>
            <w:vAlign w:val="center"/>
          </w:tcPr>
          <w:p>
            <w:pPr>
              <w:spacing w:line="240" w:lineRule="exact"/>
              <w:jc w:val="center"/>
              <w:rPr>
                <w:rFonts w:cs="Times New Roman"/>
                <w:b/>
                <w:bCs/>
                <w:sz w:val="21"/>
                <w:szCs w:val="21"/>
              </w:rPr>
            </w:pPr>
            <w:r>
              <w:rPr>
                <w:rFonts w:hint="eastAsia" w:cs="Times New Roman"/>
                <w:b/>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61" w:type="dxa"/>
            <w:gridSpan w:val="8"/>
            <w:tcBorders>
              <w:tl2br w:val="nil"/>
              <w:tr2bl w:val="nil"/>
            </w:tcBorders>
            <w:vAlign w:val="center"/>
          </w:tcPr>
          <w:p>
            <w:pPr>
              <w:spacing w:line="240" w:lineRule="exact"/>
              <w:rPr>
                <w:rFonts w:cs="Times New Roman"/>
                <w:sz w:val="21"/>
                <w:szCs w:val="21"/>
              </w:rPr>
            </w:pPr>
            <w:r>
              <w:rPr>
                <w:rFonts w:hint="eastAsia" w:cs="Times New Roman"/>
                <w:sz w:val="21"/>
                <w:szCs w:val="21"/>
              </w:rPr>
              <w:t>限制类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trPr>
        <w:tc>
          <w:tcPr>
            <w:tcW w:w="427" w:type="dxa"/>
            <w:tcBorders>
              <w:tl2br w:val="nil"/>
              <w:tr2bl w:val="nil"/>
            </w:tcBorders>
            <w:vAlign w:val="center"/>
          </w:tcPr>
          <w:p>
            <w:pPr>
              <w:spacing w:line="240" w:lineRule="exact"/>
              <w:jc w:val="center"/>
              <w:rPr>
                <w:rFonts w:cs="Times New Roman"/>
                <w:sz w:val="21"/>
                <w:szCs w:val="21"/>
              </w:rPr>
            </w:pPr>
            <w:r>
              <w:rPr>
                <w:rFonts w:hint="eastAsia" w:cs="Times New Roman"/>
                <w:sz w:val="21"/>
                <w:szCs w:val="21"/>
              </w:rPr>
              <w:t>1</w:t>
            </w:r>
          </w:p>
        </w:tc>
        <w:tc>
          <w:tcPr>
            <w:tcW w:w="8634" w:type="dxa"/>
            <w:gridSpan w:val="7"/>
            <w:tcBorders>
              <w:tl2br w:val="nil"/>
              <w:tr2bl w:val="nil"/>
            </w:tcBorders>
            <w:vAlign w:val="center"/>
          </w:tcPr>
          <w:p>
            <w:pPr>
              <w:spacing w:line="240" w:lineRule="exact"/>
              <w:rPr>
                <w:rFonts w:cs="Times New Roman"/>
                <w:sz w:val="21"/>
                <w:szCs w:val="21"/>
              </w:rPr>
            </w:pPr>
            <w:r>
              <w:rPr>
                <w:rFonts w:hint="eastAsia" w:cs="Times New Roman"/>
                <w:sz w:val="21"/>
                <w:szCs w:val="21"/>
              </w:rPr>
              <w:t>已列入国家《产业结构调整指导目录(2</w:t>
            </w:r>
            <w:r>
              <w:rPr>
                <w:rFonts w:cs="Times New Roman"/>
                <w:sz w:val="21"/>
                <w:szCs w:val="21"/>
              </w:rPr>
              <w:t>019</w:t>
            </w:r>
            <w:r>
              <w:rPr>
                <w:rFonts w:hint="eastAsia" w:cs="Times New Roman"/>
                <w:sz w:val="21"/>
                <w:szCs w:val="21"/>
              </w:rPr>
              <w:t>年本)》中的限制类项目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7" w:type="dxa"/>
            <w:tcBorders>
              <w:tl2br w:val="nil"/>
              <w:tr2bl w:val="nil"/>
            </w:tcBorders>
            <w:vAlign w:val="center"/>
          </w:tcPr>
          <w:p>
            <w:pPr>
              <w:spacing w:line="240" w:lineRule="exact"/>
              <w:jc w:val="center"/>
              <w:rPr>
                <w:rFonts w:cs="Times New Roman"/>
                <w:sz w:val="21"/>
                <w:szCs w:val="21"/>
              </w:rPr>
            </w:pPr>
            <w:r>
              <w:rPr>
                <w:rFonts w:cs="Times New Roman"/>
                <w:sz w:val="21"/>
                <w:szCs w:val="21"/>
              </w:rPr>
              <w:t>9</w:t>
            </w:r>
          </w:p>
        </w:tc>
        <w:tc>
          <w:tcPr>
            <w:tcW w:w="1308" w:type="dxa"/>
            <w:tcBorders>
              <w:tl2br w:val="nil"/>
              <w:tr2bl w:val="nil"/>
            </w:tcBorders>
            <w:vAlign w:val="center"/>
          </w:tcPr>
          <w:p>
            <w:pPr>
              <w:spacing w:line="240" w:lineRule="exact"/>
              <w:jc w:val="center"/>
              <w:rPr>
                <w:rFonts w:cs="Times New Roman"/>
                <w:sz w:val="21"/>
                <w:szCs w:val="21"/>
              </w:rPr>
            </w:pPr>
            <w:r>
              <w:rPr>
                <w:rFonts w:hint="eastAsia" w:cs="Times New Roman"/>
                <w:sz w:val="21"/>
                <w:szCs w:val="21"/>
              </w:rPr>
              <w:t>A农林牧渔业</w:t>
            </w:r>
          </w:p>
        </w:tc>
        <w:tc>
          <w:tcPr>
            <w:tcW w:w="1309" w:type="dxa"/>
            <w:tcBorders>
              <w:tl2br w:val="nil"/>
              <w:tr2bl w:val="nil"/>
            </w:tcBorders>
            <w:vAlign w:val="center"/>
          </w:tcPr>
          <w:p>
            <w:pPr>
              <w:spacing w:line="240" w:lineRule="exact"/>
              <w:jc w:val="center"/>
              <w:rPr>
                <w:rFonts w:cs="Times New Roman"/>
                <w:sz w:val="21"/>
                <w:szCs w:val="21"/>
              </w:rPr>
            </w:pPr>
            <w:r>
              <w:rPr>
                <w:rFonts w:hint="eastAsia" w:cs="Times New Roman"/>
                <w:sz w:val="21"/>
                <w:szCs w:val="21"/>
              </w:rPr>
              <w:t>0</w:t>
            </w:r>
            <w:r>
              <w:rPr>
                <w:rFonts w:cs="Times New Roman"/>
                <w:sz w:val="21"/>
                <w:szCs w:val="21"/>
              </w:rPr>
              <w:t>3</w:t>
            </w:r>
            <w:r>
              <w:rPr>
                <w:rFonts w:hint="eastAsia" w:cs="Times New Roman"/>
                <w:sz w:val="21"/>
                <w:szCs w:val="21"/>
              </w:rPr>
              <w:t>畜牧业</w:t>
            </w:r>
          </w:p>
        </w:tc>
        <w:tc>
          <w:tcPr>
            <w:tcW w:w="1209" w:type="dxa"/>
            <w:tcBorders>
              <w:tl2br w:val="nil"/>
              <w:tr2bl w:val="nil"/>
            </w:tcBorders>
            <w:vAlign w:val="center"/>
          </w:tcPr>
          <w:p>
            <w:pPr>
              <w:spacing w:line="240" w:lineRule="exact"/>
              <w:jc w:val="center"/>
              <w:rPr>
                <w:rFonts w:cs="Times New Roman"/>
                <w:sz w:val="21"/>
                <w:szCs w:val="21"/>
              </w:rPr>
            </w:pPr>
            <w:r>
              <w:rPr>
                <w:rFonts w:hint="eastAsia" w:cs="Times New Roman"/>
                <w:sz w:val="21"/>
                <w:szCs w:val="21"/>
              </w:rPr>
              <w:t>0</w:t>
            </w:r>
            <w:r>
              <w:rPr>
                <w:rFonts w:cs="Times New Roman"/>
                <w:sz w:val="21"/>
                <w:szCs w:val="21"/>
              </w:rPr>
              <w:t>31</w:t>
            </w:r>
            <w:r>
              <w:rPr>
                <w:rFonts w:hint="eastAsia" w:cs="Times New Roman"/>
                <w:sz w:val="21"/>
                <w:szCs w:val="21"/>
              </w:rPr>
              <w:t>牲畜饲养</w:t>
            </w:r>
          </w:p>
        </w:tc>
        <w:tc>
          <w:tcPr>
            <w:tcW w:w="1134" w:type="dxa"/>
            <w:tcBorders>
              <w:tl2br w:val="nil"/>
              <w:tr2bl w:val="nil"/>
            </w:tcBorders>
            <w:vAlign w:val="center"/>
          </w:tcPr>
          <w:p>
            <w:pPr>
              <w:spacing w:line="240" w:lineRule="exact"/>
              <w:jc w:val="center"/>
              <w:rPr>
                <w:rFonts w:cs="Times New Roman"/>
                <w:sz w:val="21"/>
                <w:szCs w:val="21"/>
              </w:rPr>
            </w:pPr>
            <w:r>
              <w:rPr>
                <w:rFonts w:hint="eastAsia" w:cs="Times New Roman"/>
                <w:sz w:val="21"/>
                <w:szCs w:val="21"/>
              </w:rPr>
              <w:t>0</w:t>
            </w:r>
            <w:r>
              <w:rPr>
                <w:rFonts w:cs="Times New Roman"/>
                <w:sz w:val="21"/>
                <w:szCs w:val="21"/>
              </w:rPr>
              <w:t>311</w:t>
            </w:r>
            <w:r>
              <w:rPr>
                <w:rFonts w:hint="eastAsia" w:cs="Times New Roman"/>
                <w:sz w:val="21"/>
                <w:szCs w:val="21"/>
              </w:rPr>
              <w:t>牛的</w:t>
            </w:r>
            <w:r>
              <w:rPr>
                <w:rFonts w:hint="eastAsia" w:cs="Times New Roman"/>
                <w:sz w:val="21"/>
                <w:szCs w:val="21"/>
                <w:lang w:val="en-US" w:eastAsia="zh-CN"/>
              </w:rPr>
              <w:t>.</w:t>
            </w:r>
            <w:r>
              <w:rPr>
                <w:rFonts w:hint="eastAsia" w:cs="Times New Roman"/>
                <w:sz w:val="21"/>
                <w:szCs w:val="21"/>
              </w:rPr>
              <w:t>饲养</w:t>
            </w:r>
          </w:p>
        </w:tc>
        <w:tc>
          <w:tcPr>
            <w:tcW w:w="1134" w:type="dxa"/>
            <w:tcBorders>
              <w:tl2br w:val="nil"/>
              <w:tr2bl w:val="nil"/>
            </w:tcBorders>
            <w:vAlign w:val="center"/>
          </w:tcPr>
          <w:p>
            <w:pPr>
              <w:spacing w:line="240" w:lineRule="exact"/>
              <w:jc w:val="center"/>
              <w:rPr>
                <w:rFonts w:cs="Times New Roman"/>
                <w:sz w:val="21"/>
                <w:szCs w:val="21"/>
              </w:rPr>
            </w:pPr>
            <w:r>
              <w:rPr>
                <w:rFonts w:hint="eastAsia" w:cs="Times New Roman"/>
                <w:sz w:val="21"/>
                <w:szCs w:val="21"/>
              </w:rPr>
              <w:t>现有主导产业</w:t>
            </w:r>
          </w:p>
        </w:tc>
        <w:tc>
          <w:tcPr>
            <w:tcW w:w="1276" w:type="dxa"/>
            <w:tcBorders>
              <w:tl2br w:val="nil"/>
              <w:tr2bl w:val="nil"/>
            </w:tcBorders>
            <w:vAlign w:val="center"/>
          </w:tcPr>
          <w:p>
            <w:pPr>
              <w:spacing w:line="240" w:lineRule="exact"/>
              <w:rPr>
                <w:rFonts w:cs="Times New Roman"/>
                <w:sz w:val="21"/>
                <w:szCs w:val="21"/>
              </w:rPr>
            </w:pPr>
            <w:r>
              <w:rPr>
                <w:rFonts w:hint="eastAsia" w:cs="Times New Roman"/>
                <w:sz w:val="21"/>
                <w:szCs w:val="21"/>
              </w:rPr>
              <w:t>禁止天然放牧，禁止在环境敏感区域从事规模化养殖，实行舍饲圈养</w:t>
            </w:r>
          </w:p>
        </w:tc>
        <w:tc>
          <w:tcPr>
            <w:tcW w:w="1264" w:type="dxa"/>
            <w:tcBorders>
              <w:tl2br w:val="nil"/>
              <w:tr2bl w:val="nil"/>
            </w:tcBorders>
            <w:vAlign w:val="center"/>
          </w:tcPr>
          <w:p>
            <w:pPr>
              <w:spacing w:line="240" w:lineRule="exact"/>
              <w:rPr>
                <w:rFonts w:cs="Times New Roman"/>
                <w:sz w:val="21"/>
                <w:szCs w:val="21"/>
              </w:rPr>
            </w:pPr>
            <w:r>
              <w:rPr>
                <w:rFonts w:hint="eastAsia" w:cs="Times New Roman"/>
                <w:sz w:val="21"/>
                <w:szCs w:val="21"/>
              </w:rPr>
              <w:t>天然草场超载放牧为《指导目录》中限制类，其它为允许类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61" w:type="dxa"/>
            <w:gridSpan w:val="8"/>
            <w:tcBorders>
              <w:tl2br w:val="nil"/>
              <w:tr2bl w:val="nil"/>
            </w:tcBorders>
            <w:vAlign w:val="center"/>
          </w:tcPr>
          <w:p>
            <w:pPr>
              <w:spacing w:line="240" w:lineRule="exact"/>
              <w:rPr>
                <w:rFonts w:cs="Times New Roman"/>
                <w:sz w:val="21"/>
                <w:szCs w:val="21"/>
              </w:rPr>
            </w:pPr>
            <w:r>
              <w:rPr>
                <w:rFonts w:hint="eastAsia" w:cs="Times New Roman"/>
                <w:sz w:val="21"/>
                <w:szCs w:val="21"/>
              </w:rPr>
              <w:t>禁止类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 w:hRule="atLeast"/>
        </w:trPr>
        <w:tc>
          <w:tcPr>
            <w:tcW w:w="427" w:type="dxa"/>
            <w:tcBorders>
              <w:tl2br w:val="nil"/>
              <w:tr2bl w:val="nil"/>
            </w:tcBorders>
            <w:vAlign w:val="center"/>
          </w:tcPr>
          <w:p>
            <w:pPr>
              <w:spacing w:line="240" w:lineRule="exact"/>
              <w:jc w:val="center"/>
              <w:rPr>
                <w:rFonts w:cs="Times New Roman"/>
                <w:sz w:val="21"/>
                <w:szCs w:val="21"/>
              </w:rPr>
            </w:pPr>
            <w:r>
              <w:rPr>
                <w:rFonts w:hint="eastAsia" w:cs="Times New Roman"/>
                <w:sz w:val="21"/>
                <w:szCs w:val="21"/>
              </w:rPr>
              <w:t>1</w:t>
            </w:r>
          </w:p>
        </w:tc>
        <w:tc>
          <w:tcPr>
            <w:tcW w:w="8634" w:type="dxa"/>
            <w:gridSpan w:val="7"/>
            <w:tcBorders>
              <w:tl2br w:val="nil"/>
              <w:tr2bl w:val="nil"/>
            </w:tcBorders>
            <w:vAlign w:val="center"/>
          </w:tcPr>
          <w:p>
            <w:pPr>
              <w:spacing w:line="240" w:lineRule="exact"/>
              <w:rPr>
                <w:rFonts w:cs="Times New Roman"/>
                <w:sz w:val="21"/>
                <w:szCs w:val="21"/>
              </w:rPr>
            </w:pPr>
            <w:r>
              <w:rPr>
                <w:rFonts w:hint="eastAsia" w:cs="Times New Roman"/>
                <w:sz w:val="21"/>
                <w:szCs w:val="21"/>
              </w:rPr>
              <w:t>已列入国家《产业结构调整指导目录(2</w:t>
            </w:r>
            <w:r>
              <w:rPr>
                <w:rFonts w:cs="Times New Roman"/>
                <w:sz w:val="21"/>
                <w:szCs w:val="21"/>
              </w:rPr>
              <w:t>019</w:t>
            </w:r>
            <w:r>
              <w:rPr>
                <w:rFonts w:hint="eastAsia" w:cs="Times New Roman"/>
                <w:sz w:val="21"/>
                <w:szCs w:val="21"/>
              </w:rPr>
              <w:t>年本)》中的淘汰类项目</w:t>
            </w:r>
          </w:p>
        </w:tc>
      </w:tr>
    </w:tbl>
    <w:p>
      <w:pPr>
        <w:keepNext w:val="0"/>
        <w:keepLines w:val="0"/>
        <w:pageBreakBefore w:val="0"/>
        <w:widowControl w:val="0"/>
        <w:kinsoku/>
        <w:wordWrap/>
        <w:overflowPunct/>
        <w:topLinePunct w:val="0"/>
        <w:autoSpaceDE/>
        <w:autoSpaceDN/>
        <w:bidi w:val="0"/>
        <w:spacing w:line="540" w:lineRule="exact"/>
        <w:ind w:firstLine="480" w:firstLineChars="200"/>
        <w:textAlignment w:val="auto"/>
        <w:rPr>
          <w:rFonts w:hint="eastAsia" w:ascii="Times New Roman" w:hAnsi="Times New Roman" w:cs="Times New Roman"/>
          <w:b/>
          <w:bCs/>
          <w:snapToGrid w:val="0"/>
          <w:kern w:val="2"/>
          <w:sz w:val="24"/>
          <w:szCs w:val="24"/>
          <w:lang w:val="en-US" w:eastAsia="zh-CN" w:bidi="ar-SA"/>
        </w:rPr>
      </w:pPr>
      <w:r>
        <w:rPr>
          <w:rFonts w:hint="eastAsia" w:cs="Times New Roman"/>
          <w:sz w:val="24"/>
          <w:szCs w:val="24"/>
        </w:rPr>
        <w:t>本项目厂址不涉及环境敏感区域，为规模化肉牛养殖。结合表1</w:t>
      </w:r>
      <w:r>
        <w:rPr>
          <w:rFonts w:cs="Times New Roman"/>
          <w:sz w:val="24"/>
          <w:szCs w:val="24"/>
        </w:rPr>
        <w:t>.</w:t>
      </w:r>
      <w:r>
        <w:rPr>
          <w:rFonts w:hint="eastAsia" w:cs="Times New Roman"/>
          <w:sz w:val="24"/>
          <w:szCs w:val="24"/>
          <w:lang w:val="en-US" w:eastAsia="zh-CN"/>
        </w:rPr>
        <w:t>7</w:t>
      </w:r>
      <w:r>
        <w:rPr>
          <w:rFonts w:hint="eastAsia" w:cs="Times New Roman"/>
          <w:sz w:val="24"/>
          <w:szCs w:val="24"/>
        </w:rPr>
        <w:t>-</w:t>
      </w:r>
      <w:r>
        <w:rPr>
          <w:rFonts w:cs="Times New Roman"/>
          <w:sz w:val="24"/>
          <w:szCs w:val="24"/>
        </w:rPr>
        <w:t>1</w:t>
      </w:r>
      <w:r>
        <w:rPr>
          <w:rFonts w:hint="eastAsia" w:cs="Times New Roman"/>
          <w:sz w:val="24"/>
          <w:szCs w:val="24"/>
        </w:rPr>
        <w:t>，本项目不在隆德县国家重点生态功能区产业准入负面清单内。</w:t>
      </w:r>
    </w:p>
    <w:p>
      <w:pPr>
        <w:keepNext w:val="0"/>
        <w:keepLines w:val="0"/>
        <w:pageBreakBefore w:val="0"/>
        <w:widowControl w:val="0"/>
        <w:kinsoku/>
        <w:wordWrap/>
        <w:overflowPunct/>
        <w:topLinePunct w:val="0"/>
        <w:autoSpaceDE/>
        <w:autoSpaceDN/>
        <w:bidi w:val="0"/>
        <w:spacing w:line="540" w:lineRule="exact"/>
        <w:textAlignment w:val="auto"/>
        <w:outlineLvl w:val="3"/>
        <w:rPr>
          <w:rFonts w:hint="eastAsia" w:ascii="Times New Roman" w:hAnsi="Times New Roman" w:cs="Times New Roman"/>
          <w:b/>
          <w:bCs/>
          <w:snapToGrid w:val="0"/>
          <w:color w:val="FF0000"/>
          <w:kern w:val="2"/>
          <w:sz w:val="24"/>
          <w:szCs w:val="24"/>
          <w:lang w:val="en-US" w:eastAsia="zh-CN" w:bidi="ar-SA"/>
        </w:rPr>
      </w:pPr>
      <w:r>
        <w:rPr>
          <w:rFonts w:hint="eastAsia" w:ascii="Times New Roman" w:hAnsi="Times New Roman" w:cs="Times New Roman"/>
          <w:b/>
          <w:bCs/>
          <w:snapToGrid w:val="0"/>
          <w:kern w:val="2"/>
          <w:sz w:val="24"/>
          <w:szCs w:val="24"/>
          <w:lang w:val="en-US" w:eastAsia="zh-CN" w:bidi="ar-SA"/>
        </w:rPr>
        <w:t>1.</w:t>
      </w:r>
      <w:r>
        <w:rPr>
          <w:rFonts w:hint="eastAsia" w:ascii="Times New Roman" w:hAnsi="Times New Roman" w:cs="Times New Roman"/>
          <w:b/>
          <w:bCs/>
          <w:snapToGrid w:val="0"/>
          <w:color w:val="FF0000"/>
          <w:kern w:val="2"/>
          <w:sz w:val="24"/>
          <w:szCs w:val="24"/>
          <w:lang w:val="en-US" w:eastAsia="zh-CN" w:bidi="ar-SA"/>
        </w:rPr>
        <w:t>7.2.2与《固原市产业发展指导目录(2021年本)》符合性分析</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ascii="Times New Roman" w:hAnsi="Times New Roman" w:eastAsia="宋体" w:cs="Times New Roman"/>
          <w:snapToGrid w:val="0"/>
          <w:kern w:val="2"/>
          <w:sz w:val="24"/>
          <w:szCs w:val="24"/>
          <w:lang w:val="en-US" w:eastAsia="zh-CN" w:bidi="ar-SA"/>
        </w:rPr>
      </w:pPr>
      <w:r>
        <w:rPr>
          <w:rFonts w:hint="eastAsia" w:ascii="Times New Roman" w:hAnsi="Times New Roman" w:eastAsia="宋体" w:cs="Times New Roman"/>
          <w:snapToGrid w:val="0"/>
          <w:color w:val="FF0000"/>
          <w:kern w:val="2"/>
          <w:sz w:val="24"/>
          <w:szCs w:val="24"/>
          <w:lang w:val="en-US" w:eastAsia="zh-CN" w:bidi="ar-SA"/>
        </w:rPr>
        <w:t>根据《固原市人民政府办公室关于印发&lt;固原市产业发展指导目录(2021年本)&gt;的通知》(固政办规发〔2021〕5号)，本项目属于“第一类 重点发展类”“一、特色农业”“4.畜禽标准化规模养殖技术开发与应用”</w:t>
      </w:r>
    </w:p>
    <w:p>
      <w:pPr>
        <w:pStyle w:val="2"/>
        <w:keepNext w:val="0"/>
        <w:keepLines w:val="0"/>
        <w:pageBreakBefore w:val="0"/>
        <w:widowControl w:val="0"/>
        <w:kinsoku/>
        <w:wordWrap/>
        <w:overflowPunct/>
        <w:topLinePunct w:val="0"/>
        <w:autoSpaceDE/>
        <w:autoSpaceDN/>
        <w:bidi w:val="0"/>
        <w:adjustRightInd/>
        <w:spacing w:line="540" w:lineRule="exact"/>
        <w:ind w:firstLine="0" w:firstLineChars="0"/>
        <w:textAlignment w:val="auto"/>
        <w:outlineLvl w:val="3"/>
        <w:rPr>
          <w:rFonts w:hint="eastAsia" w:ascii="Times New Roman" w:hAnsi="Times New Roman" w:eastAsia="宋体" w:cs="Times New Roman"/>
          <w:b/>
          <w:bCs/>
          <w:snapToGrid w:val="0"/>
          <w:color w:val="FF0000"/>
          <w:kern w:val="2"/>
          <w:sz w:val="24"/>
          <w:szCs w:val="24"/>
          <w:lang w:val="en-US" w:eastAsia="zh-CN" w:bidi="ar-SA"/>
        </w:rPr>
      </w:pPr>
      <w:r>
        <w:rPr>
          <w:rFonts w:hint="eastAsia" w:ascii="Times New Roman" w:hAnsi="Times New Roman" w:eastAsia="宋体" w:cs="Times New Roman"/>
          <w:b/>
          <w:bCs/>
          <w:snapToGrid w:val="0"/>
          <w:kern w:val="2"/>
          <w:sz w:val="24"/>
          <w:szCs w:val="24"/>
          <w:lang w:val="en-US" w:eastAsia="zh-CN" w:bidi="ar-SA"/>
        </w:rPr>
        <w:t>1.7.2.3</w:t>
      </w:r>
      <w:r>
        <w:rPr>
          <w:rFonts w:hint="eastAsia" w:ascii="Times New Roman" w:hAnsi="Times New Roman" w:eastAsia="宋体" w:cs="Times New Roman"/>
          <w:b/>
          <w:bCs/>
          <w:snapToGrid w:val="0"/>
          <w:color w:val="FF0000"/>
          <w:kern w:val="2"/>
          <w:sz w:val="24"/>
          <w:szCs w:val="24"/>
          <w:lang w:val="en-US" w:eastAsia="zh-CN" w:bidi="ar-SA"/>
        </w:rPr>
        <w:t>与《固原市特色农业发展“十四五”规划》符合性分析</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color w:val="FF0000"/>
          <w:lang w:val="en-US" w:eastAsia="zh-CN"/>
        </w:rPr>
      </w:pPr>
      <w:r>
        <w:rPr>
          <w:rFonts w:hint="eastAsia" w:ascii="Times New Roman" w:hAnsi="Times New Roman" w:eastAsia="宋体" w:cs="Times New Roman"/>
          <w:snapToGrid w:val="0"/>
          <w:color w:val="FF0000"/>
          <w:kern w:val="2"/>
          <w:sz w:val="24"/>
          <w:szCs w:val="24"/>
          <w:lang w:val="en-US" w:eastAsia="zh-CN" w:bidi="ar-SA"/>
        </w:rPr>
        <w:t>根据《固原市特色农业发展“十四五”规划》(政办发〔2021〕52号，2021年12月7日)：统筹特色农业区域布局。土石山区重点发展以玉米、马铃薯(种薯)、肉牛养殖等为主的生态农业；黄土丘陵沟壑区重点发展以优质牧草、小杂粮(油料)、肉牛养殖的旱作节水农业。打造特色农业优势产业带。渝河流域重点发展肉牛、清凉蔬菜和中药材产业，建设“50”肉牛家庭养殖示范区、设施蔬菜示范区和中药材生产基地。建设良种繁育体系。组建肉牛繁育核心群，引进国外高遗传水平的西门塔尔肉牛冻精、黑安格斯肉牛冻精、红安格斯肉牛冻精等优质新品种，培育打造西门塔尔肉牛繁育群、黑安格斯肉牛繁育群和“固原黄牛”新品系。建设标准化生产体系。依托国家肉牛产业技术体系和专家团队，按照科学化布局、标准化生产、规模化管理、市场化经营的要求，实行统一肉牛品种、统一规范防疫、统一饲养技术、统一供饲标准、统一回收标准、统一排污规范、统一涂寨标准、统一肉牛品牌“八统一”和人畜分离、品种分离、繁育分离、犊母分离、阶段分离、雨污分离“六分离”建设标准，以规模化养殖场为引领、以高标准养殖示范村为重点、以“50”家庭养殖为基础，积极推动肉牛“出户入园”，打造六盘山肉牛标准化养殖示范基地。到2025年，创建国家级和自治区级肉牛标准化示范场12个，新建规模养殖场80个，打造万头肉牛高标准养殖乡镇39个、千头肉牛高标准养殖村230个；建设肉牛养殖“出户入园(场)”432个，入园肉牛75.5万头，“出户入园”率达到80%以上。</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ascii="Times New Roman" w:hAnsi="Times New Roman" w:eastAsia="宋体" w:cs="Times New Roman"/>
          <w:snapToGrid w:val="0"/>
          <w:color w:val="FF0000"/>
          <w:kern w:val="2"/>
          <w:sz w:val="24"/>
          <w:szCs w:val="24"/>
          <w:lang w:val="en-US" w:eastAsia="zh-CN" w:bidi="ar-SA"/>
        </w:rPr>
      </w:pPr>
      <w:r>
        <w:rPr>
          <w:rFonts w:hint="eastAsia" w:ascii="Times New Roman" w:hAnsi="Times New Roman" w:eastAsia="宋体" w:cs="Times New Roman"/>
          <w:snapToGrid w:val="0"/>
          <w:color w:val="FF0000"/>
          <w:kern w:val="2"/>
          <w:sz w:val="24"/>
          <w:szCs w:val="24"/>
          <w:lang w:val="en-US" w:eastAsia="zh-CN" w:bidi="ar-SA"/>
        </w:rPr>
        <w:t>本项目位于固原市隆德县神林乡神林村，主要进行基础母牛养殖，为标准化生产体系，符合《固原市特色农业发展“十四五”规划》中要求。</w:t>
      </w:r>
    </w:p>
    <w:p>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spacing w:line="540" w:lineRule="exact"/>
        <w:textAlignment w:val="auto"/>
        <w:outlineLvl w:val="3"/>
        <w:rPr>
          <w:rFonts w:ascii="Times New Roman" w:hAnsi="Times New Roman" w:eastAsia="宋体"/>
          <w:bCs w:val="0"/>
          <w:color w:val="FF0000"/>
          <w:sz w:val="24"/>
        </w:rPr>
      </w:pPr>
      <w:r>
        <w:rPr>
          <w:rFonts w:hint="eastAsia" w:ascii="Times New Roman" w:hAnsi="Times New Roman" w:eastAsia="宋体"/>
          <w:b/>
          <w:bCs/>
          <w:sz w:val="24"/>
        </w:rPr>
        <w:t>1</w:t>
      </w:r>
      <w:r>
        <w:rPr>
          <w:rFonts w:ascii="Times New Roman" w:hAnsi="Times New Roman" w:eastAsia="宋体"/>
          <w:b/>
          <w:bCs/>
          <w:color w:val="FF0000"/>
          <w:sz w:val="24"/>
        </w:rPr>
        <w:t>.7.2.</w:t>
      </w:r>
      <w:r>
        <w:rPr>
          <w:rFonts w:hint="eastAsia" w:ascii="Times New Roman" w:hAnsi="Times New Roman"/>
          <w:b/>
          <w:bCs/>
          <w:color w:val="FF0000"/>
          <w:sz w:val="24"/>
          <w:lang w:val="en-US" w:eastAsia="zh-CN"/>
        </w:rPr>
        <w:t>4</w:t>
      </w:r>
      <w:r>
        <w:rPr>
          <w:rFonts w:hint="eastAsia" w:ascii="Times New Roman" w:hAnsi="Times New Roman" w:eastAsia="宋体"/>
          <w:b/>
          <w:bCs/>
          <w:color w:val="FF0000"/>
          <w:sz w:val="24"/>
        </w:rPr>
        <w:t xml:space="preserve"> 与《全国农业可持续发展规划(2015-2030年)》符合性分析</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ascii="Times New Roman" w:hAnsi="Times New Roman" w:eastAsia="宋体" w:cs="Times New Roman"/>
          <w:snapToGrid w:val="0"/>
          <w:color w:val="FF0000"/>
          <w:kern w:val="2"/>
          <w:sz w:val="24"/>
          <w:szCs w:val="24"/>
          <w:lang w:val="en-US" w:eastAsia="zh-CN" w:bidi="ar-SA"/>
        </w:rPr>
      </w:pPr>
      <w:r>
        <w:rPr>
          <w:rFonts w:hint="eastAsia" w:ascii="Times New Roman" w:hAnsi="Times New Roman" w:eastAsia="宋体" w:cs="Times New Roman"/>
          <w:snapToGrid w:val="0"/>
          <w:color w:val="FF0000"/>
          <w:kern w:val="2"/>
          <w:sz w:val="24"/>
          <w:szCs w:val="24"/>
          <w:lang w:val="en-US" w:eastAsia="zh-CN" w:bidi="ar-SA"/>
        </w:rPr>
        <w:t>根据《全国农业可持续发展规划(2015-2030年)》，综合治理养殖污染。支持规模化畜禽养殖场(小区)开展标准化改造和建设，提高畜禽粪污收集和处理机械化水平，实施雨污分流、粪污资源化利用，控制畜禽养殖污染排放。到2020年和2030年养殖废弃物综合利用率分别达到75%和90%以上，规模化养殖场畜禽粪污基本资源化利用，实现生态消纳或达标排放。</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ascii="Times New Roman" w:hAnsi="Times New Roman" w:eastAsia="宋体" w:cs="Times New Roman"/>
          <w:snapToGrid w:val="0"/>
          <w:kern w:val="2"/>
          <w:sz w:val="24"/>
          <w:szCs w:val="24"/>
          <w:lang w:val="en-US" w:eastAsia="zh-CN" w:bidi="ar-SA"/>
        </w:rPr>
      </w:pPr>
      <w:r>
        <w:rPr>
          <w:rFonts w:hint="eastAsia" w:ascii="Times New Roman" w:hAnsi="Times New Roman" w:eastAsia="宋体" w:cs="Times New Roman"/>
          <w:snapToGrid w:val="0"/>
          <w:color w:val="FF0000"/>
          <w:kern w:val="2"/>
          <w:sz w:val="24"/>
          <w:szCs w:val="24"/>
          <w:lang w:val="en-US" w:eastAsia="zh-CN" w:bidi="ar-SA"/>
        </w:rPr>
        <w:t>本项目属于</w:t>
      </w:r>
      <w:r>
        <w:rPr>
          <w:rFonts w:hint="eastAsia" w:ascii="Times New Roman" w:hAnsi="Times New Roman" w:cs="Times New Roman"/>
          <w:snapToGrid w:val="0"/>
          <w:color w:val="FF0000"/>
          <w:kern w:val="2"/>
          <w:sz w:val="24"/>
          <w:szCs w:val="24"/>
          <w:lang w:val="en-US" w:eastAsia="zh-CN" w:bidi="ar-SA"/>
        </w:rPr>
        <w:t>基础母</w:t>
      </w:r>
      <w:r>
        <w:rPr>
          <w:rFonts w:hint="eastAsia" w:ascii="Times New Roman" w:hAnsi="Times New Roman" w:eastAsia="宋体" w:cs="Times New Roman"/>
          <w:snapToGrid w:val="0"/>
          <w:color w:val="FF0000"/>
          <w:kern w:val="2"/>
          <w:sz w:val="24"/>
          <w:szCs w:val="24"/>
          <w:lang w:val="en-US" w:eastAsia="zh-CN" w:bidi="ar-SA"/>
        </w:rPr>
        <w:t>牛养殖场规模化建设项目，养殖过程产生的畜禽粪便采用干清粪方式清理至</w:t>
      </w:r>
      <w:r>
        <w:rPr>
          <w:rFonts w:hint="eastAsia" w:ascii="Times New Roman" w:hAnsi="Times New Roman" w:cs="Times New Roman"/>
          <w:snapToGrid w:val="0"/>
          <w:color w:val="FF0000"/>
          <w:kern w:val="2"/>
          <w:sz w:val="24"/>
          <w:szCs w:val="24"/>
          <w:lang w:val="en-US" w:eastAsia="zh-CN" w:bidi="ar-SA"/>
        </w:rPr>
        <w:t>积粪场</w:t>
      </w:r>
      <w:r>
        <w:rPr>
          <w:rFonts w:hint="eastAsia" w:ascii="Times New Roman" w:hAnsi="Times New Roman" w:eastAsia="宋体" w:cs="Times New Roman"/>
          <w:snapToGrid w:val="0"/>
          <w:color w:val="FF0000"/>
          <w:kern w:val="2"/>
          <w:sz w:val="24"/>
          <w:szCs w:val="24"/>
          <w:lang w:val="en-US" w:eastAsia="zh-CN" w:bidi="ar-SA"/>
        </w:rPr>
        <w:t>，</w:t>
      </w:r>
      <w:r>
        <w:rPr>
          <w:rFonts w:hint="eastAsia" w:ascii="Times New Roman" w:hAnsi="Times New Roman" w:cs="Times New Roman"/>
          <w:snapToGrid w:val="0"/>
          <w:color w:val="FF0000"/>
          <w:kern w:val="2"/>
          <w:sz w:val="24"/>
          <w:szCs w:val="24"/>
          <w:lang w:val="en-US" w:eastAsia="zh-CN" w:bidi="ar-SA"/>
        </w:rPr>
        <w:t>定期由隆德县腾发牧草专业合作社运走处理后进行还田</w:t>
      </w:r>
      <w:r>
        <w:rPr>
          <w:rFonts w:hint="eastAsia" w:ascii="Times New Roman" w:hAnsi="Times New Roman" w:eastAsia="宋体" w:cs="Times New Roman"/>
          <w:snapToGrid w:val="0"/>
          <w:color w:val="FF0000"/>
          <w:kern w:val="2"/>
          <w:sz w:val="24"/>
          <w:szCs w:val="24"/>
          <w:lang w:val="en-US" w:eastAsia="zh-CN" w:bidi="ar-SA"/>
        </w:rPr>
        <w:t>。粪污利用率达到100%，且无牛棚冲洗废水等养殖废水产生，养殖场内采取雨污分流。因此，本项目建设符合《全国农业可持续发展规划(2015-2030年)》中规定。</w:t>
      </w:r>
    </w:p>
    <w:p>
      <w:pPr>
        <w:pStyle w:val="27"/>
        <w:widowControl w:val="0"/>
        <w:tabs>
          <w:tab w:val="left" w:pos="1007"/>
        </w:tabs>
        <w:autoSpaceDE w:val="0"/>
        <w:autoSpaceDN w:val="0"/>
        <w:spacing w:before="0" w:beforeAutospacing="0" w:after="0" w:afterAutospacing="0" w:line="540" w:lineRule="exact"/>
        <w:outlineLvl w:val="2"/>
        <w:rPr>
          <w:rFonts w:ascii="Times New Roman" w:hAnsi="Times New Roman"/>
          <w:b/>
          <w:kern w:val="2"/>
          <w:szCs w:val="28"/>
        </w:rPr>
      </w:pPr>
      <w:r>
        <w:rPr>
          <w:rFonts w:hint="eastAsia" w:ascii="Times New Roman" w:hAnsi="Times New Roman"/>
          <w:b/>
          <w:kern w:val="2"/>
          <w:szCs w:val="28"/>
        </w:rPr>
        <w:t>1</w:t>
      </w:r>
      <w:r>
        <w:rPr>
          <w:rFonts w:ascii="Times New Roman" w:hAnsi="Times New Roman"/>
          <w:b/>
          <w:kern w:val="2"/>
          <w:szCs w:val="28"/>
        </w:rPr>
        <w:t>.7.</w:t>
      </w:r>
      <w:r>
        <w:rPr>
          <w:rFonts w:hint="eastAsia" w:ascii="Times New Roman" w:hAnsi="Times New Roman"/>
          <w:b/>
          <w:kern w:val="2"/>
          <w:szCs w:val="28"/>
          <w:lang w:val="en-US" w:eastAsia="zh-CN"/>
        </w:rPr>
        <w:t>3</w:t>
      </w:r>
      <w:r>
        <w:rPr>
          <w:rFonts w:hint="eastAsia" w:ascii="Times New Roman" w:hAnsi="Times New Roman"/>
          <w:b/>
          <w:kern w:val="2"/>
          <w:szCs w:val="28"/>
        </w:rPr>
        <w:t>项目与主体功能区划相符性分析</w:t>
      </w:r>
    </w:p>
    <w:p>
      <w:pPr>
        <w:pStyle w:val="27"/>
        <w:keepNext w:val="0"/>
        <w:keepLines w:val="0"/>
        <w:pageBreakBefore w:val="0"/>
        <w:widowControl w:val="0"/>
        <w:kinsoku/>
        <w:wordWrap/>
        <w:overflowPunct/>
        <w:topLinePunct w:val="0"/>
        <w:autoSpaceDE w:val="0"/>
        <w:autoSpaceDN w:val="0"/>
        <w:bidi w:val="0"/>
        <w:adjustRightInd/>
        <w:snapToGrid/>
        <w:spacing w:before="0" w:beforeAutospacing="0" w:after="0" w:afterAutospacing="0" w:line="540" w:lineRule="exact"/>
        <w:ind w:right="0" w:firstLine="480" w:firstLineChars="200"/>
        <w:jc w:val="left"/>
        <w:textAlignment w:val="auto"/>
        <w:rPr>
          <w:rFonts w:hint="eastAsia" w:ascii="Times New Roman" w:hAnsi="Times New Roman"/>
          <w:snapToGrid w:val="0"/>
          <w:kern w:val="2"/>
        </w:rPr>
      </w:pPr>
      <w:r>
        <w:rPr>
          <w:rFonts w:hint="eastAsia" w:ascii="Times New Roman" w:hAnsi="Times New Roman"/>
          <w:snapToGrid w:val="0"/>
          <w:kern w:val="2"/>
        </w:rPr>
        <w:t>本项目位于固原市隆德县神林乡神林村，属于标准化基础母牛养殖项目，根据《宁夏主体功能区规划》（</w:t>
      </w:r>
      <w:r>
        <w:rPr>
          <w:rFonts w:ascii="Times New Roman" w:hAnsi="Times New Roman"/>
          <w:snapToGrid w:val="0"/>
          <w:kern w:val="2"/>
        </w:rPr>
        <w:t>2011-2020</w:t>
      </w:r>
      <w:r>
        <w:rPr>
          <w:rFonts w:hint="eastAsia" w:ascii="Times New Roman" w:hAnsi="Times New Roman"/>
          <w:snapToGrid w:val="0"/>
          <w:kern w:val="2"/>
        </w:rPr>
        <w:t>），限制开发区（重点生态功能区）——限制进行大规模高强去工业化、城镇化开发的重点生态功能区。本项目的功能定位符合《宁夏主体功能区规划（</w:t>
      </w:r>
      <w:r>
        <w:rPr>
          <w:rFonts w:ascii="Times New Roman" w:hAnsi="Times New Roman"/>
          <w:snapToGrid w:val="0"/>
          <w:kern w:val="2"/>
        </w:rPr>
        <w:t>2011</w:t>
      </w:r>
      <w:r>
        <w:rPr>
          <w:rFonts w:hint="eastAsia" w:ascii="Times New Roman" w:hAnsi="Times New Roman"/>
          <w:snapToGrid w:val="0"/>
          <w:kern w:val="2"/>
        </w:rPr>
        <w:t>～</w:t>
      </w:r>
      <w:r>
        <w:rPr>
          <w:rFonts w:ascii="Times New Roman" w:hAnsi="Times New Roman"/>
          <w:snapToGrid w:val="0"/>
          <w:kern w:val="2"/>
        </w:rPr>
        <w:t>2020</w:t>
      </w:r>
      <w:r>
        <w:rPr>
          <w:rFonts w:hint="eastAsia" w:ascii="Times New Roman" w:hAnsi="Times New Roman"/>
          <w:snapToGrid w:val="0"/>
          <w:kern w:val="2"/>
        </w:rPr>
        <w:t>）》要求。</w:t>
      </w:r>
    </w:p>
    <w:p>
      <w:pPr>
        <w:pStyle w:val="27"/>
        <w:keepNext w:val="0"/>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ind w:right="0" w:firstLine="0" w:firstLineChars="0"/>
        <w:jc w:val="left"/>
        <w:textAlignment w:val="auto"/>
        <w:rPr>
          <w:rFonts w:hint="eastAsia" w:eastAsia="宋体" w:cs="宋体"/>
          <w:b/>
          <w:bCs/>
          <w:kern w:val="0"/>
          <w:sz w:val="24"/>
          <w:szCs w:val="22"/>
        </w:rPr>
      </w:pPr>
      <w:r>
        <w:rPr>
          <w:sz w:val="24"/>
        </w:rPr>
        <mc:AlternateContent>
          <mc:Choice Requires="wps">
            <w:drawing>
              <wp:anchor distT="0" distB="0" distL="114300" distR="114300" simplePos="0" relativeHeight="251682816" behindDoc="0" locked="0" layoutInCell="1" allowOverlap="1">
                <wp:simplePos x="0" y="0"/>
                <wp:positionH relativeFrom="column">
                  <wp:posOffset>3756025</wp:posOffset>
                </wp:positionH>
                <wp:positionV relativeFrom="paragraph">
                  <wp:posOffset>6651625</wp:posOffset>
                </wp:positionV>
                <wp:extent cx="1038225" cy="333375"/>
                <wp:effectExtent l="0" t="0" r="9525" b="9525"/>
                <wp:wrapNone/>
                <wp:docPr id="113" name="文本框 113"/>
                <wp:cNvGraphicFramePr/>
                <a:graphic xmlns:a="http://schemas.openxmlformats.org/drawingml/2006/main">
                  <a:graphicData uri="http://schemas.microsoft.com/office/word/2010/wordprocessingShape">
                    <wps:wsp>
                      <wps:cNvSpPr txBox="1"/>
                      <wps:spPr>
                        <a:xfrm>
                          <a:off x="4646295" y="8539480"/>
                          <a:ext cx="1038225" cy="3333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eastAsia="zh-CN"/>
                              </w:rPr>
                            </w:pPr>
                            <w:r>
                              <w:rPr>
                                <w:rFonts w:hint="eastAsia"/>
                                <w:color w:val="FF0000"/>
                                <w:lang w:eastAsia="zh-CN"/>
                              </w:rPr>
                              <w:t>项目所在位置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75pt;margin-top:523.75pt;height:26.25pt;width:81.75pt;z-index:251682816;mso-width-relative:page;mso-height-relative:page;" fillcolor="#FFFFFF [3201]" filled="t" stroked="f" coordsize="21600,21600" o:gfxdata="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AIAJR01gAAAA0BAAAPAAAAAAAAAAEAIAAAADgAAABkcnMvZG93bnJl&#10;di54bWxQSwECFAAUAAAACACHTuJAPCwE61sCAACfBAAADgAAAAAAAAABACAAAAA7AQAAZHJzL2Uy&#10;b0RvYy54bWxQSwUGAAAAAAYABgBZAQAACAYAAAAA&#10;">
                <v:fill on="t" focussize="0,0"/>
                <v:stroke on="f" weight="0.5pt"/>
                <v:imagedata o:title=""/>
                <o:lock v:ext="edit" aspectratio="f"/>
                <v:textbox>
                  <w:txbxContent>
                    <w:p>
                      <w:pPr>
                        <w:rPr>
                          <w:rFonts w:hint="eastAsia" w:eastAsia="宋体"/>
                          <w:color w:val="FF0000"/>
                          <w:lang w:eastAsia="zh-CN"/>
                        </w:rPr>
                      </w:pPr>
                      <w:r>
                        <w:rPr>
                          <w:rFonts w:hint="eastAsia"/>
                          <w:color w:val="FF0000"/>
                          <w:lang w:eastAsia="zh-CN"/>
                        </w:rPr>
                        <w:t>项目所在位置</w:t>
                      </w:r>
                    </w:p>
                  </w:txbxContent>
                </v:textbox>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3717925</wp:posOffset>
                </wp:positionH>
                <wp:positionV relativeFrom="paragraph">
                  <wp:posOffset>7080250</wp:posOffset>
                </wp:positionV>
                <wp:extent cx="1133475" cy="9525"/>
                <wp:effectExtent l="0" t="0" r="0" b="0"/>
                <wp:wrapNone/>
                <wp:docPr id="112" name="直接连接符 112"/>
                <wp:cNvGraphicFramePr/>
                <a:graphic xmlns:a="http://schemas.openxmlformats.org/drawingml/2006/main">
                  <a:graphicData uri="http://schemas.microsoft.com/office/word/2010/wordprocessingShape">
                    <wps:wsp>
                      <wps:cNvCnPr/>
                      <wps:spPr>
                        <a:xfrm>
                          <a:off x="4617720" y="8930005"/>
                          <a:ext cx="1133475" cy="95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92.75pt;margin-top:557.5pt;height:0.75pt;width:89.25pt;z-index:251681792;mso-width-relative:page;mso-height-relative:page;" filled="f" stroked="t" coordsize="21600,21600" o:gfxdata="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&#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BYAAABkcnMvUEsBAhQAFAAAAAgAh07iQBdixC/bAAAADQEAAA8AAAAAAAAAAQAgAAAAOAAAAGRy&#10;cy9kb3ducmV2LnhtbFBLAQIUABQAAAAIAIdO4kCTCLla7AEAAK4DAAAOAAAAAAAAAAEAIAAAAEAB&#10;AABkcnMvZTJvRG9jLnhtbFBLBQYAAAAABgAGAFkBAACeBQAAAAA=&#10;">
                <v:fill on="f" focussize="0,0"/>
                <v:stroke weight="1pt" color="#000000 [3213]" joinstyle="round"/>
                <v:imagedata o:title=""/>
                <o:lock v:ext="edit" aspectratio="f"/>
              </v:line>
            </w:pict>
          </mc:Fallback>
        </mc:AlternateContent>
      </w:r>
      <w:r>
        <w:rPr>
          <w:sz w:val="24"/>
        </w:rPr>
        <mc:AlternateContent>
          <mc:Choice Requires="wpg">
            <w:drawing>
              <wp:anchor distT="0" distB="0" distL="114300" distR="114300" simplePos="0" relativeHeight="251683840" behindDoc="0" locked="0" layoutInCell="1" allowOverlap="1">
                <wp:simplePos x="0" y="0"/>
                <wp:positionH relativeFrom="column">
                  <wp:posOffset>2784475</wp:posOffset>
                </wp:positionH>
                <wp:positionV relativeFrom="paragraph">
                  <wp:posOffset>6365240</wp:posOffset>
                </wp:positionV>
                <wp:extent cx="942340" cy="723900"/>
                <wp:effectExtent l="12700" t="12700" r="16510" b="6350"/>
                <wp:wrapNone/>
                <wp:docPr id="114" name="组合 114"/>
                <wp:cNvGraphicFramePr/>
                <a:graphic xmlns:a="http://schemas.openxmlformats.org/drawingml/2006/main">
                  <a:graphicData uri="http://schemas.microsoft.com/office/word/2010/wordprocessingGroup">
                    <wpg:wgp>
                      <wpg:cNvGrpSpPr/>
                      <wpg:grpSpPr>
                        <a:xfrm>
                          <a:off x="0" y="0"/>
                          <a:ext cx="942340" cy="723900"/>
                          <a:chOff x="6085" y="783665"/>
                          <a:chExt cx="1484" cy="1140"/>
                        </a:xfrm>
                      </wpg:grpSpPr>
                      <wps:wsp>
                        <wps:cNvPr id="107" name="椭圆 107"/>
                        <wps:cNvSpPr/>
                        <wps:spPr>
                          <a:xfrm>
                            <a:off x="6085" y="783665"/>
                            <a:ext cx="119" cy="119"/>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1" name="直接箭头连接符 111"/>
                        <wps:cNvCnPr>
                          <a:endCxn id="107" idx="5"/>
                        </wps:cNvCnPr>
                        <wps:spPr>
                          <a:xfrm flipH="1" flipV="1">
                            <a:off x="6187" y="783767"/>
                            <a:ext cx="1383" cy="1039"/>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219.25pt;margin-top:501.2pt;height:57pt;width:74.2pt;z-index:251683840;mso-width-relative:page;mso-height-relative:page;" coordorigin="6085,783665" coordsize="1484,1140" o:gfxdata="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">
                <o:lock v:ext="edit" aspectratio="f"/>
                <v:shape id="_x0000_s1026" o:spid="_x0000_s1026" o:spt="3" type="#_x0000_t3" style="position:absolute;left:6085;top:783665;height:119;width:119;v-text-anchor:middle;" fillcolor="#FF0000" filled="t" stroked="t" coordsize="21600,21600" o:gfxdata="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sAB0OboAAADcAAAADwAAAAAAAAABACAAAAA4AAAAZHJzL2Rvd25yZXYueG1s&#10;UEsBAhQAFAAAAAgAh07iQDMvBZ47AAAAOQAAABAAAAAAAAAAAQAgAAAAHwEAAGRycy9zaGFwZXht&#10;bC54bWxQSwUGAAAAAAYABgBbAQAAyQMAAAAA&#10;">
                  <v:fill on="t" focussize="0,0"/>
                  <v:stroke weight="2pt" color="#FF0000 [3204]" joinstyle="round"/>
                  <v:imagedata o:title=""/>
                  <o:lock v:ext="edit" aspectratio="f"/>
                  <v:textbox>
                    <w:txbxContent>
                      <w:p>
                        <w:pPr>
                          <w:jc w:val="center"/>
                        </w:pPr>
                      </w:p>
                    </w:txbxContent>
                  </v:textbox>
                </v:shape>
                <v:shape id="_x0000_s1026" o:spid="_x0000_s1026" o:spt="32" type="#_x0000_t32" style="position:absolute;left:6187;top:783767;flip:x y;height:1039;width:1383;" filled="f" stroked="t" coordsize="21600,21600" o:gfxdata="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qxHb7vAAAANwAAAAPAAAAAAAAAAEAIAAAADgAAABkcnMvZG93bnJldi54&#10;bWxQSwECFAAUAAAACACHTuJAMy8FnjsAAAA5AAAAEAAAAAAAAAABACAAAAAhAQAAZHJzL3NoYXBl&#10;eG1sLnhtbFBLBQYAAAAABgAGAFsBAADLAwAAAAA=&#10;">
                  <v:fill on="f" focussize="0,0"/>
                  <v:stroke weight="1pt" color="#000000 [3213]" joinstyle="round" endarrow="open"/>
                  <v:imagedata o:title=""/>
                  <o:lock v:ext="edit" aspectratio="f"/>
                </v:shape>
              </v:group>
            </w:pict>
          </mc:Fallback>
        </mc:AlternateContent>
      </w:r>
      <w:r>
        <w:rPr>
          <w:rFonts w:hint="eastAsia" w:eastAsia="宋体" w:cs="宋体"/>
          <w:b/>
          <w:bCs/>
          <w:kern w:val="0"/>
          <w:sz w:val="24"/>
          <w:szCs w:val="22"/>
        </w:rPr>
        <w:drawing>
          <wp:inline distT="0" distB="0" distL="114300" distR="114300">
            <wp:extent cx="5590540" cy="7343775"/>
            <wp:effectExtent l="0" t="0" r="10160" b="9525"/>
            <wp:docPr id="52" name="图片 109" descr="a182c6b47c0856a4652da15b527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9" descr="a182c6b47c0856a4652da15b5271453"/>
                    <pic:cNvPicPr>
                      <a:picLocks noChangeAspect="1"/>
                    </pic:cNvPicPr>
                  </pic:nvPicPr>
                  <pic:blipFill>
                    <a:blip r:embed="rId19"/>
                    <a:stretch>
                      <a:fillRect/>
                    </a:stretch>
                  </pic:blipFill>
                  <pic:spPr>
                    <a:xfrm>
                      <a:off x="0" y="0"/>
                      <a:ext cx="5590540" cy="7343775"/>
                    </a:xfrm>
                    <a:prstGeom prst="rect">
                      <a:avLst/>
                    </a:prstGeom>
                    <a:noFill/>
                    <a:ln>
                      <a:noFill/>
                    </a:ln>
                  </pic:spPr>
                </pic:pic>
              </a:graphicData>
            </a:graphic>
          </wp:inline>
        </w:drawing>
      </w:r>
    </w:p>
    <w:p>
      <w:pPr>
        <w:pStyle w:val="27"/>
        <w:keepNext w:val="0"/>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ind w:right="0" w:firstLine="0" w:firstLineChars="0"/>
        <w:jc w:val="center"/>
        <w:textAlignment w:val="auto"/>
        <w:rPr>
          <w:rFonts w:hint="eastAsia" w:eastAsia="宋体" w:cs="宋体"/>
          <w:b/>
          <w:bCs/>
          <w:kern w:val="0"/>
          <w:sz w:val="24"/>
          <w:szCs w:val="22"/>
          <w:highlight w:val="none"/>
        </w:rPr>
      </w:pPr>
      <w:r>
        <w:rPr>
          <w:rFonts w:hint="eastAsia" w:eastAsia="宋体" w:cs="宋体"/>
          <w:b/>
          <w:bCs/>
          <w:kern w:val="0"/>
          <w:sz w:val="24"/>
          <w:szCs w:val="22"/>
          <w:highlight w:val="none"/>
          <w:lang w:bidi="ar"/>
        </w:rPr>
        <w:t>图</w:t>
      </w:r>
      <w:r>
        <w:rPr>
          <w:rFonts w:hint="eastAsia" w:eastAsia="宋体" w:cs="宋体"/>
          <w:b/>
          <w:bCs/>
          <w:spacing w:val="-61"/>
          <w:kern w:val="0"/>
          <w:sz w:val="24"/>
          <w:szCs w:val="22"/>
          <w:highlight w:val="none"/>
          <w:lang w:bidi="ar"/>
        </w:rPr>
        <w:t xml:space="preserve"> </w:t>
      </w:r>
      <w:r>
        <w:rPr>
          <w:rFonts w:eastAsia="宋体" w:cs="宋体"/>
          <w:b/>
          <w:bCs/>
          <w:kern w:val="0"/>
          <w:sz w:val="24"/>
          <w:szCs w:val="22"/>
          <w:highlight w:val="none"/>
          <w:lang w:bidi="ar"/>
        </w:rPr>
        <w:t>1.7-</w:t>
      </w:r>
      <w:r>
        <w:rPr>
          <w:rFonts w:hint="eastAsia" w:eastAsia="宋体" w:cs="宋体"/>
          <w:b/>
          <w:bCs/>
          <w:kern w:val="0"/>
          <w:sz w:val="24"/>
          <w:szCs w:val="22"/>
          <w:highlight w:val="none"/>
          <w:lang w:bidi="ar"/>
        </w:rPr>
        <w:t>1</w:t>
      </w:r>
      <w:r>
        <w:rPr>
          <w:rFonts w:eastAsia="宋体" w:cs="宋体"/>
          <w:b/>
          <w:bCs/>
          <w:kern w:val="0"/>
          <w:sz w:val="24"/>
          <w:szCs w:val="22"/>
          <w:highlight w:val="none"/>
          <w:lang w:bidi="ar"/>
        </w:rPr>
        <w:tab/>
      </w:r>
      <w:r>
        <w:rPr>
          <w:rFonts w:hint="eastAsia" w:eastAsia="宋体" w:cs="宋体"/>
          <w:b/>
          <w:bCs/>
          <w:kern w:val="0"/>
          <w:sz w:val="24"/>
          <w:szCs w:val="22"/>
          <w:highlight w:val="none"/>
          <w:lang w:bidi="ar"/>
        </w:rPr>
        <w:t>宁夏回族自治区主体功能区规划图</w:t>
      </w:r>
    </w:p>
    <w:p>
      <w:pPr>
        <w:pStyle w:val="52"/>
        <w:pageBreakBefore w:val="0"/>
        <w:tabs>
          <w:tab w:val="left" w:pos="284"/>
        </w:tabs>
        <w:kinsoku/>
        <w:wordWrap/>
        <w:overflowPunct/>
        <w:topLinePunct w:val="0"/>
        <w:autoSpaceDE/>
        <w:autoSpaceDN/>
        <w:bidi w:val="0"/>
        <w:snapToGrid w:val="0"/>
        <w:spacing w:before="0" w:after="0" w:afterLines="0" w:line="540" w:lineRule="exact"/>
        <w:contextualSpacing/>
        <w:textAlignment w:val="auto"/>
        <w:rPr>
          <w:sz w:val="24"/>
          <w:szCs w:val="22"/>
        </w:rPr>
      </w:pPr>
      <w:bookmarkStart w:id="376" w:name="2.7.3.5与《吴忠市利通区五里坡生态奶牛养殖基地园区规划环境影响报告书》及审"/>
      <w:bookmarkEnd w:id="376"/>
      <w:bookmarkStart w:id="377" w:name="_Toc30654"/>
      <w:bookmarkStart w:id="378" w:name="_Toc28241"/>
      <w:bookmarkStart w:id="379" w:name="_Toc28428"/>
      <w:bookmarkStart w:id="380" w:name="_Toc31589"/>
      <w:bookmarkStart w:id="381" w:name="_Toc1274"/>
      <w:r>
        <w:rPr>
          <w:rFonts w:hint="eastAsia" w:cs="Times New Roman"/>
          <w:bCs w:val="0"/>
          <w:snapToGrid w:val="0"/>
          <w:kern w:val="0"/>
          <w:sz w:val="28"/>
          <w:szCs w:val="28"/>
        </w:rPr>
        <w:t>1.7.</w:t>
      </w:r>
      <w:r>
        <w:rPr>
          <w:rFonts w:hint="eastAsia" w:cs="Times New Roman"/>
          <w:bCs w:val="0"/>
          <w:snapToGrid w:val="0"/>
          <w:kern w:val="0"/>
          <w:sz w:val="28"/>
          <w:szCs w:val="28"/>
          <w:lang w:val="en-US" w:eastAsia="zh-CN"/>
        </w:rPr>
        <w:t>4</w:t>
      </w:r>
      <w:r>
        <w:rPr>
          <w:rFonts w:hint="eastAsia" w:cs="Times New Roman"/>
          <w:bCs w:val="0"/>
          <w:snapToGrid w:val="0"/>
          <w:kern w:val="0"/>
          <w:sz w:val="28"/>
          <w:szCs w:val="28"/>
        </w:rPr>
        <w:t>项目选址合理性分析</w:t>
      </w:r>
      <w:bookmarkEnd w:id="377"/>
      <w:bookmarkEnd w:id="378"/>
      <w:bookmarkEnd w:id="379"/>
      <w:bookmarkEnd w:id="380"/>
      <w:bookmarkEnd w:id="381"/>
    </w:p>
    <w:p>
      <w:pPr>
        <w:pStyle w:val="52"/>
        <w:tabs>
          <w:tab w:val="left" w:pos="284"/>
        </w:tabs>
        <w:snapToGrid w:val="0"/>
        <w:spacing w:before="120" w:beforeLines="50" w:after="120" w:afterLines="50" w:line="540" w:lineRule="exact"/>
        <w:contextualSpacing/>
        <w:outlineLvl w:val="3"/>
        <w:rPr>
          <w:rFonts w:cs="Times New Roman"/>
          <w:bCs w:val="0"/>
          <w:snapToGrid w:val="0"/>
          <w:kern w:val="0"/>
          <w:sz w:val="28"/>
          <w:szCs w:val="28"/>
        </w:rPr>
      </w:pPr>
      <w:bookmarkStart w:id="382" w:name="_Toc31380"/>
      <w:r>
        <w:rPr>
          <w:rFonts w:hint="eastAsia" w:cs="Times New Roman"/>
          <w:bCs w:val="0"/>
          <w:snapToGrid w:val="0"/>
          <w:kern w:val="0"/>
          <w:sz w:val="28"/>
          <w:szCs w:val="28"/>
        </w:rPr>
        <w:t>1.7.</w:t>
      </w:r>
      <w:r>
        <w:rPr>
          <w:rFonts w:hint="eastAsia" w:cs="Times New Roman"/>
          <w:bCs w:val="0"/>
          <w:snapToGrid w:val="0"/>
          <w:kern w:val="0"/>
          <w:sz w:val="28"/>
          <w:szCs w:val="28"/>
          <w:lang w:val="en-US" w:eastAsia="zh-CN"/>
        </w:rPr>
        <w:t>4.1</w:t>
      </w:r>
      <w:r>
        <w:rPr>
          <w:rFonts w:hint="eastAsia" w:cs="Times New Roman"/>
          <w:bCs w:val="0"/>
          <w:snapToGrid w:val="0"/>
          <w:kern w:val="0"/>
          <w:sz w:val="28"/>
          <w:szCs w:val="28"/>
        </w:rPr>
        <w:t>“三线一单”符合性分析</w:t>
      </w:r>
      <w:bookmarkEnd w:id="382"/>
    </w:p>
    <w:p>
      <w:pPr>
        <w:pStyle w:val="11"/>
        <w:adjustRightInd w:val="0"/>
        <w:snapToGrid w:val="0"/>
        <w:spacing w:after="0" w:line="540" w:lineRule="exact"/>
        <w:ind w:firstLine="480" w:firstLineChars="200"/>
        <w:rPr>
          <w:rFonts w:ascii="Times New Roman" w:hAnsi="Times New Roman"/>
          <w:sz w:val="24"/>
          <w:szCs w:val="22"/>
          <w:lang w:val="zh-CN"/>
        </w:rPr>
      </w:pPr>
      <w:r>
        <w:rPr>
          <w:rFonts w:ascii="Times New Roman" w:hAnsi="Times New Roman"/>
          <w:sz w:val="24"/>
          <w:szCs w:val="22"/>
          <w:lang w:val="zh-CN"/>
        </w:rPr>
        <w:t>（</w:t>
      </w:r>
      <w:r>
        <w:rPr>
          <w:rFonts w:ascii="Times New Roman" w:hAnsi="Times New Roman"/>
          <w:sz w:val="24"/>
          <w:szCs w:val="22"/>
        </w:rPr>
        <w:t>1</w:t>
      </w:r>
      <w:r>
        <w:rPr>
          <w:rFonts w:ascii="Times New Roman" w:hAnsi="Times New Roman"/>
          <w:sz w:val="24"/>
          <w:szCs w:val="22"/>
          <w:lang w:val="zh-CN"/>
        </w:rPr>
        <w:t>）生态保护红线符合性分析</w:t>
      </w:r>
    </w:p>
    <w:p>
      <w:pPr>
        <w:pStyle w:val="11"/>
        <w:adjustRightInd w:val="0"/>
        <w:snapToGrid w:val="0"/>
        <w:spacing w:after="0" w:line="540" w:lineRule="exact"/>
        <w:ind w:firstLine="480" w:firstLineChars="200"/>
        <w:rPr>
          <w:rFonts w:ascii="Times New Roman" w:hAnsi="Times New Roman"/>
          <w:sz w:val="24"/>
          <w:szCs w:val="22"/>
          <w:lang w:val="zh-CN"/>
        </w:rPr>
      </w:pPr>
      <w:r>
        <w:rPr>
          <w:rFonts w:ascii="Times New Roman" w:hAnsi="Times New Roman"/>
          <w:sz w:val="24"/>
          <w:szCs w:val="22"/>
          <w:lang w:val="zh-CN"/>
        </w:rPr>
        <w:t>根据自治区人民政府文件《关于发布宁夏回族自治区生态保护红线的通知》（宁政发[2018]23号），宁夏回族自治区生态保护红线总面积12863.77km</w:t>
      </w:r>
      <w:r>
        <w:rPr>
          <w:rFonts w:ascii="Times New Roman" w:hAnsi="Times New Roman"/>
          <w:sz w:val="24"/>
          <w:szCs w:val="22"/>
          <w:vertAlign w:val="superscript"/>
          <w:lang w:val="zh-CN"/>
        </w:rPr>
        <w:t>2</w:t>
      </w:r>
      <w:r>
        <w:rPr>
          <w:rFonts w:ascii="Times New Roman" w:hAnsi="Times New Roman"/>
          <w:sz w:val="24"/>
          <w:szCs w:val="22"/>
          <w:lang w:val="zh-CN"/>
        </w:rPr>
        <w:t>，包括水源涵养、生物多样性维护、水土保持、防风固沙、水土流失控制等5种生态功能类型、9个片区，构成了“三屏一带五区”为主的生态保护红线空间格局。其中，“三屏”为六盘山生态屏障、贺兰山生态屏障、罗山生态屏障，“一带”为黄河岸线生态廊道，“五区”为东部毛乌素沙地防风固沙区、西部腾格里沙漠边缘防风固沙区、中部干旱带水土流失控制区、东南黄土高原丘陵水土保持区、西南黄土高原丘陵水土保持区。</w:t>
      </w:r>
    </w:p>
    <w:p>
      <w:pPr>
        <w:pStyle w:val="11"/>
        <w:adjustRightInd w:val="0"/>
        <w:snapToGrid w:val="0"/>
        <w:spacing w:after="0" w:line="540" w:lineRule="exact"/>
        <w:ind w:firstLine="480" w:firstLineChars="200"/>
        <w:jc w:val="left"/>
        <w:rPr>
          <w:rFonts w:ascii="Times New Roman" w:hAnsi="Times New Roman"/>
          <w:sz w:val="24"/>
          <w:szCs w:val="22"/>
        </w:rPr>
      </w:pPr>
      <w:r>
        <w:rPr>
          <w:rFonts w:ascii="Times New Roman" w:hAnsi="Times New Roman"/>
          <w:sz w:val="24"/>
          <w:szCs w:val="22"/>
          <w:lang w:val="zh-CN"/>
        </w:rPr>
        <w:t>本项目建设地点位于</w:t>
      </w:r>
      <w:r>
        <w:rPr>
          <w:rFonts w:hint="eastAsia" w:ascii="Times New Roman" w:hAnsi="Times New Roman"/>
          <w:sz w:val="24"/>
          <w:szCs w:val="22"/>
          <w:lang w:val="zh-CN"/>
        </w:rPr>
        <w:t>固原市隆德县神林乡神林村</w:t>
      </w:r>
      <w:r>
        <w:rPr>
          <w:rFonts w:ascii="Times New Roman" w:hAnsi="Times New Roman"/>
          <w:sz w:val="24"/>
          <w:szCs w:val="22"/>
          <w:lang w:val="zh-CN"/>
        </w:rPr>
        <w:t>，</w:t>
      </w:r>
      <w:r>
        <w:rPr>
          <w:rFonts w:hint="eastAsia" w:ascii="Times New Roman" w:hAnsi="Times New Roman"/>
          <w:sz w:val="24"/>
          <w:szCs w:val="22"/>
          <w:lang w:val="zh-CN"/>
        </w:rPr>
        <w:t>已取得隆德县神林乡人民政府的用地批复（见附件）</w:t>
      </w:r>
      <w:r>
        <w:rPr>
          <w:rFonts w:hint="eastAsia" w:ascii="Times New Roman" w:hAnsi="Times New Roman"/>
          <w:sz w:val="24"/>
          <w:szCs w:val="22"/>
          <w:highlight w:val="none"/>
          <w:lang w:val="zh-CN"/>
        </w:rPr>
        <w:t>，其中养殖棚占地面积</w:t>
      </w:r>
      <w:r>
        <w:rPr>
          <w:rFonts w:hint="eastAsia" w:ascii="Times New Roman" w:hAnsi="Times New Roman"/>
          <w:sz w:val="24"/>
          <w:szCs w:val="22"/>
          <w:highlight w:val="none"/>
          <w:lang w:val="en-US" w:eastAsia="zh-CN"/>
        </w:rPr>
        <w:t>23.65亩，土地性质为建设用地，不占用永久性基本农田；积粪场占地面积5.75亩，土地性质为建设用地，不占用永久性基本农田；青贮池用地性质为设施农用地，使用期限为5年，并保证到期结束，及时做好耕作层的恢复工作。本项目建设</w:t>
      </w:r>
      <w:r>
        <w:rPr>
          <w:rFonts w:ascii="Times New Roman" w:hAnsi="Times New Roman"/>
          <w:sz w:val="24"/>
          <w:szCs w:val="22"/>
          <w:highlight w:val="none"/>
          <w:lang w:val="zh-CN"/>
        </w:rPr>
        <w:t>不在</w:t>
      </w:r>
      <w:r>
        <w:rPr>
          <w:rFonts w:ascii="Times New Roman" w:hAnsi="Times New Roman"/>
          <w:sz w:val="24"/>
          <w:szCs w:val="22"/>
          <w:lang w:val="zh-CN"/>
        </w:rPr>
        <w:t>宁夏回族自治区生态红线保护范围内，因此，项目厂址与生态保护红线划定方案是相符的，具体见本项目与宁夏回族自治区生态保护红线分布图位置关系图</w:t>
      </w:r>
      <w:r>
        <w:rPr>
          <w:rFonts w:hint="eastAsia" w:ascii="Times New Roman" w:hAnsi="Times New Roman"/>
          <w:sz w:val="24"/>
          <w:szCs w:val="22"/>
        </w:rPr>
        <w:t>1.7-2及本项目与固原市生态红线分布图位置关系图1.7-3。</w:t>
      </w:r>
      <w:r>
        <w:rPr>
          <w:rFonts w:ascii="Times New Roman" w:hAnsi="Times New Roman"/>
          <w:sz w:val="24"/>
          <w:szCs w:val="22"/>
        </w:rPr>
        <w:t>与《</w:t>
      </w:r>
      <w:r>
        <w:rPr>
          <w:rFonts w:hint="eastAsia" w:ascii="Times New Roman" w:hAnsi="Times New Roman"/>
          <w:sz w:val="24"/>
          <w:szCs w:val="22"/>
        </w:rPr>
        <w:t>固原市</w:t>
      </w:r>
      <w:r>
        <w:rPr>
          <w:rFonts w:ascii="Times New Roman" w:hAnsi="Times New Roman"/>
          <w:sz w:val="24"/>
          <w:szCs w:val="22"/>
        </w:rPr>
        <w:t>人民政府关于实施“三线一单”生态环境分区管控的意见》符合性分析</w:t>
      </w:r>
    </w:p>
    <w:p>
      <w:pPr>
        <w:pStyle w:val="11"/>
        <w:adjustRightInd w:val="0"/>
        <w:snapToGrid w:val="0"/>
        <w:spacing w:after="0" w:line="540" w:lineRule="exact"/>
        <w:ind w:firstLine="480" w:firstLineChars="200"/>
        <w:jc w:val="left"/>
        <w:rPr>
          <w:rFonts w:ascii="Times New Roman" w:hAnsi="Times New Roman"/>
          <w:sz w:val="24"/>
          <w:szCs w:val="22"/>
        </w:rPr>
      </w:pPr>
      <w:r>
        <w:rPr>
          <w:rFonts w:ascii="Times New Roman" w:hAnsi="Times New Roman"/>
          <w:sz w:val="24"/>
          <w:szCs w:val="22"/>
        </w:rPr>
        <w:t>根据</w:t>
      </w:r>
      <w:r>
        <w:rPr>
          <w:rFonts w:hint="eastAsia" w:ascii="Times New Roman" w:hAnsi="Times New Roman"/>
          <w:sz w:val="24"/>
          <w:szCs w:val="22"/>
        </w:rPr>
        <w:t>固原市</w:t>
      </w:r>
      <w:r>
        <w:rPr>
          <w:rFonts w:ascii="Times New Roman" w:hAnsi="Times New Roman"/>
          <w:sz w:val="24"/>
          <w:szCs w:val="22"/>
        </w:rPr>
        <w:t>人民政府于2021年</w:t>
      </w:r>
      <w:r>
        <w:rPr>
          <w:rFonts w:hint="eastAsia" w:ascii="Times New Roman" w:hAnsi="Times New Roman"/>
          <w:sz w:val="24"/>
          <w:szCs w:val="22"/>
        </w:rPr>
        <w:t>6</w:t>
      </w:r>
      <w:r>
        <w:rPr>
          <w:rFonts w:ascii="Times New Roman" w:hAnsi="Times New Roman"/>
          <w:sz w:val="24"/>
          <w:szCs w:val="22"/>
        </w:rPr>
        <w:t>月</w:t>
      </w:r>
      <w:r>
        <w:rPr>
          <w:rFonts w:hint="eastAsia" w:ascii="Times New Roman" w:hAnsi="Times New Roman"/>
          <w:sz w:val="24"/>
          <w:szCs w:val="22"/>
        </w:rPr>
        <w:t>30</w:t>
      </w:r>
      <w:r>
        <w:rPr>
          <w:rFonts w:ascii="Times New Roman" w:hAnsi="Times New Roman"/>
          <w:sz w:val="24"/>
          <w:szCs w:val="22"/>
        </w:rPr>
        <w:t>日发布的《关于实施“三线一单”生态环境分区管控的通知》（</w:t>
      </w:r>
      <w:r>
        <w:rPr>
          <w:rFonts w:hint="eastAsia" w:ascii="Times New Roman" w:hAnsi="Times New Roman"/>
          <w:sz w:val="24"/>
          <w:szCs w:val="22"/>
        </w:rPr>
        <w:t>固政规发〔2021〕6号</w:t>
      </w:r>
      <w:r>
        <w:rPr>
          <w:rFonts w:ascii="Times New Roman" w:hAnsi="Times New Roman"/>
          <w:sz w:val="24"/>
          <w:szCs w:val="22"/>
        </w:rPr>
        <w:t>），文件中提出</w:t>
      </w:r>
      <w:r>
        <w:rPr>
          <w:rFonts w:hint="eastAsia" w:ascii="Times New Roman" w:hAnsi="Times New Roman"/>
          <w:sz w:val="24"/>
          <w:szCs w:val="22"/>
        </w:rPr>
        <w:t>固原</w:t>
      </w:r>
      <w:r>
        <w:rPr>
          <w:rFonts w:ascii="Times New Roman" w:hAnsi="Times New Roman"/>
          <w:sz w:val="24"/>
          <w:szCs w:val="22"/>
        </w:rPr>
        <w:t>市环境管控单元及生态环境管控分区要求，制定了</w:t>
      </w:r>
      <w:r>
        <w:rPr>
          <w:rFonts w:hint="eastAsia" w:ascii="Times New Roman" w:hAnsi="Times New Roman"/>
          <w:sz w:val="24"/>
          <w:szCs w:val="22"/>
        </w:rPr>
        <w:t>固原市</w:t>
      </w:r>
      <w:r>
        <w:rPr>
          <w:rFonts w:ascii="Times New Roman" w:hAnsi="Times New Roman"/>
          <w:sz w:val="24"/>
          <w:szCs w:val="22"/>
        </w:rPr>
        <w:t>生态环境准入清单。全市划分优先保护、重点管控、一般管控共计三大类</w:t>
      </w:r>
      <w:r>
        <w:rPr>
          <w:rFonts w:hint="eastAsia" w:ascii="Times New Roman" w:hAnsi="Times New Roman"/>
          <w:sz w:val="24"/>
          <w:szCs w:val="22"/>
        </w:rPr>
        <w:t>95</w:t>
      </w:r>
      <w:r>
        <w:rPr>
          <w:rFonts w:ascii="Times New Roman" w:hAnsi="Times New Roman"/>
          <w:sz w:val="24"/>
          <w:szCs w:val="22"/>
        </w:rPr>
        <w:t>个环境管控单元。建设项目位于</w:t>
      </w:r>
      <w:r>
        <w:rPr>
          <w:rFonts w:hint="eastAsia" w:ascii="Times New Roman" w:hAnsi="Times New Roman"/>
          <w:sz w:val="24"/>
          <w:szCs w:val="22"/>
        </w:rPr>
        <w:t>固原市隆德县神林乡神林村</w:t>
      </w:r>
      <w:r>
        <w:rPr>
          <w:rFonts w:ascii="Times New Roman" w:hAnsi="Times New Roman"/>
          <w:sz w:val="24"/>
          <w:szCs w:val="22"/>
        </w:rPr>
        <w:t>，对照</w:t>
      </w:r>
      <w:r>
        <w:rPr>
          <w:rFonts w:hint="eastAsia" w:ascii="Times New Roman" w:hAnsi="Times New Roman"/>
          <w:sz w:val="24"/>
          <w:szCs w:val="22"/>
        </w:rPr>
        <w:t>固原市</w:t>
      </w:r>
      <w:r>
        <w:rPr>
          <w:rFonts w:ascii="Times New Roman" w:hAnsi="Times New Roman"/>
          <w:sz w:val="24"/>
          <w:szCs w:val="22"/>
        </w:rPr>
        <w:t>环境管控单元分布图，建设项目所在地属于</w:t>
      </w:r>
      <w:r>
        <w:rPr>
          <w:rFonts w:hint="eastAsia" w:ascii="Times New Roman" w:hAnsi="Times New Roman"/>
          <w:sz w:val="24"/>
          <w:szCs w:val="22"/>
        </w:rPr>
        <w:t>一般管控</w:t>
      </w:r>
      <w:r>
        <w:rPr>
          <w:rFonts w:ascii="Times New Roman" w:hAnsi="Times New Roman"/>
          <w:sz w:val="24"/>
          <w:szCs w:val="22"/>
        </w:rPr>
        <w:t>单元</w:t>
      </w:r>
      <w:r>
        <w:rPr>
          <w:rFonts w:hint="eastAsia" w:ascii="Times New Roman" w:hAnsi="Times New Roman"/>
          <w:sz w:val="24"/>
          <w:szCs w:val="22"/>
        </w:rPr>
        <w:t>。一般管控单元以适度发展社会经济、避免大规模高强度开发为导向，执行区域生态环境保护的基本要求。</w:t>
      </w:r>
      <w:r>
        <w:rPr>
          <w:rFonts w:ascii="Times New Roman" w:hAnsi="Times New Roman"/>
          <w:sz w:val="24"/>
          <w:szCs w:val="22"/>
        </w:rPr>
        <w:t>根据《</w:t>
      </w:r>
      <w:r>
        <w:rPr>
          <w:rFonts w:hint="eastAsia" w:ascii="Times New Roman" w:hAnsi="Times New Roman"/>
          <w:sz w:val="24"/>
          <w:szCs w:val="22"/>
        </w:rPr>
        <w:t>固原市</w:t>
      </w:r>
      <w:r>
        <w:rPr>
          <w:rFonts w:ascii="Times New Roman" w:hAnsi="Times New Roman"/>
          <w:sz w:val="24"/>
          <w:szCs w:val="22"/>
        </w:rPr>
        <w:t>“三线一单”编制文本》中对</w:t>
      </w:r>
      <w:r>
        <w:rPr>
          <w:rFonts w:hint="eastAsia" w:ascii="Times New Roman" w:hAnsi="Times New Roman"/>
          <w:sz w:val="24"/>
          <w:szCs w:val="22"/>
        </w:rPr>
        <w:t>一般管控</w:t>
      </w:r>
      <w:r>
        <w:rPr>
          <w:rFonts w:ascii="Times New Roman" w:hAnsi="Times New Roman"/>
          <w:sz w:val="24"/>
          <w:szCs w:val="22"/>
        </w:rPr>
        <w:t>单元的环境管控要求为：</w:t>
      </w:r>
      <w:r>
        <w:rPr>
          <w:rFonts w:hint="eastAsia" w:ascii="Times New Roman" w:hAnsi="Times New Roman"/>
          <w:sz w:val="24"/>
          <w:szCs w:val="22"/>
        </w:rPr>
        <w:t>禁止在水源涵养地、天然林地、草原等植被覆盖度在40%以上和治理程度达70%以上的小流域进行开发建设；严格限制占用林地、草地及清水河等河流沿线湿地进行开发建设活动；在满足产业准入、总量控制、排放标准等国家和地方相关管理制度要求的前提下，集约发展。</w:t>
      </w:r>
      <w:r>
        <w:rPr>
          <w:rFonts w:ascii="Times New Roman" w:hAnsi="Times New Roman"/>
          <w:sz w:val="24"/>
          <w:szCs w:val="22"/>
        </w:rPr>
        <w:t>本项目为</w:t>
      </w:r>
      <w:r>
        <w:rPr>
          <w:rFonts w:hint="eastAsia" w:ascii="Times New Roman" w:hAnsi="Times New Roman"/>
          <w:sz w:val="24"/>
          <w:szCs w:val="22"/>
        </w:rPr>
        <w:t>基础母牛</w:t>
      </w:r>
      <w:r>
        <w:rPr>
          <w:rFonts w:ascii="Times New Roman" w:hAnsi="Times New Roman"/>
          <w:sz w:val="24"/>
          <w:szCs w:val="22"/>
        </w:rPr>
        <w:t>养殖项目，不进行大规模、高强度的开发建设活动，且建设项目通过人工绿化、种植饲草地、保护生态等措施保护规划区域生态环境，以期达到生态环境功能不降低的目标，与《</w:t>
      </w:r>
      <w:r>
        <w:rPr>
          <w:rFonts w:hint="eastAsia" w:ascii="Times New Roman" w:hAnsi="Times New Roman"/>
          <w:sz w:val="24"/>
          <w:szCs w:val="22"/>
        </w:rPr>
        <w:t>固原市</w:t>
      </w:r>
      <w:r>
        <w:rPr>
          <w:rFonts w:ascii="Times New Roman" w:hAnsi="Times New Roman"/>
          <w:sz w:val="24"/>
          <w:szCs w:val="22"/>
        </w:rPr>
        <w:t>人民政府关于实施“三线一单”生态环境分区管控的意见》中生态环境管控要求是相符的。</w:t>
      </w:r>
    </w:p>
    <w:p>
      <w:pPr>
        <w:pStyle w:val="11"/>
        <w:adjustRightInd w:val="0"/>
        <w:snapToGrid w:val="0"/>
        <w:spacing w:after="0"/>
        <w:jc w:val="left"/>
        <w:rPr>
          <w:rFonts w:ascii="Times New Roman" w:hAnsi="Times New Roman"/>
          <w:sz w:val="24"/>
          <w:szCs w:val="22"/>
        </w:rPr>
      </w:pPr>
    </w:p>
    <w:p>
      <w:pPr>
        <w:tabs>
          <w:tab w:val="left" w:pos="1579"/>
        </w:tabs>
        <w:autoSpaceDE w:val="0"/>
        <w:autoSpaceDN w:val="0"/>
        <w:spacing w:before="74"/>
        <w:ind w:right="407"/>
        <w:jc w:val="center"/>
        <w:rPr>
          <w:rFonts w:hint="eastAsia" w:ascii="Times New Roman" w:hAnsi="Times New Roman" w:cs="宋体"/>
          <w:b/>
          <w:bCs/>
          <w:kern w:val="0"/>
          <w:sz w:val="24"/>
          <w:szCs w:val="22"/>
          <w:lang w:bidi="ar"/>
        </w:rPr>
      </w:pPr>
      <w:r>
        <w:rPr>
          <w:sz w:val="24"/>
        </w:rPr>
        <mc:AlternateContent>
          <mc:Choice Requires="wps">
            <w:drawing>
              <wp:anchor distT="0" distB="0" distL="114300" distR="114300" simplePos="0" relativeHeight="251693056" behindDoc="0" locked="0" layoutInCell="1" allowOverlap="1">
                <wp:simplePos x="0" y="0"/>
                <wp:positionH relativeFrom="column">
                  <wp:posOffset>3211195</wp:posOffset>
                </wp:positionH>
                <wp:positionV relativeFrom="paragraph">
                  <wp:posOffset>3622675</wp:posOffset>
                </wp:positionV>
                <wp:extent cx="1400175" cy="466725"/>
                <wp:effectExtent l="0" t="0" r="0" b="0"/>
                <wp:wrapNone/>
                <wp:docPr id="80" name="文本框 80"/>
                <wp:cNvGraphicFramePr/>
                <a:graphic xmlns:a="http://schemas.openxmlformats.org/drawingml/2006/main">
                  <a:graphicData uri="http://schemas.microsoft.com/office/word/2010/wordprocessingShape">
                    <wps:wsp>
                      <wps:cNvSpPr txBox="1"/>
                      <wps:spPr>
                        <a:xfrm>
                          <a:off x="4025265" y="4415155"/>
                          <a:ext cx="1400175" cy="466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auto"/>
                                <w:sz w:val="36"/>
                                <w:szCs w:val="36"/>
                                <w:lang w:eastAsia="zh-CN"/>
                              </w:rPr>
                            </w:pPr>
                            <w:r>
                              <w:rPr>
                                <w:rFonts w:hint="eastAsia"/>
                                <w:b/>
                                <w:bCs/>
                                <w:color w:val="auto"/>
                                <w:sz w:val="36"/>
                                <w:szCs w:val="36"/>
                                <w:lang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85pt;margin-top:285.25pt;height:36.75pt;width:110.25pt;z-index:251693056;mso-width-relative:page;mso-height-relative:page;" filled="f" stroked="f" coordsize="21600,21600" o:gfxdata="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MBuPYrcAAAACwEAAA8AAAAAAAAAAQAgAAAAOAAAAGRycy9kb3ducmV2LnhtbFBLAQIUABQA&#10;AAAIAIdO4kDxmGbKSAIAAHQEAAAOAAAAAAAAAAEAIAAAAEEBAABkcnMvZTJvRG9jLnhtbFBLBQYA&#10;AAAABgAGAFkBAAD7BQAAAAA=&#10;">
                <v:fill on="f" focussize="0,0"/>
                <v:stroke on="f" weight="0.5pt"/>
                <v:imagedata o:title=""/>
                <o:lock v:ext="edit" aspectratio="f"/>
                <v:textbox>
                  <w:txbxContent>
                    <w:p>
                      <w:pPr>
                        <w:rPr>
                          <w:rFonts w:hint="eastAsia" w:eastAsia="宋体"/>
                          <w:b/>
                          <w:bCs/>
                          <w:color w:val="auto"/>
                          <w:sz w:val="36"/>
                          <w:szCs w:val="36"/>
                          <w:lang w:eastAsia="zh-CN"/>
                        </w:rPr>
                      </w:pPr>
                      <w:r>
                        <w:rPr>
                          <w:rFonts w:hint="eastAsia"/>
                          <w:b/>
                          <w:bCs/>
                          <w:color w:val="auto"/>
                          <w:sz w:val="36"/>
                          <w:szCs w:val="36"/>
                          <w:lang w:eastAsia="zh-CN"/>
                        </w:rPr>
                        <w:t>本项目位置</w:t>
                      </w:r>
                    </w:p>
                  </w:txbxContent>
                </v:textbox>
              </v:shape>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3163570</wp:posOffset>
                </wp:positionH>
                <wp:positionV relativeFrom="paragraph">
                  <wp:posOffset>4114165</wp:posOffset>
                </wp:positionV>
                <wp:extent cx="1104900" cy="9525"/>
                <wp:effectExtent l="33655" t="26670" r="42545" b="78105"/>
                <wp:wrapNone/>
                <wp:docPr id="79" name="直接连接符 79"/>
                <wp:cNvGraphicFramePr/>
                <a:graphic xmlns:a="http://schemas.openxmlformats.org/drawingml/2006/main">
                  <a:graphicData uri="http://schemas.microsoft.com/office/word/2010/wordprocessingShape">
                    <wps:wsp>
                      <wps:cNvCnPr/>
                      <wps:spPr>
                        <a:xfrm>
                          <a:off x="4015740" y="4944745"/>
                          <a:ext cx="1104900" cy="95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49.1pt;margin-top:323.95pt;height:0.75pt;width:87pt;z-index:251692032;mso-width-relative:page;mso-height-relative:page;" filled="f" stroked="t" coordsize="21600,21600" o:gfxdata="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FgAAAGRycy9QSwECFAAUAAAACACHTuJAzFUN+t0AAAALAQAADwAAAAAA&#10;AAABACAAAAA4AAAAZHJzL2Rvd25yZXYueG1sUEsBAhQAFAAAAAgAh07iQK+m+EcxAgAAWAQAAA4A&#10;AAAAAAAAAQAgAAAAQgEAAGRycy9lMm9Eb2MueG1sUEsFBgAAAAAGAAYAWQEAAOUFAAAAAA==&#10;">
                <v:fill on="f" focussize="0,0"/>
                <v:stroke weight="2pt" color="#000000 [3213]" joinstyle="round"/>
                <v:imagedata o:title=""/>
                <o:lock v:ext="edit" aspectratio="f"/>
                <v:shadow on="t" color="#000000" opacity="24903f" offset="0pt,1.5748031496063pt" origin="0f,32768f" matrix="65536f,0f,0f,65536f"/>
              </v:line>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2620645</wp:posOffset>
                </wp:positionH>
                <wp:positionV relativeFrom="paragraph">
                  <wp:posOffset>1903730</wp:posOffset>
                </wp:positionV>
                <wp:extent cx="552450" cy="2223770"/>
                <wp:effectExtent l="46355" t="16510" r="48895" b="64770"/>
                <wp:wrapNone/>
                <wp:docPr id="77" name="直接连接符 77"/>
                <wp:cNvGraphicFramePr/>
                <a:graphic xmlns:a="http://schemas.openxmlformats.org/drawingml/2006/main">
                  <a:graphicData uri="http://schemas.microsoft.com/office/word/2010/wordprocessingShape">
                    <wps:wsp>
                      <wps:cNvCnPr>
                        <a:stCxn id="76" idx="4"/>
                      </wps:cNvCnPr>
                      <wps:spPr>
                        <a:xfrm>
                          <a:off x="3520440" y="3067685"/>
                          <a:ext cx="552450" cy="222377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6.35pt;margin-top:149.9pt;height:175.1pt;width:43.5pt;z-index:251691008;mso-width-relative:page;mso-height-relative:page;" filled="f" stroked="t" coordsize="21600,21600" o:gfxdata="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HAcMVzdAAAACwEAAA8AAAAAAAAAAQAgAAAAOAAAAGRycy9kb3ducmV2LnhtbFBLAQIUABQAAAAI&#10;AIdO4kBBHEb5RAIAAIEEAAAOAAAAAAAAAAEAIAAAAEIBAABkcnMvZTJvRG9jLnhtbFBLBQYAAAAA&#10;BgAGAFkBAAD4BQ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2563495</wp:posOffset>
                </wp:positionH>
                <wp:positionV relativeFrom="paragraph">
                  <wp:posOffset>1808480</wp:posOffset>
                </wp:positionV>
                <wp:extent cx="114300" cy="95250"/>
                <wp:effectExtent l="0" t="0" r="0" b="0"/>
                <wp:wrapNone/>
                <wp:docPr id="76" name="椭圆 76"/>
                <wp:cNvGraphicFramePr/>
                <a:graphic xmlns:a="http://schemas.openxmlformats.org/drawingml/2006/main">
                  <a:graphicData uri="http://schemas.microsoft.com/office/word/2010/wordprocessingShape">
                    <wps:wsp>
                      <wps:cNvSpPr/>
                      <wps:spPr>
                        <a:xfrm>
                          <a:off x="3463290" y="2972435"/>
                          <a:ext cx="114300" cy="95250"/>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1.85pt;margin-top:142.4pt;height:7.5pt;width:9pt;z-index:251689984;v-text-anchor:middle;mso-width-relative:page;mso-height-relative:page;" fillcolor="#0070C0" filled="t" stroked="f" coordsize="21600,21600" o:gfxdata="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WAAAAZHJzL1BLAQIUABQAAAAIAIdO4kBjAymz1wAAAAsBAAAP&#10;AAAAAAAAAAEAIAAAADgAAABkcnMvZG93bnJldi54bWxQSwECFAAUAAAACACHTuJAZddOE3UCAADO&#10;BAAADgAAAAAAAAABACAAAAA8AQAAZHJzL2Uyb0RvYy54bWxQSwUGAAAAAAYABgBZAQAAIwYAAAAA&#10;">
                <v:fill on="t" focussize="0,0"/>
                <v:stroke on="f" weight="2pt"/>
                <v:imagedata o:title=""/>
                <o:lock v:ext="edit" aspectratio="f"/>
                <v:textbox>
                  <w:txbxContent>
                    <w:p>
                      <w:pPr>
                        <w:jc w:val="center"/>
                      </w:pPr>
                    </w:p>
                  </w:txbxContent>
                </v:textbox>
              </v:shape>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1715770</wp:posOffset>
                </wp:positionH>
                <wp:positionV relativeFrom="paragraph">
                  <wp:posOffset>3465830</wp:posOffset>
                </wp:positionV>
                <wp:extent cx="1228725" cy="3576320"/>
                <wp:effectExtent l="55245" t="13970" r="49530" b="67310"/>
                <wp:wrapNone/>
                <wp:docPr id="69" name="直接箭头连接符 69"/>
                <wp:cNvGraphicFramePr/>
                <a:graphic xmlns:a="http://schemas.openxmlformats.org/drawingml/2006/main">
                  <a:graphicData uri="http://schemas.microsoft.com/office/word/2010/wordprocessingShape">
                    <wps:wsp>
                      <wps:cNvCnPr/>
                      <wps:spPr>
                        <a:xfrm flipH="1" flipV="1">
                          <a:off x="2406015" y="4418965"/>
                          <a:ext cx="1228725" cy="3576320"/>
                        </a:xfrm>
                        <a:prstGeom prst="straightConnector1">
                          <a:avLst/>
                        </a:prstGeom>
                        <a:ln>
                          <a:solidFill>
                            <a:schemeClr val="tx1"/>
                          </a:solidFill>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x y;margin-left:135.1pt;margin-top:272.9pt;height:281.6pt;width:96.75pt;z-index:251687936;mso-width-relative:page;mso-height-relative:page;" filled="f" stroked="t" coordsize="21600,21600" o:gfxdata="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FgAAAGRycy9QSwECFAAUAAAACACHTuJAa5NUdtgAAAAMAQAADwAAAAAAAAAB&#10;ACAAAAA4AAAAZHJzL2Rvd25yZXYueG1sUEsBAhQAFAAAAAgAh07iQD2XbnBsAgAArgQAAA4AAAAA&#10;AAAAAQAgAAAAPQEAAGRycy9lMm9Eb2MueG1sUEsFBgAAAAAGAAYAWQEAABsGAAAAAA==&#10;">
                <v:fill on="f" focussize="0,0"/>
                <v:stroke weight="2pt" color="#000000 [3213]" joinstyle="round" endarrow="open"/>
                <v:imagedata o:title=""/>
                <o:lock v:ext="edit" aspectratio="f"/>
                <v:shadow on="t" color="#000000" opacity="24903f" offset="0pt,1.5748031496063pt" origin="0f,32768f" matrix="65536f,0f,0f,65536f"/>
              </v:shape>
            </w:pict>
          </mc:Fallback>
        </mc:AlternateContent>
      </w:r>
      <w:r>
        <w:rPr>
          <w:rFonts w:hint="eastAsia" w:ascii="Times New Roman" w:hAnsi="Times New Roman" w:cs="宋体"/>
          <w:b/>
          <w:bCs/>
          <w:kern w:val="0"/>
          <w:sz w:val="24"/>
          <w:szCs w:val="22"/>
          <w:lang w:bidi="ar"/>
        </w:rPr>
        <w:drawing>
          <wp:anchor distT="0" distB="0" distL="114300" distR="114300" simplePos="0" relativeHeight="251688960" behindDoc="0" locked="0" layoutInCell="1" allowOverlap="1">
            <wp:simplePos x="0" y="0"/>
            <wp:positionH relativeFrom="column">
              <wp:posOffset>390525</wp:posOffset>
            </wp:positionH>
            <wp:positionV relativeFrom="paragraph">
              <wp:posOffset>476250</wp:posOffset>
            </wp:positionV>
            <wp:extent cx="4516755" cy="2977515"/>
            <wp:effectExtent l="0" t="0" r="17145" b="13335"/>
            <wp:wrapNone/>
            <wp:docPr id="75" name="图片 75" descr="3a0e75620e14095b504acbd62689f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3a0e75620e14095b504acbd62689f5a"/>
                    <pic:cNvPicPr>
                      <a:picLocks noChangeAspect="1"/>
                    </pic:cNvPicPr>
                  </pic:nvPicPr>
                  <pic:blipFill>
                    <a:blip r:embed="rId20"/>
                    <a:stretch>
                      <a:fillRect/>
                    </a:stretch>
                  </pic:blipFill>
                  <pic:spPr>
                    <a:xfrm>
                      <a:off x="0" y="0"/>
                      <a:ext cx="4516755" cy="2977515"/>
                    </a:xfrm>
                    <a:prstGeom prst="rect">
                      <a:avLst/>
                    </a:prstGeom>
                  </pic:spPr>
                </pic:pic>
              </a:graphicData>
            </a:graphic>
          </wp:anchor>
        </w:drawing>
      </w:r>
      <w:r>
        <w:rPr>
          <w:rFonts w:hint="eastAsia" w:ascii="Times New Roman" w:hAnsi="Times New Roman" w:cs="宋体"/>
          <w:b/>
          <w:bCs/>
          <w:kern w:val="0"/>
          <w:sz w:val="24"/>
          <w:szCs w:val="22"/>
          <w:lang w:bidi="ar"/>
        </w:rPr>
        <w:drawing>
          <wp:inline distT="0" distB="0" distL="114300" distR="114300">
            <wp:extent cx="5754370" cy="8131810"/>
            <wp:effectExtent l="0" t="0" r="17780" b="2540"/>
            <wp:docPr id="68" name="图片 68" descr="宁夏生态保护红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宁夏生态保护红线图"/>
                    <pic:cNvPicPr>
                      <a:picLocks noChangeAspect="1"/>
                    </pic:cNvPicPr>
                  </pic:nvPicPr>
                  <pic:blipFill>
                    <a:blip r:embed="rId21"/>
                    <a:stretch>
                      <a:fillRect/>
                    </a:stretch>
                  </pic:blipFill>
                  <pic:spPr>
                    <a:xfrm>
                      <a:off x="0" y="0"/>
                      <a:ext cx="5754370" cy="8131810"/>
                    </a:xfrm>
                    <a:prstGeom prst="rect">
                      <a:avLst/>
                    </a:prstGeom>
                  </pic:spPr>
                </pic:pic>
              </a:graphicData>
            </a:graphic>
          </wp:inline>
        </w:drawing>
      </w:r>
    </w:p>
    <w:p>
      <w:pPr>
        <w:tabs>
          <w:tab w:val="left" w:pos="1579"/>
        </w:tabs>
        <w:autoSpaceDE w:val="0"/>
        <w:autoSpaceDN w:val="0"/>
        <w:spacing w:before="74"/>
        <w:ind w:right="407"/>
        <w:jc w:val="center"/>
        <w:rPr>
          <w:rFonts w:ascii="Times New Roman" w:hAnsi="Times New Roman"/>
          <w:sz w:val="24"/>
          <w:szCs w:val="22"/>
        </w:rPr>
      </w:pPr>
      <w:r>
        <w:rPr>
          <w:rFonts w:hint="eastAsia" w:ascii="Times New Roman" w:hAnsi="Times New Roman" w:cs="宋体"/>
          <w:b/>
          <w:bCs/>
          <w:kern w:val="0"/>
          <w:sz w:val="24"/>
          <w:szCs w:val="22"/>
          <w:lang w:bidi="ar"/>
        </w:rPr>
        <w:t>图</w:t>
      </w:r>
      <w:r>
        <w:rPr>
          <w:rFonts w:ascii="Times New Roman" w:hAnsi="Times New Roman" w:cs="宋体"/>
          <w:b/>
          <w:bCs/>
          <w:kern w:val="0"/>
          <w:sz w:val="24"/>
          <w:szCs w:val="22"/>
          <w:lang w:bidi="ar"/>
        </w:rPr>
        <w:t>1.7-2</w:t>
      </w:r>
      <w:r>
        <w:rPr>
          <w:rFonts w:hint="eastAsia" w:ascii="Times New Roman" w:hAnsi="Times New Roman" w:cs="宋体"/>
          <w:b/>
          <w:bCs/>
          <w:kern w:val="0"/>
          <w:sz w:val="24"/>
          <w:szCs w:val="22"/>
          <w:lang w:bidi="ar"/>
        </w:rPr>
        <w:t>本项目与宁夏回族自治区生态保护红线位置关系</w:t>
      </w:r>
    </w:p>
    <w:p>
      <w:pPr>
        <w:pStyle w:val="11"/>
        <w:adjustRightInd w:val="0"/>
        <w:snapToGrid w:val="0"/>
        <w:spacing w:after="0" w:line="360" w:lineRule="auto"/>
        <w:rPr>
          <w:rFonts w:ascii="Times New Roman" w:hAnsi="Times New Roman"/>
          <w:lang w:val="zh-CN"/>
        </w:rPr>
      </w:pPr>
      <w:r>
        <w:rPr>
          <w:sz w:val="21"/>
        </w:rPr>
        <mc:AlternateContent>
          <mc:Choice Requires="wps">
            <w:drawing>
              <wp:anchor distT="0" distB="0" distL="114300" distR="114300" simplePos="0" relativeHeight="251697152" behindDoc="0" locked="0" layoutInCell="1" allowOverlap="1">
                <wp:simplePos x="0" y="0"/>
                <wp:positionH relativeFrom="column">
                  <wp:posOffset>3030220</wp:posOffset>
                </wp:positionH>
                <wp:positionV relativeFrom="paragraph">
                  <wp:posOffset>6659245</wp:posOffset>
                </wp:positionV>
                <wp:extent cx="1741805" cy="467360"/>
                <wp:effectExtent l="0" t="0" r="0" b="0"/>
                <wp:wrapNone/>
                <wp:docPr id="84" name="文本框 84"/>
                <wp:cNvGraphicFramePr/>
                <a:graphic xmlns:a="http://schemas.openxmlformats.org/drawingml/2006/main">
                  <a:graphicData uri="http://schemas.microsoft.com/office/word/2010/wordprocessingShape">
                    <wps:wsp>
                      <wps:cNvSpPr txBox="1"/>
                      <wps:spPr>
                        <a:xfrm>
                          <a:off x="3930015" y="7680325"/>
                          <a:ext cx="1741805" cy="4673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44"/>
                                <w:szCs w:val="44"/>
                                <w:lang w:eastAsia="zh-CN"/>
                              </w:rPr>
                            </w:pPr>
                            <w:r>
                              <w:rPr>
                                <w:rFonts w:hint="eastAsia"/>
                                <w:color w:val="FF0000"/>
                                <w:sz w:val="44"/>
                                <w:szCs w:val="44"/>
                                <w:lang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6pt;margin-top:524.35pt;height:36.8pt;width:137.15pt;z-index:251697152;mso-width-relative:page;mso-height-relative:page;" filled="f" stroked="f" coordsize="21600,21600" o:gfxdata="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Jnr9YXdAAAADQEAAA8AAAAAAAAAAQAgAAAAOAAAAGRycy9kb3ducmV2LnhtbFBLAQIU&#10;ABQAAAAIAIdO4kA543jISgIAAHQEAAAOAAAAAAAAAAEAIAAAAEIBAABkcnMvZTJvRG9jLnhtbFBL&#10;BQYAAAAABgAGAFkBAAD+BQAAAAA=&#10;">
                <v:fill on="f" focussize="0,0"/>
                <v:stroke on="f" weight="0.5pt"/>
                <v:imagedata o:title=""/>
                <o:lock v:ext="edit" aspectratio="f"/>
                <v:textbox>
                  <w:txbxContent>
                    <w:p>
                      <w:pPr>
                        <w:rPr>
                          <w:rFonts w:hint="eastAsia" w:eastAsia="宋体"/>
                          <w:color w:val="FF0000"/>
                          <w:sz w:val="44"/>
                          <w:szCs w:val="44"/>
                          <w:lang w:eastAsia="zh-CN"/>
                        </w:rPr>
                      </w:pPr>
                      <w:r>
                        <w:rPr>
                          <w:rFonts w:hint="eastAsia"/>
                          <w:color w:val="FF0000"/>
                          <w:sz w:val="44"/>
                          <w:szCs w:val="44"/>
                          <w:lang w:eastAsia="zh-CN"/>
                        </w:rPr>
                        <w:t>本项目位置</w:t>
                      </w:r>
                    </w:p>
                  </w:txbxContent>
                </v:textbox>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2973070</wp:posOffset>
                </wp:positionH>
                <wp:positionV relativeFrom="paragraph">
                  <wp:posOffset>7078345</wp:posOffset>
                </wp:positionV>
                <wp:extent cx="1181100" cy="9525"/>
                <wp:effectExtent l="0" t="0" r="0" b="0"/>
                <wp:wrapNone/>
                <wp:docPr id="83" name="直接连接符 83"/>
                <wp:cNvGraphicFramePr/>
                <a:graphic xmlns:a="http://schemas.openxmlformats.org/drawingml/2006/main">
                  <a:graphicData uri="http://schemas.microsoft.com/office/word/2010/wordprocessingShape">
                    <wps:wsp>
                      <wps:cNvCnPr/>
                      <wps:spPr>
                        <a:xfrm>
                          <a:off x="3891915" y="8242300"/>
                          <a:ext cx="1181100"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34.1pt;margin-top:557.35pt;height:0.75pt;width:93pt;z-index:251696128;mso-width-relative:page;mso-height-relative:page;" filled="f" stroked="t" coordsize="21600,21600" o:gfxdata="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BYAAABkcnMvUEsBAhQAFAAAAAgAh07iQPnusVHdAAAADQEAAA8AAAAAAAAA&#10;AQAgAAAAOAAAAGRycy9kb3ducmV2LnhtbFBLAQIUABQAAAAIAIdO4kCbACOQLwIAAFgEAAAOAAAA&#10;AAAAAAEAIAAAAEIBAABkcnMvZTJvRG9jLnhtbFBLBQYAAAAABgAGAFkBAADjBQ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2385060</wp:posOffset>
                </wp:positionH>
                <wp:positionV relativeFrom="paragraph">
                  <wp:posOffset>5365750</wp:posOffset>
                </wp:positionV>
                <wp:extent cx="597535" cy="1710690"/>
                <wp:effectExtent l="55245" t="13970" r="52070" b="66040"/>
                <wp:wrapNone/>
                <wp:docPr id="82" name="直接箭头连接符 82"/>
                <wp:cNvGraphicFramePr/>
                <a:graphic xmlns:a="http://schemas.openxmlformats.org/drawingml/2006/main">
                  <a:graphicData uri="http://schemas.microsoft.com/office/word/2010/wordprocessingShape">
                    <wps:wsp>
                      <wps:cNvCnPr/>
                      <wps:spPr>
                        <a:xfrm flipH="1" flipV="1">
                          <a:off x="3332480" y="6529705"/>
                          <a:ext cx="597535" cy="1710690"/>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x y;margin-left:187.8pt;margin-top:422.5pt;height:134.7pt;width:47.05pt;z-index:251695104;mso-width-relative:page;mso-height-relative:page;" filled="f" stroked="t" coordsize="21600,21600" o:gfxdata="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BYAAABkcnMvUEsBAhQAFAAAAAgAh07iQB4WYKPZAAAADAEAAA8AAAAAAAAA&#10;AQAgAAAAOAAAAGRycy9kb3ducmV2LnhtbFBLAQIUABQAAAAIAIdO4kCmBJWfbAIAAK0EAAAOAAAA&#10;AAAAAAEAIAAAAD4BAABkcnMvZTJvRG9jLnhtbFBLBQYAAAAABgAGAFkBAAAcBgAAAAA=&#10;">
                <v:fill on="f" focussize="0,0"/>
                <v:stroke weight="2pt" color="#000000 [3200]" joinstyle="round" endarrow="open"/>
                <v:imagedata o:title=""/>
                <o:lock v:ext="edit" aspectratio="f"/>
                <v:shadow on="t" color="#000000" opacity="24903f" offset="0pt,1.5748031496063pt" origin="0f,32768f" matrix="65536f,0f,0f,65536f"/>
              </v:shape>
            </w:pict>
          </mc:Fallback>
        </mc:AlternateContent>
      </w:r>
      <w:r>
        <w:rPr>
          <w:rFonts w:ascii="Times New Roman" w:hAnsi="Times New Roman"/>
          <w:lang w:val="zh-CN"/>
        </w:rPr>
        <w:drawing>
          <wp:inline distT="0" distB="0" distL="114300" distR="114300">
            <wp:extent cx="8057515" cy="5771515"/>
            <wp:effectExtent l="0" t="0" r="635" b="635"/>
            <wp:docPr id="65" name="图片 65" descr="b011c037b78d0bf78d097240f4352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b011c037b78d0bf78d097240f4352f5"/>
                    <pic:cNvPicPr>
                      <a:picLocks noChangeAspect="1"/>
                    </pic:cNvPicPr>
                  </pic:nvPicPr>
                  <pic:blipFill>
                    <a:blip r:embed="rId22"/>
                    <a:stretch>
                      <a:fillRect/>
                    </a:stretch>
                  </pic:blipFill>
                  <pic:spPr>
                    <a:xfrm rot="16200000">
                      <a:off x="0" y="0"/>
                      <a:ext cx="8057515" cy="5771515"/>
                    </a:xfrm>
                    <a:prstGeom prst="rect">
                      <a:avLst/>
                    </a:prstGeom>
                  </pic:spPr>
                </pic:pic>
              </a:graphicData>
            </a:graphic>
          </wp:inline>
        </w:drawing>
      </w:r>
      <w:r>
        <w:rPr>
          <w:sz w:val="21"/>
        </w:rPr>
        <mc:AlternateContent>
          <mc:Choice Requires="wps">
            <w:drawing>
              <wp:anchor distT="0" distB="0" distL="114300" distR="114300" simplePos="0" relativeHeight="251694080" behindDoc="0" locked="0" layoutInCell="1" allowOverlap="1">
                <wp:simplePos x="0" y="0"/>
                <wp:positionH relativeFrom="column">
                  <wp:posOffset>2334895</wp:posOffset>
                </wp:positionH>
                <wp:positionV relativeFrom="paragraph">
                  <wp:posOffset>5300980</wp:posOffset>
                </wp:positionV>
                <wp:extent cx="114300" cy="75565"/>
                <wp:effectExtent l="0" t="0" r="0" b="635"/>
                <wp:wrapNone/>
                <wp:docPr id="81" name="椭圆 81"/>
                <wp:cNvGraphicFramePr/>
                <a:graphic xmlns:a="http://schemas.openxmlformats.org/drawingml/2006/main">
                  <a:graphicData uri="http://schemas.microsoft.com/office/word/2010/wordprocessingShape">
                    <wps:wsp>
                      <wps:cNvSpPr/>
                      <wps:spPr>
                        <a:xfrm>
                          <a:off x="3206115" y="6493510"/>
                          <a:ext cx="114300" cy="7556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3.85pt;margin-top:417.4pt;height:5.95pt;width:9pt;z-index:251694080;v-text-anchor:middle;mso-width-relative:page;mso-height-relative:page;" fillcolor="#FF0000" filled="t" stroked="f" coordsize="21600,21600" o:gfxdata="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BYAAABkcnMvUEsBAhQAFAAAAAgAh07iQBYcEKbaAAAACwEA&#10;AA8AAAAAAAAAAQAgAAAAOAAAAGRycy9kb3ducmV2LnhtbFBLAQIUABQAAAAIAIdO4kDi5jE5dAIA&#10;AM4EAAAOAAAAAAAAAAEAIAAAAD8BAABkcnMvZTJvRG9jLnhtbFBLBQYAAAAABgAGAFkBAAAlBgAA&#10;AAA=&#10;">
                <v:fill on="t" focussize="0,0"/>
                <v:stroke on="f" weight="2pt"/>
                <v:imagedata o:title=""/>
                <o:lock v:ext="edit" aspectratio="f"/>
                <v:textbox>
                  <w:txbxContent>
                    <w:p>
                      <w:pPr>
                        <w:jc w:val="center"/>
                      </w:pPr>
                    </w:p>
                  </w:txbxContent>
                </v:textbox>
              </v:shape>
            </w:pict>
          </mc:Fallback>
        </mc:AlternateContent>
      </w:r>
    </w:p>
    <w:p>
      <w:pPr>
        <w:tabs>
          <w:tab w:val="left" w:pos="1579"/>
        </w:tabs>
        <w:autoSpaceDE w:val="0"/>
        <w:autoSpaceDN w:val="0"/>
        <w:spacing w:before="74"/>
        <w:ind w:right="407"/>
        <w:jc w:val="center"/>
        <w:rPr>
          <w:rFonts w:ascii="Times New Roman" w:hAnsi="Times New Roman"/>
          <w:sz w:val="24"/>
          <w:szCs w:val="22"/>
          <w:highlight w:val="yellow"/>
        </w:rPr>
      </w:pPr>
      <w:r>
        <w:rPr>
          <w:rFonts w:hint="eastAsia" w:ascii="Times New Roman" w:hAnsi="Times New Roman" w:cs="宋体"/>
          <w:b/>
          <w:bCs/>
          <w:kern w:val="0"/>
          <w:sz w:val="24"/>
          <w:szCs w:val="22"/>
          <w:lang w:bidi="ar"/>
        </w:rPr>
        <w:t>图</w:t>
      </w:r>
      <w:r>
        <w:rPr>
          <w:rFonts w:ascii="Times New Roman" w:hAnsi="Times New Roman" w:cs="宋体"/>
          <w:b/>
          <w:bCs/>
          <w:kern w:val="0"/>
          <w:sz w:val="24"/>
          <w:szCs w:val="22"/>
          <w:lang w:bidi="ar"/>
        </w:rPr>
        <w:t>1.</w:t>
      </w:r>
      <w:r>
        <w:rPr>
          <w:rFonts w:ascii="Times New Roman" w:hAnsi="Times New Roman" w:cs="宋体"/>
          <w:b/>
          <w:bCs/>
          <w:kern w:val="0"/>
          <w:sz w:val="24"/>
          <w:szCs w:val="22"/>
          <w:highlight w:val="none"/>
          <w:lang w:bidi="ar"/>
        </w:rPr>
        <w:t>7-</w:t>
      </w:r>
      <w:r>
        <w:rPr>
          <w:rFonts w:hint="eastAsia" w:ascii="Times New Roman" w:hAnsi="Times New Roman" w:cs="宋体"/>
          <w:b/>
          <w:bCs/>
          <w:kern w:val="0"/>
          <w:sz w:val="24"/>
          <w:szCs w:val="22"/>
          <w:highlight w:val="none"/>
          <w:lang w:bidi="ar"/>
        </w:rPr>
        <w:t>3本项目与固原市生态保护红线位置关系</w:t>
      </w:r>
    </w:p>
    <w:p>
      <w:pPr>
        <w:pStyle w:val="11"/>
        <w:adjustRightInd w:val="0"/>
        <w:snapToGrid w:val="0"/>
        <w:spacing w:after="0" w:line="360" w:lineRule="auto"/>
        <w:ind w:firstLine="420" w:firstLineChars="200"/>
        <w:rPr>
          <w:rFonts w:ascii="Times New Roman" w:hAnsi="Times New Roman"/>
          <w:lang w:val="zh-CN"/>
        </w:rPr>
        <w:sectPr>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p>
    <w:p>
      <w:pPr>
        <w:pStyle w:val="11"/>
        <w:adjustRightInd w:val="0"/>
        <w:snapToGrid w:val="0"/>
        <w:spacing w:after="0" w:line="540" w:lineRule="exact"/>
        <w:ind w:firstLine="480" w:firstLineChars="200"/>
        <w:rPr>
          <w:rFonts w:ascii="Times New Roman" w:hAnsi="Times New Roman"/>
          <w:sz w:val="24"/>
          <w:szCs w:val="22"/>
          <w:lang w:val="zh-CN"/>
        </w:rPr>
      </w:pPr>
      <w:r>
        <w:rPr>
          <w:rFonts w:hint="eastAsia" w:ascii="Times New Roman" w:hAnsi="Times New Roman"/>
          <w:sz w:val="24"/>
          <w:lang w:val="zh-CN"/>
        </w:rPr>
        <w:t>（</w:t>
      </w:r>
      <w:r>
        <w:rPr>
          <w:rFonts w:hint="eastAsia" w:ascii="Times New Roman" w:hAnsi="Times New Roman"/>
          <w:sz w:val="24"/>
        </w:rPr>
        <w:t>2</w:t>
      </w:r>
      <w:r>
        <w:rPr>
          <w:rFonts w:hint="eastAsia" w:ascii="Times New Roman" w:hAnsi="Times New Roman"/>
          <w:sz w:val="24"/>
          <w:lang w:val="zh-CN"/>
        </w:rPr>
        <w:t>）</w:t>
      </w:r>
      <w:r>
        <w:rPr>
          <w:rFonts w:ascii="Times New Roman" w:hAnsi="Times New Roman"/>
          <w:sz w:val="24"/>
          <w:szCs w:val="22"/>
          <w:lang w:val="zh-CN"/>
        </w:rPr>
        <w:t>环境质量底线</w:t>
      </w:r>
    </w:p>
    <w:p>
      <w:pPr>
        <w:adjustRightInd w:val="0"/>
        <w:snapToGrid w:val="0"/>
        <w:spacing w:line="540" w:lineRule="exact"/>
        <w:ind w:firstLine="480" w:firstLineChars="200"/>
        <w:rPr>
          <w:rFonts w:ascii="Times New Roman" w:hAnsi="Times New Roman"/>
          <w:color w:val="000000"/>
          <w:sz w:val="24"/>
          <w:lang w:val="zh-CN"/>
        </w:rPr>
      </w:pPr>
      <w:r>
        <w:rPr>
          <w:rFonts w:ascii="Times New Roman" w:hAnsi="Times New Roman"/>
          <w:sz w:val="24"/>
          <w:szCs w:val="22"/>
        </w:rPr>
        <w:t>根据《</w:t>
      </w:r>
      <w:r>
        <w:rPr>
          <w:rFonts w:hint="eastAsia" w:ascii="Times New Roman" w:hAnsi="Times New Roman"/>
          <w:sz w:val="24"/>
          <w:szCs w:val="22"/>
        </w:rPr>
        <w:t>2021</w:t>
      </w:r>
      <w:r>
        <w:rPr>
          <w:rFonts w:ascii="Times New Roman" w:hAnsi="Times New Roman"/>
          <w:sz w:val="24"/>
          <w:szCs w:val="22"/>
        </w:rPr>
        <w:t>年宁夏回族自治区环境质量报告书》公开的区域环境空气质量数据可以看出，SO</w:t>
      </w:r>
      <w:r>
        <w:rPr>
          <w:rFonts w:ascii="Times New Roman" w:hAnsi="Times New Roman"/>
          <w:sz w:val="24"/>
          <w:szCs w:val="22"/>
          <w:vertAlign w:val="subscript"/>
        </w:rPr>
        <w:t>2</w:t>
      </w:r>
      <w:r>
        <w:rPr>
          <w:rFonts w:ascii="Times New Roman" w:hAnsi="Times New Roman"/>
          <w:sz w:val="24"/>
          <w:szCs w:val="22"/>
        </w:rPr>
        <w:t>、NO</w:t>
      </w:r>
      <w:r>
        <w:rPr>
          <w:rFonts w:ascii="Times New Roman" w:hAnsi="Times New Roman"/>
          <w:sz w:val="24"/>
          <w:szCs w:val="22"/>
          <w:vertAlign w:val="subscript"/>
        </w:rPr>
        <w:t>2</w:t>
      </w:r>
      <w:r>
        <w:rPr>
          <w:rFonts w:ascii="Times New Roman" w:hAnsi="Times New Roman"/>
          <w:sz w:val="24"/>
          <w:szCs w:val="22"/>
        </w:rPr>
        <w:t>、CO年均值和相应的百分位数24h平均质量浓度满足标准要求，PM</w:t>
      </w:r>
      <w:r>
        <w:rPr>
          <w:rFonts w:ascii="Times New Roman" w:hAnsi="Times New Roman"/>
          <w:sz w:val="24"/>
          <w:szCs w:val="22"/>
          <w:vertAlign w:val="subscript"/>
        </w:rPr>
        <w:t>10</w:t>
      </w:r>
      <w:r>
        <w:rPr>
          <w:rFonts w:ascii="Times New Roman" w:hAnsi="Times New Roman"/>
          <w:sz w:val="24"/>
          <w:szCs w:val="22"/>
        </w:rPr>
        <w:t>、PM</w:t>
      </w:r>
      <w:r>
        <w:rPr>
          <w:rFonts w:ascii="Times New Roman" w:hAnsi="Times New Roman"/>
          <w:sz w:val="24"/>
          <w:szCs w:val="22"/>
          <w:vertAlign w:val="subscript"/>
        </w:rPr>
        <w:t>2.5</w:t>
      </w:r>
      <w:r>
        <w:rPr>
          <w:rFonts w:ascii="Times New Roman" w:hAnsi="Times New Roman"/>
          <w:sz w:val="24"/>
          <w:szCs w:val="22"/>
        </w:rPr>
        <w:t>均满足标准要求</w:t>
      </w:r>
      <w:r>
        <w:rPr>
          <w:rFonts w:hint="eastAsia" w:ascii="Times New Roman" w:hAnsi="Times New Roman"/>
          <w:sz w:val="24"/>
          <w:szCs w:val="22"/>
        </w:rPr>
        <w:t>。</w:t>
      </w:r>
      <w:r>
        <w:rPr>
          <w:rFonts w:hint="eastAsia" w:ascii="Times New Roman" w:hAnsi="Times New Roman"/>
          <w:color w:val="000000"/>
          <w:sz w:val="24"/>
          <w:lang w:val="zh-CN"/>
        </w:rPr>
        <w:t>根据“环境空气质量模型技术支持服务系统”公布的固原市2020年各污染物平均浓度均优于《环境空气质量标准》（GB3095-2012）中二级标准限值。各项因子均满足《环境空气质量标准》（GB3095-2012）二级标准。按照《环境影响评价技术导则 大气环境》（HJ2.2-2018）对项目所在区达标判断结果可知，项目所在区为达标区；本项目营运期产生的废气污染物主要为颗粒物、NH</w:t>
      </w:r>
      <w:r>
        <w:rPr>
          <w:rFonts w:hint="eastAsia" w:ascii="Times New Roman" w:hAnsi="Times New Roman"/>
          <w:color w:val="000000"/>
          <w:sz w:val="24"/>
          <w:vertAlign w:val="subscript"/>
          <w:lang w:val="zh-CN"/>
        </w:rPr>
        <w:t>3</w:t>
      </w:r>
      <w:r>
        <w:rPr>
          <w:rFonts w:hint="eastAsia" w:ascii="Times New Roman" w:hAnsi="Times New Roman"/>
          <w:color w:val="000000"/>
          <w:sz w:val="24"/>
          <w:lang w:val="zh-CN"/>
        </w:rPr>
        <w:t>、H</w:t>
      </w:r>
      <w:r>
        <w:rPr>
          <w:rFonts w:hint="eastAsia" w:ascii="Times New Roman" w:hAnsi="Times New Roman"/>
          <w:color w:val="000000"/>
          <w:sz w:val="24"/>
          <w:vertAlign w:val="subscript"/>
          <w:lang w:val="zh-CN"/>
        </w:rPr>
        <w:t>2</w:t>
      </w:r>
      <w:r>
        <w:rPr>
          <w:rFonts w:hint="eastAsia" w:ascii="Times New Roman" w:hAnsi="Times New Roman"/>
          <w:color w:val="000000"/>
          <w:sz w:val="24"/>
          <w:lang w:val="zh-CN"/>
        </w:rPr>
        <w:t>S、臭气浓度等。本项目排放的颗粒物是饲料加工过程排放的，由于本项目饲料采用的是秸秆、苜蓿等，因此颗粒物排放量较少，不会加重区域环境空气质量。</w:t>
      </w:r>
    </w:p>
    <w:p>
      <w:pPr>
        <w:adjustRightInd w:val="0"/>
        <w:snapToGrid w:val="0"/>
        <w:spacing w:line="540" w:lineRule="exact"/>
        <w:ind w:firstLine="480" w:firstLineChars="200"/>
        <w:rPr>
          <w:rFonts w:ascii="Times New Roman" w:hAnsi="Times New Roman"/>
          <w:color w:val="000000"/>
          <w:sz w:val="24"/>
        </w:rPr>
      </w:pPr>
      <w:r>
        <w:rPr>
          <w:rFonts w:hint="eastAsia" w:ascii="Times New Roman" w:hAnsi="Times New Roman"/>
          <w:color w:val="000000"/>
          <w:sz w:val="24"/>
          <w:lang w:val="zh-CN"/>
        </w:rPr>
        <w:t>根据监测结果，昼间夜间噪声监测结果</w:t>
      </w:r>
      <w:r>
        <w:rPr>
          <w:rFonts w:hint="eastAsia" w:ascii="Times New Roman" w:hAnsi="Times New Roman"/>
          <w:color w:val="000000"/>
          <w:sz w:val="24"/>
          <w:highlight w:val="none"/>
          <w:lang w:val="zh-CN"/>
        </w:rPr>
        <w:t>均符合《声环境质量标准》(GB3096-2008)中2类标准；根据项目所在区环境功能区划要求，</w:t>
      </w:r>
      <w:r>
        <w:rPr>
          <w:rFonts w:hint="eastAsia" w:ascii="Times New Roman" w:hAnsi="Times New Roman"/>
          <w:color w:val="000000"/>
          <w:sz w:val="24"/>
          <w:lang w:val="zh-CN"/>
        </w:rPr>
        <w:t>本项目污水主要是职工生活用水，主要为员工盥洗废水，用于厂区的洒水降尘；厂区建有卫生旱厕，用于员工生活卫生，旱厕定期由附近农户清掏还田。不会对周围环境造成明显影响，不会降低当地的环境功能区环境质量，能够满足环境质量底线要求。</w:t>
      </w:r>
    </w:p>
    <w:p>
      <w:pPr>
        <w:pStyle w:val="2"/>
        <w:adjustRightInd w:val="0"/>
        <w:spacing w:line="540" w:lineRule="exact"/>
        <w:ind w:firstLine="480" w:firstLineChars="200"/>
        <w:jc w:val="both"/>
        <w:rPr>
          <w:rFonts w:ascii="Times New Roman" w:hAnsi="Times New Roman"/>
          <w:color w:val="000000"/>
          <w:sz w:val="24"/>
        </w:rPr>
      </w:pPr>
      <w:r>
        <w:rPr>
          <w:rFonts w:hint="eastAsia" w:ascii="Times New Roman" w:hAnsi="Times New Roman"/>
          <w:sz w:val="24"/>
        </w:rPr>
        <w:t>本项目所在区域主要地表水体为渝河，保护要求达到《地表水环境质量标准》（GB3838-2002）中</w:t>
      </w:r>
      <w:r>
        <w:rPr>
          <w:rFonts w:hint="eastAsia" w:ascii="Times New Roman" w:hAnsi="Times New Roman"/>
          <w:sz w:val="24"/>
        </w:rPr>
        <w:fldChar w:fldCharType="begin"/>
      </w:r>
      <w:r>
        <w:rPr>
          <w:rFonts w:hint="eastAsia" w:ascii="Times New Roman" w:hAnsi="Times New Roman"/>
          <w:sz w:val="24"/>
        </w:rPr>
        <w:instrText xml:space="preserve"> = 3 \* ROMAN \* MERGEFORMAT </w:instrText>
      </w:r>
      <w:r>
        <w:rPr>
          <w:rFonts w:hint="eastAsia" w:ascii="Times New Roman" w:hAnsi="Times New Roman"/>
          <w:sz w:val="24"/>
        </w:rPr>
        <w:fldChar w:fldCharType="separate"/>
      </w:r>
      <w:r>
        <w:rPr>
          <w:rFonts w:hint="eastAsia" w:ascii="Times New Roman" w:hAnsi="Times New Roman"/>
          <w:sz w:val="24"/>
        </w:rPr>
        <w:t>III</w:t>
      </w:r>
      <w:r>
        <w:rPr>
          <w:rFonts w:hint="eastAsia" w:ascii="Times New Roman" w:hAnsi="Times New Roman"/>
          <w:sz w:val="24"/>
        </w:rPr>
        <w:fldChar w:fldCharType="end"/>
      </w:r>
      <w:r>
        <w:rPr>
          <w:rFonts w:hint="eastAsia" w:ascii="Times New Roman" w:hAnsi="Times New Roman"/>
          <w:sz w:val="24"/>
        </w:rPr>
        <w:t>类标准</w:t>
      </w:r>
      <w:r>
        <w:rPr>
          <w:rFonts w:ascii="Times New Roman" w:hAnsi="Times New Roman"/>
          <w:sz w:val="24"/>
        </w:rPr>
        <w:t>。</w:t>
      </w:r>
      <w:r>
        <w:rPr>
          <w:rFonts w:ascii="Times New Roman" w:hAnsi="Times New Roman"/>
          <w:color w:val="000000"/>
          <w:sz w:val="24"/>
        </w:rPr>
        <w:t>本项目运营期间只产生少量的生活污水，不外排，不会对地表水体产生影响。</w:t>
      </w:r>
    </w:p>
    <w:p>
      <w:pPr>
        <w:pStyle w:val="11"/>
        <w:adjustRightInd w:val="0"/>
        <w:snapToGrid w:val="0"/>
        <w:spacing w:after="0" w:line="540" w:lineRule="exact"/>
        <w:ind w:firstLine="480" w:firstLineChars="200"/>
        <w:rPr>
          <w:rFonts w:ascii="Times New Roman" w:hAnsi="Times New Roman"/>
          <w:color w:val="FF0000"/>
          <w:sz w:val="24"/>
          <w:szCs w:val="22"/>
          <w:lang w:val="zh-CN"/>
        </w:rPr>
      </w:pPr>
      <w:r>
        <w:rPr>
          <w:rFonts w:ascii="Times New Roman" w:hAnsi="Times New Roman"/>
          <w:color w:val="000000"/>
          <w:sz w:val="24"/>
          <w:lang w:val="zh-CN"/>
        </w:rPr>
        <w:t>综上所述，项目采取各项污染治理措施后，符合环境质量底线要求。</w:t>
      </w:r>
    </w:p>
    <w:p>
      <w:pPr>
        <w:pStyle w:val="11"/>
        <w:adjustRightInd w:val="0"/>
        <w:snapToGrid w:val="0"/>
        <w:spacing w:after="0" w:line="540" w:lineRule="exact"/>
        <w:ind w:firstLine="480" w:firstLineChars="200"/>
        <w:rPr>
          <w:rFonts w:ascii="Times New Roman" w:hAnsi="Times New Roman"/>
          <w:sz w:val="24"/>
          <w:lang w:val="zh-CN"/>
        </w:rPr>
      </w:pPr>
      <w:r>
        <w:rPr>
          <w:rFonts w:hint="eastAsia" w:ascii="Times New Roman" w:hAnsi="Times New Roman"/>
          <w:sz w:val="24"/>
          <w:lang w:val="zh-CN"/>
        </w:rPr>
        <w:t>（</w:t>
      </w:r>
      <w:r>
        <w:rPr>
          <w:rFonts w:hint="eastAsia" w:ascii="Times New Roman" w:hAnsi="Times New Roman"/>
          <w:sz w:val="24"/>
        </w:rPr>
        <w:t>3</w:t>
      </w:r>
      <w:r>
        <w:rPr>
          <w:rFonts w:hint="eastAsia" w:ascii="Times New Roman" w:hAnsi="Times New Roman"/>
          <w:sz w:val="24"/>
          <w:lang w:val="zh-CN"/>
        </w:rPr>
        <w:t>）</w:t>
      </w:r>
      <w:r>
        <w:rPr>
          <w:rFonts w:ascii="Times New Roman" w:hAnsi="Times New Roman"/>
          <w:sz w:val="24"/>
          <w:lang w:val="zh-CN"/>
        </w:rPr>
        <w:t>资源利用上限</w:t>
      </w:r>
    </w:p>
    <w:p>
      <w:pPr>
        <w:pStyle w:val="11"/>
        <w:adjustRightInd w:val="0"/>
        <w:snapToGrid w:val="0"/>
        <w:spacing w:after="0" w:line="540" w:lineRule="exact"/>
        <w:ind w:firstLine="480" w:firstLineChars="200"/>
        <w:rPr>
          <w:rFonts w:ascii="Times New Roman" w:hAnsi="Times New Roman"/>
          <w:sz w:val="24"/>
          <w:lang w:val="zh-CN"/>
        </w:rPr>
      </w:pPr>
      <w:r>
        <w:rPr>
          <w:rFonts w:ascii="Times New Roman" w:hAnsi="Times New Roman"/>
          <w:sz w:val="24"/>
          <w:lang w:val="zh-CN"/>
        </w:rPr>
        <w:t>本项目运营过程中消耗一定量的电力资源、水资源，其资源消耗量相对区域资源利用总量较少，符合资源利用上限要求。</w:t>
      </w:r>
    </w:p>
    <w:p>
      <w:pPr>
        <w:pStyle w:val="11"/>
        <w:adjustRightInd w:val="0"/>
        <w:snapToGrid w:val="0"/>
        <w:spacing w:after="0" w:line="540" w:lineRule="exact"/>
        <w:ind w:firstLine="480" w:firstLineChars="200"/>
        <w:rPr>
          <w:rFonts w:ascii="Times New Roman" w:hAnsi="Times New Roman"/>
          <w:sz w:val="24"/>
          <w:lang w:val="zh-CN"/>
        </w:rPr>
      </w:pPr>
      <w:r>
        <w:rPr>
          <w:rFonts w:hint="eastAsia" w:ascii="Times New Roman" w:hAnsi="Times New Roman"/>
          <w:sz w:val="24"/>
          <w:lang w:val="zh-CN"/>
        </w:rPr>
        <w:t>（4）环境管控单元与准入清单</w:t>
      </w:r>
    </w:p>
    <w:p>
      <w:pPr>
        <w:pStyle w:val="11"/>
        <w:adjustRightInd w:val="0"/>
        <w:snapToGrid w:val="0"/>
        <w:spacing w:after="0" w:line="540" w:lineRule="exact"/>
        <w:ind w:firstLine="480" w:firstLineChars="200"/>
        <w:rPr>
          <w:rFonts w:ascii="Times New Roman" w:hAnsi="Times New Roman"/>
          <w:sz w:val="24"/>
          <w:lang w:val="zh-CN" w:eastAsia="zh-CN"/>
        </w:rPr>
      </w:pPr>
      <w:r>
        <w:rPr>
          <w:rFonts w:hint="eastAsia" w:ascii="Times New Roman" w:hAnsi="Times New Roman"/>
          <w:sz w:val="24"/>
          <w:lang w:val="zh-CN" w:eastAsia="zh-CN"/>
        </w:rPr>
        <w:t>①环境管控单元</w:t>
      </w:r>
    </w:p>
    <w:p>
      <w:pPr>
        <w:pStyle w:val="11"/>
        <w:adjustRightInd w:val="0"/>
        <w:snapToGrid w:val="0"/>
        <w:spacing w:after="0" w:line="540" w:lineRule="exact"/>
        <w:ind w:firstLine="480" w:firstLineChars="200"/>
        <w:rPr>
          <w:rFonts w:ascii="Times New Roman" w:hAnsi="Times New Roman"/>
          <w:sz w:val="24"/>
          <w:lang w:val="zh-CN"/>
        </w:rPr>
      </w:pPr>
      <w:r>
        <w:rPr>
          <w:rFonts w:ascii="Times New Roman" w:hAnsi="Times New Roman"/>
          <w:sz w:val="24"/>
          <w:lang w:val="zh-CN"/>
        </w:rPr>
        <w:t>根据</w:t>
      </w:r>
      <w:r>
        <w:rPr>
          <w:rFonts w:hint="eastAsia" w:ascii="Times New Roman" w:hAnsi="Times New Roman"/>
          <w:sz w:val="24"/>
          <w:lang w:val="zh-CN"/>
        </w:rPr>
        <w:t>《固原市“三线一单”编制文本》，项目所在区域属于一般管控单元(图</w:t>
      </w:r>
      <w:r>
        <w:rPr>
          <w:rFonts w:ascii="Times New Roman" w:hAnsi="Times New Roman"/>
          <w:sz w:val="24"/>
          <w:lang w:val="zh-CN"/>
        </w:rPr>
        <w:t>1.</w:t>
      </w:r>
      <w:r>
        <w:rPr>
          <w:rFonts w:hint="eastAsia" w:ascii="Times New Roman" w:hAnsi="Times New Roman"/>
          <w:sz w:val="24"/>
          <w:lang w:val="en-US" w:eastAsia="zh-CN"/>
        </w:rPr>
        <w:t>7-4</w:t>
      </w:r>
      <w:r>
        <w:rPr>
          <w:rFonts w:hint="eastAsia" w:ascii="Times New Roman" w:hAnsi="Times New Roman"/>
          <w:sz w:val="24"/>
          <w:lang w:val="zh-CN"/>
        </w:rPr>
        <w:t>)，管控要求为：以适度发展社会经济、避免大规模高强度开发为导向，执行区域生态环境保护的基本要求。</w:t>
      </w:r>
    </w:p>
    <w:p>
      <w:pPr>
        <w:pStyle w:val="11"/>
        <w:keepNext w:val="0"/>
        <w:keepLines w:val="0"/>
        <w:pageBreakBefore w:val="0"/>
        <w:widowControl w:val="0"/>
        <w:kinsoku/>
        <w:wordWrap/>
        <w:overflowPunct/>
        <w:topLinePunct w:val="0"/>
        <w:autoSpaceDE/>
        <w:autoSpaceDN/>
        <w:bidi w:val="0"/>
        <w:adjustRightInd w:val="0"/>
        <w:snapToGrid w:val="0"/>
        <w:spacing w:after="0" w:line="540" w:lineRule="exact"/>
        <w:ind w:firstLine="480" w:firstLineChars="200"/>
        <w:textAlignment w:val="auto"/>
        <w:rPr>
          <w:rFonts w:ascii="Times New Roman" w:hAnsi="Times New Roman"/>
          <w:sz w:val="24"/>
          <w:lang w:val="zh-CN"/>
        </w:rPr>
      </w:pPr>
      <w:r>
        <w:rPr>
          <w:rFonts w:hint="eastAsia" w:ascii="Times New Roman" w:hAnsi="Times New Roman"/>
          <w:sz w:val="24"/>
          <w:lang w:val="zh-CN"/>
        </w:rPr>
        <w:t>本项目建成后，切实采取各项污染防治措施后，废气及噪声达标排放，废水全部回用不外排，固体废物得到合理的处置，对周边环境影响较小，不会改变区域环境质量现状，符合固原市一般管控单元的管控要求。</w:t>
      </w:r>
    </w:p>
    <w:p>
      <w:pPr>
        <w:keepNext w:val="0"/>
        <w:keepLines w:val="0"/>
        <w:pageBreakBefore w:val="0"/>
        <w:widowControl w:val="0"/>
        <w:kinsoku/>
        <w:wordWrap/>
        <w:overflowPunct/>
        <w:topLinePunct w:val="0"/>
        <w:autoSpaceDE/>
        <w:autoSpaceDN/>
        <w:bidi w:val="0"/>
        <w:adjustRightInd w:val="0"/>
        <w:snapToGrid w:val="0"/>
        <w:spacing w:line="540" w:lineRule="exact"/>
        <w:ind w:firstLine="480" w:firstLineChars="200"/>
        <w:textAlignment w:val="auto"/>
        <w:rPr>
          <w:rFonts w:hint="eastAsia" w:ascii="Times New Roman" w:hAnsi="Times New Roman" w:eastAsia="宋体" w:cs="Times New Roman"/>
          <w:kern w:val="2"/>
          <w:sz w:val="24"/>
          <w:szCs w:val="24"/>
          <w:lang w:val="zh-CN" w:eastAsia="zh-CN" w:bidi="ar-SA"/>
        </w:rPr>
      </w:pPr>
      <w:r>
        <w:rPr>
          <w:rFonts w:hint="eastAsia" w:ascii="Times New Roman" w:hAnsi="Times New Roman" w:eastAsia="宋体" w:cs="Times New Roman"/>
          <w:kern w:val="2"/>
          <w:sz w:val="24"/>
          <w:szCs w:val="24"/>
          <w:lang w:val="zh-CN" w:eastAsia="zh-CN" w:bidi="ar-SA"/>
        </w:rPr>
        <w:t>②生态环境准入清单</w:t>
      </w:r>
    </w:p>
    <w:p>
      <w:pPr>
        <w:pStyle w:val="11"/>
        <w:keepNext w:val="0"/>
        <w:keepLines w:val="0"/>
        <w:pageBreakBefore w:val="0"/>
        <w:widowControl w:val="0"/>
        <w:kinsoku/>
        <w:wordWrap/>
        <w:overflowPunct/>
        <w:topLinePunct w:val="0"/>
        <w:autoSpaceDE/>
        <w:autoSpaceDN/>
        <w:bidi w:val="0"/>
        <w:adjustRightInd w:val="0"/>
        <w:snapToGrid w:val="0"/>
        <w:spacing w:after="0" w:line="540" w:lineRule="exact"/>
        <w:ind w:firstLine="480" w:firstLineChars="200"/>
        <w:textAlignment w:val="auto"/>
        <w:rPr>
          <w:rFonts w:hint="eastAsia" w:ascii="Times New Roman" w:hAnsi="Times New Roman" w:eastAsia="宋体" w:cs="Times New Roman"/>
          <w:kern w:val="2"/>
          <w:sz w:val="24"/>
          <w:szCs w:val="24"/>
          <w:highlight w:val="yellow"/>
          <w:lang w:val="zh-CN" w:eastAsia="zh-CN" w:bidi="ar-SA"/>
        </w:rPr>
      </w:pPr>
      <w:r>
        <w:rPr>
          <w:rFonts w:hint="eastAsia" w:ascii="Times New Roman" w:hAnsi="Times New Roman" w:eastAsia="宋体" w:cs="Times New Roman"/>
          <w:kern w:val="2"/>
          <w:sz w:val="24"/>
          <w:szCs w:val="24"/>
          <w:lang w:val="zh-CN" w:eastAsia="zh-CN" w:bidi="ar-SA"/>
        </w:rPr>
        <w:t>根据《固原市生态环境准入清单》，项目所在区域不涉及生态保护红线，也不属于一般生态</w:t>
      </w:r>
      <w:r>
        <w:rPr>
          <w:rFonts w:hint="eastAsia" w:ascii="Times New Roman" w:hAnsi="Times New Roman" w:eastAsia="宋体" w:cs="Times New Roman"/>
          <w:color w:val="auto"/>
          <w:kern w:val="2"/>
          <w:sz w:val="24"/>
          <w:szCs w:val="24"/>
          <w:highlight w:val="none"/>
          <w:lang w:val="zh-CN" w:eastAsia="zh-CN" w:bidi="ar-SA"/>
        </w:rPr>
        <w:t>空间(图1.</w:t>
      </w:r>
      <w:r>
        <w:rPr>
          <w:rFonts w:hint="eastAsia" w:ascii="Times New Roman" w:hAnsi="Times New Roman" w:cs="Times New Roman"/>
          <w:color w:val="auto"/>
          <w:kern w:val="2"/>
          <w:sz w:val="24"/>
          <w:szCs w:val="24"/>
          <w:highlight w:val="none"/>
          <w:lang w:val="en-US" w:eastAsia="zh-CN" w:bidi="ar-SA"/>
        </w:rPr>
        <w:t>7-5</w:t>
      </w:r>
      <w:r>
        <w:rPr>
          <w:rFonts w:hint="eastAsia" w:ascii="Times New Roman" w:hAnsi="Times New Roman" w:eastAsia="宋体" w:cs="Times New Roman"/>
          <w:color w:val="auto"/>
          <w:kern w:val="2"/>
          <w:sz w:val="24"/>
          <w:szCs w:val="24"/>
          <w:highlight w:val="none"/>
          <w:lang w:val="zh-CN" w:eastAsia="zh-CN" w:bidi="ar-SA"/>
        </w:rPr>
        <w:t>)</w:t>
      </w:r>
      <w:r>
        <w:rPr>
          <w:rFonts w:hint="eastAsia" w:ascii="Times New Roman" w:hAnsi="Times New Roman" w:cs="Times New Roman"/>
          <w:color w:val="auto"/>
          <w:kern w:val="2"/>
          <w:sz w:val="24"/>
          <w:szCs w:val="24"/>
          <w:highlight w:val="none"/>
          <w:lang w:val="zh-CN" w:eastAsia="zh-CN" w:bidi="ar-SA"/>
        </w:rPr>
        <w:t>。</w:t>
      </w:r>
    </w:p>
    <w:p>
      <w:pPr>
        <w:pStyle w:val="12"/>
        <w:rPr>
          <w:rFonts w:hint="eastAsia" w:ascii="Times New Roman" w:hAnsi="Times New Roman" w:eastAsia="宋体"/>
          <w:lang w:eastAsia="zh-CN"/>
        </w:rPr>
      </w:pPr>
      <w:r>
        <w:rPr>
          <w:rFonts w:ascii="宋体" w:hAnsi="宋体" w:eastAsia="宋体" w:cs="宋体"/>
          <w:sz w:val="24"/>
          <w:szCs w:val="24"/>
        </w:rPr>
        <w:drawing>
          <wp:inline distT="0" distB="0" distL="114300" distR="114300">
            <wp:extent cx="304800" cy="304800"/>
            <wp:effectExtent l="0" t="0" r="0" b="0"/>
            <wp:docPr id="89"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descr="IMG_256"/>
                    <pic:cNvPicPr>
                      <a:picLocks noChangeAspect="1"/>
                    </pic:cNvPicPr>
                  </pic:nvPicPr>
                  <pic:blipFill>
                    <a:blip r:embed="rId23"/>
                    <a:stretch>
                      <a:fillRect/>
                    </a:stretch>
                  </pic:blipFill>
                  <pic:spPr>
                    <a:xfrm>
                      <a:off x="0" y="0"/>
                      <a:ext cx="304800" cy="304800"/>
                    </a:xfrm>
                    <a:prstGeom prst="rect">
                      <a:avLst/>
                    </a:prstGeom>
                    <a:noFill/>
                    <a:ln w="9525">
                      <a:noFill/>
                    </a:ln>
                  </pic:spPr>
                </pic:pic>
              </a:graphicData>
            </a:graphic>
          </wp:inline>
        </w:drawing>
      </w:r>
      <w:r>
        <w:rPr>
          <w:sz w:val="28"/>
        </w:rPr>
        <mc:AlternateContent>
          <mc:Choice Requires="wps">
            <w:drawing>
              <wp:anchor distT="0" distB="0" distL="114300" distR="114300" simplePos="0" relativeHeight="251704320" behindDoc="0" locked="0" layoutInCell="1" allowOverlap="1">
                <wp:simplePos x="0" y="0"/>
                <wp:positionH relativeFrom="column">
                  <wp:posOffset>2835275</wp:posOffset>
                </wp:positionH>
                <wp:positionV relativeFrom="paragraph">
                  <wp:posOffset>6832600</wp:posOffset>
                </wp:positionV>
                <wp:extent cx="1581150" cy="0"/>
                <wp:effectExtent l="33655" t="26670" r="42545" b="68580"/>
                <wp:wrapNone/>
                <wp:docPr id="93" name="直接连接符 93"/>
                <wp:cNvGraphicFramePr/>
                <a:graphic xmlns:a="http://schemas.openxmlformats.org/drawingml/2006/main">
                  <a:graphicData uri="http://schemas.microsoft.com/office/word/2010/wordprocessingShape">
                    <wps:wsp>
                      <wps:cNvCnPr/>
                      <wps:spPr>
                        <a:xfrm>
                          <a:off x="3735070" y="8025130"/>
                          <a:ext cx="15811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23.25pt;margin-top:538pt;height:0pt;width:124.5pt;z-index:251704320;mso-width-relative:page;mso-height-relative:page;" filled="f" stroked="t" coordsize="21600,21600" o:gfxdata="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BYAAABkcnMvUEsBAhQAFAAAAAgAh07iQPmtQSfbAAAADQEAAA8AAAAAAAAAAQAg&#10;AAAAOAAAAGRycy9kb3ducmV2LnhtbFBLAQIUABQAAAAIAIdO4kCD78wyLgIAAFUEAAAOAAAAAAAA&#10;AAEAIAAAAEABAABkcnMvZTJvRG9jLnhtbFBLBQYAAAAABgAGAFkBAADgBQ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sz w:val="28"/>
        </w:rPr>
        <mc:AlternateContent>
          <mc:Choice Requires="wps">
            <w:drawing>
              <wp:anchor distT="0" distB="0" distL="114300" distR="114300" simplePos="0" relativeHeight="251705344" behindDoc="0" locked="0" layoutInCell="1" allowOverlap="1">
                <wp:simplePos x="0" y="0"/>
                <wp:positionH relativeFrom="column">
                  <wp:posOffset>2873375</wp:posOffset>
                </wp:positionH>
                <wp:positionV relativeFrom="paragraph">
                  <wp:posOffset>6394450</wp:posOffset>
                </wp:positionV>
                <wp:extent cx="1457325" cy="390525"/>
                <wp:effectExtent l="0" t="0" r="0" b="0"/>
                <wp:wrapNone/>
                <wp:docPr id="94" name="文本框 94"/>
                <wp:cNvGraphicFramePr/>
                <a:graphic xmlns:a="http://schemas.openxmlformats.org/drawingml/2006/main">
                  <a:graphicData uri="http://schemas.microsoft.com/office/word/2010/wordprocessingShape">
                    <wps:wsp>
                      <wps:cNvSpPr txBox="1"/>
                      <wps:spPr>
                        <a:xfrm>
                          <a:off x="3773170" y="7558405"/>
                          <a:ext cx="1457325"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36"/>
                                <w:szCs w:val="36"/>
                                <w:lang w:eastAsia="zh-CN"/>
                              </w:rPr>
                            </w:pPr>
                            <w:r>
                              <w:rPr>
                                <w:rFonts w:hint="eastAsia"/>
                                <w:color w:val="FF0000"/>
                                <w:sz w:val="36"/>
                                <w:szCs w:val="36"/>
                                <w:lang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6.25pt;margin-top:503.5pt;height:30.75pt;width:114.75pt;z-index:251705344;mso-width-relative:page;mso-height-relative:page;" filled="f" stroked="f" coordsize="21600,21600" o:gfxdata="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WAAAAZHJzL1BLAQIUABQAAAAI&#10;AIdO4kDYQdnY3AAAAA0BAAAPAAAAAAAAAAEAIAAAADgAAABkcnMvZG93bnJldi54bWxQSwECFAAU&#10;AAAACACHTuJAYdq9hkkCAAB0BAAADgAAAAAAAAABACAAAABBAQAAZHJzL2Uyb0RvYy54bWxQSwUG&#10;AAAAAAYABgBZAQAA/AUAAAAA&#10;">
                <v:fill on="f" focussize="0,0"/>
                <v:stroke on="f" weight="0.5pt"/>
                <v:imagedata o:title=""/>
                <o:lock v:ext="edit" aspectratio="f"/>
                <v:textbox>
                  <w:txbxContent>
                    <w:p>
                      <w:pPr>
                        <w:rPr>
                          <w:rFonts w:hint="eastAsia" w:eastAsia="宋体"/>
                          <w:color w:val="FF0000"/>
                          <w:sz w:val="36"/>
                          <w:szCs w:val="36"/>
                          <w:lang w:eastAsia="zh-CN"/>
                        </w:rPr>
                      </w:pPr>
                      <w:r>
                        <w:rPr>
                          <w:rFonts w:hint="eastAsia"/>
                          <w:color w:val="FF0000"/>
                          <w:sz w:val="36"/>
                          <w:szCs w:val="36"/>
                          <w:lang w:eastAsia="zh-CN"/>
                        </w:rPr>
                        <w:t>本项目位置</w:t>
                      </w:r>
                    </w:p>
                  </w:txbxContent>
                </v:textbox>
              </v:shape>
            </w:pict>
          </mc:Fallback>
        </mc:AlternateContent>
      </w:r>
      <w:r>
        <w:rPr>
          <w:sz w:val="28"/>
        </w:rPr>
        <mc:AlternateContent>
          <mc:Choice Requires="wps">
            <w:drawing>
              <wp:anchor distT="0" distB="0" distL="114300" distR="114300" simplePos="0" relativeHeight="251703296" behindDoc="0" locked="0" layoutInCell="1" allowOverlap="1">
                <wp:simplePos x="0" y="0"/>
                <wp:positionH relativeFrom="column">
                  <wp:posOffset>2421255</wp:posOffset>
                </wp:positionH>
                <wp:positionV relativeFrom="paragraph">
                  <wp:posOffset>5079365</wp:posOffset>
                </wp:positionV>
                <wp:extent cx="414020" cy="1772285"/>
                <wp:effectExtent l="66675" t="13970" r="52705" b="61595"/>
                <wp:wrapNone/>
                <wp:docPr id="92" name="直接箭头连接符 92"/>
                <wp:cNvGraphicFramePr/>
                <a:graphic xmlns:a="http://schemas.openxmlformats.org/drawingml/2006/main">
                  <a:graphicData uri="http://schemas.microsoft.com/office/word/2010/wordprocessingShape">
                    <wps:wsp>
                      <wps:cNvCnPr>
                        <a:endCxn id="91" idx="4"/>
                      </wps:cNvCnPr>
                      <wps:spPr>
                        <a:xfrm flipH="1" flipV="1">
                          <a:off x="3321050" y="6243320"/>
                          <a:ext cx="414020" cy="1772285"/>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x y;margin-left:190.65pt;margin-top:399.95pt;height:139.55pt;width:32.6pt;z-index:251703296;mso-width-relative:page;mso-height-relative:page;" filled="f" stroked="t" coordsize="21600,21600" o:gfxdata="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WAAAAZHJzL1BLAQIUABQAAAAIAIdO4kB02iIO2QAA&#10;AAwBAAAPAAAAAAAAAAEAIAAAADgAAABkcnMvZG93bnJldi54bWxQSwECFAAUAAAACACHTuJAj6Up&#10;hXkCAADVBAAADgAAAAAAAAABACAAAAA+AQAAZHJzL2Uyb0RvYy54bWxQSwUGAAAAAAYABgBZAQAA&#10;KQYAAAAA&#10;">
                <v:fill on="f" focussize="0,0"/>
                <v:stroke weight="2pt" color="#000000 [3200]" joinstyle="round" endarrow="open"/>
                <v:imagedata o:title=""/>
                <o:lock v:ext="edit" aspectratio="f"/>
                <v:shadow on="t" color="#000000" opacity="24903f" offset="0pt,1.5748031496063pt" origin="0f,32768f" matrix="65536f,0f,0f,65536f"/>
              </v:shape>
            </w:pict>
          </mc:Fallback>
        </mc:AlternateContent>
      </w:r>
      <w:r>
        <w:rPr>
          <w:sz w:val="28"/>
        </w:rPr>
        <mc:AlternateContent>
          <mc:Choice Requires="wps">
            <w:drawing>
              <wp:anchor distT="0" distB="0" distL="114300" distR="114300" simplePos="0" relativeHeight="251702272" behindDoc="0" locked="0" layoutInCell="1" allowOverlap="1">
                <wp:simplePos x="0" y="0"/>
                <wp:positionH relativeFrom="column">
                  <wp:posOffset>2378075</wp:posOffset>
                </wp:positionH>
                <wp:positionV relativeFrom="paragraph">
                  <wp:posOffset>5003800</wp:posOffset>
                </wp:positionV>
                <wp:extent cx="85725" cy="75565"/>
                <wp:effectExtent l="0" t="0" r="9525" b="635"/>
                <wp:wrapNone/>
                <wp:docPr id="91" name="椭圆 91"/>
                <wp:cNvGraphicFramePr/>
                <a:graphic xmlns:a="http://schemas.openxmlformats.org/drawingml/2006/main">
                  <a:graphicData uri="http://schemas.microsoft.com/office/word/2010/wordprocessingShape">
                    <wps:wsp>
                      <wps:cNvSpPr/>
                      <wps:spPr>
                        <a:xfrm>
                          <a:off x="3277870" y="6167755"/>
                          <a:ext cx="85725" cy="7556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7.25pt;margin-top:394pt;height:5.95pt;width:6.75pt;z-index:251702272;v-text-anchor:middle;mso-width-relative:page;mso-height-relative:page;" fillcolor="#FF0000" filled="t" stroked="f" coordsize="21600,21600" o:gfxdata="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FgAAAGRycy9QSwECFAAUAAAACACHTuJAmDTVp9sAAAALAQAA&#10;DwAAAAAAAAABACAAAAA4AAAAZHJzL2Rvd25yZXYueG1sUEsBAhQAFAAAAAgAh07iQIzBAc9yAgAA&#10;zQQAAA4AAAAAAAAAAQAgAAAAQAEAAGRycy9lMm9Eb2MueG1sUEsFBgAAAAAGAAYAWQEAACQGAAAA&#10;AA==&#10;">
                <v:fill on="t" focussize="0,0"/>
                <v:stroke on="f" weight="2pt"/>
                <v:imagedata o:title=""/>
                <o:lock v:ext="edit" aspectratio="f"/>
                <v:textbox>
                  <w:txbxContent>
                    <w:p>
                      <w:pPr>
                        <w:jc w:val="center"/>
                      </w:pPr>
                    </w:p>
                  </w:txbxContent>
                </v:textbox>
              </v:shape>
            </w:pict>
          </mc:Fallback>
        </mc:AlternateContent>
      </w:r>
      <w:r>
        <w:rPr>
          <w:rFonts w:hint="eastAsia" w:ascii="Times New Roman" w:hAnsi="Times New Roman" w:eastAsia="宋体"/>
          <w:lang w:eastAsia="zh-CN"/>
        </w:rPr>
        <w:drawing>
          <wp:inline distT="0" distB="0" distL="114300" distR="114300">
            <wp:extent cx="5756275" cy="7430135"/>
            <wp:effectExtent l="0" t="0" r="15875" b="18415"/>
            <wp:docPr id="90" name="图片 90" descr="811feaf8427c893f08e52c59b7b1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811feaf8427c893f08e52c59b7b1e68"/>
                    <pic:cNvPicPr>
                      <a:picLocks noChangeAspect="1"/>
                    </pic:cNvPicPr>
                  </pic:nvPicPr>
                  <pic:blipFill>
                    <a:blip r:embed="rId24"/>
                    <a:stretch>
                      <a:fillRect/>
                    </a:stretch>
                  </pic:blipFill>
                  <pic:spPr>
                    <a:xfrm>
                      <a:off x="0" y="0"/>
                      <a:ext cx="5756275" cy="7430135"/>
                    </a:xfrm>
                    <a:prstGeom prst="rect">
                      <a:avLst/>
                    </a:prstGeom>
                  </pic:spPr>
                </pic:pic>
              </a:graphicData>
            </a:graphic>
          </wp:inline>
        </w:drawing>
      </w:r>
    </w:p>
    <w:p>
      <w:pPr>
        <w:jc w:val="center"/>
        <w:rPr>
          <w:rFonts w:hint="default" w:eastAsia="宋体"/>
          <w:b/>
          <w:bCs/>
          <w:sz w:val="24"/>
          <w:szCs w:val="24"/>
          <w:lang w:val="en-US" w:eastAsia="zh-CN"/>
        </w:rPr>
      </w:pPr>
      <w:r>
        <w:rPr>
          <w:rFonts w:hint="eastAsia" w:ascii="Times New Roman" w:hAnsi="Times New Roman"/>
          <w:b/>
          <w:bCs/>
          <w:sz w:val="24"/>
          <w:szCs w:val="24"/>
          <w:lang w:eastAsia="zh-CN"/>
        </w:rPr>
        <w:t>图</w:t>
      </w:r>
      <w:r>
        <w:rPr>
          <w:rFonts w:hint="eastAsia" w:ascii="Times New Roman" w:hAnsi="Times New Roman"/>
          <w:b/>
          <w:bCs/>
          <w:sz w:val="24"/>
          <w:szCs w:val="24"/>
          <w:lang w:val="en-US" w:eastAsia="zh-CN"/>
        </w:rPr>
        <w:t>1.7-4  项目在固原市分区管控单元位置</w:t>
      </w:r>
    </w:p>
    <w:p>
      <w:pPr>
        <w:pStyle w:val="11"/>
        <w:keepNext w:val="0"/>
        <w:keepLines w:val="0"/>
        <w:pageBreakBefore w:val="0"/>
        <w:widowControl w:val="0"/>
        <w:kinsoku/>
        <w:wordWrap/>
        <w:overflowPunct/>
        <w:topLinePunct w:val="0"/>
        <w:autoSpaceDE/>
        <w:autoSpaceDN/>
        <w:bidi w:val="0"/>
        <w:adjustRightInd w:val="0"/>
        <w:snapToGrid w:val="0"/>
        <w:spacing w:after="0" w:line="240" w:lineRule="auto"/>
        <w:textAlignment w:val="auto"/>
        <w:rPr>
          <w:rFonts w:hint="eastAsia" w:ascii="Times New Roman" w:hAnsi="Times New Roman" w:eastAsia="宋体" w:cs="Times New Roman"/>
          <w:kern w:val="2"/>
          <w:sz w:val="24"/>
          <w:szCs w:val="24"/>
          <w:lang w:val="zh-CN" w:eastAsia="zh-CN" w:bidi="ar-SA"/>
        </w:rPr>
      </w:pPr>
      <w:r>
        <w:rPr>
          <w:sz w:val="24"/>
        </w:rPr>
        <mc:AlternateContent>
          <mc:Choice Requires="wps">
            <w:drawing>
              <wp:anchor distT="0" distB="0" distL="114300" distR="114300" simplePos="0" relativeHeight="251701248" behindDoc="0" locked="0" layoutInCell="1" allowOverlap="1">
                <wp:simplePos x="0" y="0"/>
                <wp:positionH relativeFrom="column">
                  <wp:posOffset>2854325</wp:posOffset>
                </wp:positionH>
                <wp:positionV relativeFrom="paragraph">
                  <wp:posOffset>6621145</wp:posOffset>
                </wp:positionV>
                <wp:extent cx="1485900" cy="485775"/>
                <wp:effectExtent l="0" t="0" r="0" b="0"/>
                <wp:wrapNone/>
                <wp:docPr id="88" name="文本框 88"/>
                <wp:cNvGraphicFramePr/>
                <a:graphic xmlns:a="http://schemas.openxmlformats.org/drawingml/2006/main">
                  <a:graphicData uri="http://schemas.microsoft.com/office/word/2010/wordprocessingShape">
                    <wps:wsp>
                      <wps:cNvSpPr txBox="1"/>
                      <wps:spPr>
                        <a:xfrm>
                          <a:off x="3811270" y="7689850"/>
                          <a:ext cx="1485900" cy="4857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36"/>
                                <w:szCs w:val="36"/>
                                <w:lang w:eastAsia="zh-CN"/>
                              </w:rPr>
                            </w:pPr>
                            <w:r>
                              <w:rPr>
                                <w:rFonts w:hint="eastAsia"/>
                                <w:color w:val="FF0000"/>
                                <w:sz w:val="36"/>
                                <w:szCs w:val="36"/>
                                <w:lang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75pt;margin-top:521.35pt;height:38.25pt;width:117pt;z-index:251701248;mso-width-relative:page;mso-height-relative:page;" filled="f" stroked="f" coordsize="21600,21600" o:gfxdata="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lNUMh90AAAANAQAADwAAAAAAAAABACAAAAA4AAAAZHJzL2Rvd25yZXYueG1sUEsBAhQAFAAA&#10;AAgAh07iQAmCGy9GAgAAdAQAAA4AAAAAAAAAAQAgAAAAQgEAAGRycy9lMm9Eb2MueG1sUEsFBgAA&#10;AAAGAAYAWQEAAPoFAAAAAA==&#10;">
                <v:fill on="f" focussize="0,0"/>
                <v:stroke on="f" weight="0.5pt"/>
                <v:imagedata o:title=""/>
                <o:lock v:ext="edit" aspectratio="f"/>
                <v:textbox>
                  <w:txbxContent>
                    <w:p>
                      <w:pPr>
                        <w:rPr>
                          <w:rFonts w:hint="eastAsia" w:eastAsia="宋体"/>
                          <w:color w:val="FF0000"/>
                          <w:sz w:val="36"/>
                          <w:szCs w:val="36"/>
                          <w:lang w:eastAsia="zh-CN"/>
                        </w:rPr>
                      </w:pPr>
                      <w:r>
                        <w:rPr>
                          <w:rFonts w:hint="eastAsia"/>
                          <w:color w:val="FF0000"/>
                          <w:sz w:val="36"/>
                          <w:szCs w:val="36"/>
                          <w:lang w:eastAsia="zh-CN"/>
                        </w:rPr>
                        <w:t>本项目位置</w:t>
                      </w:r>
                    </w:p>
                  </w:txbxContent>
                </v:textbox>
              </v:shape>
            </w:pict>
          </mc:Fallback>
        </mc:AlternateContent>
      </w:r>
      <w:r>
        <w:rPr>
          <w:sz w:val="24"/>
        </w:rPr>
        <mc:AlternateContent>
          <mc:Choice Requires="wps">
            <w:drawing>
              <wp:anchor distT="0" distB="0" distL="114300" distR="114300" simplePos="0" relativeHeight="251700224" behindDoc="0" locked="0" layoutInCell="1" allowOverlap="1">
                <wp:simplePos x="0" y="0"/>
                <wp:positionH relativeFrom="column">
                  <wp:posOffset>2839720</wp:posOffset>
                </wp:positionH>
                <wp:positionV relativeFrom="paragraph">
                  <wp:posOffset>7021195</wp:posOffset>
                </wp:positionV>
                <wp:extent cx="1390650" cy="0"/>
                <wp:effectExtent l="0" t="0" r="0" b="0"/>
                <wp:wrapNone/>
                <wp:docPr id="87" name="直接连接符 87"/>
                <wp:cNvGraphicFramePr/>
                <a:graphic xmlns:a="http://schemas.openxmlformats.org/drawingml/2006/main">
                  <a:graphicData uri="http://schemas.microsoft.com/office/word/2010/wordprocessingShape">
                    <wps:wsp>
                      <wps:cNvCnPr/>
                      <wps:spPr>
                        <a:xfrm>
                          <a:off x="3701415" y="8147050"/>
                          <a:ext cx="13906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23.6pt;margin-top:552.85pt;height:0pt;width:109.5pt;z-index:251700224;mso-width-relative:page;mso-height-relative:page;" filled="f" stroked="t" coordsize="21600,21600" o:gfxdata="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WAAAAZHJzL1BLAQIUABQAAAAIAIdO4kDcUvK93AAAAA0BAAAPAAAAAAAAAAEA&#10;IAAAADgAAABkcnMvZG93bnJldi54bWxQSwECFAAUAAAACACHTuJAMWy7XS4CAABVBAAADgAAAAAA&#10;AAABACAAAABBAQAAZHJzL2Uyb0RvYy54bWxQSwUGAAAAAAYABgBZAQAA4QU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sz w:val="24"/>
        </w:rPr>
        <mc:AlternateContent>
          <mc:Choice Requires="wps">
            <w:drawing>
              <wp:anchor distT="0" distB="0" distL="114300" distR="114300" simplePos="0" relativeHeight="251699200" behindDoc="0" locked="0" layoutInCell="1" allowOverlap="1">
                <wp:simplePos x="0" y="0"/>
                <wp:positionH relativeFrom="column">
                  <wp:posOffset>2454275</wp:posOffset>
                </wp:positionH>
                <wp:positionV relativeFrom="paragraph">
                  <wp:posOffset>5487035</wp:posOffset>
                </wp:positionV>
                <wp:extent cx="394970" cy="1543685"/>
                <wp:effectExtent l="64135" t="13970" r="55245" b="61595"/>
                <wp:wrapNone/>
                <wp:docPr id="86" name="直接箭头连接符 86"/>
                <wp:cNvGraphicFramePr/>
                <a:graphic xmlns:a="http://schemas.openxmlformats.org/drawingml/2006/main">
                  <a:graphicData uri="http://schemas.microsoft.com/office/word/2010/wordprocessingShape">
                    <wps:wsp>
                      <wps:cNvCnPr>
                        <a:endCxn id="85" idx="4"/>
                      </wps:cNvCnPr>
                      <wps:spPr>
                        <a:xfrm flipH="1" flipV="1">
                          <a:off x="3354070" y="6650990"/>
                          <a:ext cx="394970" cy="1543685"/>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x y;margin-left:193.25pt;margin-top:432.05pt;height:121.55pt;width:31.1pt;z-index:251699200;mso-width-relative:page;mso-height-relative:page;" filled="f" stroked="t" coordsize="21600,21600" o:gfxdata="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WAAAAZHJzL1BLAQIUABQAAAAIAIdO4kBZsU0v2QAA&#10;AAwBAAAPAAAAAAAAAAEAIAAAADgAAABkcnMvZG93bnJldi54bWxQSwECFAAUAAAACACHTuJAi4Y8&#10;pnkCAADVBAAADgAAAAAAAAABACAAAAA+AQAAZHJzL2Uyb0RvYy54bWxQSwUGAAAAAAYABgBZAQAA&#10;KQYAAAAA&#10;">
                <v:fill on="f" focussize="0,0"/>
                <v:stroke weight="2pt" color="#000000 [3200]" joinstyle="round" endarrow="open"/>
                <v:imagedata o:title=""/>
                <o:lock v:ext="edit" aspectratio="f"/>
                <v:shadow on="t" color="#000000" opacity="24903f" offset="0pt,1.5748031496063pt" origin="0f,32768f" matrix="65536f,0f,0f,65536f"/>
              </v:shape>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2401570</wp:posOffset>
                </wp:positionH>
                <wp:positionV relativeFrom="paragraph">
                  <wp:posOffset>5411470</wp:posOffset>
                </wp:positionV>
                <wp:extent cx="104775" cy="75565"/>
                <wp:effectExtent l="0" t="0" r="9525" b="635"/>
                <wp:wrapNone/>
                <wp:docPr id="85" name="椭圆 85"/>
                <wp:cNvGraphicFramePr/>
                <a:graphic xmlns:a="http://schemas.openxmlformats.org/drawingml/2006/main">
                  <a:graphicData uri="http://schemas.microsoft.com/office/word/2010/wordprocessingShape">
                    <wps:wsp>
                      <wps:cNvSpPr/>
                      <wps:spPr>
                        <a:xfrm>
                          <a:off x="3310890" y="6604000"/>
                          <a:ext cx="104775" cy="7556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9.1pt;margin-top:426.1pt;height:5.95pt;width:8.25pt;z-index:251698176;v-text-anchor:middle;mso-width-relative:page;mso-height-relative:page;" fillcolor="#FF0000" filled="t" stroked="f" coordsize="21600,21600" o:gfxdata="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FgAAAGRycy9QSwECFAAUAAAACACHTuJAMp4a9dsAAAAL&#10;AQAADwAAAAAAAAABACAAAAA4AAAAZHJzL2Rvd25yZXYueG1sUEsBAhQAFAAAAAgAh07iQOJeFsV1&#10;AgAAzgQAAA4AAAAAAAAAAQAgAAAAQAEAAGRycy9lMm9Eb2MueG1sUEsFBgAAAAAGAAYAWQEAACcG&#10;AAAAAA==&#10;">
                <v:fill on="t" focussize="0,0"/>
                <v:stroke on="f" weight="2pt"/>
                <v:imagedata o:title=""/>
                <o:lock v:ext="edit" aspectratio="f"/>
                <v:textbox>
                  <w:txbxContent>
                    <w:p>
                      <w:pPr>
                        <w:jc w:val="center"/>
                      </w:pPr>
                    </w:p>
                  </w:txbxContent>
                </v:textbox>
              </v:shape>
            </w:pict>
          </mc:Fallback>
        </mc:AlternateContent>
      </w:r>
      <w:r>
        <w:rPr>
          <w:rFonts w:hint="eastAsia" w:ascii="Times New Roman" w:hAnsi="Times New Roman" w:eastAsia="宋体" w:cs="Times New Roman"/>
          <w:kern w:val="2"/>
          <w:sz w:val="24"/>
          <w:szCs w:val="24"/>
          <w:lang w:val="zh-CN" w:eastAsia="zh-CN" w:bidi="ar-SA"/>
        </w:rPr>
        <w:drawing>
          <wp:inline distT="0" distB="0" distL="114300" distR="114300">
            <wp:extent cx="5752465" cy="7989570"/>
            <wp:effectExtent l="0" t="0" r="635" b="11430"/>
            <wp:docPr id="49" name="图片 49" descr="0c59ecdfb0567cbcb4cfa448f1e5f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0c59ecdfb0567cbcb4cfa448f1e5fd1"/>
                    <pic:cNvPicPr>
                      <a:picLocks noChangeAspect="1"/>
                    </pic:cNvPicPr>
                  </pic:nvPicPr>
                  <pic:blipFill>
                    <a:blip r:embed="rId25"/>
                    <a:stretch>
                      <a:fillRect/>
                    </a:stretch>
                  </pic:blipFill>
                  <pic:spPr>
                    <a:xfrm>
                      <a:off x="0" y="0"/>
                      <a:ext cx="5752465" cy="7989570"/>
                    </a:xfrm>
                    <a:prstGeom prst="rect">
                      <a:avLst/>
                    </a:prstGeom>
                  </pic:spPr>
                </pic:pic>
              </a:graphicData>
            </a:graphic>
          </wp:inline>
        </w:drawing>
      </w:r>
    </w:p>
    <w:p>
      <w:pPr>
        <w:pStyle w:val="12"/>
        <w:jc w:val="center"/>
        <w:rPr>
          <w:rFonts w:hint="default"/>
          <w:b/>
          <w:bCs/>
          <w:highlight w:val="none"/>
          <w:lang w:val="en-US" w:eastAsia="zh-CN"/>
        </w:rPr>
      </w:pPr>
      <w:r>
        <w:rPr>
          <w:rFonts w:hint="eastAsia" w:ascii="Times New Roman" w:hAnsi="Times New Roman" w:cs="Times New Roman"/>
          <w:b/>
          <w:bCs/>
          <w:kern w:val="2"/>
          <w:sz w:val="24"/>
          <w:szCs w:val="24"/>
          <w:highlight w:val="none"/>
          <w:lang w:val="zh-CN" w:eastAsia="zh-CN" w:bidi="ar-SA"/>
        </w:rPr>
        <w:t>图</w:t>
      </w:r>
      <w:r>
        <w:rPr>
          <w:rFonts w:hint="eastAsia" w:ascii="Times New Roman" w:hAnsi="Times New Roman" w:cs="Times New Roman"/>
          <w:b/>
          <w:bCs/>
          <w:kern w:val="2"/>
          <w:sz w:val="24"/>
          <w:szCs w:val="24"/>
          <w:highlight w:val="none"/>
          <w:lang w:val="en-US" w:eastAsia="zh-CN" w:bidi="ar-SA"/>
        </w:rPr>
        <w:t>1.7-5   项目与固原市生态空间图</w:t>
      </w:r>
    </w:p>
    <w:p>
      <w:pPr>
        <w:pStyle w:val="11"/>
        <w:adjustRightInd w:val="0"/>
        <w:snapToGrid w:val="0"/>
        <w:spacing w:after="0" w:line="540" w:lineRule="exact"/>
        <w:ind w:firstLine="480" w:firstLineChars="200"/>
        <w:rPr>
          <w:rFonts w:ascii="Times New Roman" w:hAnsi="Times New Roman"/>
          <w:sz w:val="24"/>
          <w:lang w:val="zh-CN"/>
        </w:rPr>
      </w:pPr>
      <w:r>
        <w:rPr>
          <w:rFonts w:hint="eastAsia" w:ascii="Times New Roman" w:hAnsi="Times New Roman" w:eastAsia="宋体" w:cs="Times New Roman"/>
          <w:kern w:val="2"/>
          <w:sz w:val="24"/>
          <w:szCs w:val="24"/>
          <w:lang w:val="zh-CN" w:eastAsia="zh-CN" w:bidi="ar-SA"/>
        </w:rPr>
        <w:t>综上，项</w:t>
      </w:r>
      <w:r>
        <w:rPr>
          <w:rFonts w:ascii="Times New Roman" w:hAnsi="Times New Roman"/>
          <w:sz w:val="24"/>
          <w:lang w:val="zh-CN"/>
        </w:rPr>
        <w:t>目符合“三线一单”相关要求。</w:t>
      </w:r>
    </w:p>
    <w:p>
      <w:pPr>
        <w:pStyle w:val="6"/>
        <w:pageBreakBefore w:val="0"/>
        <w:widowControl w:val="0"/>
        <w:kinsoku/>
        <w:wordWrap/>
        <w:overflowPunct/>
        <w:topLinePunct w:val="0"/>
        <w:autoSpaceDE/>
        <w:autoSpaceDN/>
        <w:bidi w:val="0"/>
        <w:snapToGrid w:val="0"/>
        <w:spacing w:before="0" w:after="0" w:line="540" w:lineRule="exact"/>
        <w:contextualSpacing/>
        <w:textAlignment w:val="auto"/>
        <w:rPr>
          <w:rFonts w:hint="eastAsia" w:ascii="Times New Roman" w:hAnsi="Times New Roman" w:eastAsia="宋体"/>
          <w:bCs w:val="0"/>
          <w:sz w:val="24"/>
          <w:lang w:eastAsia="zh-CN"/>
        </w:rPr>
      </w:pPr>
      <w:r>
        <w:rPr>
          <w:rFonts w:hint="eastAsia" w:ascii="Times New Roman" w:hAnsi="Times New Roman" w:eastAsia="宋体"/>
          <w:bCs w:val="0"/>
          <w:sz w:val="24"/>
        </w:rPr>
        <w:t>1.7.</w:t>
      </w:r>
      <w:r>
        <w:rPr>
          <w:rFonts w:hint="eastAsia" w:ascii="Times New Roman" w:hAnsi="Times New Roman" w:eastAsia="宋体"/>
          <w:bCs w:val="0"/>
          <w:sz w:val="24"/>
          <w:lang w:val="en-US" w:eastAsia="zh-CN"/>
        </w:rPr>
        <w:t>4</w:t>
      </w:r>
      <w:r>
        <w:rPr>
          <w:rFonts w:hint="eastAsia" w:ascii="Times New Roman" w:hAnsi="Times New Roman" w:eastAsia="宋体"/>
          <w:bCs w:val="0"/>
          <w:sz w:val="24"/>
        </w:rPr>
        <w:t>.</w:t>
      </w:r>
      <w:r>
        <w:rPr>
          <w:rFonts w:hint="eastAsia" w:ascii="Times New Roman" w:hAnsi="Times New Roman" w:eastAsia="宋体"/>
          <w:bCs w:val="0"/>
          <w:sz w:val="24"/>
          <w:lang w:val="en-US" w:eastAsia="zh-CN"/>
        </w:rPr>
        <w:t>2</w:t>
      </w:r>
      <w:r>
        <w:rPr>
          <w:rFonts w:hint="eastAsia" w:ascii="Times New Roman" w:hAnsi="Times New Roman" w:eastAsia="宋体"/>
          <w:bCs w:val="0"/>
          <w:sz w:val="24"/>
          <w:lang w:eastAsia="zh-CN"/>
        </w:rPr>
        <w:t>畜禽养殖相关政策</w:t>
      </w:r>
    </w:p>
    <w:p>
      <w:pPr>
        <w:pStyle w:val="11"/>
        <w:keepNext w:val="0"/>
        <w:keepLines w:val="0"/>
        <w:pageBreakBefore w:val="0"/>
        <w:widowControl w:val="0"/>
        <w:kinsoku/>
        <w:wordWrap/>
        <w:overflowPunct/>
        <w:topLinePunct w:val="0"/>
        <w:autoSpaceDE/>
        <w:autoSpaceDN/>
        <w:bidi w:val="0"/>
        <w:adjustRightInd w:val="0"/>
        <w:snapToGrid w:val="0"/>
        <w:spacing w:after="0" w:line="540" w:lineRule="exact"/>
        <w:ind w:firstLine="480" w:firstLineChars="200"/>
        <w:textAlignment w:val="auto"/>
        <w:rPr>
          <w:rFonts w:ascii="Times New Roman" w:hAnsi="Times New Roman"/>
          <w:color w:val="FF0000"/>
          <w:sz w:val="24"/>
          <w:szCs w:val="22"/>
          <w:lang w:val="zh-CN"/>
        </w:rPr>
      </w:pPr>
      <w:r>
        <w:rPr>
          <w:rFonts w:hint="eastAsia" w:ascii="Times New Roman" w:hAnsi="Times New Roman"/>
          <w:color w:val="FF0000"/>
          <w:sz w:val="24"/>
          <w:szCs w:val="22"/>
          <w:lang w:val="zh-CN"/>
        </w:rPr>
        <w:t>隆德县目前暂未发布畜禽禁养区、限养区划定方案，本次主要根据</w:t>
      </w:r>
      <w:r>
        <w:rPr>
          <w:rFonts w:ascii="Times New Roman" w:hAnsi="Times New Roman"/>
          <w:color w:val="FF0000"/>
          <w:sz w:val="24"/>
          <w:szCs w:val="22"/>
          <w:lang w:val="zh-CN"/>
        </w:rPr>
        <w:t>《畜牧养殖污染防治管理办法》</w:t>
      </w:r>
      <w:r>
        <w:rPr>
          <w:rFonts w:hint="eastAsia" w:ascii="Times New Roman" w:hAnsi="Times New Roman"/>
          <w:color w:val="FF0000"/>
          <w:sz w:val="24"/>
          <w:szCs w:val="22"/>
          <w:lang w:val="zh-CN"/>
        </w:rPr>
        <w:t>、</w:t>
      </w:r>
      <w:r>
        <w:rPr>
          <w:rFonts w:ascii="Times New Roman" w:hAnsi="Times New Roman"/>
          <w:color w:val="FF0000"/>
          <w:sz w:val="24"/>
          <w:szCs w:val="22"/>
          <w:lang w:val="zh-CN"/>
        </w:rPr>
        <w:t>《畜禽规模养殖污染防治条例》</w:t>
      </w:r>
      <w:r>
        <w:rPr>
          <w:rFonts w:hint="eastAsia" w:ascii="Times New Roman" w:hAnsi="Times New Roman"/>
          <w:color w:val="FF0000"/>
          <w:sz w:val="24"/>
          <w:szCs w:val="22"/>
          <w:lang w:val="zh-CN"/>
        </w:rPr>
        <w:t>以及《畜禽养殖业污染防治技术规范》(HJ/T81-2001)中规定，进行项目厂区选址合理性分析。</w:t>
      </w:r>
      <w:r>
        <w:rPr>
          <w:rFonts w:ascii="Times New Roman" w:hAnsi="Times New Roman"/>
          <w:color w:val="FF0000"/>
          <w:sz w:val="24"/>
          <w:szCs w:val="22"/>
          <w:lang w:val="zh-CN"/>
        </w:rPr>
        <w:t>项目选址与相关标准合理性见表</w:t>
      </w:r>
      <w:r>
        <w:rPr>
          <w:rFonts w:hint="eastAsia" w:ascii="Times New Roman" w:hAnsi="Times New Roman"/>
          <w:color w:val="FF0000"/>
          <w:sz w:val="24"/>
          <w:szCs w:val="22"/>
        </w:rPr>
        <w:t>1.7</w:t>
      </w:r>
      <w:r>
        <w:rPr>
          <w:rFonts w:ascii="Times New Roman" w:hAnsi="Times New Roman"/>
          <w:color w:val="FF0000"/>
          <w:sz w:val="24"/>
          <w:szCs w:val="22"/>
          <w:lang w:val="zh-CN"/>
        </w:rPr>
        <w:t>-1。</w:t>
      </w:r>
    </w:p>
    <w:p>
      <w:pPr>
        <w:pStyle w:val="11"/>
        <w:keepNext w:val="0"/>
        <w:keepLines w:val="0"/>
        <w:pageBreakBefore w:val="0"/>
        <w:widowControl w:val="0"/>
        <w:kinsoku/>
        <w:wordWrap/>
        <w:overflowPunct/>
        <w:topLinePunct w:val="0"/>
        <w:autoSpaceDE/>
        <w:autoSpaceDN/>
        <w:bidi w:val="0"/>
        <w:adjustRightInd w:val="0"/>
        <w:snapToGrid w:val="0"/>
        <w:spacing w:after="0" w:line="540" w:lineRule="exact"/>
        <w:ind w:firstLine="481" w:firstLineChars="200"/>
        <w:jc w:val="center"/>
        <w:textAlignment w:val="auto"/>
        <w:rPr>
          <w:rFonts w:hint="eastAsia" w:ascii="宋体" w:hAnsi="宋体" w:eastAsia="宋体" w:cs="宋体"/>
          <w:b/>
          <w:bCs/>
          <w:color w:val="FF0000"/>
          <w:sz w:val="24"/>
          <w:lang w:eastAsia="zh-CN"/>
        </w:rPr>
      </w:pPr>
      <w:r>
        <w:rPr>
          <w:rFonts w:ascii="宋体" w:hAnsi="宋体" w:cs="宋体"/>
          <w:b/>
          <w:bCs/>
          <w:color w:val="FF0000"/>
          <w:sz w:val="24"/>
        </w:rPr>
        <w:t>表</w:t>
      </w:r>
      <w:r>
        <w:rPr>
          <w:rFonts w:hint="eastAsia" w:ascii="宋体" w:hAnsi="宋体" w:cs="宋体"/>
          <w:b/>
          <w:bCs/>
          <w:color w:val="FF0000"/>
          <w:sz w:val="24"/>
        </w:rPr>
        <w:t>1.7</w:t>
      </w:r>
      <w:r>
        <w:rPr>
          <w:rFonts w:ascii="宋体" w:hAnsi="宋体" w:cs="宋体"/>
          <w:b/>
          <w:bCs/>
          <w:color w:val="FF0000"/>
          <w:sz w:val="24"/>
        </w:rPr>
        <w:t xml:space="preserve">-1  </w:t>
      </w:r>
      <w:r>
        <w:rPr>
          <w:rFonts w:hint="eastAsia" w:ascii="宋体" w:hAnsi="宋体" w:cs="宋体"/>
          <w:b/>
          <w:bCs/>
          <w:color w:val="FF0000"/>
          <w:sz w:val="24"/>
          <w:lang w:eastAsia="zh-CN"/>
        </w:rPr>
        <w:t>选址可行性分析表</w:t>
      </w:r>
    </w:p>
    <w:tbl>
      <w:tblPr>
        <w:tblStyle w:val="29"/>
        <w:tblW w:w="90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6"/>
        <w:gridCol w:w="2839"/>
        <w:gridCol w:w="2462"/>
        <w:gridCol w:w="2438"/>
        <w:gridCol w:w="7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6" w:type="dxa"/>
            <w:vAlign w:val="center"/>
          </w:tcPr>
          <w:p>
            <w:pPr>
              <w:autoSpaceDE w:val="0"/>
              <w:autoSpaceDN w:val="0"/>
              <w:spacing w:line="260" w:lineRule="exact"/>
              <w:jc w:val="center"/>
              <w:rPr>
                <w:rFonts w:cs="Times New Roman"/>
                <w:b/>
                <w:bCs/>
                <w:color w:val="FF0000"/>
                <w:sz w:val="21"/>
                <w:szCs w:val="21"/>
              </w:rPr>
            </w:pPr>
            <w:r>
              <w:rPr>
                <w:rFonts w:cs="Times New Roman"/>
                <w:b/>
                <w:bCs/>
                <w:color w:val="FF0000"/>
                <w:sz w:val="21"/>
                <w:szCs w:val="21"/>
              </w:rPr>
              <w:t>序号</w:t>
            </w:r>
          </w:p>
        </w:tc>
        <w:tc>
          <w:tcPr>
            <w:tcW w:w="2839" w:type="dxa"/>
            <w:vAlign w:val="center"/>
          </w:tcPr>
          <w:p>
            <w:pPr>
              <w:autoSpaceDE w:val="0"/>
              <w:autoSpaceDN w:val="0"/>
              <w:spacing w:line="260" w:lineRule="exact"/>
              <w:jc w:val="center"/>
              <w:rPr>
                <w:rFonts w:cs="Times New Roman"/>
                <w:b/>
                <w:bCs/>
                <w:color w:val="FF0000"/>
                <w:sz w:val="21"/>
                <w:szCs w:val="21"/>
              </w:rPr>
            </w:pPr>
            <w:r>
              <w:rPr>
                <w:rFonts w:cs="Times New Roman"/>
                <w:b/>
                <w:bCs/>
                <w:color w:val="FF0000"/>
                <w:kern w:val="0"/>
                <w:sz w:val="21"/>
                <w:szCs w:val="21"/>
              </w:rPr>
              <w:t>《</w:t>
            </w:r>
            <w:r>
              <w:rPr>
                <w:rFonts w:cs="Times New Roman"/>
                <w:b/>
                <w:bCs/>
                <w:color w:val="FF0000"/>
                <w:sz w:val="21"/>
                <w:szCs w:val="21"/>
              </w:rPr>
              <w:t>畜牧养殖污染防治管理办法》、《畜牧养殖业污染防治技术规范》</w:t>
            </w:r>
          </w:p>
        </w:tc>
        <w:tc>
          <w:tcPr>
            <w:tcW w:w="2462" w:type="dxa"/>
            <w:vAlign w:val="center"/>
          </w:tcPr>
          <w:p>
            <w:pPr>
              <w:autoSpaceDE w:val="0"/>
              <w:autoSpaceDN w:val="0"/>
              <w:spacing w:line="260" w:lineRule="exact"/>
              <w:jc w:val="center"/>
              <w:rPr>
                <w:rFonts w:cs="Times New Roman"/>
                <w:b/>
                <w:bCs/>
                <w:color w:val="FF0000"/>
                <w:sz w:val="21"/>
                <w:szCs w:val="21"/>
              </w:rPr>
            </w:pPr>
            <w:r>
              <w:rPr>
                <w:rFonts w:cs="Times New Roman"/>
                <w:b/>
                <w:bCs/>
                <w:color w:val="FF0000"/>
                <w:sz w:val="21"/>
                <w:szCs w:val="21"/>
              </w:rPr>
              <w:t>《畜禽规模养殖污染防治条例》</w:t>
            </w:r>
          </w:p>
        </w:tc>
        <w:tc>
          <w:tcPr>
            <w:tcW w:w="2438" w:type="dxa"/>
            <w:vAlign w:val="center"/>
          </w:tcPr>
          <w:p>
            <w:pPr>
              <w:autoSpaceDE w:val="0"/>
              <w:autoSpaceDN w:val="0"/>
              <w:spacing w:line="260" w:lineRule="exact"/>
              <w:jc w:val="center"/>
              <w:rPr>
                <w:rFonts w:cs="Times New Roman"/>
                <w:b/>
                <w:bCs/>
                <w:color w:val="FF0000"/>
                <w:sz w:val="21"/>
                <w:szCs w:val="21"/>
              </w:rPr>
            </w:pPr>
            <w:r>
              <w:rPr>
                <w:rFonts w:cs="Times New Roman"/>
                <w:b/>
                <w:bCs/>
                <w:color w:val="FF0000"/>
                <w:sz w:val="21"/>
                <w:szCs w:val="21"/>
              </w:rPr>
              <w:t>本项目情况</w:t>
            </w:r>
          </w:p>
        </w:tc>
        <w:tc>
          <w:tcPr>
            <w:tcW w:w="755" w:type="dxa"/>
            <w:vAlign w:val="center"/>
          </w:tcPr>
          <w:p>
            <w:pPr>
              <w:autoSpaceDE w:val="0"/>
              <w:autoSpaceDN w:val="0"/>
              <w:spacing w:line="260" w:lineRule="exact"/>
              <w:jc w:val="center"/>
              <w:rPr>
                <w:rFonts w:cs="Times New Roman"/>
                <w:b/>
                <w:bCs/>
                <w:color w:val="FF0000"/>
                <w:sz w:val="21"/>
                <w:szCs w:val="21"/>
              </w:rPr>
            </w:pPr>
            <w:r>
              <w:rPr>
                <w:rFonts w:hint="eastAsia" w:cs="Times New Roman"/>
                <w:b/>
                <w:bCs/>
                <w:color w:val="FF0000"/>
                <w:sz w:val="21"/>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6" w:type="dxa"/>
            <w:vAlign w:val="center"/>
          </w:tcPr>
          <w:p>
            <w:pPr>
              <w:autoSpaceDE w:val="0"/>
              <w:autoSpaceDN w:val="0"/>
              <w:spacing w:line="260" w:lineRule="exact"/>
              <w:jc w:val="center"/>
              <w:rPr>
                <w:rFonts w:cs="Times New Roman"/>
                <w:color w:val="FF0000"/>
                <w:sz w:val="21"/>
                <w:szCs w:val="21"/>
              </w:rPr>
            </w:pPr>
            <w:r>
              <w:rPr>
                <w:rFonts w:cs="Times New Roman"/>
                <w:color w:val="FF0000"/>
                <w:sz w:val="21"/>
                <w:szCs w:val="21"/>
              </w:rPr>
              <w:t>1</w:t>
            </w:r>
          </w:p>
        </w:tc>
        <w:tc>
          <w:tcPr>
            <w:tcW w:w="2839"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禁止建设在生活饮用水水源保护区、风景名胜区、自然保护区的核心区及缓冲区</w:t>
            </w:r>
          </w:p>
        </w:tc>
        <w:tc>
          <w:tcPr>
            <w:tcW w:w="2462"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禁止建设在饮用水水源保护区，风景名胜区；禁止建设在自然保护区的核心区和缓冲区</w:t>
            </w:r>
          </w:p>
        </w:tc>
        <w:tc>
          <w:tcPr>
            <w:tcW w:w="2438"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项目周边无自然保护区、风景名胜区以及饮用水水源保护区分布。</w:t>
            </w:r>
          </w:p>
        </w:tc>
        <w:tc>
          <w:tcPr>
            <w:tcW w:w="755" w:type="dxa"/>
            <w:vAlign w:val="center"/>
          </w:tcPr>
          <w:p>
            <w:pPr>
              <w:autoSpaceDE w:val="0"/>
              <w:autoSpaceDN w:val="0"/>
              <w:spacing w:line="260" w:lineRule="exact"/>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6" w:type="dxa"/>
            <w:vAlign w:val="center"/>
          </w:tcPr>
          <w:p>
            <w:pPr>
              <w:autoSpaceDE w:val="0"/>
              <w:autoSpaceDN w:val="0"/>
              <w:spacing w:line="260" w:lineRule="exact"/>
              <w:jc w:val="center"/>
              <w:rPr>
                <w:rFonts w:cs="Times New Roman"/>
                <w:color w:val="FF0000"/>
                <w:sz w:val="21"/>
                <w:szCs w:val="21"/>
              </w:rPr>
            </w:pPr>
            <w:r>
              <w:rPr>
                <w:rFonts w:cs="Times New Roman"/>
                <w:color w:val="FF0000"/>
                <w:sz w:val="21"/>
                <w:szCs w:val="21"/>
              </w:rPr>
              <w:t>2</w:t>
            </w:r>
          </w:p>
        </w:tc>
        <w:tc>
          <w:tcPr>
            <w:tcW w:w="2839"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禁止建设在城市和城镇居民区，包括文教科研区、医疗区、商业区、工业区、游览区等人口集中地区</w:t>
            </w:r>
          </w:p>
        </w:tc>
        <w:tc>
          <w:tcPr>
            <w:tcW w:w="2462"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禁止建设在城镇居民区、文化教育科学研究区等人口集中区域</w:t>
            </w:r>
          </w:p>
        </w:tc>
        <w:tc>
          <w:tcPr>
            <w:tcW w:w="2438"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本项目位于固原市隆德县</w:t>
            </w:r>
            <w:r>
              <w:rPr>
                <w:rFonts w:hint="default" w:ascii="Times New Roman" w:hAnsi="Times New Roman" w:cs="Times New Roman"/>
                <w:color w:val="FF0000"/>
                <w:sz w:val="21"/>
                <w:szCs w:val="21"/>
                <w:lang w:eastAsia="zh-CN"/>
              </w:rPr>
              <w:t>神林乡神林村</w:t>
            </w:r>
            <w:r>
              <w:rPr>
                <w:rFonts w:hint="default" w:ascii="Times New Roman" w:hAnsi="Times New Roman" w:cs="Times New Roman"/>
                <w:color w:val="FF0000"/>
                <w:sz w:val="21"/>
                <w:szCs w:val="21"/>
              </w:rPr>
              <w:t>，不在城镇居民区、文化教育科学研究区等人口集中区域。</w:t>
            </w:r>
          </w:p>
        </w:tc>
        <w:tc>
          <w:tcPr>
            <w:tcW w:w="755" w:type="dxa"/>
            <w:vAlign w:val="center"/>
          </w:tcPr>
          <w:p>
            <w:pPr>
              <w:autoSpaceDE w:val="0"/>
              <w:autoSpaceDN w:val="0"/>
              <w:spacing w:line="260" w:lineRule="exact"/>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6" w:type="dxa"/>
            <w:vAlign w:val="center"/>
          </w:tcPr>
          <w:p>
            <w:pPr>
              <w:autoSpaceDE w:val="0"/>
              <w:autoSpaceDN w:val="0"/>
              <w:spacing w:line="260" w:lineRule="exact"/>
              <w:jc w:val="center"/>
              <w:rPr>
                <w:rFonts w:cs="Times New Roman"/>
                <w:color w:val="FF0000"/>
                <w:sz w:val="21"/>
                <w:szCs w:val="21"/>
              </w:rPr>
            </w:pPr>
            <w:r>
              <w:rPr>
                <w:rFonts w:cs="Times New Roman"/>
                <w:color w:val="FF0000"/>
                <w:sz w:val="21"/>
                <w:szCs w:val="21"/>
              </w:rPr>
              <w:t>3</w:t>
            </w:r>
          </w:p>
        </w:tc>
        <w:tc>
          <w:tcPr>
            <w:tcW w:w="2839"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禁止建设在县级人民政府依法划定的禁养区域</w:t>
            </w:r>
          </w:p>
        </w:tc>
        <w:tc>
          <w:tcPr>
            <w:tcW w:w="2462"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禁止建设在法律、法规规定的其他禁止养殖区域</w:t>
            </w:r>
          </w:p>
        </w:tc>
        <w:tc>
          <w:tcPr>
            <w:tcW w:w="2438"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项目选址不在禁养区范围内</w:t>
            </w:r>
          </w:p>
        </w:tc>
        <w:tc>
          <w:tcPr>
            <w:tcW w:w="755" w:type="dxa"/>
            <w:vAlign w:val="center"/>
          </w:tcPr>
          <w:p>
            <w:pPr>
              <w:autoSpaceDE w:val="0"/>
              <w:autoSpaceDN w:val="0"/>
              <w:spacing w:line="260" w:lineRule="exact"/>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6" w:type="dxa"/>
            <w:vAlign w:val="center"/>
          </w:tcPr>
          <w:p>
            <w:pPr>
              <w:autoSpaceDE w:val="0"/>
              <w:autoSpaceDN w:val="0"/>
              <w:spacing w:line="260" w:lineRule="exact"/>
              <w:jc w:val="center"/>
              <w:rPr>
                <w:rFonts w:cs="Times New Roman"/>
                <w:color w:val="FF0000"/>
                <w:sz w:val="21"/>
                <w:szCs w:val="21"/>
              </w:rPr>
            </w:pPr>
            <w:r>
              <w:rPr>
                <w:rFonts w:cs="Times New Roman"/>
                <w:color w:val="FF0000"/>
                <w:sz w:val="21"/>
                <w:szCs w:val="21"/>
              </w:rPr>
              <w:t>4</w:t>
            </w:r>
          </w:p>
        </w:tc>
        <w:tc>
          <w:tcPr>
            <w:tcW w:w="2839"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禁止建设在国家或地方法律、法规规定需特殊保护的其它区域</w:t>
            </w:r>
          </w:p>
        </w:tc>
        <w:tc>
          <w:tcPr>
            <w:tcW w:w="2462" w:type="dxa"/>
            <w:vAlign w:val="center"/>
          </w:tcPr>
          <w:p>
            <w:pPr>
              <w:autoSpaceDE w:val="0"/>
              <w:autoSpaceDN w:val="0"/>
              <w:spacing w:line="260" w:lineRule="exact"/>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w:t>
            </w:r>
          </w:p>
        </w:tc>
        <w:tc>
          <w:tcPr>
            <w:tcW w:w="2438"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项目区周边不存在国家或地方法律、法规规定需特殊保护的其它区域</w:t>
            </w:r>
          </w:p>
        </w:tc>
        <w:tc>
          <w:tcPr>
            <w:tcW w:w="755" w:type="dxa"/>
            <w:vAlign w:val="center"/>
          </w:tcPr>
          <w:p>
            <w:pPr>
              <w:autoSpaceDE w:val="0"/>
              <w:autoSpaceDN w:val="0"/>
              <w:spacing w:line="260" w:lineRule="exact"/>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6" w:type="dxa"/>
            <w:vAlign w:val="center"/>
          </w:tcPr>
          <w:p>
            <w:pPr>
              <w:autoSpaceDE w:val="0"/>
              <w:autoSpaceDN w:val="0"/>
              <w:spacing w:line="260" w:lineRule="exact"/>
              <w:jc w:val="center"/>
              <w:rPr>
                <w:rFonts w:cs="Times New Roman"/>
                <w:color w:val="FF0000"/>
                <w:sz w:val="21"/>
                <w:szCs w:val="21"/>
              </w:rPr>
            </w:pPr>
            <w:r>
              <w:rPr>
                <w:rFonts w:cs="Times New Roman"/>
                <w:color w:val="FF0000"/>
                <w:sz w:val="21"/>
                <w:szCs w:val="21"/>
              </w:rPr>
              <w:t>5</w:t>
            </w:r>
          </w:p>
        </w:tc>
        <w:tc>
          <w:tcPr>
            <w:tcW w:w="2839"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新建、改建、扩建的畜禽养殖场选址应避开上述规定的禁建区域，在禁建区域附近建设的，应设在上述规定的禁建区域常年主导风向的下风向或侧风向处，场界与禁建区域边界的最小距离不得小于500m</w:t>
            </w:r>
          </w:p>
        </w:tc>
        <w:tc>
          <w:tcPr>
            <w:tcW w:w="2462" w:type="dxa"/>
            <w:vAlign w:val="center"/>
          </w:tcPr>
          <w:p>
            <w:pPr>
              <w:autoSpaceDE w:val="0"/>
              <w:autoSpaceDN w:val="0"/>
              <w:spacing w:line="260" w:lineRule="exact"/>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w:t>
            </w:r>
          </w:p>
        </w:tc>
        <w:tc>
          <w:tcPr>
            <w:tcW w:w="2438" w:type="dxa"/>
            <w:vAlign w:val="center"/>
          </w:tcPr>
          <w:p>
            <w:pPr>
              <w:autoSpaceDE w:val="0"/>
              <w:autoSpaceDN w:val="0"/>
              <w:spacing w:line="260" w:lineRule="exact"/>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根据调查，本项目选址位于</w:t>
            </w:r>
            <w:r>
              <w:rPr>
                <w:rFonts w:hint="default" w:ascii="Times New Roman" w:hAnsi="Times New Roman" w:cs="Times New Roman"/>
                <w:color w:val="FF0000"/>
                <w:sz w:val="21"/>
                <w:szCs w:val="21"/>
                <w:lang w:eastAsia="zh-CN"/>
              </w:rPr>
              <w:t>神林乡</w:t>
            </w:r>
            <w:r>
              <w:rPr>
                <w:rFonts w:hint="default" w:ascii="Times New Roman" w:hAnsi="Times New Roman" w:cs="Times New Roman"/>
                <w:color w:val="FF0000"/>
                <w:sz w:val="21"/>
                <w:szCs w:val="21"/>
              </w:rPr>
              <w:t>夏季主导风向的下风向，距离最近的环境保护目标</w:t>
            </w:r>
            <w:r>
              <w:rPr>
                <w:rFonts w:hint="eastAsia" w:ascii="Times New Roman" w:hAnsi="Times New Roman" w:cs="Times New Roman"/>
                <w:color w:val="FF0000"/>
                <w:sz w:val="21"/>
                <w:szCs w:val="21"/>
                <w:lang w:eastAsia="zh-CN"/>
              </w:rPr>
              <w:t>神林村</w:t>
            </w:r>
            <w:r>
              <w:rPr>
                <w:rFonts w:hint="default" w:ascii="Times New Roman" w:hAnsi="Times New Roman" w:cs="Times New Roman"/>
                <w:color w:val="FF0000"/>
                <w:sz w:val="21"/>
                <w:szCs w:val="21"/>
              </w:rPr>
              <w:t>位于厂区南侧</w:t>
            </w:r>
            <w:r>
              <w:rPr>
                <w:rFonts w:hint="default" w:ascii="Times New Roman" w:hAnsi="Times New Roman" w:cs="Times New Roman"/>
                <w:color w:val="FF0000"/>
                <w:sz w:val="21"/>
                <w:szCs w:val="21"/>
                <w:lang w:val="en-US" w:eastAsia="zh-CN"/>
              </w:rPr>
              <w:t>582</w:t>
            </w:r>
            <w:r>
              <w:rPr>
                <w:rFonts w:hint="default" w:ascii="Times New Roman" w:hAnsi="Times New Roman" w:cs="Times New Roman"/>
                <w:color w:val="FF0000"/>
                <w:sz w:val="21"/>
                <w:szCs w:val="21"/>
              </w:rPr>
              <w:t>m。</w:t>
            </w:r>
          </w:p>
        </w:tc>
        <w:tc>
          <w:tcPr>
            <w:tcW w:w="755" w:type="dxa"/>
            <w:vAlign w:val="center"/>
          </w:tcPr>
          <w:p>
            <w:pPr>
              <w:autoSpaceDE w:val="0"/>
              <w:autoSpaceDN w:val="0"/>
              <w:spacing w:line="260" w:lineRule="exact"/>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符合</w:t>
            </w:r>
          </w:p>
        </w:tc>
      </w:tr>
    </w:tbl>
    <w:p>
      <w:pPr>
        <w:pStyle w:val="11"/>
        <w:keepNext w:val="0"/>
        <w:keepLines w:val="0"/>
        <w:pageBreakBefore w:val="0"/>
        <w:widowControl w:val="0"/>
        <w:kinsoku/>
        <w:wordWrap/>
        <w:overflowPunct/>
        <w:topLinePunct w:val="0"/>
        <w:autoSpaceDE/>
        <w:autoSpaceDN/>
        <w:bidi w:val="0"/>
        <w:adjustRightInd w:val="0"/>
        <w:snapToGrid w:val="0"/>
        <w:spacing w:after="0" w:line="540" w:lineRule="exact"/>
        <w:ind w:firstLine="480" w:firstLineChars="200"/>
        <w:textAlignment w:val="auto"/>
        <w:rPr>
          <w:rFonts w:ascii="Times New Roman" w:hAnsi="Times New Roman"/>
          <w:sz w:val="24"/>
          <w:szCs w:val="22"/>
          <w:lang w:val="zh-CN"/>
        </w:rPr>
        <w:sectPr>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sz w:val="24"/>
          <w:szCs w:val="22"/>
          <w:lang w:val="zh-CN"/>
        </w:rPr>
        <w:t>根据调查，本项目周边500m范围内无生活饮用水源保护区、风景名胜区、自然保护区的核心区及缓冲区、城市和城镇居民区等。同时，本次环评建议建设单位与隆德县相关政府部门协商，在以后的发展规划中，项目周边500m范围内不得新建居民区、文教科研区、医疗区、商业区、游览区等人口集中区。</w:t>
      </w:r>
      <w:r>
        <w:rPr>
          <w:rFonts w:ascii="Times New Roman" w:hAnsi="Times New Roman"/>
          <w:bCs/>
          <w:color w:val="0000FF"/>
          <w:szCs w:val="21"/>
        </w:rPr>
        <w:br w:type="page"/>
      </w:r>
    </w:p>
    <w:p>
      <w:pPr>
        <w:pStyle w:val="6"/>
        <w:pageBreakBefore w:val="0"/>
        <w:widowControl w:val="0"/>
        <w:kinsoku/>
        <w:wordWrap/>
        <w:overflowPunct/>
        <w:topLinePunct w:val="0"/>
        <w:autoSpaceDE/>
        <w:autoSpaceDN/>
        <w:bidi w:val="0"/>
        <w:snapToGrid w:val="0"/>
        <w:spacing w:before="0" w:after="0" w:line="540" w:lineRule="exact"/>
        <w:contextualSpacing/>
        <w:textAlignment w:val="auto"/>
        <w:rPr>
          <w:rFonts w:ascii="Times New Roman" w:hAnsi="Times New Roman" w:eastAsia="宋体"/>
          <w:bCs w:val="0"/>
          <w:sz w:val="24"/>
        </w:rPr>
      </w:pPr>
      <w:r>
        <w:rPr>
          <w:rFonts w:hint="eastAsia" w:ascii="Times New Roman" w:hAnsi="Times New Roman" w:eastAsia="宋体"/>
          <w:bCs w:val="0"/>
          <w:sz w:val="24"/>
        </w:rPr>
        <w:t>1</w:t>
      </w:r>
      <w:r>
        <w:rPr>
          <w:rFonts w:ascii="Times New Roman" w:hAnsi="Times New Roman" w:eastAsia="宋体"/>
          <w:bCs w:val="0"/>
          <w:sz w:val="24"/>
        </w:rPr>
        <w:t>.7.</w:t>
      </w:r>
      <w:r>
        <w:rPr>
          <w:rFonts w:hint="eastAsia" w:ascii="Times New Roman" w:hAnsi="Times New Roman" w:eastAsia="宋体"/>
          <w:bCs w:val="0"/>
          <w:sz w:val="24"/>
          <w:lang w:val="en-US" w:eastAsia="zh-CN"/>
        </w:rPr>
        <w:t>4.3</w:t>
      </w:r>
      <w:r>
        <w:rPr>
          <w:rFonts w:ascii="Times New Roman" w:hAnsi="Times New Roman" w:eastAsia="宋体"/>
          <w:bCs w:val="0"/>
          <w:sz w:val="24"/>
        </w:rPr>
        <w:t>与</w:t>
      </w:r>
      <w:r>
        <w:rPr>
          <w:rFonts w:ascii="Times New Roman" w:hAnsi="Times New Roman" w:eastAsia="宋体"/>
          <w:bCs w:val="0"/>
          <w:color w:val="FF0000"/>
          <w:sz w:val="24"/>
          <w:lang w:val="zh-CN"/>
        </w:rPr>
        <w:t>《动物防疫条件审查办法》（农业部令</w:t>
      </w:r>
      <w:r>
        <w:rPr>
          <w:rFonts w:ascii="Times New Roman" w:hAnsi="Times New Roman" w:eastAsia="宋体"/>
          <w:bCs w:val="0"/>
          <w:color w:val="FF0000"/>
          <w:sz w:val="24"/>
        </w:rPr>
        <w:t>2010年第7号</w:t>
      </w:r>
      <w:r>
        <w:rPr>
          <w:rFonts w:ascii="Times New Roman" w:hAnsi="Times New Roman" w:eastAsia="宋体"/>
          <w:bCs w:val="0"/>
          <w:color w:val="FF0000"/>
          <w:sz w:val="24"/>
          <w:lang w:val="zh-CN"/>
        </w:rPr>
        <w:t>）的符合性分析</w:t>
      </w:r>
    </w:p>
    <w:p>
      <w:pPr>
        <w:pStyle w:val="11"/>
        <w:pageBreakBefore w:val="0"/>
        <w:widowControl w:val="0"/>
        <w:kinsoku/>
        <w:wordWrap/>
        <w:overflowPunct/>
        <w:topLinePunct w:val="0"/>
        <w:autoSpaceDE/>
        <w:autoSpaceDN/>
        <w:bidi w:val="0"/>
        <w:adjustRightInd w:val="0"/>
        <w:snapToGrid w:val="0"/>
        <w:spacing w:after="0" w:line="540" w:lineRule="exact"/>
        <w:ind w:firstLine="480" w:firstLineChars="200"/>
        <w:textAlignment w:val="auto"/>
        <w:rPr>
          <w:rFonts w:ascii="Times New Roman" w:hAnsi="Times New Roman"/>
          <w:sz w:val="24"/>
          <w:szCs w:val="22"/>
          <w:lang w:val="zh-CN"/>
        </w:rPr>
      </w:pPr>
      <w:r>
        <w:rPr>
          <w:rFonts w:ascii="Times New Roman" w:hAnsi="Times New Roman"/>
          <w:sz w:val="24"/>
          <w:lang w:val="zh-CN"/>
        </w:rPr>
        <w:t>《</w:t>
      </w:r>
      <w:r>
        <w:rPr>
          <w:rFonts w:ascii="Times New Roman" w:hAnsi="Times New Roman"/>
          <w:sz w:val="24"/>
          <w:szCs w:val="22"/>
          <w:lang w:val="zh-CN"/>
        </w:rPr>
        <w:t>动物防疫条件审查办法》中第五节对养殖场选址的要求：</w:t>
      </w:r>
    </w:p>
    <w:p>
      <w:pPr>
        <w:pStyle w:val="11"/>
        <w:pageBreakBefore w:val="0"/>
        <w:widowControl w:val="0"/>
        <w:kinsoku/>
        <w:wordWrap/>
        <w:overflowPunct/>
        <w:topLinePunct w:val="0"/>
        <w:autoSpaceDE/>
        <w:autoSpaceDN/>
        <w:bidi w:val="0"/>
        <w:adjustRightInd w:val="0"/>
        <w:snapToGrid w:val="0"/>
        <w:spacing w:after="0" w:line="540" w:lineRule="exact"/>
        <w:ind w:firstLine="480" w:firstLineChars="200"/>
        <w:textAlignment w:val="auto"/>
        <w:rPr>
          <w:rFonts w:ascii="Times New Roman" w:hAnsi="Times New Roman"/>
          <w:sz w:val="24"/>
          <w:szCs w:val="22"/>
          <w:lang w:val="zh-CN"/>
        </w:rPr>
      </w:pPr>
      <w:r>
        <w:rPr>
          <w:rFonts w:hint="eastAsia" w:ascii="Times New Roman" w:hAnsi="Times New Roman"/>
          <w:sz w:val="24"/>
          <w:szCs w:val="22"/>
          <w:lang w:val="zh-CN"/>
        </w:rPr>
        <w:t>（</w:t>
      </w:r>
      <w:r>
        <w:rPr>
          <w:rFonts w:hint="eastAsia" w:ascii="Times New Roman" w:hAnsi="Times New Roman"/>
          <w:sz w:val="24"/>
          <w:szCs w:val="22"/>
        </w:rPr>
        <w:t>1</w:t>
      </w:r>
      <w:r>
        <w:rPr>
          <w:rFonts w:hint="eastAsia" w:ascii="Times New Roman" w:hAnsi="Times New Roman"/>
          <w:sz w:val="24"/>
          <w:szCs w:val="22"/>
          <w:lang w:val="zh-CN"/>
        </w:rPr>
        <w:t>）</w:t>
      </w:r>
      <w:r>
        <w:rPr>
          <w:rFonts w:ascii="Times New Roman" w:hAnsi="Times New Roman"/>
          <w:sz w:val="24"/>
          <w:szCs w:val="22"/>
          <w:lang w:val="zh-CN"/>
        </w:rPr>
        <w:t>距离生活饮用水源地、动物屠宰加工场所、动物和动物产品集贸市场500米以上；距离种畜禽场1000米以上；距离动物诊疗场所200米以上；动物饲养场（养殖小区）之间距离不少于500米；</w:t>
      </w:r>
    </w:p>
    <w:p>
      <w:pPr>
        <w:pStyle w:val="11"/>
        <w:pageBreakBefore w:val="0"/>
        <w:widowControl w:val="0"/>
        <w:kinsoku/>
        <w:wordWrap/>
        <w:overflowPunct/>
        <w:topLinePunct w:val="0"/>
        <w:autoSpaceDE/>
        <w:autoSpaceDN/>
        <w:bidi w:val="0"/>
        <w:adjustRightInd w:val="0"/>
        <w:snapToGrid w:val="0"/>
        <w:spacing w:after="0" w:line="540" w:lineRule="exact"/>
        <w:ind w:firstLine="480" w:firstLineChars="200"/>
        <w:textAlignment w:val="auto"/>
        <w:rPr>
          <w:rFonts w:ascii="Times New Roman" w:hAnsi="Times New Roman"/>
          <w:sz w:val="24"/>
          <w:szCs w:val="22"/>
          <w:lang w:val="zh-CN"/>
        </w:rPr>
      </w:pPr>
      <w:r>
        <w:rPr>
          <w:rFonts w:hint="eastAsia" w:ascii="Times New Roman" w:hAnsi="Times New Roman"/>
          <w:sz w:val="24"/>
          <w:szCs w:val="22"/>
        </w:rPr>
        <w:t>（2）</w:t>
      </w:r>
      <w:r>
        <w:rPr>
          <w:rFonts w:ascii="Times New Roman" w:hAnsi="Times New Roman"/>
          <w:sz w:val="24"/>
          <w:szCs w:val="22"/>
          <w:lang w:val="zh-CN"/>
        </w:rPr>
        <w:t>距离动物隔离场所、无害化处理场所3000米以上；</w:t>
      </w:r>
    </w:p>
    <w:p>
      <w:pPr>
        <w:pStyle w:val="11"/>
        <w:pageBreakBefore w:val="0"/>
        <w:widowControl w:val="0"/>
        <w:kinsoku/>
        <w:wordWrap/>
        <w:overflowPunct/>
        <w:topLinePunct w:val="0"/>
        <w:autoSpaceDE/>
        <w:autoSpaceDN/>
        <w:bidi w:val="0"/>
        <w:adjustRightInd w:val="0"/>
        <w:snapToGrid w:val="0"/>
        <w:spacing w:after="0" w:line="540" w:lineRule="exact"/>
        <w:ind w:firstLine="480" w:firstLineChars="200"/>
        <w:textAlignment w:val="auto"/>
        <w:rPr>
          <w:rFonts w:ascii="Times New Roman" w:hAnsi="Times New Roman"/>
          <w:color w:val="auto"/>
          <w:sz w:val="24"/>
          <w:szCs w:val="22"/>
          <w:lang w:val="zh-CN"/>
        </w:rPr>
      </w:pPr>
      <w:r>
        <w:rPr>
          <w:rFonts w:hint="eastAsia" w:ascii="Times New Roman" w:hAnsi="Times New Roman"/>
          <w:sz w:val="24"/>
          <w:szCs w:val="22"/>
        </w:rPr>
        <w:t>（3</w:t>
      </w:r>
      <w:r>
        <w:rPr>
          <w:rFonts w:hint="eastAsia" w:ascii="Times New Roman" w:hAnsi="Times New Roman"/>
          <w:color w:val="auto"/>
          <w:sz w:val="24"/>
          <w:szCs w:val="22"/>
        </w:rPr>
        <w:t>）</w:t>
      </w:r>
      <w:r>
        <w:rPr>
          <w:rFonts w:ascii="Times New Roman" w:hAnsi="Times New Roman"/>
          <w:color w:val="auto"/>
          <w:sz w:val="24"/>
          <w:szCs w:val="22"/>
          <w:lang w:val="zh-CN"/>
        </w:rPr>
        <w:t>距离城镇居民区、文化教育科研等人口集中区域及公路、铁路等主要交通干线500米以上。</w:t>
      </w:r>
    </w:p>
    <w:p>
      <w:pPr>
        <w:pStyle w:val="11"/>
        <w:pageBreakBefore w:val="0"/>
        <w:widowControl w:val="0"/>
        <w:kinsoku/>
        <w:wordWrap/>
        <w:overflowPunct/>
        <w:topLinePunct w:val="0"/>
        <w:autoSpaceDE/>
        <w:autoSpaceDN/>
        <w:bidi w:val="0"/>
        <w:adjustRightInd w:val="0"/>
        <w:snapToGrid w:val="0"/>
        <w:spacing w:after="0" w:line="540" w:lineRule="exact"/>
        <w:ind w:firstLine="480" w:firstLineChars="200"/>
        <w:textAlignment w:val="auto"/>
        <w:rPr>
          <w:rFonts w:ascii="Times New Roman" w:hAnsi="Times New Roman"/>
          <w:sz w:val="24"/>
          <w:szCs w:val="22"/>
          <w:lang w:val="zh-CN"/>
        </w:rPr>
      </w:pPr>
      <w:r>
        <w:rPr>
          <w:rFonts w:ascii="Times New Roman" w:hAnsi="Times New Roman"/>
          <w:color w:val="auto"/>
          <w:sz w:val="24"/>
          <w:szCs w:val="22"/>
          <w:lang w:val="zh-CN"/>
        </w:rPr>
        <w:t>本项目建设地</w:t>
      </w:r>
      <w:r>
        <w:rPr>
          <w:rFonts w:ascii="Times New Roman" w:hAnsi="Times New Roman"/>
          <w:sz w:val="24"/>
          <w:szCs w:val="22"/>
          <w:lang w:val="zh-CN"/>
        </w:rPr>
        <w:t>点位于</w:t>
      </w:r>
      <w:r>
        <w:rPr>
          <w:rFonts w:hint="eastAsia" w:ascii="Times New Roman" w:hAnsi="Times New Roman"/>
          <w:bCs/>
          <w:szCs w:val="21"/>
          <w:lang w:val="sq-AL"/>
        </w:rPr>
        <w:t>固原市隆德县神林乡神林村</w:t>
      </w:r>
      <w:r>
        <w:rPr>
          <w:rFonts w:ascii="Times New Roman" w:hAnsi="Times New Roman"/>
          <w:sz w:val="24"/>
          <w:szCs w:val="22"/>
          <w:lang w:val="zh-CN"/>
        </w:rPr>
        <w:t>，项目周边3km范围内没有生活饮用水源地、动物屠宰加工场所、动物和动物产品集贸市场、动物隔离场所、无害化处理场所；项目选址符合动物防疫条件审查办法中相关要求。</w:t>
      </w:r>
    </w:p>
    <w:p>
      <w:pPr>
        <w:pStyle w:val="11"/>
        <w:pageBreakBefore w:val="0"/>
        <w:widowControl w:val="0"/>
        <w:kinsoku/>
        <w:wordWrap/>
        <w:overflowPunct/>
        <w:topLinePunct w:val="0"/>
        <w:autoSpaceDE/>
        <w:autoSpaceDN/>
        <w:bidi w:val="0"/>
        <w:adjustRightInd w:val="0"/>
        <w:snapToGrid w:val="0"/>
        <w:spacing w:after="0" w:line="540" w:lineRule="exact"/>
        <w:ind w:firstLine="480" w:firstLineChars="200"/>
        <w:textAlignment w:val="auto"/>
        <w:rPr>
          <w:rFonts w:ascii="Times New Roman" w:hAnsi="Times New Roman"/>
          <w:sz w:val="24"/>
          <w:szCs w:val="22"/>
          <w:lang w:val="zh-CN"/>
        </w:rPr>
      </w:pPr>
      <w:r>
        <w:rPr>
          <w:rFonts w:ascii="Times New Roman" w:hAnsi="Times New Roman"/>
          <w:sz w:val="24"/>
          <w:szCs w:val="22"/>
          <w:lang w:val="zh-CN"/>
        </w:rPr>
        <w:t>综上所述，本项目的选址符合《畜禽养殖业污染防治技术规范》（HJ/T81-2001）、《动物防疫条件审查办法》中的相关要求。因此项目选址合理。</w:t>
      </w:r>
    </w:p>
    <w:p>
      <w:pPr>
        <w:pStyle w:val="11"/>
        <w:adjustRightInd w:val="0"/>
        <w:snapToGrid w:val="0"/>
        <w:spacing w:after="0" w:line="360" w:lineRule="auto"/>
        <w:ind w:firstLine="480" w:firstLineChars="200"/>
        <w:rPr>
          <w:rFonts w:ascii="Times New Roman" w:hAnsi="Times New Roman"/>
          <w:sz w:val="24"/>
          <w:szCs w:val="22"/>
        </w:rPr>
        <w:sectPr>
          <w:headerReference r:id="rId5" w:type="default"/>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p>
    <w:p>
      <w:pPr>
        <w:pStyle w:val="45"/>
        <w:snapToGrid w:val="0"/>
        <w:spacing w:before="240" w:beforeLines="100" w:after="120" w:afterLines="50" w:line="540" w:lineRule="exact"/>
        <w:contextualSpacing/>
        <w:rPr>
          <w:bCs w:val="0"/>
          <w:snapToGrid w:val="0"/>
          <w:kern w:val="0"/>
          <w:sz w:val="32"/>
          <w:szCs w:val="32"/>
        </w:rPr>
      </w:pPr>
      <w:bookmarkStart w:id="383" w:name="_Toc231187035"/>
      <w:bookmarkStart w:id="384" w:name="_Toc23815"/>
      <w:bookmarkStart w:id="385" w:name="_Toc29051"/>
      <w:bookmarkStart w:id="386" w:name="_Toc24051"/>
      <w:bookmarkStart w:id="387" w:name="_Toc3058"/>
      <w:r>
        <w:rPr>
          <w:bCs w:val="0"/>
          <w:snapToGrid w:val="0"/>
          <w:kern w:val="0"/>
          <w:sz w:val="32"/>
          <w:szCs w:val="32"/>
        </w:rPr>
        <w:t>2</w:t>
      </w:r>
      <w:bookmarkEnd w:id="383"/>
      <w:r>
        <w:rPr>
          <w:bCs w:val="0"/>
          <w:snapToGrid w:val="0"/>
          <w:kern w:val="0"/>
          <w:sz w:val="32"/>
          <w:szCs w:val="32"/>
        </w:rPr>
        <w:t>建设项目概况及工程分析</w:t>
      </w:r>
      <w:bookmarkEnd w:id="384"/>
      <w:bookmarkEnd w:id="385"/>
      <w:bookmarkEnd w:id="386"/>
      <w:bookmarkEnd w:id="387"/>
    </w:p>
    <w:p>
      <w:pPr>
        <w:pStyle w:val="51"/>
        <w:snapToGrid w:val="0"/>
        <w:spacing w:before="120" w:beforeLines="50" w:after="120" w:afterLines="50" w:line="540" w:lineRule="exact"/>
        <w:contextualSpacing/>
        <w:rPr>
          <w:rFonts w:cs="Times New Roman"/>
          <w:bCs w:val="0"/>
          <w:snapToGrid w:val="0"/>
          <w:kern w:val="0"/>
          <w:sz w:val="30"/>
          <w:szCs w:val="30"/>
        </w:rPr>
      </w:pPr>
      <w:bookmarkStart w:id="388" w:name="_Toc6342"/>
      <w:bookmarkStart w:id="389" w:name="_Toc30342"/>
      <w:bookmarkStart w:id="390" w:name="_Toc21850"/>
      <w:r>
        <w:rPr>
          <w:rFonts w:cs="Times New Roman"/>
          <w:bCs w:val="0"/>
          <w:snapToGrid w:val="0"/>
          <w:kern w:val="0"/>
          <w:sz w:val="30"/>
          <w:szCs w:val="30"/>
        </w:rPr>
        <w:t>2.1项目概况</w:t>
      </w:r>
      <w:bookmarkEnd w:id="388"/>
      <w:bookmarkEnd w:id="389"/>
      <w:bookmarkEnd w:id="390"/>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391" w:name="_Toc7709"/>
      <w:bookmarkStart w:id="392" w:name="_Toc27834"/>
      <w:r>
        <w:rPr>
          <w:rFonts w:cs="Times New Roman"/>
          <w:bCs w:val="0"/>
          <w:snapToGrid w:val="0"/>
          <w:kern w:val="0"/>
          <w:sz w:val="28"/>
          <w:szCs w:val="28"/>
        </w:rPr>
        <w:t>2.1.1项目</w:t>
      </w:r>
      <w:bookmarkEnd w:id="391"/>
      <w:r>
        <w:rPr>
          <w:rFonts w:cs="Times New Roman"/>
          <w:bCs w:val="0"/>
          <w:snapToGrid w:val="0"/>
          <w:kern w:val="0"/>
          <w:sz w:val="28"/>
          <w:szCs w:val="28"/>
        </w:rPr>
        <w:t>基本情况</w:t>
      </w:r>
      <w:bookmarkEnd w:id="392"/>
    </w:p>
    <w:p>
      <w:pPr>
        <w:widowControl/>
        <w:ind w:firstLine="480" w:firstLineChars="200"/>
        <w:rPr>
          <w:rFonts w:ascii="Times New Roman" w:hAnsi="Times New Roman"/>
          <w:kern w:val="0"/>
          <w:sz w:val="24"/>
          <w:szCs w:val="20"/>
        </w:rPr>
      </w:pPr>
      <w:r>
        <w:rPr>
          <w:rFonts w:ascii="Times New Roman" w:hAnsi="Times New Roman"/>
          <w:bCs/>
          <w:sz w:val="24"/>
        </w:rPr>
        <w:t>项目名称</w:t>
      </w:r>
      <w:r>
        <w:rPr>
          <w:rFonts w:hint="eastAsia" w:ascii="Times New Roman" w:hAnsi="Times New Roman"/>
          <w:kern w:val="0"/>
          <w:sz w:val="24"/>
          <w:szCs w:val="20"/>
        </w:rPr>
        <w:t>：</w:t>
      </w:r>
      <w:r>
        <w:rPr>
          <w:rFonts w:hint="eastAsia" w:ascii="Times New Roman" w:hAnsi="Times New Roman"/>
          <w:kern w:val="0"/>
          <w:sz w:val="24"/>
          <w:szCs w:val="20"/>
          <w:lang w:eastAsia="zh-CN"/>
        </w:rPr>
        <w:t>宁</w:t>
      </w:r>
      <w:r>
        <w:rPr>
          <w:rFonts w:hint="eastAsia" w:ascii="Times New Roman" w:hAnsi="Times New Roman"/>
          <w:kern w:val="0"/>
          <w:sz w:val="24"/>
          <w:szCs w:val="20"/>
        </w:rPr>
        <w:t>夏腾发农业科技有限公司千头基础母牛养殖场</w:t>
      </w:r>
    </w:p>
    <w:p>
      <w:pPr>
        <w:spacing w:line="540" w:lineRule="exact"/>
        <w:ind w:firstLine="480" w:firstLineChars="200"/>
        <w:rPr>
          <w:rFonts w:ascii="Times New Roman" w:hAnsi="Times New Roman"/>
          <w:bCs/>
          <w:kern w:val="0"/>
          <w:sz w:val="24"/>
        </w:rPr>
      </w:pPr>
      <w:r>
        <w:rPr>
          <w:rFonts w:ascii="Times New Roman" w:hAnsi="Times New Roman"/>
          <w:bCs/>
          <w:sz w:val="24"/>
          <w:lang w:val="zh-CN"/>
        </w:rPr>
        <w:t>建设单位：</w:t>
      </w:r>
      <w:r>
        <w:rPr>
          <w:rFonts w:hint="eastAsia" w:ascii="Times New Roman" w:hAnsi="Times New Roman"/>
          <w:bCs/>
          <w:kern w:val="0"/>
          <w:sz w:val="24"/>
        </w:rPr>
        <w:t>宁夏腾发农业科技有限公司</w:t>
      </w:r>
    </w:p>
    <w:p>
      <w:pPr>
        <w:spacing w:line="540" w:lineRule="exact"/>
        <w:ind w:firstLine="480" w:firstLineChars="200"/>
        <w:rPr>
          <w:rFonts w:ascii="Times New Roman" w:hAnsi="Times New Roman"/>
          <w:sz w:val="24"/>
          <w:lang w:val="zh-CN"/>
        </w:rPr>
      </w:pPr>
      <w:r>
        <w:rPr>
          <w:rFonts w:ascii="Times New Roman" w:hAnsi="Times New Roman"/>
          <w:bCs/>
          <w:sz w:val="24"/>
          <w:lang w:val="zh-CN"/>
        </w:rPr>
        <w:t>建设性质：</w:t>
      </w:r>
      <w:r>
        <w:rPr>
          <w:rFonts w:ascii="Times New Roman" w:hAnsi="Times New Roman"/>
          <w:sz w:val="24"/>
          <w:lang w:val="zh-CN"/>
        </w:rPr>
        <w:t>新建</w:t>
      </w:r>
    </w:p>
    <w:p>
      <w:pPr>
        <w:spacing w:line="540" w:lineRule="exact"/>
        <w:ind w:firstLine="480" w:firstLineChars="200"/>
        <w:rPr>
          <w:rFonts w:ascii="Times New Roman" w:hAnsi="Times New Roman"/>
          <w:sz w:val="24"/>
        </w:rPr>
      </w:pPr>
      <w:r>
        <w:rPr>
          <w:rFonts w:ascii="Times New Roman" w:hAnsi="Times New Roman"/>
          <w:bCs/>
          <w:sz w:val="24"/>
        </w:rPr>
        <w:t>占地面积：</w:t>
      </w:r>
      <w:r>
        <w:rPr>
          <w:rFonts w:ascii="Times New Roman" w:hAnsi="Times New Roman"/>
          <w:sz w:val="24"/>
          <w:lang w:val="zh-CN"/>
        </w:rPr>
        <w:t>项目总用地面积为</w:t>
      </w:r>
      <w:r>
        <w:rPr>
          <w:rFonts w:hint="eastAsia" w:ascii="Times New Roman" w:hAnsi="Times New Roman"/>
          <w:sz w:val="24"/>
        </w:rPr>
        <w:t>31432.4m</w:t>
      </w:r>
      <w:r>
        <w:rPr>
          <w:rFonts w:hint="eastAsia" w:ascii="Times New Roman" w:hAnsi="Times New Roman"/>
          <w:sz w:val="24"/>
          <w:vertAlign w:val="superscript"/>
        </w:rPr>
        <w:t>3</w:t>
      </w:r>
      <w:r>
        <w:rPr>
          <w:rFonts w:ascii="Times New Roman" w:hAnsi="Times New Roman"/>
          <w:sz w:val="24"/>
          <w:lang w:val="zh-CN"/>
        </w:rPr>
        <w:t>。</w:t>
      </w:r>
    </w:p>
    <w:p>
      <w:pPr>
        <w:spacing w:line="540" w:lineRule="exact"/>
        <w:ind w:firstLine="480" w:firstLineChars="200"/>
        <w:rPr>
          <w:rFonts w:ascii="Times New Roman" w:hAnsi="Times New Roman"/>
          <w:sz w:val="24"/>
        </w:rPr>
      </w:pPr>
      <w:r>
        <w:rPr>
          <w:rFonts w:ascii="Times New Roman" w:hAnsi="Times New Roman"/>
          <w:bCs/>
          <w:sz w:val="24"/>
        </w:rPr>
        <w:t>项目投资：</w:t>
      </w:r>
      <w:r>
        <w:rPr>
          <w:rFonts w:hint="eastAsia" w:ascii="Times New Roman" w:hAnsi="Times New Roman"/>
          <w:sz w:val="24"/>
        </w:rPr>
        <w:t>5100万元</w:t>
      </w:r>
    </w:p>
    <w:p>
      <w:pPr>
        <w:spacing w:line="540" w:lineRule="exact"/>
        <w:ind w:firstLine="480" w:firstLineChars="200"/>
        <w:rPr>
          <w:rFonts w:ascii="Times New Roman" w:hAnsi="Times New Roman"/>
          <w:sz w:val="24"/>
        </w:rPr>
      </w:pPr>
      <w:r>
        <w:rPr>
          <w:rFonts w:ascii="Times New Roman" w:hAnsi="Times New Roman"/>
          <w:bCs/>
          <w:sz w:val="24"/>
        </w:rPr>
        <w:t>行业类别：</w:t>
      </w:r>
      <w:r>
        <w:rPr>
          <w:rFonts w:ascii="Times New Roman" w:hAnsi="Times New Roman"/>
          <w:sz w:val="24"/>
        </w:rPr>
        <w:t>A0311牛的饲养</w:t>
      </w:r>
    </w:p>
    <w:p>
      <w:pPr>
        <w:pStyle w:val="11"/>
        <w:adjustRightInd w:val="0"/>
        <w:snapToGrid w:val="0"/>
        <w:spacing w:before="120" w:beforeLines="50" w:after="0" w:line="540" w:lineRule="exact"/>
        <w:ind w:firstLine="480" w:firstLineChars="200"/>
        <w:rPr>
          <w:rFonts w:ascii="Times New Roman" w:hAnsi="Times New Roman"/>
          <w:sz w:val="24"/>
        </w:rPr>
      </w:pPr>
      <w:r>
        <w:rPr>
          <w:rFonts w:ascii="Times New Roman" w:hAnsi="Times New Roman"/>
          <w:bCs/>
          <w:sz w:val="24"/>
          <w:lang w:val="zh-CN"/>
        </w:rPr>
        <w:t>建设地点</w:t>
      </w:r>
      <w:r>
        <w:rPr>
          <w:rFonts w:ascii="Times New Roman" w:hAnsi="Times New Roman"/>
          <w:sz w:val="24"/>
          <w:lang w:val="zh-CN"/>
        </w:rPr>
        <w:t>：</w:t>
      </w:r>
      <w:r>
        <w:rPr>
          <w:rFonts w:ascii="Times New Roman" w:hAnsi="Times New Roman"/>
          <w:sz w:val="24"/>
          <w:szCs w:val="24"/>
        </w:rPr>
        <w:t>项目位于</w:t>
      </w:r>
      <w:r>
        <w:rPr>
          <w:rFonts w:hint="eastAsia" w:ascii="Times New Roman" w:hAnsi="Times New Roman"/>
          <w:bCs/>
          <w:sz w:val="24"/>
          <w:szCs w:val="24"/>
          <w:lang w:val="sq-AL"/>
        </w:rPr>
        <w:t>固原市隆德县神林乡神林村</w:t>
      </w:r>
      <w:r>
        <w:rPr>
          <w:rFonts w:ascii="Times New Roman" w:hAnsi="Times New Roman"/>
          <w:sz w:val="24"/>
          <w:szCs w:val="24"/>
        </w:rPr>
        <w:t>。项目厂区中心地理坐标为：</w:t>
      </w:r>
      <w:r>
        <w:rPr>
          <w:rFonts w:hint="eastAsia" w:ascii="Times New Roman" w:hAnsi="Times New Roman"/>
          <w:sz w:val="24"/>
          <w:szCs w:val="24"/>
        </w:rPr>
        <w:t>东经105</w:t>
      </w:r>
      <w:r>
        <w:rPr>
          <w:rFonts w:ascii="Times New Roman" w:hAnsi="Times New Roman"/>
          <w:sz w:val="24"/>
          <w:szCs w:val="24"/>
        </w:rPr>
        <w:t>°</w:t>
      </w:r>
      <w:r>
        <w:rPr>
          <w:rFonts w:hint="eastAsia" w:ascii="Times New Roman" w:hAnsi="Times New Roman"/>
          <w:sz w:val="24"/>
          <w:szCs w:val="24"/>
        </w:rPr>
        <w:t>55</w:t>
      </w:r>
      <w:r>
        <w:rPr>
          <w:rFonts w:ascii="Times New Roman" w:hAnsi="Times New Roman"/>
          <w:sz w:val="24"/>
          <w:szCs w:val="24"/>
        </w:rPr>
        <w:t>'</w:t>
      </w:r>
      <w:r>
        <w:rPr>
          <w:rFonts w:hint="eastAsia" w:ascii="Times New Roman" w:hAnsi="Times New Roman"/>
          <w:sz w:val="24"/>
          <w:szCs w:val="24"/>
        </w:rPr>
        <w:t>15.13</w:t>
      </w:r>
      <w:r>
        <w:rPr>
          <w:rFonts w:ascii="Times New Roman" w:hAnsi="Times New Roman"/>
          <w:sz w:val="24"/>
          <w:szCs w:val="24"/>
        </w:rPr>
        <w:t>"、</w:t>
      </w:r>
      <w:r>
        <w:rPr>
          <w:rFonts w:hint="eastAsia" w:ascii="Times New Roman" w:hAnsi="Times New Roman"/>
          <w:sz w:val="24"/>
          <w:szCs w:val="24"/>
        </w:rPr>
        <w:t>北纬35</w:t>
      </w:r>
      <w:r>
        <w:rPr>
          <w:rFonts w:ascii="Times New Roman" w:hAnsi="Times New Roman"/>
          <w:sz w:val="24"/>
          <w:szCs w:val="24"/>
        </w:rPr>
        <w:t>°</w:t>
      </w:r>
      <w:r>
        <w:rPr>
          <w:rFonts w:hint="eastAsia" w:ascii="Times New Roman" w:hAnsi="Times New Roman"/>
          <w:sz w:val="24"/>
          <w:szCs w:val="24"/>
        </w:rPr>
        <w:t>34</w:t>
      </w:r>
      <w:r>
        <w:rPr>
          <w:rFonts w:ascii="Times New Roman" w:hAnsi="Times New Roman"/>
          <w:sz w:val="24"/>
          <w:szCs w:val="24"/>
        </w:rPr>
        <w:t>'</w:t>
      </w:r>
      <w:r>
        <w:rPr>
          <w:rFonts w:hint="eastAsia" w:ascii="Times New Roman" w:hAnsi="Times New Roman"/>
          <w:sz w:val="24"/>
          <w:szCs w:val="24"/>
        </w:rPr>
        <w:t>21.69</w:t>
      </w:r>
      <w:r>
        <w:rPr>
          <w:rFonts w:ascii="Times New Roman" w:hAnsi="Times New Roman"/>
          <w:sz w:val="24"/>
          <w:szCs w:val="24"/>
        </w:rPr>
        <w:t>"，</w:t>
      </w:r>
      <w:bookmarkStart w:id="393" w:name="OLE_LINK15"/>
      <w:r>
        <w:rPr>
          <w:rFonts w:ascii="Times New Roman" w:hAnsi="Times New Roman"/>
          <w:sz w:val="24"/>
          <w:szCs w:val="24"/>
        </w:rPr>
        <w:t>项目与</w:t>
      </w:r>
      <w:r>
        <w:rPr>
          <w:rFonts w:hint="eastAsia" w:ascii="Times New Roman" w:hAnsi="Times New Roman"/>
          <w:sz w:val="24"/>
          <w:szCs w:val="24"/>
        </w:rPr>
        <w:t>宁夏回族自治区</w:t>
      </w:r>
      <w:r>
        <w:rPr>
          <w:rFonts w:ascii="Times New Roman" w:hAnsi="Times New Roman"/>
          <w:sz w:val="24"/>
          <w:szCs w:val="24"/>
        </w:rPr>
        <w:t>行政区划位置关系见图2.1-1</w:t>
      </w:r>
      <w:bookmarkEnd w:id="393"/>
      <w:r>
        <w:rPr>
          <w:rFonts w:ascii="Times New Roman" w:hAnsi="Times New Roman"/>
          <w:sz w:val="24"/>
          <w:szCs w:val="24"/>
        </w:rPr>
        <w:t>，项目与</w:t>
      </w:r>
      <w:r>
        <w:rPr>
          <w:rFonts w:hint="eastAsia" w:ascii="Times New Roman" w:hAnsi="Times New Roman"/>
          <w:sz w:val="24"/>
          <w:szCs w:val="24"/>
        </w:rPr>
        <w:t>固原市</w:t>
      </w:r>
      <w:r>
        <w:rPr>
          <w:rFonts w:ascii="Times New Roman" w:hAnsi="Times New Roman"/>
          <w:sz w:val="24"/>
          <w:szCs w:val="24"/>
        </w:rPr>
        <w:t>行政区划位置关系见图2.1-</w:t>
      </w:r>
      <w:r>
        <w:rPr>
          <w:rFonts w:hint="eastAsia" w:ascii="Times New Roman" w:hAnsi="Times New Roman"/>
          <w:sz w:val="24"/>
          <w:szCs w:val="24"/>
        </w:rPr>
        <w:t>2，</w:t>
      </w:r>
      <w:r>
        <w:rPr>
          <w:rFonts w:ascii="Times New Roman" w:hAnsi="Times New Roman"/>
          <w:sz w:val="24"/>
          <w:szCs w:val="24"/>
        </w:rPr>
        <w:t>项目与</w:t>
      </w:r>
      <w:r>
        <w:rPr>
          <w:rFonts w:hint="eastAsia" w:ascii="Times New Roman" w:hAnsi="Times New Roman"/>
          <w:sz w:val="24"/>
          <w:szCs w:val="24"/>
        </w:rPr>
        <w:t>隆德县</w:t>
      </w:r>
      <w:r>
        <w:rPr>
          <w:rFonts w:ascii="Times New Roman" w:hAnsi="Times New Roman"/>
          <w:sz w:val="24"/>
          <w:szCs w:val="24"/>
        </w:rPr>
        <w:t>区划位置关系见图2.1-</w:t>
      </w:r>
      <w:r>
        <w:rPr>
          <w:rFonts w:hint="eastAsia" w:ascii="Times New Roman" w:hAnsi="Times New Roman"/>
          <w:sz w:val="24"/>
          <w:szCs w:val="24"/>
          <w:lang w:val="en-US" w:eastAsia="zh-CN"/>
        </w:rPr>
        <w:t>3</w:t>
      </w:r>
      <w:r>
        <w:rPr>
          <w:rFonts w:hint="eastAsia" w:ascii="Times New Roman" w:hAnsi="Times New Roman"/>
          <w:sz w:val="24"/>
          <w:szCs w:val="24"/>
        </w:rPr>
        <w:t>。</w:t>
      </w:r>
    </w:p>
    <w:p>
      <w:pPr>
        <w:pStyle w:val="11"/>
        <w:adjustRightInd w:val="0"/>
        <w:snapToGrid w:val="0"/>
        <w:spacing w:before="120" w:beforeLines="50" w:after="0" w:line="540" w:lineRule="exact"/>
        <w:rPr>
          <w:rFonts w:ascii="Times New Roman" w:hAnsi="Times New Roman"/>
          <w:sz w:val="24"/>
        </w:rPr>
      </w:pPr>
    </w:p>
    <w:p>
      <w:pPr>
        <w:pStyle w:val="11"/>
        <w:keepNext w:val="0"/>
        <w:keepLines w:val="0"/>
        <w:pageBreakBefore w:val="0"/>
        <w:widowControl w:val="0"/>
        <w:kinsoku/>
        <w:wordWrap/>
        <w:overflowPunct/>
        <w:topLinePunct w:val="0"/>
        <w:autoSpaceDE/>
        <w:autoSpaceDN/>
        <w:bidi w:val="0"/>
        <w:adjustRightInd w:val="0"/>
        <w:snapToGrid w:val="0"/>
        <w:spacing w:before="120" w:beforeLines="50" w:after="0" w:line="240" w:lineRule="auto"/>
        <w:ind w:firstLine="0" w:firstLineChars="0"/>
        <w:textAlignment w:val="auto"/>
        <w:rPr>
          <w:rFonts w:hint="eastAsia" w:ascii="Times New Roman" w:hAnsi="Times New Roman" w:eastAsia="宋体"/>
          <w:sz w:val="24"/>
          <w:lang w:eastAsia="zh-CN"/>
        </w:rPr>
      </w:pPr>
      <w:r>
        <w:rPr>
          <w:sz w:val="24"/>
        </w:rPr>
        <mc:AlternateContent>
          <mc:Choice Requires="wps">
            <w:drawing>
              <wp:anchor distT="0" distB="0" distL="114300" distR="114300" simplePos="0" relativeHeight="251674624" behindDoc="0" locked="0" layoutInCell="1" allowOverlap="1">
                <wp:simplePos x="0" y="0"/>
                <wp:positionH relativeFrom="column">
                  <wp:posOffset>1353820</wp:posOffset>
                </wp:positionH>
                <wp:positionV relativeFrom="paragraph">
                  <wp:posOffset>5476240</wp:posOffset>
                </wp:positionV>
                <wp:extent cx="1343025" cy="381635"/>
                <wp:effectExtent l="0" t="0" r="0" b="0"/>
                <wp:wrapNone/>
                <wp:docPr id="100" name="文本框 100"/>
                <wp:cNvGraphicFramePr/>
                <a:graphic xmlns:a="http://schemas.openxmlformats.org/drawingml/2006/main">
                  <a:graphicData uri="http://schemas.microsoft.com/office/word/2010/wordprocessingShape">
                    <wps:wsp>
                      <wps:cNvSpPr txBox="1"/>
                      <wps:spPr>
                        <a:xfrm>
                          <a:off x="2196465" y="6363970"/>
                          <a:ext cx="1343025" cy="3816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36"/>
                                <w:szCs w:val="36"/>
                                <w:lang w:eastAsia="zh-CN"/>
                              </w:rPr>
                            </w:pPr>
                            <w:r>
                              <w:rPr>
                                <w:rFonts w:hint="eastAsia"/>
                                <w:color w:val="FF0000"/>
                                <w:sz w:val="36"/>
                                <w:szCs w:val="36"/>
                                <w:lang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6.6pt;margin-top:431.2pt;height:30.05pt;width:105.75pt;z-index:251674624;mso-width-relative:page;mso-height-relative:page;" filled="f" stroked="f" coordsize="21600,21600" o:gfxdata="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Imz+xPcAAAACwEAAA8AAAAAAAAAAQAgAAAAOAAAAGRycy9kb3ducmV2LnhtbFBLAQIUABQA&#10;AAAIAIdO4kAm+IPUSAIAAHYEAAAOAAAAAAAAAAEAIAAAAEEBAABkcnMvZTJvRG9jLnhtbFBLBQYA&#10;AAAABgAGAFkBAAD7BQAAAAA=&#10;">
                <v:fill on="f" focussize="0,0"/>
                <v:stroke on="f" weight="0.5pt"/>
                <v:imagedata o:title=""/>
                <o:lock v:ext="edit" aspectratio="f"/>
                <v:textbox>
                  <w:txbxContent>
                    <w:p>
                      <w:pPr>
                        <w:rPr>
                          <w:rFonts w:hint="eastAsia" w:eastAsia="宋体"/>
                          <w:color w:val="FF0000"/>
                          <w:sz w:val="36"/>
                          <w:szCs w:val="36"/>
                          <w:lang w:eastAsia="zh-CN"/>
                        </w:rPr>
                      </w:pPr>
                      <w:r>
                        <w:rPr>
                          <w:rFonts w:hint="eastAsia"/>
                          <w:color w:val="FF0000"/>
                          <w:sz w:val="36"/>
                          <w:szCs w:val="36"/>
                          <w:lang w:eastAsia="zh-CN"/>
                        </w:rPr>
                        <w:t>本项目位置</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1439545</wp:posOffset>
                </wp:positionH>
                <wp:positionV relativeFrom="paragraph">
                  <wp:posOffset>5914390</wp:posOffset>
                </wp:positionV>
                <wp:extent cx="1123950" cy="0"/>
                <wp:effectExtent l="0" t="0" r="0" b="0"/>
                <wp:wrapNone/>
                <wp:docPr id="99" name="直接连接符 99"/>
                <wp:cNvGraphicFramePr/>
                <a:graphic xmlns:a="http://schemas.openxmlformats.org/drawingml/2006/main">
                  <a:graphicData uri="http://schemas.microsoft.com/office/word/2010/wordprocessingShape">
                    <wps:wsp>
                      <wps:cNvCnPr/>
                      <wps:spPr>
                        <a:xfrm>
                          <a:off x="2320290" y="7030720"/>
                          <a:ext cx="11239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13.35pt;margin-top:465.7pt;height:0pt;width:88.5pt;z-index:251673600;mso-width-relative:page;mso-height-relative:page;" filled="f" stroked="t" coordsize="21600,21600" o:gfxdata="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BYAAABkcnMvUEsBAhQAFAAAAAgAh07iQBE9u+rbAAAACwEAAA8AAAAAAAAAAQAg&#10;AAAAOAAAAGRycy9kb3ducmV2LnhtbFBLAQIUABQAAAAIAIdO4kBW/IuDLgIAAFUEAAAOAAAAAAAA&#10;AAEAIAAAAEABAABkcnMvZTJvRG9jLnhtbFBLBQYAAAAABgAGAFkBAADgBQ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2544445</wp:posOffset>
                </wp:positionH>
                <wp:positionV relativeFrom="paragraph">
                  <wp:posOffset>5904865</wp:posOffset>
                </wp:positionV>
                <wp:extent cx="400050" cy="1123950"/>
                <wp:effectExtent l="45720" t="17780" r="68580" b="58420"/>
                <wp:wrapNone/>
                <wp:docPr id="98" name="直接箭头连接符 98"/>
                <wp:cNvGraphicFramePr/>
                <a:graphic xmlns:a="http://schemas.openxmlformats.org/drawingml/2006/main">
                  <a:graphicData uri="http://schemas.microsoft.com/office/word/2010/wordprocessingShape">
                    <wps:wsp>
                      <wps:cNvCnPr>
                        <a:endCxn id="97" idx="0"/>
                      </wps:cNvCnPr>
                      <wps:spPr>
                        <a:xfrm>
                          <a:off x="3463290" y="7564120"/>
                          <a:ext cx="400050" cy="1123950"/>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margin-left:200.35pt;margin-top:464.95pt;height:88.5pt;width:31.5pt;z-index:251672576;mso-width-relative:page;mso-height-relative:page;" filled="f" stroked="t" coordsize="21600,21600" o:gfxdata="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BYAAABkcnMvUEsBAhQAFAAAAAgAh07iQNkRVu7YAAAADAEAAA8AAAAAAAAA&#10;AQAgAAAAOAAAAGRycy9kb3ducmV2LnhtbFBLAQIUABQAAAAIAIdO4kBMLSs1bQIAAMEEAAAOAAAA&#10;AAAAAAEAIAAAAD0BAABkcnMvZTJvRG9jLnhtbFBLBQYAAAAABgAGAFkBAAAcBgAAAAA=&#10;">
                <v:fill on="f" focussize="0,0"/>
                <v:stroke weight="2pt" color="#000000 [3200]" joinstyle="round" endarrow="open"/>
                <v:imagedata o:title=""/>
                <o:lock v:ext="edit" aspectratio="f"/>
                <v:shadow on="t" color="#000000" opacity="24903f" offset="0pt,1.5748031496063pt" origin="0f,32768f" matrix="65536f,0f,0f,65536f"/>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2906395</wp:posOffset>
                </wp:positionH>
                <wp:positionV relativeFrom="paragraph">
                  <wp:posOffset>7028815</wp:posOffset>
                </wp:positionV>
                <wp:extent cx="75565" cy="75565"/>
                <wp:effectExtent l="0" t="0" r="635" b="635"/>
                <wp:wrapNone/>
                <wp:docPr id="97" name="椭圆 97"/>
                <wp:cNvGraphicFramePr/>
                <a:graphic xmlns:a="http://schemas.openxmlformats.org/drawingml/2006/main">
                  <a:graphicData uri="http://schemas.microsoft.com/office/word/2010/wordprocessingShape">
                    <wps:wsp>
                      <wps:cNvSpPr/>
                      <wps:spPr>
                        <a:xfrm>
                          <a:off x="3806190" y="8192770"/>
                          <a:ext cx="75565" cy="7556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28.85pt;margin-top:553.45pt;height:5.95pt;width:5.95pt;z-index:251671552;v-text-anchor:middle;mso-width-relative:page;mso-height-relative:page;" fillcolor="#FF0000" filled="t" stroked="f" coordsize="21600,21600" o:gfxdata="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FgAAAGRycy9QSwECFAAUAAAACACHTuJAzp3dNNwAAAANAQAA&#10;DwAAAAAAAAABACAAAAA4AAAAZHJzL2Rvd25yZXYueG1sUEsBAhQAFAAAAAgAh07iQKYRVPFxAgAA&#10;zQQAAA4AAAAAAAAAAQAgAAAAQQEAAGRycy9lMm9Eb2MueG1sUEsFBgAAAAAGAAYAWQEAACQGAAAA&#10;AA==&#10;">
                <v:fill on="t" focussize="0,0"/>
                <v:stroke on="f" weight="2pt"/>
                <v:imagedata o:title=""/>
                <o:lock v:ext="edit" aspectratio="f"/>
                <v:textbox>
                  <w:txbxContent>
                    <w:p>
                      <w:pPr>
                        <w:jc w:val="center"/>
                      </w:pPr>
                    </w:p>
                  </w:txbxContent>
                </v:textbox>
              </v:shape>
            </w:pict>
          </mc:Fallback>
        </mc:AlternateContent>
      </w:r>
      <w:r>
        <w:rPr>
          <w:rFonts w:hint="eastAsia" w:ascii="Times New Roman" w:hAnsi="Times New Roman" w:eastAsia="宋体"/>
          <w:sz w:val="24"/>
          <w:lang w:eastAsia="zh-CN"/>
        </w:rPr>
        <w:drawing>
          <wp:inline distT="0" distB="0" distL="114300" distR="114300">
            <wp:extent cx="5760720" cy="8011795"/>
            <wp:effectExtent l="0" t="0" r="11430" b="8255"/>
            <wp:docPr id="96" name="图片 96" descr="55d1fc60b77a6318f6a195999261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55d1fc60b77a6318f6a19599926124a"/>
                    <pic:cNvPicPr>
                      <a:picLocks noChangeAspect="1"/>
                    </pic:cNvPicPr>
                  </pic:nvPicPr>
                  <pic:blipFill>
                    <a:blip r:embed="rId26"/>
                    <a:stretch>
                      <a:fillRect/>
                    </a:stretch>
                  </pic:blipFill>
                  <pic:spPr>
                    <a:xfrm>
                      <a:off x="0" y="0"/>
                      <a:ext cx="5760720" cy="8011795"/>
                    </a:xfrm>
                    <a:prstGeom prst="rect">
                      <a:avLst/>
                    </a:prstGeom>
                  </pic:spPr>
                </pic:pic>
              </a:graphicData>
            </a:graphic>
          </wp:inline>
        </w:drawing>
      </w:r>
    </w:p>
    <w:p>
      <w:pPr>
        <w:pStyle w:val="11"/>
        <w:adjustRightInd w:val="0"/>
        <w:snapToGrid w:val="0"/>
        <w:spacing w:before="120" w:beforeLines="50" w:after="0"/>
        <w:jc w:val="center"/>
        <w:rPr>
          <w:rFonts w:ascii="Times New Roman" w:hAnsi="Times New Roman"/>
          <w:b/>
          <w:bCs/>
          <w:sz w:val="24"/>
        </w:rPr>
        <w:sectPr>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r>
        <w:rPr>
          <w:rFonts w:ascii="Times New Roman" w:hAnsi="Times New Roman"/>
          <w:b/>
          <w:bCs/>
          <w:sz w:val="24"/>
        </w:rPr>
        <w:t>图2.1-1</w:t>
      </w:r>
      <w:r>
        <w:rPr>
          <w:rFonts w:hint="eastAsia" w:ascii="Times New Roman" w:hAnsi="Times New Roman"/>
          <w:b/>
          <w:bCs/>
          <w:sz w:val="24"/>
        </w:rPr>
        <w:t xml:space="preserve"> 本</w:t>
      </w:r>
      <w:r>
        <w:rPr>
          <w:rFonts w:ascii="Times New Roman" w:hAnsi="Times New Roman"/>
          <w:b/>
          <w:bCs/>
          <w:sz w:val="24"/>
        </w:rPr>
        <w:t>项目与</w:t>
      </w:r>
      <w:r>
        <w:rPr>
          <w:rFonts w:hint="eastAsia" w:ascii="Times New Roman" w:hAnsi="Times New Roman"/>
          <w:b/>
          <w:bCs/>
          <w:sz w:val="24"/>
        </w:rPr>
        <w:t>宁夏回族自治区</w:t>
      </w:r>
      <w:r>
        <w:rPr>
          <w:rFonts w:ascii="Times New Roman" w:hAnsi="Times New Roman"/>
          <w:b/>
          <w:bCs/>
          <w:sz w:val="24"/>
        </w:rPr>
        <w:t>行政区划位置关</w:t>
      </w:r>
      <w:r>
        <w:rPr>
          <w:rFonts w:hint="eastAsia" w:ascii="Times New Roman" w:hAnsi="Times New Roman"/>
          <w:b/>
          <w:bCs/>
          <w:sz w:val="24"/>
        </w:rPr>
        <w:t>系</w:t>
      </w:r>
    </w:p>
    <w:p>
      <w:pPr>
        <w:pStyle w:val="11"/>
        <w:adjustRightInd w:val="0"/>
        <w:snapToGrid w:val="0"/>
        <w:spacing w:before="120" w:beforeLines="50" w:after="0"/>
        <w:rPr>
          <w:rFonts w:hint="eastAsia" w:ascii="Times New Roman" w:hAnsi="Times New Roman" w:eastAsia="宋体"/>
          <w:b/>
          <w:bCs/>
          <w:sz w:val="24"/>
          <w:lang w:eastAsia="zh-CN"/>
        </w:rPr>
      </w:pPr>
      <w:r>
        <w:rPr>
          <w:sz w:val="24"/>
        </w:rPr>
        <mc:AlternateContent>
          <mc:Choice Requires="wps">
            <w:drawing>
              <wp:anchor distT="0" distB="0" distL="114300" distR="114300" simplePos="0" relativeHeight="251678720" behindDoc="0" locked="0" layoutInCell="1" allowOverlap="1">
                <wp:simplePos x="0" y="0"/>
                <wp:positionH relativeFrom="column">
                  <wp:posOffset>2849245</wp:posOffset>
                </wp:positionH>
                <wp:positionV relativeFrom="paragraph">
                  <wp:posOffset>2592070</wp:posOffset>
                </wp:positionV>
                <wp:extent cx="1332865" cy="409575"/>
                <wp:effectExtent l="0" t="0" r="0" b="0"/>
                <wp:wrapNone/>
                <wp:docPr id="105" name="文本框 105"/>
                <wp:cNvGraphicFramePr/>
                <a:graphic xmlns:a="http://schemas.openxmlformats.org/drawingml/2006/main">
                  <a:graphicData uri="http://schemas.microsoft.com/office/word/2010/wordprocessingShape">
                    <wps:wsp>
                      <wps:cNvSpPr txBox="1"/>
                      <wps:spPr>
                        <a:xfrm>
                          <a:off x="3749040" y="3672205"/>
                          <a:ext cx="1332865" cy="409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36"/>
                                <w:szCs w:val="36"/>
                                <w:lang w:eastAsia="zh-CN"/>
                              </w:rPr>
                            </w:pPr>
                            <w:r>
                              <w:rPr>
                                <w:rFonts w:hint="eastAsia"/>
                                <w:color w:val="FF0000"/>
                                <w:sz w:val="36"/>
                                <w:szCs w:val="36"/>
                                <w:lang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35pt;margin-top:204.1pt;height:32.25pt;width:104.95pt;z-index:251678720;mso-width-relative:page;mso-height-relative:page;" filled="f" stroked="f" coordsize="21600,21600" o:gfxdata="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8k1BHtsAAAALAQAADwAAAAAAAAABACAAAAA4AAAAZHJzL2Rvd25yZXYueG1sUEsBAhQAFAAA&#10;AAgAh07iQOWMjG5IAgAAdgQAAA4AAAAAAAAAAQAgAAAAQAEAAGRycy9lMm9Eb2MueG1sUEsFBgAA&#10;AAAGAAYAWQEAAPoFAAAAAA==&#10;">
                <v:fill on="f" focussize="0,0"/>
                <v:stroke on="f" weight="0.5pt"/>
                <v:imagedata o:title=""/>
                <o:lock v:ext="edit" aspectratio="f"/>
                <v:textbox>
                  <w:txbxContent>
                    <w:p>
                      <w:pPr>
                        <w:rPr>
                          <w:rFonts w:hint="eastAsia" w:eastAsia="宋体"/>
                          <w:color w:val="FF0000"/>
                          <w:sz w:val="36"/>
                          <w:szCs w:val="36"/>
                          <w:lang w:eastAsia="zh-CN"/>
                        </w:rPr>
                      </w:pPr>
                      <w:r>
                        <w:rPr>
                          <w:rFonts w:hint="eastAsia"/>
                          <w:color w:val="FF0000"/>
                          <w:sz w:val="36"/>
                          <w:szCs w:val="36"/>
                          <w:lang w:eastAsia="zh-CN"/>
                        </w:rPr>
                        <w:t>本项目位置</w:t>
                      </w:r>
                    </w:p>
                  </w:txbxContent>
                </v:textbox>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2820670</wp:posOffset>
                </wp:positionH>
                <wp:positionV relativeFrom="paragraph">
                  <wp:posOffset>3020695</wp:posOffset>
                </wp:positionV>
                <wp:extent cx="1304925" cy="9525"/>
                <wp:effectExtent l="33655" t="26670" r="52070" b="78105"/>
                <wp:wrapNone/>
                <wp:docPr id="104" name="直接连接符 104"/>
                <wp:cNvGraphicFramePr/>
                <a:graphic xmlns:a="http://schemas.openxmlformats.org/drawingml/2006/main">
                  <a:graphicData uri="http://schemas.microsoft.com/office/word/2010/wordprocessingShape">
                    <wps:wsp>
                      <wps:cNvCnPr/>
                      <wps:spPr>
                        <a:xfrm>
                          <a:off x="3739515" y="4091305"/>
                          <a:ext cx="1304925"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22.1pt;margin-top:237.85pt;height:0.75pt;width:102.75pt;z-index:251677696;mso-width-relative:page;mso-height-relative:page;" filled="f" stroked="t" coordsize="21600,21600" o:gfxdata="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WAAAAZHJzL1BLAQIUABQAAAAIAIdO4kAZjyDj3AAAAAsBAAAPAAAAAAAA&#10;AAEAIAAAADgAAABkcnMvZG93bnJldi54bWxQSwECFAAUAAAACACHTuJAnpNy5TECAABaBAAADgAA&#10;AAAAAAABACAAAABBAQAAZHJzL2Uyb0RvYy54bWxQSwUGAAAAAAYABgBZAQAA5AU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2323465</wp:posOffset>
                </wp:positionH>
                <wp:positionV relativeFrom="paragraph">
                  <wp:posOffset>3020695</wp:posOffset>
                </wp:positionV>
                <wp:extent cx="497205" cy="1011555"/>
                <wp:effectExtent l="41275" t="19050" r="52070" b="55245"/>
                <wp:wrapNone/>
                <wp:docPr id="103" name="直接箭头连接符 103"/>
                <wp:cNvGraphicFramePr/>
                <a:graphic xmlns:a="http://schemas.openxmlformats.org/drawingml/2006/main">
                  <a:graphicData uri="http://schemas.microsoft.com/office/word/2010/wordprocessingShape">
                    <wps:wsp>
                      <wps:cNvCnPr>
                        <a:endCxn id="102" idx="7"/>
                      </wps:cNvCnPr>
                      <wps:spPr>
                        <a:xfrm flipH="1">
                          <a:off x="3223260" y="4100830"/>
                          <a:ext cx="497205" cy="1011555"/>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x;margin-left:182.95pt;margin-top:237.85pt;height:79.65pt;width:39.15pt;z-index:251676672;mso-width-relative:page;mso-height-relative:page;" filled="f" stroked="t" coordsize="21600,21600" o:gfxdata="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WAAAAZHJzL1BLAQIUABQAAAAIAIdO4kC58ykb2AAAAAsB&#10;AAAPAAAAAAAAAAEAIAAAADgAAABkcnMvZG93bnJldi54bWxQSwECFAAUAAAACACHTuJAvzseuHcC&#10;AADOBAAADgAAAAAAAAABACAAAAA9AQAAZHJzL2Uyb0RvYy54bWxQSwUGAAAAAAYABgBZAQAAJgYA&#10;AAAA&#10;">
                <v:fill on="f" focussize="0,0"/>
                <v:stroke weight="2pt" color="#000000 [3200]" joinstyle="round" endarrow="open"/>
                <v:imagedata o:title=""/>
                <o:lock v:ext="edit" aspectratio="f"/>
                <v:shadow on="t" color="#000000" opacity="24903f" offset="0pt,1.5748031496063pt" origin="0f,32768f" matrix="65536f,0f,0f,65536f"/>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2258695</wp:posOffset>
                </wp:positionH>
                <wp:positionV relativeFrom="paragraph">
                  <wp:posOffset>4021455</wp:posOffset>
                </wp:positionV>
                <wp:extent cx="75565" cy="75565"/>
                <wp:effectExtent l="0" t="0" r="635" b="635"/>
                <wp:wrapNone/>
                <wp:docPr id="102" name="椭圆 102"/>
                <wp:cNvGraphicFramePr/>
                <a:graphic xmlns:a="http://schemas.openxmlformats.org/drawingml/2006/main">
                  <a:graphicData uri="http://schemas.microsoft.com/office/word/2010/wordprocessingShape">
                    <wps:wsp>
                      <wps:cNvSpPr/>
                      <wps:spPr>
                        <a:xfrm>
                          <a:off x="3187065" y="5053965"/>
                          <a:ext cx="75565" cy="7556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7.85pt;margin-top:316.65pt;height:5.95pt;width:5.95pt;z-index:251675648;v-text-anchor:middle;mso-width-relative:page;mso-height-relative:page;" fillcolor="#FF0000" filled="t" stroked="f" coordsize="21600,21600" o:gfxdata="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WAAAAZHJzL1BLAQIUABQAAAAIAIdO4kDxF7qh3AAAAAsBAAAP&#10;AAAAAAAAAAEAIAAAADgAAABkcnMvZG93bnJldi54bWxQSwECFAAUAAAACACHTuJAoIZybHACAADP&#10;BAAADgAAAAAAAAABACAAAABBAQAAZHJzL2Uyb0RvYy54bWxQSwUGAAAAAAYABgBZAQAAIwYAAAAA&#10;">
                <v:fill on="t" focussize="0,0"/>
                <v:stroke on="f" weight="2pt"/>
                <v:imagedata o:title=""/>
                <o:lock v:ext="edit" aspectratio="f"/>
                <v:textbox>
                  <w:txbxContent>
                    <w:p>
                      <w:pPr>
                        <w:jc w:val="center"/>
                      </w:pPr>
                    </w:p>
                  </w:txbxContent>
                </v:textbox>
              </v:shape>
            </w:pict>
          </mc:Fallback>
        </mc:AlternateContent>
      </w:r>
      <w:r>
        <w:rPr>
          <w:rFonts w:hint="eastAsia" w:ascii="Times New Roman" w:hAnsi="Times New Roman" w:eastAsia="宋体"/>
          <w:b/>
          <w:bCs/>
          <w:sz w:val="24"/>
          <w:lang w:eastAsia="zh-CN"/>
        </w:rPr>
        <w:drawing>
          <wp:inline distT="0" distB="0" distL="114300" distR="114300">
            <wp:extent cx="5754370" cy="5574665"/>
            <wp:effectExtent l="0" t="0" r="17780" b="6985"/>
            <wp:docPr id="101" name="图片 101" descr="81fac4318e868f5a949ba95a3a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81fac4318e868f5a949ba95a3a52015"/>
                    <pic:cNvPicPr>
                      <a:picLocks noChangeAspect="1"/>
                    </pic:cNvPicPr>
                  </pic:nvPicPr>
                  <pic:blipFill>
                    <a:blip r:embed="rId27"/>
                    <a:stretch>
                      <a:fillRect/>
                    </a:stretch>
                  </pic:blipFill>
                  <pic:spPr>
                    <a:xfrm>
                      <a:off x="0" y="0"/>
                      <a:ext cx="5754370" cy="5574665"/>
                    </a:xfrm>
                    <a:prstGeom prst="rect">
                      <a:avLst/>
                    </a:prstGeom>
                  </pic:spPr>
                </pic:pic>
              </a:graphicData>
            </a:graphic>
          </wp:inline>
        </w:drawing>
      </w:r>
    </w:p>
    <w:p>
      <w:pPr>
        <w:pStyle w:val="11"/>
        <w:adjustRightInd w:val="0"/>
        <w:snapToGrid w:val="0"/>
        <w:spacing w:before="120" w:beforeLines="50" w:after="0"/>
        <w:jc w:val="center"/>
        <w:rPr>
          <w:rFonts w:ascii="Times New Roman" w:hAnsi="Times New Roman"/>
          <w:b/>
          <w:bCs/>
          <w:sz w:val="24"/>
        </w:rPr>
      </w:pPr>
      <w:r>
        <w:rPr>
          <w:rFonts w:ascii="Times New Roman" w:hAnsi="Times New Roman"/>
          <w:b/>
          <w:bCs/>
          <w:sz w:val="24"/>
        </w:rPr>
        <w:t>图2.1-2</w:t>
      </w:r>
      <w:r>
        <w:rPr>
          <w:rFonts w:hint="eastAsia" w:ascii="Times New Roman" w:hAnsi="Times New Roman"/>
          <w:b/>
          <w:bCs/>
          <w:sz w:val="24"/>
        </w:rPr>
        <w:t xml:space="preserve"> 本</w:t>
      </w:r>
      <w:r>
        <w:rPr>
          <w:rFonts w:ascii="Times New Roman" w:hAnsi="Times New Roman"/>
          <w:b/>
          <w:bCs/>
          <w:sz w:val="24"/>
        </w:rPr>
        <w:t>项目与</w:t>
      </w:r>
      <w:r>
        <w:rPr>
          <w:rFonts w:hint="eastAsia" w:ascii="Times New Roman" w:hAnsi="Times New Roman"/>
          <w:b/>
          <w:bCs/>
          <w:sz w:val="24"/>
        </w:rPr>
        <w:t>固原市</w:t>
      </w:r>
      <w:r>
        <w:rPr>
          <w:rFonts w:ascii="Times New Roman" w:hAnsi="Times New Roman"/>
          <w:b/>
          <w:bCs/>
          <w:sz w:val="24"/>
        </w:rPr>
        <w:t>行政区划位置关系图</w:t>
      </w:r>
      <w:bookmarkStart w:id="394" w:name="_Toc28146"/>
      <w:bookmarkStart w:id="395" w:name="_Toc22294"/>
      <w:bookmarkStart w:id="396" w:name="_Toc10613"/>
      <w:bookmarkStart w:id="397" w:name="_Toc8342"/>
      <w:bookmarkStart w:id="398" w:name="_Toc11748"/>
      <w:bookmarkStart w:id="399" w:name="_Toc16083"/>
    </w:p>
    <w:p>
      <w:pPr>
        <w:pStyle w:val="12"/>
      </w:pPr>
    </w:p>
    <w:p/>
    <w:p>
      <w:pPr>
        <w:pStyle w:val="14"/>
        <w:ind w:firstLine="560"/>
      </w:pPr>
    </w:p>
    <w:p>
      <w:pPr>
        <w:pStyle w:val="15"/>
        <w:ind w:firstLine="210"/>
      </w:pPr>
    </w:p>
    <w:p>
      <w:pPr>
        <w:pStyle w:val="15"/>
        <w:ind w:firstLine="210"/>
      </w:pPr>
    </w:p>
    <w:p>
      <w:pPr>
        <w:pStyle w:val="15"/>
        <w:ind w:firstLine="210"/>
      </w:pPr>
    </w:p>
    <w:p>
      <w:pPr>
        <w:pStyle w:val="15"/>
        <w:ind w:firstLine="210"/>
      </w:pPr>
    </w:p>
    <w:p>
      <w:pPr>
        <w:pStyle w:val="15"/>
        <w:ind w:firstLine="210"/>
      </w:pPr>
    </w:p>
    <w:p>
      <w:pPr>
        <w:pStyle w:val="15"/>
        <w:ind w:firstLine="210"/>
      </w:pPr>
    </w:p>
    <w:p>
      <w:pPr>
        <w:pStyle w:val="15"/>
        <w:ind w:firstLine="210"/>
      </w:pPr>
    </w:p>
    <w:p>
      <w:pPr>
        <w:pStyle w:val="15"/>
        <w:ind w:firstLine="210"/>
        <w:jc w:val="center"/>
        <w:rPr>
          <w:rFonts w:ascii="Times New Roman" w:hAnsi="Times New Roman"/>
          <w:b/>
          <w:bCs/>
          <w:sz w:val="24"/>
        </w:rPr>
      </w:pPr>
      <w:r>
        <w:drawing>
          <wp:inline distT="0" distB="0" distL="0" distR="0">
            <wp:extent cx="5763895" cy="7205980"/>
            <wp:effectExtent l="0" t="0" r="825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3895" cy="7205980"/>
                    </a:xfrm>
                    <a:prstGeom prst="rect">
                      <a:avLst/>
                    </a:prstGeom>
                  </pic:spPr>
                </pic:pic>
              </a:graphicData>
            </a:graphic>
          </wp:inline>
        </w:drawing>
      </w:r>
      <w:r>
        <w:rPr>
          <w:rFonts w:ascii="Times New Roman" w:hAnsi="Times New Roman"/>
          <w:b/>
          <w:bCs/>
          <w:sz w:val="24"/>
        </w:rPr>
        <w:t>图2.1-3</w:t>
      </w:r>
      <w:r>
        <w:rPr>
          <w:rFonts w:hint="eastAsia" w:ascii="Times New Roman" w:hAnsi="Times New Roman"/>
          <w:b/>
          <w:bCs/>
          <w:sz w:val="24"/>
        </w:rPr>
        <w:t xml:space="preserve"> 本</w:t>
      </w:r>
      <w:r>
        <w:rPr>
          <w:rFonts w:ascii="Times New Roman" w:hAnsi="Times New Roman"/>
          <w:b/>
          <w:bCs/>
          <w:sz w:val="24"/>
        </w:rPr>
        <w:t>项目</w:t>
      </w:r>
      <w:r>
        <w:rPr>
          <w:rFonts w:hint="eastAsia" w:ascii="Times New Roman" w:hAnsi="Times New Roman"/>
          <w:b/>
          <w:bCs/>
          <w:sz w:val="24"/>
        </w:rPr>
        <w:t>位于隆德县位置关系</w:t>
      </w:r>
      <w:r>
        <w:rPr>
          <w:rFonts w:ascii="Times New Roman" w:hAnsi="Times New Roman"/>
          <w:b/>
          <w:bCs/>
          <w:sz w:val="24"/>
        </w:rPr>
        <w:t>图</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r>
        <w:rPr>
          <w:rFonts w:hint="eastAsia" w:cs="Times New Roman"/>
          <w:bCs w:val="0"/>
          <w:snapToGrid w:val="0"/>
          <w:kern w:val="0"/>
          <w:sz w:val="28"/>
          <w:szCs w:val="28"/>
        </w:rPr>
        <w:t>2</w:t>
      </w:r>
      <w:r>
        <w:rPr>
          <w:rFonts w:cs="Times New Roman"/>
          <w:bCs w:val="0"/>
          <w:snapToGrid w:val="0"/>
          <w:kern w:val="0"/>
          <w:sz w:val="28"/>
          <w:szCs w:val="28"/>
        </w:rPr>
        <w:t>.1.2</w:t>
      </w:r>
      <w:bookmarkEnd w:id="394"/>
      <w:bookmarkEnd w:id="395"/>
      <w:bookmarkEnd w:id="396"/>
      <w:bookmarkEnd w:id="397"/>
      <w:bookmarkEnd w:id="398"/>
      <w:r>
        <w:rPr>
          <w:rFonts w:cs="Times New Roman"/>
          <w:bCs w:val="0"/>
          <w:snapToGrid w:val="0"/>
          <w:kern w:val="0"/>
          <w:sz w:val="28"/>
          <w:szCs w:val="28"/>
        </w:rPr>
        <w:t>项目建设内容</w:t>
      </w:r>
      <w:bookmarkEnd w:id="399"/>
    </w:p>
    <w:p>
      <w:pPr>
        <w:spacing w:line="540" w:lineRule="exact"/>
        <w:ind w:firstLine="480" w:firstLineChars="200"/>
        <w:rPr>
          <w:rFonts w:ascii="Times New Roman" w:hAnsi="Times New Roman"/>
          <w:sz w:val="24"/>
        </w:rPr>
      </w:pPr>
      <w:r>
        <w:rPr>
          <w:rFonts w:ascii="Times New Roman" w:hAnsi="Times New Roman"/>
          <w:sz w:val="24"/>
          <w:lang w:val="zh-CN"/>
        </w:rPr>
        <w:t>本项目总用地面积</w:t>
      </w:r>
      <w:r>
        <w:rPr>
          <w:rFonts w:hint="eastAsia" w:ascii="Times New Roman" w:hAnsi="Times New Roman"/>
          <w:sz w:val="24"/>
        </w:rPr>
        <w:t>31432.4m</w:t>
      </w:r>
      <w:r>
        <w:rPr>
          <w:rFonts w:hint="eastAsia" w:ascii="Times New Roman" w:hAnsi="Times New Roman"/>
          <w:sz w:val="24"/>
          <w:vertAlign w:val="superscript"/>
        </w:rPr>
        <w:t>2</w:t>
      </w:r>
      <w:r>
        <w:rPr>
          <w:rFonts w:hint="eastAsia" w:ascii="Times New Roman" w:hAnsi="Times New Roman"/>
          <w:sz w:val="24"/>
        </w:rPr>
        <w:t>。</w:t>
      </w:r>
      <w:r>
        <w:rPr>
          <w:rFonts w:ascii="Times New Roman" w:hAnsi="Times New Roman"/>
          <w:sz w:val="24"/>
        </w:rPr>
        <w:t>项目建筑面积</w:t>
      </w:r>
      <w:r>
        <w:rPr>
          <w:rFonts w:hint="eastAsia" w:ascii="Times New Roman" w:hAnsi="Times New Roman"/>
          <w:sz w:val="24"/>
        </w:rPr>
        <w:t>22390.25</w:t>
      </w:r>
      <w:r>
        <w:rPr>
          <w:rFonts w:ascii="Times New Roman" w:hAnsi="Times New Roman"/>
          <w:sz w:val="24"/>
        </w:rPr>
        <w:t>m</w:t>
      </w:r>
      <w:r>
        <w:rPr>
          <w:rFonts w:ascii="Times New Roman" w:hAnsi="Times New Roman"/>
          <w:sz w:val="24"/>
          <w:vertAlign w:val="superscript"/>
        </w:rPr>
        <w:t>2</w:t>
      </w:r>
      <w:r>
        <w:rPr>
          <w:rFonts w:ascii="Times New Roman" w:hAnsi="Times New Roman"/>
          <w:sz w:val="24"/>
        </w:rPr>
        <w:t>，</w:t>
      </w:r>
      <w:r>
        <w:rPr>
          <w:rFonts w:ascii="Times New Roman" w:hAnsi="Times New Roman"/>
          <w:sz w:val="24"/>
          <w:lang w:val="zh-CN"/>
        </w:rPr>
        <w:t>项目主要建设</w:t>
      </w:r>
      <w:r>
        <w:rPr>
          <w:rFonts w:hint="eastAsia" w:ascii="Times New Roman" w:hAnsi="Times New Roman"/>
          <w:sz w:val="24"/>
        </w:rPr>
        <w:t>新建牛棚10栋、积粪场1座、</w:t>
      </w:r>
      <w:r>
        <w:rPr>
          <w:rFonts w:ascii="Times New Roman" w:hAnsi="Times New Roman"/>
          <w:sz w:val="24"/>
        </w:rPr>
        <w:t>青</w:t>
      </w:r>
      <w:r>
        <w:rPr>
          <w:rFonts w:hint="eastAsia" w:ascii="Times New Roman" w:hAnsi="Times New Roman"/>
          <w:sz w:val="24"/>
        </w:rPr>
        <w:t>贮池2座等，饲料库1座、厂区硬化、生活用房、办公用房及配套室外给水、电力、排水、供热等设施。</w:t>
      </w:r>
      <w:r>
        <w:rPr>
          <w:rFonts w:ascii="Times New Roman" w:hAnsi="Times New Roman"/>
          <w:sz w:val="24"/>
        </w:rPr>
        <w:t>项目主要建设内容见表2.1-</w:t>
      </w:r>
      <w:r>
        <w:rPr>
          <w:rFonts w:hint="eastAsia" w:ascii="Times New Roman" w:hAnsi="Times New Roman"/>
          <w:sz w:val="24"/>
        </w:rPr>
        <w:t>2</w:t>
      </w:r>
      <w:r>
        <w:rPr>
          <w:rFonts w:ascii="Times New Roman" w:hAnsi="Times New Roman"/>
          <w:sz w:val="24"/>
        </w:rPr>
        <w:t>。</w:t>
      </w:r>
    </w:p>
    <w:p>
      <w:pPr>
        <w:spacing w:before="120" w:beforeLines="50"/>
        <w:ind w:firstLine="602" w:firstLineChars="250"/>
        <w:rPr>
          <w:rFonts w:ascii="Times New Roman" w:hAnsi="Times New Roman"/>
          <w:b/>
          <w:sz w:val="24"/>
        </w:rPr>
      </w:pPr>
      <w:r>
        <w:rPr>
          <w:rFonts w:ascii="宋体" w:hAnsi="宋体" w:cs="宋体"/>
          <w:b/>
          <w:bCs/>
          <w:sz w:val="24"/>
        </w:rPr>
        <w:t>表</w:t>
      </w:r>
      <w:r>
        <w:rPr>
          <w:rFonts w:ascii="Times New Roman" w:hAnsi="Times New Roman"/>
          <w:b/>
          <w:bCs/>
          <w:sz w:val="24"/>
        </w:rPr>
        <w:t>2.1-</w:t>
      </w:r>
      <w:r>
        <w:rPr>
          <w:rFonts w:hint="eastAsia" w:ascii="Times New Roman" w:hAnsi="Times New Roman"/>
          <w:b/>
          <w:bCs/>
          <w:sz w:val="24"/>
        </w:rPr>
        <w:t>2</w:t>
      </w:r>
      <w:r>
        <w:rPr>
          <w:rFonts w:ascii="宋体" w:hAnsi="宋体" w:cs="宋体"/>
          <w:b/>
          <w:bCs/>
          <w:sz w:val="24"/>
        </w:rPr>
        <w:t xml:space="preserve">                   项目工程组成一览表</w:t>
      </w:r>
    </w:p>
    <w:tbl>
      <w:tblPr>
        <w:tblStyle w:val="29"/>
        <w:tblW w:w="9071"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554"/>
        <w:gridCol w:w="715"/>
        <w:gridCol w:w="830"/>
        <w:gridCol w:w="697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Align w:val="center"/>
          </w:tcPr>
          <w:p>
            <w:pPr>
              <w:adjustRightInd w:val="0"/>
              <w:snapToGrid w:val="0"/>
              <w:ind w:left="-105" w:leftChars="-50" w:right="-105" w:rightChars="-50"/>
              <w:jc w:val="center"/>
              <w:rPr>
                <w:rFonts w:ascii="Times New Roman" w:hAnsi="Times New Roman"/>
                <w:b/>
                <w:szCs w:val="21"/>
              </w:rPr>
            </w:pPr>
            <w:r>
              <w:rPr>
                <w:rFonts w:ascii="Times New Roman" w:hAnsi="Times New Roman"/>
                <w:b/>
                <w:szCs w:val="21"/>
              </w:rPr>
              <w:t>类别</w:t>
            </w:r>
          </w:p>
        </w:tc>
        <w:tc>
          <w:tcPr>
            <w:tcW w:w="1545" w:type="dxa"/>
            <w:gridSpan w:val="2"/>
            <w:vAlign w:val="center"/>
          </w:tcPr>
          <w:p>
            <w:pPr>
              <w:adjustRightInd w:val="0"/>
              <w:snapToGrid w:val="0"/>
              <w:jc w:val="center"/>
              <w:rPr>
                <w:rFonts w:ascii="Times New Roman" w:hAnsi="Times New Roman"/>
                <w:b/>
                <w:szCs w:val="21"/>
              </w:rPr>
            </w:pPr>
            <w:r>
              <w:rPr>
                <w:rFonts w:ascii="Times New Roman" w:hAnsi="Times New Roman"/>
                <w:b/>
                <w:szCs w:val="21"/>
              </w:rPr>
              <w:t>项目内容</w:t>
            </w:r>
          </w:p>
        </w:tc>
        <w:tc>
          <w:tcPr>
            <w:tcW w:w="6972" w:type="dxa"/>
            <w:vAlign w:val="center"/>
          </w:tcPr>
          <w:p>
            <w:pPr>
              <w:adjustRightInd w:val="0"/>
              <w:snapToGrid w:val="0"/>
              <w:jc w:val="center"/>
              <w:rPr>
                <w:rFonts w:ascii="Times New Roman" w:hAnsi="Times New Roman"/>
                <w:b/>
                <w:szCs w:val="21"/>
              </w:rPr>
            </w:pPr>
            <w:r>
              <w:rPr>
                <w:rFonts w:ascii="Times New Roman" w:hAnsi="Times New Roman"/>
                <w:b/>
                <w:szCs w:val="21"/>
              </w:rPr>
              <w:t>项目组成及规模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554" w:type="dxa"/>
            <w:vMerge w:val="restart"/>
            <w:vAlign w:val="center"/>
          </w:tcPr>
          <w:p>
            <w:pPr>
              <w:adjustRightInd w:val="0"/>
              <w:snapToGrid w:val="0"/>
              <w:ind w:left="-105" w:leftChars="-50" w:right="-105" w:rightChars="-50"/>
              <w:jc w:val="center"/>
              <w:rPr>
                <w:rFonts w:ascii="Times New Roman" w:hAnsi="Times New Roman"/>
                <w:szCs w:val="21"/>
              </w:rPr>
            </w:pPr>
            <w:r>
              <w:rPr>
                <w:rFonts w:ascii="Times New Roman" w:hAnsi="Times New Roman"/>
                <w:bCs/>
                <w:szCs w:val="21"/>
              </w:rPr>
              <w:t>主体工程</w:t>
            </w:r>
          </w:p>
        </w:tc>
        <w:tc>
          <w:tcPr>
            <w:tcW w:w="1545" w:type="dxa"/>
            <w:gridSpan w:val="2"/>
            <w:vAlign w:val="center"/>
          </w:tcPr>
          <w:p>
            <w:pPr>
              <w:adjustRightInd w:val="0"/>
              <w:snapToGrid w:val="0"/>
              <w:jc w:val="center"/>
              <w:rPr>
                <w:rFonts w:ascii="Times New Roman" w:hAnsi="Times New Roman"/>
                <w:szCs w:val="21"/>
              </w:rPr>
            </w:pPr>
            <w:r>
              <w:rPr>
                <w:rFonts w:hint="eastAsia" w:ascii="Times New Roman" w:hAnsi="Times New Roman"/>
                <w:szCs w:val="21"/>
              </w:rPr>
              <w:t>牛棚</w:t>
            </w:r>
          </w:p>
        </w:tc>
        <w:tc>
          <w:tcPr>
            <w:tcW w:w="6972" w:type="dxa"/>
            <w:vAlign w:val="center"/>
          </w:tcPr>
          <w:p>
            <w:pPr>
              <w:adjustRightInd w:val="0"/>
              <w:snapToGrid w:val="0"/>
              <w:ind w:firstLine="420" w:firstLineChars="200"/>
              <w:rPr>
                <w:rFonts w:ascii="Times New Roman" w:hAnsi="Times New Roman"/>
              </w:rPr>
            </w:pPr>
            <w:r>
              <w:rPr>
                <w:rFonts w:hint="eastAsia" w:ascii="Times New Roman" w:hAnsi="Times New Roman"/>
              </w:rPr>
              <w:t>本项目建设牛棚10栋</w:t>
            </w:r>
            <w:r>
              <w:rPr>
                <w:rFonts w:hint="eastAsia" w:ascii="Times New Roman" w:hAnsi="Times New Roman"/>
                <w:lang w:eastAsia="zh-CN"/>
              </w:rPr>
              <w:t>（其中一间产房和一间犊牛室）</w:t>
            </w:r>
            <w:r>
              <w:rPr>
                <w:rFonts w:hint="eastAsia" w:ascii="Times New Roman" w:hAnsi="Times New Roman"/>
              </w:rPr>
              <w:t>，建筑面</w:t>
            </w:r>
            <w:r>
              <w:rPr>
                <w:rFonts w:hint="eastAsia" w:ascii="Times New Roman" w:hAnsi="Times New Roman"/>
                <w:szCs w:val="21"/>
              </w:rPr>
              <w:t>积9180.25m</w:t>
            </w:r>
            <w:r>
              <w:rPr>
                <w:rFonts w:hint="eastAsia" w:ascii="Times New Roman" w:hAnsi="Times New Roman"/>
                <w:szCs w:val="21"/>
                <w:vertAlign w:val="superscript"/>
              </w:rPr>
              <w:t>2</w:t>
            </w:r>
            <w:r>
              <w:rPr>
                <w:rFonts w:hint="eastAsia" w:ascii="Times New Roman" w:hAnsi="Times New Roman"/>
                <w:szCs w:val="21"/>
              </w:rPr>
              <w:t>。主要用于圈养基础母牛</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szCs w:val="21"/>
              </w:rPr>
            </w:pPr>
          </w:p>
        </w:tc>
        <w:tc>
          <w:tcPr>
            <w:tcW w:w="1545" w:type="dxa"/>
            <w:gridSpan w:val="2"/>
            <w:vAlign w:val="center"/>
          </w:tcPr>
          <w:p>
            <w:pPr>
              <w:adjustRightInd w:val="0"/>
              <w:snapToGrid w:val="0"/>
              <w:jc w:val="center"/>
              <w:rPr>
                <w:rFonts w:ascii="Times New Roman" w:hAnsi="Times New Roman"/>
                <w:szCs w:val="21"/>
              </w:rPr>
            </w:pPr>
            <w:r>
              <w:rPr>
                <w:rFonts w:hint="eastAsia" w:ascii="Times New Roman" w:hAnsi="Times New Roman"/>
                <w:szCs w:val="21"/>
              </w:rPr>
              <w:t>积粪场</w:t>
            </w:r>
          </w:p>
        </w:tc>
        <w:tc>
          <w:tcPr>
            <w:tcW w:w="6972" w:type="dxa"/>
            <w:vAlign w:val="center"/>
          </w:tcPr>
          <w:p>
            <w:pPr>
              <w:adjustRightInd w:val="0"/>
              <w:snapToGrid w:val="0"/>
              <w:ind w:firstLine="420" w:firstLineChars="200"/>
              <w:rPr>
                <w:rFonts w:ascii="Times New Roman" w:hAnsi="Times New Roman"/>
                <w:szCs w:val="21"/>
              </w:rPr>
            </w:pPr>
            <w:r>
              <w:rPr>
                <w:rFonts w:hint="eastAsia" w:ascii="Times New Roman" w:hAnsi="Times New Roman"/>
              </w:rPr>
              <w:t>本项目建设积粪场2200</w:t>
            </w:r>
            <w:r>
              <w:rPr>
                <w:rFonts w:ascii="Times New Roman" w:hAnsi="Times New Roman"/>
                <w:szCs w:val="21"/>
              </w:rPr>
              <w:t>m</w:t>
            </w:r>
            <w:r>
              <w:rPr>
                <w:rFonts w:ascii="Times New Roman" w:hAnsi="Times New Roman"/>
                <w:szCs w:val="21"/>
                <w:vertAlign w:val="superscript"/>
              </w:rPr>
              <w:t>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szCs w:val="21"/>
              </w:rPr>
            </w:pPr>
          </w:p>
        </w:tc>
        <w:tc>
          <w:tcPr>
            <w:tcW w:w="1545" w:type="dxa"/>
            <w:gridSpan w:val="2"/>
            <w:vAlign w:val="center"/>
          </w:tcPr>
          <w:p>
            <w:pPr>
              <w:adjustRightInd w:val="0"/>
              <w:snapToGrid w:val="0"/>
              <w:jc w:val="center"/>
              <w:rPr>
                <w:rFonts w:ascii="Times New Roman" w:hAnsi="Times New Roman"/>
                <w:szCs w:val="21"/>
              </w:rPr>
            </w:pPr>
            <w:r>
              <w:rPr>
                <w:rFonts w:hint="eastAsia" w:ascii="Times New Roman" w:hAnsi="Times New Roman"/>
                <w:szCs w:val="21"/>
              </w:rPr>
              <w:t>饲料库</w:t>
            </w:r>
          </w:p>
        </w:tc>
        <w:tc>
          <w:tcPr>
            <w:tcW w:w="6972" w:type="dxa"/>
            <w:vAlign w:val="center"/>
          </w:tcPr>
          <w:p>
            <w:pPr>
              <w:adjustRightInd w:val="0"/>
              <w:snapToGrid w:val="0"/>
              <w:ind w:firstLine="420" w:firstLineChars="200"/>
              <w:rPr>
                <w:rFonts w:ascii="Times New Roman" w:hAnsi="Times New Roman"/>
                <w:sz w:val="20"/>
                <w:szCs w:val="20"/>
              </w:rPr>
            </w:pPr>
            <w:r>
              <w:rPr>
                <w:rFonts w:hint="eastAsia" w:ascii="Times New Roman" w:hAnsi="Times New Roman"/>
                <w:szCs w:val="21"/>
              </w:rPr>
              <w:t>本项目建设饲料库360</w:t>
            </w:r>
            <w:r>
              <w:rPr>
                <w:rFonts w:ascii="Times New Roman" w:hAnsi="Times New Roman"/>
                <w:szCs w:val="21"/>
              </w:rPr>
              <w:t>m</w:t>
            </w:r>
            <w:r>
              <w:rPr>
                <w:rFonts w:ascii="Times New Roman" w:hAnsi="Times New Roman"/>
                <w:szCs w:val="21"/>
                <w:vertAlign w:val="superscript"/>
              </w:rPr>
              <w:t>2</w:t>
            </w:r>
            <w:r>
              <w:rPr>
                <w:rFonts w:hint="eastAsia" w:ascii="Times New Roman" w:hAnsi="Times New Roman"/>
              </w:rPr>
              <w:t>。主要用于储备饲料。</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szCs w:val="21"/>
              </w:rPr>
            </w:pPr>
          </w:p>
        </w:tc>
        <w:tc>
          <w:tcPr>
            <w:tcW w:w="1545" w:type="dxa"/>
            <w:gridSpan w:val="2"/>
            <w:vAlign w:val="center"/>
          </w:tcPr>
          <w:p>
            <w:pPr>
              <w:adjustRightInd w:val="0"/>
              <w:snapToGrid w:val="0"/>
              <w:jc w:val="center"/>
              <w:rPr>
                <w:rFonts w:ascii="Times New Roman" w:hAnsi="Times New Roman"/>
                <w:szCs w:val="21"/>
              </w:rPr>
            </w:pPr>
            <w:r>
              <w:rPr>
                <w:rFonts w:hint="eastAsia" w:ascii="Times New Roman" w:hAnsi="Times New Roman"/>
              </w:rPr>
              <w:t>场区硬化</w:t>
            </w:r>
          </w:p>
        </w:tc>
        <w:tc>
          <w:tcPr>
            <w:tcW w:w="6972" w:type="dxa"/>
            <w:vAlign w:val="center"/>
          </w:tcPr>
          <w:p>
            <w:pPr>
              <w:adjustRightInd w:val="0"/>
              <w:snapToGrid w:val="0"/>
              <w:ind w:firstLine="420" w:firstLineChars="200"/>
              <w:rPr>
                <w:rFonts w:ascii="Times New Roman" w:hAnsi="Times New Roman"/>
                <w:szCs w:val="21"/>
              </w:rPr>
            </w:pPr>
            <w:r>
              <w:rPr>
                <w:rFonts w:hint="eastAsia" w:ascii="Times New Roman" w:hAnsi="Times New Roman"/>
                <w:szCs w:val="21"/>
              </w:rPr>
              <w:t>硬化总面积13880.25</w:t>
            </w:r>
            <w:r>
              <w:rPr>
                <w:rFonts w:ascii="Times New Roman" w:hAnsi="Times New Roman"/>
                <w:szCs w:val="21"/>
              </w:rPr>
              <w:t>m</w:t>
            </w:r>
            <w:r>
              <w:rPr>
                <w:rFonts w:ascii="Times New Roman" w:hAnsi="Times New Roman"/>
                <w:szCs w:val="21"/>
                <w:vertAlign w:val="superscript"/>
              </w:rPr>
              <w:t>2</w:t>
            </w:r>
            <w:r>
              <w:rPr>
                <w:rFonts w:hint="eastAsia" w:ascii="Times New Roman" w:hAnsi="Times New Roma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szCs w:val="21"/>
              </w:rPr>
            </w:pPr>
          </w:p>
        </w:tc>
        <w:tc>
          <w:tcPr>
            <w:tcW w:w="1545" w:type="dxa"/>
            <w:gridSpan w:val="2"/>
            <w:vAlign w:val="center"/>
          </w:tcPr>
          <w:p>
            <w:pPr>
              <w:adjustRightInd w:val="0"/>
              <w:snapToGrid w:val="0"/>
              <w:jc w:val="center"/>
              <w:rPr>
                <w:rFonts w:ascii="Times New Roman" w:hAnsi="Times New Roman"/>
                <w:szCs w:val="21"/>
              </w:rPr>
            </w:pPr>
            <w:r>
              <w:rPr>
                <w:rFonts w:hint="eastAsia" w:ascii="Times New Roman" w:hAnsi="Times New Roman"/>
                <w:szCs w:val="21"/>
              </w:rPr>
              <w:t>青贮池</w:t>
            </w:r>
          </w:p>
        </w:tc>
        <w:tc>
          <w:tcPr>
            <w:tcW w:w="6972" w:type="dxa"/>
            <w:vAlign w:val="center"/>
          </w:tcPr>
          <w:p>
            <w:pPr>
              <w:adjustRightInd w:val="0"/>
              <w:snapToGrid w:val="0"/>
              <w:rPr>
                <w:rFonts w:ascii="Times New Roman" w:hAnsi="Times New Roman"/>
                <w:szCs w:val="21"/>
              </w:rPr>
            </w:pPr>
            <w:r>
              <w:rPr>
                <w:rFonts w:hint="eastAsia" w:ascii="Times New Roman" w:hAnsi="Times New Roman"/>
                <w:szCs w:val="21"/>
              </w:rPr>
              <w:t>建设青贮池2座，建设面积14000</w:t>
            </w:r>
            <w:r>
              <w:rPr>
                <w:rFonts w:ascii="Times New Roman" w:hAnsi="Times New Roman"/>
                <w:szCs w:val="21"/>
              </w:rPr>
              <w:t>m</w:t>
            </w:r>
            <w:r>
              <w:rPr>
                <w:rFonts w:hint="eastAsia" w:ascii="Times New Roman" w:hAnsi="Times New Roman"/>
                <w:szCs w:val="21"/>
                <w:vertAlign w:val="superscript"/>
              </w:rPr>
              <w:t>3</w:t>
            </w:r>
            <w:r>
              <w:rPr>
                <w:rFonts w:hint="eastAsia" w:ascii="Times New Roman" w:hAnsi="Times New Roman"/>
              </w:rPr>
              <w:t>。</w:t>
            </w:r>
            <w:r>
              <w:rPr>
                <w:rFonts w:ascii="Times New Roman" w:hAnsi="Times New Roman"/>
                <w:szCs w:val="21"/>
              </w:rPr>
              <w:t>筋混凝土结构，主要用于青贮饲草料的储存。</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restart"/>
            <w:vAlign w:val="center"/>
          </w:tcPr>
          <w:p>
            <w:pPr>
              <w:adjustRightInd w:val="0"/>
              <w:snapToGrid w:val="0"/>
              <w:ind w:left="-105" w:leftChars="-50" w:right="-105" w:rightChars="-50"/>
              <w:jc w:val="center"/>
              <w:rPr>
                <w:rFonts w:ascii="Times New Roman" w:hAnsi="Times New Roman"/>
                <w:color w:val="FF0000"/>
                <w:szCs w:val="21"/>
              </w:rPr>
            </w:pPr>
            <w:r>
              <w:rPr>
                <w:rFonts w:hint="eastAsia" w:ascii="Times New Roman" w:hAnsi="Times New Roman"/>
                <w:bCs/>
                <w:szCs w:val="21"/>
              </w:rPr>
              <w:t>辅助工程</w:t>
            </w:r>
          </w:p>
        </w:tc>
        <w:tc>
          <w:tcPr>
            <w:tcW w:w="1545" w:type="dxa"/>
            <w:gridSpan w:val="2"/>
            <w:vAlign w:val="center"/>
          </w:tcPr>
          <w:p>
            <w:pPr>
              <w:adjustRightInd w:val="0"/>
              <w:snapToGrid w:val="0"/>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干草棚</w:t>
            </w:r>
          </w:p>
        </w:tc>
        <w:tc>
          <w:tcPr>
            <w:tcW w:w="6972" w:type="dxa"/>
            <w:vAlign w:val="center"/>
          </w:tcPr>
          <w:p>
            <w:pPr>
              <w:adjustRightInd w:val="0"/>
              <w:snapToGrid w:val="0"/>
              <w:ind w:firstLine="420" w:firstLineChars="200"/>
              <w:rPr>
                <w:rFonts w:hint="eastAsia" w:ascii="Times New Roman" w:hAnsi="Times New Roman" w:eastAsia="宋体"/>
                <w:szCs w:val="21"/>
                <w:lang w:eastAsia="zh-CN"/>
              </w:rPr>
            </w:pPr>
            <w:r>
              <w:rPr>
                <w:rFonts w:hint="eastAsia" w:ascii="Times New Roman" w:hAnsi="Times New Roman"/>
                <w:szCs w:val="21"/>
                <w:lang w:eastAsia="zh-CN"/>
              </w:rPr>
              <w:t>建设一座干草棚，用于储存收购的干草饲料</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hint="eastAsia" w:ascii="Times New Roman" w:hAnsi="Times New Roman"/>
                <w:bCs/>
                <w:szCs w:val="21"/>
              </w:rPr>
            </w:pPr>
          </w:p>
        </w:tc>
        <w:tc>
          <w:tcPr>
            <w:tcW w:w="1545" w:type="dxa"/>
            <w:gridSpan w:val="2"/>
            <w:vAlign w:val="center"/>
          </w:tcPr>
          <w:p>
            <w:pPr>
              <w:adjustRightInd w:val="0"/>
              <w:snapToGrid w:val="0"/>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病牛隔离室</w:t>
            </w:r>
          </w:p>
        </w:tc>
        <w:tc>
          <w:tcPr>
            <w:tcW w:w="6972" w:type="dxa"/>
            <w:vAlign w:val="center"/>
          </w:tcPr>
          <w:p>
            <w:pPr>
              <w:adjustRightInd w:val="0"/>
              <w:snapToGrid w:val="0"/>
              <w:ind w:firstLine="420" w:firstLineChars="200"/>
              <w:rPr>
                <w:rFonts w:hint="eastAsia" w:ascii="Times New Roman" w:hAnsi="Times New Roman" w:eastAsia="宋体"/>
                <w:szCs w:val="21"/>
                <w:lang w:eastAsia="zh-CN"/>
              </w:rPr>
            </w:pPr>
            <w:r>
              <w:rPr>
                <w:rFonts w:hint="eastAsia" w:ascii="Times New Roman" w:hAnsi="Times New Roman"/>
                <w:szCs w:val="21"/>
                <w:lang w:eastAsia="zh-CN"/>
              </w:rPr>
              <w:t>建设一座病牛隔离室，主要用于隔离病牛，预防病牛疾病的传播，便于观察</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hint="eastAsia" w:ascii="Times New Roman" w:hAnsi="Times New Roman"/>
                <w:bCs/>
                <w:szCs w:val="21"/>
              </w:rPr>
            </w:pPr>
          </w:p>
        </w:tc>
        <w:tc>
          <w:tcPr>
            <w:tcW w:w="1545" w:type="dxa"/>
            <w:gridSpan w:val="2"/>
            <w:vAlign w:val="center"/>
          </w:tcPr>
          <w:p>
            <w:pPr>
              <w:adjustRightInd w:val="0"/>
              <w:snapToGrid w:val="0"/>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病死牛暂存间</w:t>
            </w:r>
          </w:p>
        </w:tc>
        <w:tc>
          <w:tcPr>
            <w:tcW w:w="6972" w:type="dxa"/>
            <w:vAlign w:val="center"/>
          </w:tcPr>
          <w:p>
            <w:pPr>
              <w:adjustRightInd w:val="0"/>
              <w:snapToGrid w:val="0"/>
              <w:ind w:firstLine="420" w:firstLineChars="200"/>
              <w:rPr>
                <w:rFonts w:hint="eastAsia" w:ascii="Times New Roman" w:hAnsi="Times New Roman" w:eastAsia="宋体"/>
                <w:szCs w:val="21"/>
                <w:lang w:eastAsia="zh-CN"/>
              </w:rPr>
            </w:pPr>
            <w:r>
              <w:rPr>
                <w:rFonts w:hint="eastAsia" w:ascii="Times New Roman" w:hAnsi="Times New Roman"/>
                <w:szCs w:val="21"/>
                <w:lang w:eastAsia="zh-CN"/>
              </w:rPr>
              <w:t>病死牛暂存间用于临死存放病死牛，防止疾病的传染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hint="eastAsia" w:ascii="Times New Roman" w:hAnsi="Times New Roman"/>
                <w:bCs/>
                <w:szCs w:val="21"/>
              </w:rPr>
            </w:pPr>
          </w:p>
        </w:tc>
        <w:tc>
          <w:tcPr>
            <w:tcW w:w="1545" w:type="dxa"/>
            <w:gridSpan w:val="2"/>
            <w:vAlign w:val="center"/>
          </w:tcPr>
          <w:p>
            <w:pPr>
              <w:adjustRightInd w:val="0"/>
              <w:snapToGrid w:val="0"/>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防疫室</w:t>
            </w:r>
          </w:p>
        </w:tc>
        <w:tc>
          <w:tcPr>
            <w:tcW w:w="6972" w:type="dxa"/>
            <w:vAlign w:val="center"/>
          </w:tcPr>
          <w:p>
            <w:pPr>
              <w:adjustRightInd w:val="0"/>
              <w:snapToGrid w:val="0"/>
              <w:ind w:firstLine="420" w:firstLineChars="200"/>
              <w:rPr>
                <w:rFonts w:hint="default" w:ascii="Times New Roman" w:hAnsi="Times New Roman" w:eastAsia="宋体"/>
                <w:szCs w:val="21"/>
                <w:lang w:val="en-US" w:eastAsia="zh-CN"/>
              </w:rPr>
            </w:pPr>
            <w:r>
              <w:rPr>
                <w:rFonts w:hint="eastAsia" w:ascii="Times New Roman" w:hAnsi="Times New Roman"/>
                <w:szCs w:val="21"/>
                <w:lang w:eastAsia="zh-CN"/>
              </w:rPr>
              <w:t>在厂区入口处建设</w:t>
            </w:r>
            <w:r>
              <w:rPr>
                <w:rFonts w:hint="eastAsia" w:ascii="Times New Roman" w:hAnsi="Times New Roman"/>
                <w:szCs w:val="21"/>
                <w:lang w:val="en-US" w:eastAsia="zh-CN"/>
              </w:rPr>
              <w:t>1间防疫室</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hint="eastAsia" w:ascii="Times New Roman" w:hAnsi="Times New Roman"/>
                <w:bCs/>
                <w:szCs w:val="21"/>
              </w:rPr>
            </w:pPr>
          </w:p>
        </w:tc>
        <w:tc>
          <w:tcPr>
            <w:tcW w:w="1545" w:type="dxa"/>
            <w:gridSpan w:val="2"/>
            <w:vAlign w:val="center"/>
          </w:tcPr>
          <w:p>
            <w:pPr>
              <w:adjustRightInd w:val="0"/>
              <w:snapToGrid w:val="0"/>
              <w:jc w:val="center"/>
              <w:rPr>
                <w:rFonts w:hint="eastAsia" w:ascii="Times New Roman" w:hAnsi="Times New Roman"/>
                <w:szCs w:val="21"/>
                <w:highlight w:val="none"/>
                <w:lang w:eastAsia="zh-CN"/>
              </w:rPr>
            </w:pPr>
            <w:r>
              <w:rPr>
                <w:rFonts w:hint="eastAsia" w:ascii="Times New Roman" w:hAnsi="Times New Roman"/>
                <w:szCs w:val="21"/>
                <w:highlight w:val="none"/>
                <w:lang w:eastAsia="zh-CN"/>
              </w:rPr>
              <w:t>冷配室</w:t>
            </w:r>
          </w:p>
        </w:tc>
        <w:tc>
          <w:tcPr>
            <w:tcW w:w="6972" w:type="dxa"/>
            <w:vAlign w:val="center"/>
          </w:tcPr>
          <w:p>
            <w:pPr>
              <w:adjustRightInd w:val="0"/>
              <w:snapToGrid w:val="0"/>
              <w:ind w:firstLine="420" w:firstLineChars="200"/>
              <w:rPr>
                <w:rFonts w:hint="eastAsia" w:ascii="Times New Roman" w:hAnsi="Times New Roman" w:eastAsia="宋体"/>
                <w:szCs w:val="21"/>
                <w:lang w:eastAsia="zh-CN"/>
              </w:rPr>
            </w:pPr>
            <w:r>
              <w:rPr>
                <w:rFonts w:hint="eastAsia" w:ascii="Times New Roman" w:hAnsi="Times New Roman"/>
                <w:szCs w:val="21"/>
                <w:lang w:eastAsia="zh-CN"/>
              </w:rPr>
              <w:t>在牛舍东侧建设一座冷配室，作为基础母牛存放精子和受孕的场所</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hint="eastAsia" w:ascii="Times New Roman" w:hAnsi="Times New Roman"/>
                <w:bCs/>
                <w:szCs w:val="21"/>
              </w:rPr>
            </w:pPr>
          </w:p>
        </w:tc>
        <w:tc>
          <w:tcPr>
            <w:tcW w:w="1545" w:type="dxa"/>
            <w:gridSpan w:val="2"/>
            <w:vAlign w:val="center"/>
          </w:tcPr>
          <w:p>
            <w:pPr>
              <w:adjustRightInd w:val="0"/>
              <w:snapToGrid w:val="0"/>
              <w:jc w:val="center"/>
              <w:rPr>
                <w:rFonts w:hint="eastAsia" w:ascii="Times New Roman" w:hAnsi="Times New Roman"/>
                <w:szCs w:val="21"/>
                <w:highlight w:val="none"/>
                <w:lang w:eastAsia="zh-CN"/>
              </w:rPr>
            </w:pPr>
            <w:r>
              <w:rPr>
                <w:rFonts w:hint="eastAsia" w:ascii="Times New Roman" w:hAnsi="Times New Roman"/>
                <w:szCs w:val="21"/>
                <w:highlight w:val="none"/>
                <w:lang w:eastAsia="zh-CN"/>
              </w:rPr>
              <w:t>废弃物暂存间</w:t>
            </w:r>
          </w:p>
        </w:tc>
        <w:tc>
          <w:tcPr>
            <w:tcW w:w="6972" w:type="dxa"/>
            <w:vAlign w:val="center"/>
          </w:tcPr>
          <w:p>
            <w:pPr>
              <w:adjustRightInd w:val="0"/>
              <w:snapToGrid w:val="0"/>
              <w:ind w:firstLine="420" w:firstLineChars="200"/>
              <w:rPr>
                <w:rFonts w:hint="eastAsia" w:ascii="Times New Roman" w:hAnsi="Times New Roman" w:eastAsia="宋体"/>
                <w:szCs w:val="21"/>
                <w:lang w:eastAsia="zh-CN"/>
              </w:rPr>
            </w:pPr>
            <w:r>
              <w:rPr>
                <w:rFonts w:hint="eastAsia" w:ascii="Times New Roman" w:hAnsi="Times New Roman"/>
                <w:szCs w:val="21"/>
                <w:lang w:eastAsia="zh-CN"/>
              </w:rPr>
              <w:t>用于存放危险废物及医疗垃圾等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color w:val="FF0000"/>
                <w:szCs w:val="21"/>
              </w:rPr>
            </w:pPr>
          </w:p>
        </w:tc>
        <w:tc>
          <w:tcPr>
            <w:tcW w:w="1545" w:type="dxa"/>
            <w:gridSpan w:val="2"/>
            <w:vAlign w:val="center"/>
          </w:tcPr>
          <w:p>
            <w:pPr>
              <w:adjustRightInd w:val="0"/>
              <w:snapToGrid w:val="0"/>
              <w:jc w:val="center"/>
              <w:rPr>
                <w:rFonts w:ascii="Times New Roman" w:hAnsi="Times New Roman"/>
                <w:szCs w:val="21"/>
              </w:rPr>
            </w:pPr>
            <w:r>
              <w:rPr>
                <w:rFonts w:hint="eastAsia" w:ascii="Times New Roman" w:hAnsi="Times New Roman"/>
                <w:szCs w:val="21"/>
              </w:rPr>
              <w:t>生活用房</w:t>
            </w:r>
          </w:p>
        </w:tc>
        <w:tc>
          <w:tcPr>
            <w:tcW w:w="6972" w:type="dxa"/>
            <w:vAlign w:val="center"/>
          </w:tcPr>
          <w:p>
            <w:pPr>
              <w:adjustRightInd w:val="0"/>
              <w:snapToGrid w:val="0"/>
              <w:ind w:firstLine="420" w:firstLineChars="200"/>
              <w:rPr>
                <w:rFonts w:ascii="Times New Roman" w:hAnsi="Times New Roman"/>
                <w:szCs w:val="21"/>
              </w:rPr>
            </w:pPr>
            <w:r>
              <w:rPr>
                <w:rFonts w:hint="eastAsia" w:ascii="Times New Roman" w:hAnsi="Times New Roman"/>
                <w:szCs w:val="21"/>
              </w:rPr>
              <w:t>修建保温板钢结办公生活区100</w:t>
            </w:r>
            <w:r>
              <w:rPr>
                <w:rFonts w:ascii="Times New Roman" w:hAnsi="Times New Roman"/>
                <w:szCs w:val="21"/>
              </w:rPr>
              <w:t>m</w:t>
            </w:r>
            <w:r>
              <w:rPr>
                <w:rFonts w:hint="eastAsia" w:ascii="Times New Roman" w:hAnsi="Times New Roman"/>
                <w:szCs w:val="21"/>
                <w:vertAlign w:val="superscript"/>
              </w:rPr>
              <w:t>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bCs/>
                <w:szCs w:val="21"/>
              </w:rPr>
            </w:pPr>
          </w:p>
        </w:tc>
        <w:tc>
          <w:tcPr>
            <w:tcW w:w="1545" w:type="dxa"/>
            <w:gridSpan w:val="2"/>
            <w:vAlign w:val="center"/>
          </w:tcPr>
          <w:p>
            <w:pPr>
              <w:adjustRightInd w:val="0"/>
              <w:snapToGrid w:val="0"/>
              <w:jc w:val="center"/>
              <w:rPr>
                <w:rFonts w:ascii="Times New Roman" w:hAnsi="Times New Roman"/>
                <w:szCs w:val="21"/>
              </w:rPr>
            </w:pPr>
            <w:r>
              <w:rPr>
                <w:rFonts w:hint="eastAsia" w:ascii="Times New Roman" w:hAnsi="Times New Roman"/>
                <w:szCs w:val="21"/>
              </w:rPr>
              <w:t>围墙</w:t>
            </w:r>
          </w:p>
        </w:tc>
        <w:tc>
          <w:tcPr>
            <w:tcW w:w="6972" w:type="dxa"/>
            <w:vAlign w:val="center"/>
          </w:tcPr>
          <w:p>
            <w:pPr>
              <w:adjustRightInd w:val="0"/>
              <w:snapToGrid w:val="0"/>
              <w:ind w:firstLine="420" w:firstLineChars="200"/>
              <w:rPr>
                <w:rFonts w:ascii="Times New Roman" w:hAnsi="Times New Roman"/>
                <w:szCs w:val="21"/>
              </w:rPr>
            </w:pPr>
            <w:r>
              <w:rPr>
                <w:rFonts w:hint="eastAsia" w:ascii="Times New Roman" w:hAnsi="Times New Roman"/>
                <w:szCs w:val="21"/>
              </w:rPr>
              <w:t>建设长度650m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color w:val="FF0000"/>
                <w:szCs w:val="21"/>
              </w:rPr>
            </w:pPr>
          </w:p>
        </w:tc>
        <w:tc>
          <w:tcPr>
            <w:tcW w:w="1545" w:type="dxa"/>
            <w:gridSpan w:val="2"/>
            <w:vAlign w:val="center"/>
          </w:tcPr>
          <w:p>
            <w:pPr>
              <w:adjustRightInd w:val="0"/>
              <w:snapToGrid w:val="0"/>
              <w:jc w:val="center"/>
              <w:rPr>
                <w:rFonts w:ascii="Times New Roman" w:hAnsi="Times New Roman"/>
                <w:szCs w:val="21"/>
              </w:rPr>
            </w:pPr>
            <w:r>
              <w:rPr>
                <w:rFonts w:hint="eastAsia" w:ascii="Times New Roman" w:hAnsi="Times New Roman"/>
                <w:szCs w:val="21"/>
              </w:rPr>
              <w:t>防疫通道</w:t>
            </w:r>
          </w:p>
        </w:tc>
        <w:tc>
          <w:tcPr>
            <w:tcW w:w="6972" w:type="dxa"/>
            <w:vAlign w:val="center"/>
          </w:tcPr>
          <w:p>
            <w:pPr>
              <w:adjustRightInd w:val="0"/>
              <w:snapToGrid w:val="0"/>
              <w:ind w:firstLine="420" w:firstLineChars="200"/>
              <w:rPr>
                <w:rFonts w:ascii="Times New Roman" w:hAnsi="Times New Roman"/>
                <w:szCs w:val="21"/>
              </w:rPr>
            </w:pPr>
            <w:r>
              <w:rPr>
                <w:rFonts w:ascii="Times New Roman" w:hAnsi="Times New Roman"/>
                <w:szCs w:val="21"/>
              </w:rPr>
              <w:t>场区主干道入口处设置1座</w:t>
            </w:r>
            <w:r>
              <w:rPr>
                <w:rFonts w:hint="eastAsia" w:ascii="Times New Roman" w:hAnsi="Times New Roman"/>
                <w:szCs w:val="21"/>
              </w:rPr>
              <w:t>防疫通道</w:t>
            </w:r>
            <w:r>
              <w:rPr>
                <w:rFonts w:ascii="Times New Roman" w:hAnsi="Times New Roman"/>
                <w:szCs w:val="21"/>
              </w:rPr>
              <w:t>对进出车辆进行消毒，进出人员在</w:t>
            </w:r>
            <w:r>
              <w:rPr>
                <w:rFonts w:hint="eastAsia" w:ascii="Times New Roman" w:hAnsi="Times New Roman"/>
                <w:szCs w:val="21"/>
              </w:rPr>
              <w:t>防疫通道</w:t>
            </w:r>
            <w:r>
              <w:rPr>
                <w:rFonts w:ascii="Times New Roman" w:hAnsi="Times New Roman"/>
                <w:szCs w:val="21"/>
              </w:rPr>
              <w:t>进行消毒，圈舍采用生石灰消毒。</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color w:val="FF0000"/>
                <w:szCs w:val="21"/>
              </w:rPr>
            </w:pPr>
          </w:p>
        </w:tc>
        <w:tc>
          <w:tcPr>
            <w:tcW w:w="1545" w:type="dxa"/>
            <w:gridSpan w:val="2"/>
            <w:vAlign w:val="center"/>
          </w:tcPr>
          <w:p>
            <w:pPr>
              <w:adjustRightInd w:val="0"/>
              <w:snapToGrid w:val="0"/>
              <w:jc w:val="center"/>
              <w:rPr>
                <w:rFonts w:ascii="Times New Roman" w:hAnsi="Times New Roman"/>
                <w:szCs w:val="21"/>
              </w:rPr>
            </w:pPr>
            <w:r>
              <w:rPr>
                <w:rFonts w:hint="eastAsia" w:ascii="Times New Roman" w:hAnsi="Times New Roman"/>
                <w:szCs w:val="21"/>
              </w:rPr>
              <w:t>泵房</w:t>
            </w:r>
          </w:p>
        </w:tc>
        <w:tc>
          <w:tcPr>
            <w:tcW w:w="6972" w:type="dxa"/>
            <w:vAlign w:val="center"/>
          </w:tcPr>
          <w:p>
            <w:pPr>
              <w:adjustRightInd w:val="0"/>
              <w:snapToGrid w:val="0"/>
              <w:ind w:firstLine="420" w:firstLineChars="200"/>
              <w:rPr>
                <w:rFonts w:ascii="Times New Roman" w:hAnsi="Times New Roman"/>
                <w:szCs w:val="21"/>
              </w:rPr>
            </w:pPr>
            <w:r>
              <w:rPr>
                <w:rFonts w:hint="eastAsia" w:ascii="Times New Roman" w:hAnsi="Times New Roman"/>
                <w:szCs w:val="21"/>
              </w:rPr>
              <w:t>项目设置泵房一座。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restart"/>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bCs/>
                <w:szCs w:val="21"/>
              </w:rPr>
              <w:t>公用工程</w:t>
            </w:r>
          </w:p>
        </w:tc>
        <w:tc>
          <w:tcPr>
            <w:tcW w:w="1545" w:type="dxa"/>
            <w:gridSpan w:val="2"/>
            <w:vAlign w:val="center"/>
          </w:tcPr>
          <w:p>
            <w:pPr>
              <w:adjustRightInd w:val="0"/>
              <w:snapToGrid w:val="0"/>
              <w:jc w:val="center"/>
              <w:rPr>
                <w:rFonts w:ascii="Times New Roman" w:hAnsi="Times New Roman"/>
                <w:color w:val="FF0000"/>
                <w:szCs w:val="21"/>
              </w:rPr>
            </w:pPr>
            <w:r>
              <w:rPr>
                <w:rFonts w:ascii="Times New Roman" w:hAnsi="Times New Roman"/>
                <w:szCs w:val="21"/>
              </w:rPr>
              <w:t>供水</w:t>
            </w:r>
          </w:p>
        </w:tc>
        <w:tc>
          <w:tcPr>
            <w:tcW w:w="6972" w:type="dxa"/>
            <w:vAlign w:val="center"/>
          </w:tcPr>
          <w:p>
            <w:pPr>
              <w:adjustRightInd w:val="0"/>
              <w:snapToGrid w:val="0"/>
              <w:ind w:firstLine="420" w:firstLineChars="200"/>
              <w:rPr>
                <w:rFonts w:ascii="Times New Roman" w:hAnsi="Times New Roman"/>
                <w:color w:val="FF0000"/>
                <w:szCs w:val="21"/>
              </w:rPr>
            </w:pPr>
            <w:r>
              <w:rPr>
                <w:rFonts w:ascii="Times New Roman" w:hAnsi="Times New Roman"/>
                <w:szCs w:val="21"/>
              </w:rPr>
              <w:t>主要为牛饮用水、生活用水及绿化用水</w:t>
            </w:r>
            <w:r>
              <w:rPr>
                <w:rFonts w:hint="eastAsia" w:ascii="Times New Roman" w:hAnsi="Times New Roman"/>
                <w:szCs w:val="21"/>
              </w:rPr>
              <w:t>等，水源由自来水系统供给</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szCs w:val="21"/>
              </w:rPr>
            </w:pPr>
          </w:p>
        </w:tc>
        <w:tc>
          <w:tcPr>
            <w:tcW w:w="1545" w:type="dxa"/>
            <w:gridSpan w:val="2"/>
            <w:vAlign w:val="center"/>
          </w:tcPr>
          <w:p>
            <w:pPr>
              <w:adjustRightInd w:val="0"/>
              <w:snapToGrid w:val="0"/>
              <w:jc w:val="center"/>
              <w:rPr>
                <w:rFonts w:ascii="Times New Roman" w:hAnsi="Times New Roman"/>
                <w:szCs w:val="21"/>
              </w:rPr>
            </w:pPr>
            <w:r>
              <w:rPr>
                <w:rFonts w:ascii="Times New Roman" w:hAnsi="Times New Roman"/>
                <w:szCs w:val="21"/>
              </w:rPr>
              <w:t>供电</w:t>
            </w:r>
          </w:p>
        </w:tc>
        <w:tc>
          <w:tcPr>
            <w:tcW w:w="6972" w:type="dxa"/>
            <w:vAlign w:val="center"/>
          </w:tcPr>
          <w:p>
            <w:pPr>
              <w:adjustRightInd w:val="0"/>
              <w:snapToGrid w:val="0"/>
              <w:ind w:firstLine="420" w:firstLineChars="200"/>
              <w:rPr>
                <w:rFonts w:ascii="Times New Roman" w:hAnsi="Times New Roman"/>
                <w:szCs w:val="21"/>
              </w:rPr>
            </w:pPr>
            <w:r>
              <w:rPr>
                <w:rFonts w:ascii="Times New Roman" w:hAnsi="Times New Roman"/>
                <w:szCs w:val="21"/>
              </w:rPr>
              <w:t>由</w:t>
            </w:r>
            <w:r>
              <w:rPr>
                <w:rFonts w:hint="eastAsia" w:ascii="Times New Roman" w:hAnsi="Times New Roman"/>
                <w:szCs w:val="21"/>
              </w:rPr>
              <w:t>神林乡变电所</w:t>
            </w:r>
            <w:r>
              <w:rPr>
                <w:rFonts w:hint="eastAsia" w:ascii="Times New Roman" w:hAnsi="Times New Roman"/>
                <w:szCs w:val="21"/>
                <w:lang w:eastAsia="zh-CN"/>
              </w:rPr>
              <w:t>供电，</w:t>
            </w:r>
            <w:r>
              <w:rPr>
                <w:rFonts w:hint="eastAsia" w:ascii="Times New Roman" w:hAnsi="Times New Roman"/>
                <w:szCs w:val="21"/>
              </w:rPr>
              <w:t>供电电压为380/220V 三相四线制，主要为生产设备及照明用电，用电负荷为三级。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szCs w:val="21"/>
              </w:rPr>
            </w:pPr>
          </w:p>
        </w:tc>
        <w:tc>
          <w:tcPr>
            <w:tcW w:w="1545" w:type="dxa"/>
            <w:gridSpan w:val="2"/>
            <w:vAlign w:val="center"/>
          </w:tcPr>
          <w:p>
            <w:pPr>
              <w:adjustRightInd w:val="0"/>
              <w:snapToGrid w:val="0"/>
              <w:jc w:val="center"/>
              <w:rPr>
                <w:rFonts w:ascii="Times New Roman" w:hAnsi="Times New Roman"/>
                <w:szCs w:val="21"/>
                <w:highlight w:val="red"/>
              </w:rPr>
            </w:pPr>
            <w:r>
              <w:rPr>
                <w:rFonts w:ascii="Times New Roman" w:hAnsi="Times New Roman"/>
                <w:szCs w:val="21"/>
              </w:rPr>
              <w:t>供暖</w:t>
            </w:r>
          </w:p>
        </w:tc>
        <w:tc>
          <w:tcPr>
            <w:tcW w:w="6972" w:type="dxa"/>
            <w:vAlign w:val="center"/>
          </w:tcPr>
          <w:p>
            <w:pPr>
              <w:adjustRightInd w:val="0"/>
              <w:snapToGrid w:val="0"/>
              <w:ind w:firstLine="420" w:firstLineChars="200"/>
              <w:jc w:val="center"/>
              <w:rPr>
                <w:rFonts w:ascii="Times New Roman" w:hAnsi="Times New Roman"/>
                <w:szCs w:val="21"/>
                <w:highlight w:val="red"/>
              </w:rPr>
            </w:pPr>
            <w:r>
              <w:rPr>
                <w:rFonts w:hint="eastAsia" w:ascii="Times New Roman" w:hAnsi="Times New Roman"/>
                <w:szCs w:val="21"/>
              </w:rPr>
              <w:t>本项目无供暖</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szCs w:val="21"/>
              </w:rPr>
            </w:pPr>
          </w:p>
        </w:tc>
        <w:tc>
          <w:tcPr>
            <w:tcW w:w="1545" w:type="dxa"/>
            <w:gridSpan w:val="2"/>
            <w:vAlign w:val="center"/>
          </w:tcPr>
          <w:p>
            <w:pPr>
              <w:adjustRightInd w:val="0"/>
              <w:snapToGrid w:val="0"/>
              <w:jc w:val="center"/>
              <w:rPr>
                <w:rFonts w:ascii="Times New Roman" w:hAnsi="Times New Roman"/>
                <w:szCs w:val="21"/>
              </w:rPr>
            </w:pPr>
            <w:r>
              <w:rPr>
                <w:rFonts w:ascii="Times New Roman" w:hAnsi="Times New Roman"/>
                <w:szCs w:val="21"/>
              </w:rPr>
              <w:t>排水</w:t>
            </w:r>
          </w:p>
        </w:tc>
        <w:tc>
          <w:tcPr>
            <w:tcW w:w="6972" w:type="dxa"/>
            <w:vAlign w:val="center"/>
          </w:tcPr>
          <w:p>
            <w:pPr>
              <w:adjustRightInd w:val="0"/>
              <w:snapToGrid w:val="0"/>
              <w:ind w:firstLine="210" w:firstLineChars="100"/>
              <w:rPr>
                <w:rFonts w:ascii="Times New Roman" w:hAnsi="Times New Roman"/>
                <w:color w:val="FF0000"/>
                <w:szCs w:val="21"/>
              </w:rPr>
            </w:pPr>
            <w:r>
              <w:rPr>
                <w:rFonts w:ascii="Times New Roman" w:hAnsi="Times New Roman"/>
                <w:szCs w:val="21"/>
              </w:rPr>
              <w:t>场区采取雨污分流</w:t>
            </w:r>
            <w:r>
              <w:rPr>
                <w:rFonts w:hint="eastAsia" w:ascii="Times New Roman" w:hAnsi="Times New Roman"/>
                <w:szCs w:val="21"/>
                <w:lang w:eastAsia="zh-CN"/>
              </w:rPr>
              <w:t>，干清粪工艺，</w:t>
            </w:r>
            <w:r>
              <w:rPr>
                <w:rFonts w:hint="eastAsia" w:ascii="Times New Roman" w:hAnsi="Times New Roman"/>
                <w:color w:val="auto"/>
                <w:szCs w:val="21"/>
                <w:lang w:val="zh-CN"/>
              </w:rPr>
              <w:t>养殖期间无生产废水排放。</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restart"/>
            <w:vAlign w:val="center"/>
          </w:tcPr>
          <w:p>
            <w:pPr>
              <w:adjustRightInd w:val="0"/>
              <w:snapToGrid w:val="0"/>
              <w:ind w:left="-105" w:leftChars="-50" w:right="-105" w:rightChars="-50"/>
              <w:jc w:val="center"/>
              <w:rPr>
                <w:rFonts w:ascii="Times New Roman" w:hAnsi="Times New Roman"/>
                <w:szCs w:val="21"/>
              </w:rPr>
            </w:pPr>
            <w:r>
              <w:rPr>
                <w:rFonts w:ascii="Times New Roman" w:hAnsi="Times New Roman"/>
                <w:bCs/>
                <w:szCs w:val="21"/>
              </w:rPr>
              <w:t>环保工程</w:t>
            </w:r>
          </w:p>
        </w:tc>
        <w:tc>
          <w:tcPr>
            <w:tcW w:w="1545" w:type="dxa"/>
            <w:gridSpan w:val="2"/>
            <w:vAlign w:val="center"/>
          </w:tcPr>
          <w:p>
            <w:pPr>
              <w:adjustRightInd w:val="0"/>
              <w:snapToGrid w:val="0"/>
              <w:jc w:val="center"/>
              <w:rPr>
                <w:rFonts w:ascii="Times New Roman" w:hAnsi="Times New Roman"/>
                <w:szCs w:val="21"/>
              </w:rPr>
            </w:pPr>
            <w:r>
              <w:rPr>
                <w:rFonts w:ascii="Times New Roman" w:hAnsi="Times New Roman"/>
                <w:szCs w:val="21"/>
              </w:rPr>
              <w:t>施工期</w:t>
            </w:r>
            <w:r>
              <w:rPr>
                <w:rFonts w:hint="eastAsia" w:ascii="Times New Roman" w:hAnsi="Times New Roman"/>
                <w:szCs w:val="21"/>
              </w:rPr>
              <w:t>治理</w:t>
            </w:r>
          </w:p>
        </w:tc>
        <w:tc>
          <w:tcPr>
            <w:tcW w:w="6972" w:type="dxa"/>
            <w:vAlign w:val="center"/>
          </w:tcPr>
          <w:p>
            <w:pPr>
              <w:widowControl/>
              <w:adjustRightInd w:val="0"/>
              <w:snapToGrid w:val="0"/>
              <w:ind w:firstLine="420" w:firstLineChars="200"/>
              <w:rPr>
                <w:rFonts w:ascii="Times New Roman" w:hAnsi="Times New Roman"/>
                <w:szCs w:val="21"/>
              </w:rPr>
            </w:pPr>
            <w:r>
              <w:rPr>
                <w:rFonts w:ascii="Times New Roman" w:hAnsi="Times New Roman"/>
                <w:szCs w:val="21"/>
              </w:rPr>
              <w:t>施工扬尘：施工现场设置围挡，现场定时洒水降尘，道路硬质覆盖，粉性物料采取封闭、遮盖措施，运输车辆加盖苫布，防止扬尘对周围环境的污染；</w:t>
            </w:r>
          </w:p>
          <w:p>
            <w:pPr>
              <w:adjustRightInd w:val="0"/>
              <w:snapToGrid w:val="0"/>
              <w:ind w:firstLine="420" w:firstLineChars="200"/>
              <w:rPr>
                <w:rFonts w:ascii="Times New Roman" w:hAnsi="Times New Roman"/>
                <w:color w:val="FF0000"/>
                <w:szCs w:val="21"/>
              </w:rPr>
            </w:pPr>
            <w:r>
              <w:rPr>
                <w:rFonts w:ascii="Times New Roman" w:hAnsi="Times New Roman"/>
                <w:szCs w:val="21"/>
              </w:rPr>
              <w:t>施工期废水：设置防渗旱厕，</w:t>
            </w:r>
            <w:r>
              <w:rPr>
                <w:rFonts w:hint="eastAsia" w:ascii="Times New Roman" w:hAnsi="Times New Roman"/>
                <w:szCs w:val="21"/>
              </w:rPr>
              <w:t>定期清掏</w:t>
            </w:r>
            <w:r>
              <w:rPr>
                <w:rFonts w:ascii="Times New Roman" w:hAnsi="Times New Roman"/>
                <w:szCs w:val="21"/>
              </w:rPr>
              <w:t>同粪污一同</w:t>
            </w:r>
            <w:r>
              <w:rPr>
                <w:rFonts w:hint="eastAsia" w:ascii="Times New Roman" w:hAnsi="Times New Roman"/>
                <w:szCs w:val="21"/>
              </w:rPr>
              <w:t>堆放用于饲草地以及周边农民施肥到农田里；</w:t>
            </w:r>
            <w:r>
              <w:rPr>
                <w:rFonts w:ascii="Times New Roman" w:hAnsi="Times New Roman"/>
                <w:szCs w:val="21"/>
              </w:rPr>
              <w:t>生活污水主要为洗漱废水，收集用于泼洒抑尘</w:t>
            </w:r>
            <w:r>
              <w:rPr>
                <w:rFonts w:hint="eastAsia" w:ascii="Times New Roman" w:hAnsi="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szCs w:val="21"/>
              </w:rPr>
            </w:pPr>
          </w:p>
        </w:tc>
        <w:tc>
          <w:tcPr>
            <w:tcW w:w="715" w:type="dxa"/>
            <w:vMerge w:val="restart"/>
            <w:vAlign w:val="center"/>
          </w:tcPr>
          <w:p>
            <w:pPr>
              <w:adjustRightInd w:val="0"/>
              <w:snapToGrid w:val="0"/>
              <w:jc w:val="center"/>
              <w:rPr>
                <w:rFonts w:ascii="Times New Roman" w:hAnsi="Times New Roman"/>
                <w:szCs w:val="21"/>
              </w:rPr>
            </w:pPr>
            <w:r>
              <w:rPr>
                <w:rFonts w:ascii="Times New Roman" w:hAnsi="Times New Roman"/>
                <w:szCs w:val="21"/>
              </w:rPr>
              <w:t>废气处理设施</w:t>
            </w:r>
          </w:p>
        </w:tc>
        <w:tc>
          <w:tcPr>
            <w:tcW w:w="830" w:type="dxa"/>
            <w:vAlign w:val="center"/>
          </w:tcPr>
          <w:p>
            <w:pPr>
              <w:adjustRightInd w:val="0"/>
              <w:snapToGrid w:val="0"/>
              <w:jc w:val="center"/>
              <w:rPr>
                <w:rFonts w:ascii="Times New Roman" w:hAnsi="Times New Roman"/>
                <w:szCs w:val="21"/>
              </w:rPr>
            </w:pPr>
            <w:r>
              <w:rPr>
                <w:rFonts w:ascii="Times New Roman" w:hAnsi="Times New Roman"/>
                <w:szCs w:val="21"/>
              </w:rPr>
              <w:t>粉尘</w:t>
            </w:r>
          </w:p>
        </w:tc>
        <w:tc>
          <w:tcPr>
            <w:tcW w:w="6972" w:type="dxa"/>
            <w:vAlign w:val="center"/>
          </w:tcPr>
          <w:p>
            <w:pPr>
              <w:adjustRightInd w:val="0"/>
              <w:snapToGrid w:val="0"/>
              <w:ind w:firstLine="420" w:firstLineChars="200"/>
              <w:rPr>
                <w:rFonts w:ascii="Times New Roman" w:hAnsi="Times New Roman"/>
                <w:szCs w:val="21"/>
              </w:rPr>
            </w:pPr>
            <w:r>
              <w:rPr>
                <w:rFonts w:ascii="Times New Roman" w:hAnsi="Times New Roman"/>
                <w:bCs/>
                <w:szCs w:val="21"/>
              </w:rPr>
              <w:t>饲料加工粉碎在半封闭式厂房内进行，采用日粮混合机进行湿润搅拌，设备自带除尘设施</w:t>
            </w:r>
            <w:r>
              <w:rPr>
                <w:rFonts w:hint="eastAsia" w:ascii="Times New Roman" w:hAnsi="Times New Roman"/>
                <w:bCs/>
                <w:szCs w:val="21"/>
              </w:rPr>
              <w:t>，除尘效率98%</w:t>
            </w:r>
            <w:r>
              <w:rPr>
                <w:rFonts w:ascii="Times New Roman" w:hAnsi="Times New Roman"/>
                <w:bCs/>
                <w:szCs w:val="21"/>
              </w:rPr>
              <w:t>，粉尘以无组织形式排放。</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396"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szCs w:val="21"/>
              </w:rPr>
            </w:pPr>
          </w:p>
        </w:tc>
        <w:tc>
          <w:tcPr>
            <w:tcW w:w="715" w:type="dxa"/>
            <w:vMerge w:val="continue"/>
            <w:vAlign w:val="center"/>
          </w:tcPr>
          <w:p>
            <w:pPr>
              <w:adjustRightInd w:val="0"/>
              <w:snapToGrid w:val="0"/>
              <w:jc w:val="center"/>
              <w:rPr>
                <w:rFonts w:ascii="Times New Roman" w:hAnsi="Times New Roman"/>
                <w:szCs w:val="21"/>
              </w:rPr>
            </w:pPr>
          </w:p>
        </w:tc>
        <w:tc>
          <w:tcPr>
            <w:tcW w:w="830" w:type="dxa"/>
            <w:vAlign w:val="center"/>
          </w:tcPr>
          <w:p>
            <w:pPr>
              <w:adjustRightInd w:val="0"/>
              <w:snapToGrid w:val="0"/>
              <w:jc w:val="center"/>
              <w:rPr>
                <w:rFonts w:ascii="Times New Roman" w:hAnsi="Times New Roman"/>
                <w:szCs w:val="21"/>
              </w:rPr>
            </w:pPr>
            <w:r>
              <w:rPr>
                <w:rFonts w:hint="eastAsia" w:ascii="Times New Roman" w:hAnsi="Times New Roman"/>
                <w:szCs w:val="21"/>
              </w:rPr>
              <w:t>恶臭</w:t>
            </w:r>
          </w:p>
        </w:tc>
        <w:tc>
          <w:tcPr>
            <w:tcW w:w="6972" w:type="dxa"/>
            <w:vAlign w:val="center"/>
          </w:tcPr>
          <w:p>
            <w:pPr>
              <w:adjustRightInd w:val="0"/>
              <w:snapToGrid w:val="0"/>
              <w:ind w:firstLine="420" w:firstLineChars="200"/>
              <w:jc w:val="left"/>
              <w:rPr>
                <w:rFonts w:ascii="Times New Roman" w:hAnsi="Times New Roman"/>
              </w:rPr>
            </w:pPr>
            <w:r>
              <w:rPr>
                <w:rFonts w:ascii="Times New Roman" w:hAnsi="Times New Roman"/>
                <w:bCs/>
              </w:rPr>
              <w:t>牛</w:t>
            </w:r>
            <w:r>
              <w:rPr>
                <w:rFonts w:hint="eastAsia" w:ascii="Times New Roman" w:hAnsi="Times New Roman"/>
                <w:bCs/>
              </w:rPr>
              <w:t>棚</w:t>
            </w:r>
            <w:r>
              <w:rPr>
                <w:rFonts w:ascii="Times New Roman" w:hAnsi="Times New Roman"/>
                <w:bCs/>
              </w:rPr>
              <w:t>：</w:t>
            </w:r>
            <w:r>
              <w:rPr>
                <w:rFonts w:ascii="Times New Roman" w:hAnsi="Times New Roman"/>
              </w:rPr>
              <w:t>定期消毒，喷洒除臭剂（生石灰）等。减少恶臭污染物的蓄积</w:t>
            </w:r>
            <w:r>
              <w:rPr>
                <w:rFonts w:hint="eastAsia" w:ascii="Times New Roman" w:hAnsi="Times New Roman"/>
              </w:rPr>
              <w:t>。</w:t>
            </w:r>
          </w:p>
          <w:p>
            <w:pPr>
              <w:adjustRightInd w:val="0"/>
              <w:snapToGrid w:val="0"/>
              <w:ind w:firstLine="420" w:firstLineChars="200"/>
              <w:jc w:val="left"/>
              <w:rPr>
                <w:rFonts w:ascii="Times New Roman" w:hAnsi="Times New Roman"/>
              </w:rPr>
            </w:pPr>
            <w:r>
              <w:rPr>
                <w:rFonts w:hint="eastAsia" w:ascii="Times New Roman" w:hAnsi="Times New Roman"/>
                <w:bCs/>
              </w:rPr>
              <w:t>积粪场</w:t>
            </w:r>
            <w:r>
              <w:rPr>
                <w:rFonts w:ascii="Times New Roman" w:hAnsi="Times New Roman"/>
                <w:bCs/>
              </w:rPr>
              <w:t>：</w:t>
            </w:r>
            <w:r>
              <w:rPr>
                <w:rFonts w:ascii="Times New Roman" w:hAnsi="Times New Roman"/>
              </w:rPr>
              <w:t>加强过程控制和清运管理，定期消毒，</w:t>
            </w:r>
            <w:r>
              <w:rPr>
                <w:rFonts w:hint="eastAsia" w:ascii="Times New Roman" w:hAnsi="Times New Roman"/>
              </w:rPr>
              <w:t>在积粪场</w:t>
            </w:r>
            <w:r>
              <w:rPr>
                <w:rFonts w:ascii="Times New Roman" w:hAnsi="Times New Roman"/>
              </w:rPr>
              <w:t>加入对粪污有降解除臭的特定微生物菌。</w:t>
            </w:r>
          </w:p>
          <w:p>
            <w:pPr>
              <w:pStyle w:val="43"/>
              <w:adjustRightInd w:val="0"/>
              <w:snapToGrid w:val="0"/>
              <w:spacing w:line="240" w:lineRule="auto"/>
              <w:ind w:firstLine="420"/>
            </w:pPr>
            <w:r>
              <w:rPr>
                <w:bCs/>
                <w:sz w:val="21"/>
              </w:rPr>
              <w:t>饲养过程：</w:t>
            </w:r>
            <w:r>
              <w:rPr>
                <w:sz w:val="21"/>
              </w:rPr>
              <w:t>需科学管理、调配饲料等措施治理恶臭。</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396"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szCs w:val="21"/>
              </w:rPr>
            </w:pPr>
          </w:p>
        </w:tc>
        <w:tc>
          <w:tcPr>
            <w:tcW w:w="1545" w:type="dxa"/>
            <w:gridSpan w:val="2"/>
            <w:vAlign w:val="center"/>
          </w:tcPr>
          <w:p>
            <w:pPr>
              <w:adjustRightInd w:val="0"/>
              <w:snapToGrid w:val="0"/>
              <w:jc w:val="center"/>
              <w:rPr>
                <w:rFonts w:hint="eastAsia" w:ascii="Times New Roman" w:hAnsi="Times New Roman"/>
                <w:szCs w:val="21"/>
              </w:rPr>
            </w:pPr>
            <w:r>
              <w:rPr>
                <w:rFonts w:hint="eastAsia" w:ascii="Times New Roman" w:hAnsi="Times New Roman"/>
                <w:szCs w:val="21"/>
                <w:lang w:eastAsia="zh-CN"/>
              </w:rPr>
              <w:t>废水</w:t>
            </w:r>
          </w:p>
        </w:tc>
        <w:tc>
          <w:tcPr>
            <w:tcW w:w="6972" w:type="dxa"/>
            <w:vAlign w:val="center"/>
          </w:tcPr>
          <w:p>
            <w:pPr>
              <w:spacing w:line="270" w:lineRule="exact"/>
              <w:ind w:firstLine="420" w:firstLineChars="200"/>
              <w:contextualSpacing/>
              <w:rPr>
                <w:rFonts w:cs="Times New Roman"/>
                <w:sz w:val="21"/>
                <w:szCs w:val="21"/>
              </w:rPr>
            </w:pPr>
            <w:bookmarkStart w:id="400" w:name="_Hlk106455077"/>
            <w:r>
              <w:rPr>
                <w:rFonts w:hint="eastAsia" w:cs="Times New Roman"/>
                <w:sz w:val="21"/>
                <w:szCs w:val="21"/>
              </w:rPr>
              <w:t>项目采用“雨污分流制”。</w:t>
            </w:r>
          </w:p>
          <w:p>
            <w:pPr>
              <w:spacing w:line="270" w:lineRule="exact"/>
              <w:ind w:firstLine="420" w:firstLineChars="200"/>
              <w:contextualSpacing/>
              <w:rPr>
                <w:rFonts w:hint="eastAsia" w:cs="Times New Roman"/>
                <w:color w:val="auto"/>
                <w:sz w:val="21"/>
                <w:szCs w:val="21"/>
              </w:rPr>
            </w:pPr>
            <w:r>
              <w:rPr>
                <w:rFonts w:hint="eastAsia" w:cs="Times New Roman"/>
                <w:color w:val="auto"/>
                <w:sz w:val="21"/>
                <w:szCs w:val="21"/>
              </w:rPr>
              <w:t>牛尿大部分蒸发，少量由牛舍垫料(主要为牛粪、沙土)吸收，</w:t>
            </w:r>
            <w:r>
              <w:rPr>
                <w:rFonts w:cs="Times New Roman"/>
                <w:color w:val="auto"/>
                <w:sz w:val="21"/>
                <w:szCs w:val="21"/>
              </w:rPr>
              <w:t>采用干法清粪工艺，采取机械+人工干法清粪方式将粪便及时、单独清出，做到日产日清</w:t>
            </w:r>
            <w:r>
              <w:rPr>
                <w:rFonts w:hint="eastAsia" w:cs="Times New Roman"/>
                <w:color w:val="auto"/>
                <w:sz w:val="21"/>
                <w:szCs w:val="21"/>
              </w:rPr>
              <w:t>，养殖期间无生产废水排放。</w:t>
            </w:r>
          </w:p>
          <w:p>
            <w:pPr>
              <w:pStyle w:val="2"/>
              <w:ind w:firstLine="420" w:firstLineChars="200"/>
              <w:rPr>
                <w:rFonts w:hint="eastAsia" w:ascii="Calibri" w:hAnsi="Calibri" w:eastAsia="宋体" w:cs="Times New Roman"/>
                <w:color w:val="auto"/>
                <w:kern w:val="2"/>
                <w:sz w:val="21"/>
                <w:szCs w:val="21"/>
                <w:lang w:val="en-US" w:eastAsia="zh-CN" w:bidi="ar-SA"/>
              </w:rPr>
            </w:pPr>
            <w:r>
              <w:rPr>
                <w:rFonts w:hint="eastAsia" w:ascii="Calibri" w:hAnsi="Calibri" w:eastAsia="宋体" w:cs="Times New Roman"/>
                <w:color w:val="auto"/>
                <w:kern w:val="2"/>
                <w:sz w:val="21"/>
                <w:szCs w:val="21"/>
                <w:lang w:val="en-US" w:eastAsia="zh-CN" w:bidi="ar-SA"/>
              </w:rPr>
              <w:t>职工生活污水主要为员工盥洗废水，用于厂区的洒水降尘；厂区建有卫生旱厕，用于员工生活卫生，旱厕定期由附近农户清掏还田。</w:t>
            </w:r>
          </w:p>
          <w:p>
            <w:pPr>
              <w:pStyle w:val="43"/>
              <w:adjustRightInd w:val="0"/>
              <w:snapToGrid w:val="0"/>
              <w:spacing w:line="240" w:lineRule="auto"/>
              <w:ind w:firstLine="420"/>
              <w:rPr>
                <w:bCs/>
                <w:sz w:val="21"/>
              </w:rPr>
            </w:pPr>
            <w:r>
              <w:rPr>
                <w:rFonts w:hint="eastAsia" w:cs="Times New Roman"/>
                <w:color w:val="auto"/>
                <w:sz w:val="21"/>
                <w:szCs w:val="21"/>
              </w:rPr>
              <w:t>厂区初期雨水通过道路两侧设置的导流沟进入1座1</w:t>
            </w:r>
            <w:r>
              <w:rPr>
                <w:rFonts w:cs="Times New Roman"/>
                <w:color w:val="auto"/>
                <w:sz w:val="21"/>
                <w:szCs w:val="21"/>
              </w:rPr>
              <w:t>20m</w:t>
            </w:r>
            <w:r>
              <w:rPr>
                <w:rFonts w:cs="Times New Roman"/>
                <w:color w:val="auto"/>
                <w:sz w:val="21"/>
                <w:szCs w:val="21"/>
                <w:vertAlign w:val="superscript"/>
              </w:rPr>
              <w:t>3</w:t>
            </w:r>
            <w:r>
              <w:rPr>
                <w:rFonts w:hint="eastAsia" w:cs="Times New Roman"/>
                <w:color w:val="auto"/>
                <w:sz w:val="21"/>
                <w:szCs w:val="21"/>
              </w:rPr>
              <w:t>初期雨水收集池(T</w:t>
            </w:r>
            <w:r>
              <w:rPr>
                <w:rFonts w:cs="Times New Roman"/>
                <w:color w:val="auto"/>
                <w:sz w:val="21"/>
                <w:szCs w:val="21"/>
              </w:rPr>
              <w:t>W002</w:t>
            </w:r>
            <w:r>
              <w:rPr>
                <w:rFonts w:hint="eastAsia" w:cs="Times New Roman"/>
                <w:color w:val="auto"/>
                <w:sz w:val="21"/>
                <w:szCs w:val="21"/>
              </w:rPr>
              <w:t>)</w:t>
            </w:r>
            <w:r>
              <w:rPr>
                <w:rFonts w:hint="eastAsia" w:cs="Times New Roman"/>
                <w:bCs/>
                <w:color w:val="auto"/>
                <w:sz w:val="21"/>
                <w:szCs w:val="21"/>
              </w:rPr>
              <w:t>，</w:t>
            </w:r>
            <w:r>
              <w:rPr>
                <w:rFonts w:hint="eastAsia" w:cs="Times New Roman"/>
                <w:color w:val="auto"/>
                <w:sz w:val="21"/>
                <w:szCs w:val="21"/>
              </w:rPr>
              <w:t>全部用于厂区绿化</w:t>
            </w:r>
            <w:bookmarkEnd w:id="400"/>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0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szCs w:val="21"/>
              </w:rPr>
            </w:pPr>
          </w:p>
        </w:tc>
        <w:tc>
          <w:tcPr>
            <w:tcW w:w="715" w:type="dxa"/>
            <w:vMerge w:val="restart"/>
            <w:vAlign w:val="center"/>
          </w:tcPr>
          <w:p>
            <w:pPr>
              <w:adjustRightInd w:val="0"/>
              <w:snapToGrid w:val="0"/>
              <w:jc w:val="center"/>
              <w:rPr>
                <w:rFonts w:ascii="Times New Roman" w:hAnsi="Times New Roman"/>
                <w:szCs w:val="21"/>
              </w:rPr>
            </w:pPr>
            <w:r>
              <w:rPr>
                <w:rFonts w:hint="eastAsia" w:ascii="Times New Roman" w:hAnsi="Times New Roman"/>
                <w:szCs w:val="21"/>
                <w:lang w:eastAsia="zh-CN"/>
              </w:rPr>
              <w:t>固体废物</w:t>
            </w:r>
            <w:r>
              <w:rPr>
                <w:rFonts w:ascii="Times New Roman" w:hAnsi="Times New Roman"/>
                <w:szCs w:val="21"/>
              </w:rPr>
              <w:t>处理设施</w:t>
            </w:r>
          </w:p>
        </w:tc>
        <w:tc>
          <w:tcPr>
            <w:tcW w:w="830" w:type="dxa"/>
            <w:vAlign w:val="center"/>
          </w:tcPr>
          <w:p>
            <w:pPr>
              <w:adjustRightInd w:val="0"/>
              <w:snapToGrid w:val="0"/>
              <w:jc w:val="center"/>
              <w:rPr>
                <w:rFonts w:ascii="Times New Roman" w:hAnsi="Times New Roman"/>
                <w:bCs/>
                <w:szCs w:val="21"/>
              </w:rPr>
            </w:pPr>
            <w:r>
              <w:rPr>
                <w:rFonts w:hint="eastAsia" w:ascii="Times New Roman" w:hAnsi="Times New Roman"/>
                <w:szCs w:val="21"/>
              </w:rPr>
              <w:t>牛粪</w:t>
            </w:r>
          </w:p>
        </w:tc>
        <w:tc>
          <w:tcPr>
            <w:tcW w:w="6972" w:type="dxa"/>
            <w:vAlign w:val="center"/>
          </w:tcPr>
          <w:p>
            <w:pPr>
              <w:adjustRightInd w:val="0"/>
              <w:snapToGrid w:val="0"/>
              <w:ind w:firstLine="420" w:firstLineChars="200"/>
              <w:jc w:val="left"/>
              <w:rPr>
                <w:rFonts w:ascii="Times New Roman" w:hAnsi="Times New Roman"/>
                <w:color w:val="FF0000"/>
                <w:szCs w:val="21"/>
              </w:rPr>
            </w:pPr>
            <w:r>
              <w:rPr>
                <w:rFonts w:hint="eastAsia" w:ascii="Times New Roman" w:hAnsi="Times New Roman"/>
              </w:rPr>
              <w:t>场区设置积粪处理场，及时清除圈舍牛粪，进行消毒处理后，或将粪便运入农田。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color w:val="FF0000"/>
                <w:szCs w:val="21"/>
              </w:rPr>
            </w:pPr>
          </w:p>
        </w:tc>
        <w:tc>
          <w:tcPr>
            <w:tcW w:w="715" w:type="dxa"/>
            <w:vMerge w:val="continue"/>
            <w:vAlign w:val="center"/>
          </w:tcPr>
          <w:p>
            <w:pPr>
              <w:adjustRightInd w:val="0"/>
              <w:snapToGrid w:val="0"/>
              <w:jc w:val="center"/>
              <w:rPr>
                <w:rFonts w:ascii="Times New Roman" w:hAnsi="Times New Roman"/>
                <w:szCs w:val="21"/>
                <w:highlight w:val="red"/>
              </w:rPr>
            </w:pPr>
          </w:p>
        </w:tc>
        <w:tc>
          <w:tcPr>
            <w:tcW w:w="830" w:type="dxa"/>
            <w:vAlign w:val="center"/>
          </w:tcPr>
          <w:p>
            <w:pPr>
              <w:adjustRightInd w:val="0"/>
              <w:snapToGrid w:val="0"/>
              <w:ind w:left="-105" w:leftChars="-50" w:right="-105" w:rightChars="-50"/>
              <w:jc w:val="center"/>
              <w:rPr>
                <w:rFonts w:hint="eastAsia" w:ascii="Times New Roman" w:hAnsi="Times New Roman" w:eastAsia="宋体"/>
                <w:szCs w:val="21"/>
                <w:lang w:eastAsia="zh-CN"/>
              </w:rPr>
            </w:pPr>
            <w:r>
              <w:rPr>
                <w:rFonts w:hint="eastAsia" w:ascii="Times New Roman" w:hAnsi="Times New Roman"/>
                <w:szCs w:val="21"/>
              </w:rPr>
              <w:t>病死牛尸体</w:t>
            </w:r>
            <w:r>
              <w:rPr>
                <w:rFonts w:hint="eastAsia" w:ascii="Times New Roman" w:hAnsi="Times New Roman"/>
                <w:szCs w:val="21"/>
                <w:lang w:eastAsia="zh-CN"/>
              </w:rPr>
              <w:t>及胎盘</w:t>
            </w:r>
          </w:p>
        </w:tc>
        <w:tc>
          <w:tcPr>
            <w:tcW w:w="6972" w:type="dxa"/>
            <w:vAlign w:val="center"/>
          </w:tcPr>
          <w:p>
            <w:pPr>
              <w:adjustRightInd w:val="0"/>
              <w:snapToGrid w:val="0"/>
              <w:ind w:firstLine="420" w:firstLineChars="200"/>
              <w:rPr>
                <w:rFonts w:ascii="Times New Roman" w:hAnsi="Times New Roman"/>
                <w:color w:val="FF0000"/>
                <w:szCs w:val="21"/>
              </w:rPr>
            </w:pPr>
            <w:r>
              <w:rPr>
                <w:rFonts w:hint="eastAsia" w:ascii="Times New Roman" w:hAnsi="Times New Roman"/>
                <w:szCs w:val="21"/>
              </w:rPr>
              <w:t>由隆德县神林畜牧兽医站监督运送到隆德县定点无害化处理场所焚烧深埋处理，不得随意丢弃</w:t>
            </w:r>
            <w:r>
              <w:rPr>
                <w:rFonts w:ascii="Times New Roman" w:hAnsi="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color w:val="FF0000"/>
                <w:szCs w:val="21"/>
              </w:rPr>
            </w:pPr>
          </w:p>
        </w:tc>
        <w:tc>
          <w:tcPr>
            <w:tcW w:w="715" w:type="dxa"/>
            <w:vMerge w:val="continue"/>
            <w:vAlign w:val="center"/>
          </w:tcPr>
          <w:p>
            <w:pPr>
              <w:adjustRightInd w:val="0"/>
              <w:snapToGrid w:val="0"/>
              <w:jc w:val="center"/>
              <w:rPr>
                <w:rFonts w:ascii="Times New Roman" w:hAnsi="Times New Roman"/>
                <w:szCs w:val="21"/>
                <w:highlight w:val="red"/>
              </w:rPr>
            </w:pPr>
          </w:p>
        </w:tc>
        <w:tc>
          <w:tcPr>
            <w:tcW w:w="830" w:type="dxa"/>
            <w:vAlign w:val="center"/>
          </w:tcPr>
          <w:p>
            <w:pPr>
              <w:adjustRightInd w:val="0"/>
              <w:snapToGrid w:val="0"/>
              <w:jc w:val="center"/>
              <w:rPr>
                <w:rFonts w:ascii="Times New Roman" w:hAnsi="Times New Roman"/>
                <w:szCs w:val="21"/>
              </w:rPr>
            </w:pPr>
            <w:r>
              <w:rPr>
                <w:rFonts w:hint="eastAsia" w:ascii="Times New Roman" w:hAnsi="Times New Roman"/>
                <w:szCs w:val="21"/>
              </w:rPr>
              <w:t>危险废物</w:t>
            </w:r>
          </w:p>
        </w:tc>
        <w:tc>
          <w:tcPr>
            <w:tcW w:w="6972" w:type="dxa"/>
            <w:vAlign w:val="center"/>
          </w:tcPr>
          <w:p>
            <w:pPr>
              <w:tabs>
                <w:tab w:val="left" w:pos="3150"/>
              </w:tabs>
              <w:adjustRightInd w:val="0"/>
              <w:snapToGrid w:val="0"/>
              <w:ind w:firstLine="420" w:firstLineChars="200"/>
              <w:rPr>
                <w:rFonts w:ascii="Times New Roman" w:hAnsi="Times New Roman"/>
                <w:color w:val="FF0000"/>
              </w:rPr>
            </w:pPr>
            <w:r>
              <w:rPr>
                <w:rFonts w:ascii="Times New Roman" w:hAnsi="Times New Roman"/>
              </w:rPr>
              <w:t>危废暂存间1座，占地面积为10m</w:t>
            </w:r>
            <w:r>
              <w:rPr>
                <w:rFonts w:ascii="Times New Roman" w:hAnsi="Times New Roman"/>
                <w:vertAlign w:val="superscript"/>
              </w:rPr>
              <w:t>2</w:t>
            </w:r>
            <w:r>
              <w:rPr>
                <w:rFonts w:ascii="Times New Roman" w:hAnsi="Times New Roman"/>
              </w:rPr>
              <w:t>，</w:t>
            </w:r>
            <w:r>
              <w:rPr>
                <w:rFonts w:ascii="Times New Roman" w:hAnsi="Times New Roman"/>
                <w:bCs/>
                <w:spacing w:val="-6"/>
                <w:szCs w:val="21"/>
              </w:rPr>
              <w:t>主要贮存项目产生的医疗废物</w:t>
            </w:r>
            <w:r>
              <w:rPr>
                <w:rFonts w:hint="eastAsia" w:ascii="Times New Roman" w:hAnsi="Times New Roman"/>
                <w:bCs/>
                <w:spacing w:val="-6"/>
                <w:szCs w:val="21"/>
              </w:rPr>
              <w:t>。</w:t>
            </w:r>
            <w:r>
              <w:rPr>
                <w:rFonts w:ascii="Times New Roman" w:hAnsi="Times New Roman"/>
              </w:rPr>
              <w:t>对产生的危险废物进行分类收集后暂存于危废暂存间内，定期委托有资质的单位进行处理，暂存间地面采取硬化防渗处理，铺设2.0mmHDPE防渗膜（渗透系数≤1.0×10</w:t>
            </w:r>
            <w:r>
              <w:rPr>
                <w:rFonts w:ascii="Times New Roman" w:hAnsi="Times New Roman"/>
                <w:vertAlign w:val="superscript"/>
              </w:rPr>
              <w:t>-10</w:t>
            </w:r>
            <w:r>
              <w:rPr>
                <w:rFonts w:ascii="Times New Roman" w:hAnsi="Times New Roman"/>
              </w:rPr>
              <w:t>cm/s）</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color w:val="FF0000"/>
                <w:szCs w:val="21"/>
              </w:rPr>
            </w:pPr>
          </w:p>
        </w:tc>
        <w:tc>
          <w:tcPr>
            <w:tcW w:w="715" w:type="dxa"/>
            <w:vMerge w:val="continue"/>
            <w:vAlign w:val="center"/>
          </w:tcPr>
          <w:p>
            <w:pPr>
              <w:adjustRightInd w:val="0"/>
              <w:snapToGrid w:val="0"/>
              <w:jc w:val="center"/>
              <w:rPr>
                <w:rFonts w:ascii="Times New Roman" w:hAnsi="Times New Roman"/>
                <w:szCs w:val="21"/>
              </w:rPr>
            </w:pPr>
          </w:p>
        </w:tc>
        <w:tc>
          <w:tcPr>
            <w:tcW w:w="830" w:type="dxa"/>
            <w:vAlign w:val="center"/>
          </w:tcPr>
          <w:p>
            <w:pPr>
              <w:adjustRightInd w:val="0"/>
              <w:snapToGrid w:val="0"/>
              <w:jc w:val="center"/>
              <w:rPr>
                <w:rFonts w:ascii="Times New Roman" w:hAnsi="Times New Roman"/>
                <w:szCs w:val="21"/>
              </w:rPr>
            </w:pPr>
            <w:r>
              <w:rPr>
                <w:rFonts w:hint="eastAsia" w:ascii="Times New Roman" w:hAnsi="Times New Roman"/>
                <w:szCs w:val="21"/>
              </w:rPr>
              <w:t>生活垃圾</w:t>
            </w:r>
          </w:p>
        </w:tc>
        <w:tc>
          <w:tcPr>
            <w:tcW w:w="6972" w:type="dxa"/>
            <w:vAlign w:val="center"/>
          </w:tcPr>
          <w:p>
            <w:pPr>
              <w:adjustRightInd w:val="0"/>
              <w:snapToGrid w:val="0"/>
              <w:ind w:firstLine="396" w:firstLineChars="200"/>
              <w:rPr>
                <w:rFonts w:ascii="Times New Roman" w:hAnsi="Times New Roman"/>
                <w:bCs/>
                <w:color w:val="FF0000"/>
                <w:spacing w:val="-6"/>
                <w:szCs w:val="21"/>
              </w:rPr>
            </w:pPr>
            <w:r>
              <w:rPr>
                <w:rFonts w:ascii="Times New Roman" w:hAnsi="Times New Roman"/>
                <w:bCs/>
                <w:spacing w:val="-6"/>
                <w:szCs w:val="21"/>
              </w:rPr>
              <w:t>职工生活区设垃圾收集设施，交由环卫部门集中处置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color w:val="FF0000"/>
                <w:szCs w:val="21"/>
              </w:rPr>
            </w:pPr>
          </w:p>
        </w:tc>
        <w:tc>
          <w:tcPr>
            <w:tcW w:w="1545" w:type="dxa"/>
            <w:gridSpan w:val="2"/>
            <w:vAlign w:val="center"/>
          </w:tcPr>
          <w:p>
            <w:pPr>
              <w:adjustRightInd w:val="0"/>
              <w:snapToGrid w:val="0"/>
              <w:jc w:val="center"/>
              <w:rPr>
                <w:rFonts w:ascii="Times New Roman" w:hAnsi="Times New Roman"/>
                <w:szCs w:val="21"/>
              </w:rPr>
            </w:pPr>
            <w:r>
              <w:rPr>
                <w:rFonts w:ascii="Times New Roman" w:hAnsi="Times New Roman"/>
                <w:bCs/>
                <w:szCs w:val="21"/>
              </w:rPr>
              <w:t>噪声治理设施</w:t>
            </w:r>
          </w:p>
        </w:tc>
        <w:tc>
          <w:tcPr>
            <w:tcW w:w="6972" w:type="dxa"/>
            <w:vAlign w:val="center"/>
          </w:tcPr>
          <w:p>
            <w:pPr>
              <w:adjustRightInd w:val="0"/>
              <w:snapToGrid w:val="0"/>
              <w:ind w:firstLine="420" w:firstLineChars="200"/>
              <w:rPr>
                <w:rFonts w:ascii="Times New Roman" w:hAnsi="Times New Roman"/>
                <w:szCs w:val="21"/>
              </w:rPr>
            </w:pPr>
            <w:r>
              <w:rPr>
                <w:rFonts w:ascii="Times New Roman" w:hAnsi="Times New Roman"/>
                <w:szCs w:val="21"/>
              </w:rPr>
              <w:t>选用低噪声设备，隔声减噪措施等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color w:val="FF0000"/>
                <w:szCs w:val="21"/>
              </w:rPr>
            </w:pPr>
          </w:p>
        </w:tc>
        <w:tc>
          <w:tcPr>
            <w:tcW w:w="1545" w:type="dxa"/>
            <w:gridSpan w:val="2"/>
            <w:vAlign w:val="center"/>
          </w:tcPr>
          <w:p>
            <w:pPr>
              <w:tabs>
                <w:tab w:val="left" w:pos="7920"/>
              </w:tabs>
              <w:overflowPunct w:val="0"/>
              <w:adjustRightInd w:val="0"/>
              <w:snapToGrid w:val="0"/>
              <w:jc w:val="center"/>
              <w:textAlignment w:val="baseline"/>
              <w:rPr>
                <w:rFonts w:ascii="Times New Roman" w:hAnsi="Times New Roman"/>
                <w:bCs/>
                <w:szCs w:val="21"/>
              </w:rPr>
            </w:pPr>
            <w:r>
              <w:rPr>
                <w:rFonts w:ascii="Times New Roman" w:hAnsi="Times New Roman"/>
                <w:bCs/>
                <w:szCs w:val="21"/>
              </w:rPr>
              <w:t>地下水防</w:t>
            </w:r>
            <w:r>
              <w:rPr>
                <w:rFonts w:hint="eastAsia" w:ascii="Times New Roman" w:hAnsi="Times New Roman"/>
                <w:bCs/>
                <w:szCs w:val="21"/>
              </w:rPr>
              <w:t>控</w:t>
            </w:r>
            <w:r>
              <w:rPr>
                <w:rFonts w:ascii="Times New Roman" w:hAnsi="Times New Roman"/>
                <w:bCs/>
                <w:szCs w:val="21"/>
              </w:rPr>
              <w:t>措施</w:t>
            </w:r>
          </w:p>
        </w:tc>
        <w:tc>
          <w:tcPr>
            <w:tcW w:w="6972" w:type="dxa"/>
            <w:vAlign w:val="center"/>
          </w:tcPr>
          <w:p>
            <w:pPr>
              <w:spacing w:line="270" w:lineRule="exact"/>
              <w:ind w:firstLine="420" w:firstLineChars="200"/>
              <w:contextualSpacing/>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根据《环境影响评价技术导则 地下水环境》(HJ610-2016)中防渗技术要求，进行场区分区防渗。</w:t>
            </w:r>
          </w:p>
          <w:p>
            <w:pPr>
              <w:adjustRightInd w:val="0"/>
              <w:snapToGrid w:val="0"/>
              <w:ind w:firstLine="420" w:firstLineChars="200"/>
              <w:rPr>
                <w:rFonts w:hint="default" w:ascii="Times New Roman" w:hAnsi="Times New Roman" w:eastAsia="宋体" w:cs="Times New Roman"/>
                <w:szCs w:val="21"/>
              </w:rPr>
            </w:pPr>
            <w:r>
              <w:rPr>
                <w:rFonts w:hint="default" w:ascii="Times New Roman" w:hAnsi="Times New Roman" w:eastAsia="宋体" w:cs="Times New Roman"/>
                <w:bCs/>
                <w:color w:val="auto"/>
                <w:sz w:val="21"/>
                <w:szCs w:val="21"/>
              </w:rPr>
              <w:t>医疗废物贮存库按照《危险废物贮存污染控制标准》(GB18597-2001)中对防渗层的要求，即</w:t>
            </w:r>
            <w:r>
              <w:rPr>
                <w:rFonts w:hint="default" w:ascii="Times New Roman" w:hAnsi="Times New Roman" w:eastAsia="宋体" w:cs="Times New Roman"/>
                <w:bCs/>
                <w:sz w:val="21"/>
                <w:szCs w:val="21"/>
              </w:rPr>
              <w:t>“基础必须防渗层为至少1m厚粘土层(渗透系数≤10</w:t>
            </w:r>
            <w:r>
              <w:rPr>
                <w:rFonts w:hint="default" w:ascii="Times New Roman" w:hAnsi="Times New Roman" w:eastAsia="宋体" w:cs="Times New Roman"/>
                <w:bCs/>
                <w:sz w:val="21"/>
                <w:szCs w:val="21"/>
                <w:vertAlign w:val="superscript"/>
              </w:rPr>
              <w:t>-7</w:t>
            </w:r>
            <w:r>
              <w:rPr>
                <w:rFonts w:hint="default" w:ascii="Times New Roman" w:hAnsi="Times New Roman" w:eastAsia="宋体" w:cs="Times New Roman"/>
                <w:bCs/>
                <w:sz w:val="21"/>
                <w:szCs w:val="21"/>
              </w:rPr>
              <w:t>cm/s)，或2mm厚高密度聚乙烯，或至少2mm厚的其他人工材料，渗透系数≤10</w:t>
            </w:r>
            <w:r>
              <w:rPr>
                <w:rFonts w:hint="default" w:ascii="Times New Roman" w:hAnsi="Times New Roman" w:eastAsia="宋体" w:cs="Times New Roman"/>
                <w:bCs/>
                <w:sz w:val="21"/>
                <w:szCs w:val="21"/>
                <w:vertAlign w:val="superscript"/>
              </w:rPr>
              <w:t>-10</w:t>
            </w:r>
            <w:r>
              <w:rPr>
                <w:rFonts w:hint="default" w:ascii="Times New Roman" w:hAnsi="Times New Roman" w:eastAsia="宋体" w:cs="Times New Roman"/>
                <w:bCs/>
                <w:sz w:val="21"/>
                <w:szCs w:val="21"/>
              </w:rPr>
              <w:t>m/s”。</w:t>
            </w:r>
          </w:p>
          <w:p>
            <w:pPr>
              <w:adjustRightInd w:val="0"/>
              <w:snapToGrid w:val="0"/>
              <w:ind w:firstLine="420" w:firstLineChars="200"/>
              <w:rPr>
                <w:rFonts w:hint="default" w:ascii="Times New Roman" w:hAnsi="Times New Roman" w:eastAsia="宋体" w:cs="Times New Roman"/>
                <w:szCs w:val="21"/>
                <w:lang w:eastAsia="zh-CN"/>
              </w:rPr>
            </w:pPr>
            <w:r>
              <w:rPr>
                <w:rFonts w:hint="default" w:ascii="Times New Roman" w:hAnsi="Times New Roman" w:eastAsia="宋体" w:cs="Times New Roman"/>
                <w:szCs w:val="21"/>
              </w:rPr>
              <w:t>地下水跟踪监测：</w:t>
            </w:r>
            <w:r>
              <w:rPr>
                <w:rFonts w:hint="default" w:ascii="Times New Roman" w:hAnsi="Times New Roman" w:eastAsia="宋体" w:cs="Times New Roman"/>
                <w:color w:val="FF0000"/>
                <w:szCs w:val="21"/>
              </w:rPr>
              <w:t>设置1</w:t>
            </w:r>
            <w:r>
              <w:rPr>
                <w:rFonts w:hint="default" w:ascii="Times New Roman" w:hAnsi="Times New Roman" w:eastAsia="宋体" w:cs="Times New Roman"/>
                <w:color w:val="FF0000"/>
                <w:szCs w:val="21"/>
                <w:lang w:eastAsia="zh-CN"/>
              </w:rPr>
              <w:t>口</w:t>
            </w:r>
            <w:r>
              <w:rPr>
                <w:rFonts w:hint="default" w:ascii="Times New Roman" w:hAnsi="Times New Roman" w:eastAsia="宋体" w:cs="Times New Roman"/>
                <w:color w:val="FF0000"/>
                <w:szCs w:val="21"/>
              </w:rPr>
              <w:t>地下水跟踪监测井，</w:t>
            </w:r>
            <w:r>
              <w:rPr>
                <w:rFonts w:hint="default" w:ascii="Times New Roman" w:hAnsi="Times New Roman" w:eastAsia="宋体" w:cs="Times New Roman"/>
                <w:bCs/>
                <w:color w:val="FF0000"/>
                <w:sz w:val="21"/>
                <w:szCs w:val="21"/>
              </w:rPr>
              <w:t>按《地下水环境监测技术规范》(HJ164-2020)制定监测计划。</w:t>
            </w:r>
            <w:r>
              <w:rPr>
                <w:rFonts w:hint="default" w:ascii="Times New Roman" w:hAnsi="Times New Roman" w:eastAsia="宋体" w:cs="Times New Roman"/>
                <w:bCs/>
                <w:color w:val="FF0000"/>
                <w:sz w:val="21"/>
                <w:szCs w:val="21"/>
                <w:lang w:eastAsia="zh-CN"/>
              </w:rPr>
              <w:t>（</w:t>
            </w:r>
            <w:r>
              <w:rPr>
                <w:rFonts w:hint="default" w:ascii="Times New Roman" w:hAnsi="Times New Roman" w:eastAsia="宋体" w:cs="Times New Roman"/>
                <w:color w:val="FF0000"/>
                <w:szCs w:val="21"/>
                <w:highlight w:val="none"/>
                <w:lang w:eastAsia="zh-CN"/>
              </w:rPr>
              <w:t>地下监测井具体位置见附件</w:t>
            </w:r>
            <w:r>
              <w:rPr>
                <w:rFonts w:hint="default" w:ascii="Times New Roman" w:hAnsi="Times New Roman" w:eastAsia="宋体" w:cs="Times New Roman"/>
                <w:bCs/>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4" w:type="dxa"/>
            <w:vMerge w:val="continue"/>
            <w:vAlign w:val="center"/>
          </w:tcPr>
          <w:p>
            <w:pPr>
              <w:adjustRightInd w:val="0"/>
              <w:snapToGrid w:val="0"/>
              <w:ind w:left="-105" w:leftChars="-50" w:right="-105" w:rightChars="-50"/>
              <w:jc w:val="center"/>
              <w:rPr>
                <w:rFonts w:ascii="Times New Roman" w:hAnsi="Times New Roman"/>
                <w:color w:val="FF0000"/>
                <w:szCs w:val="21"/>
              </w:rPr>
            </w:pPr>
          </w:p>
        </w:tc>
        <w:tc>
          <w:tcPr>
            <w:tcW w:w="1545" w:type="dxa"/>
            <w:gridSpan w:val="2"/>
            <w:vAlign w:val="center"/>
          </w:tcPr>
          <w:p>
            <w:pPr>
              <w:adjustRightInd w:val="0"/>
              <w:snapToGrid w:val="0"/>
              <w:jc w:val="center"/>
              <w:rPr>
                <w:rFonts w:ascii="Times New Roman" w:hAnsi="Times New Roman"/>
                <w:szCs w:val="21"/>
              </w:rPr>
            </w:pPr>
            <w:r>
              <w:rPr>
                <w:rFonts w:ascii="Times New Roman" w:hAnsi="Times New Roman"/>
                <w:bCs/>
                <w:szCs w:val="21"/>
              </w:rPr>
              <w:t>绿化</w:t>
            </w:r>
          </w:p>
        </w:tc>
        <w:tc>
          <w:tcPr>
            <w:tcW w:w="6972" w:type="dxa"/>
            <w:vAlign w:val="center"/>
          </w:tcPr>
          <w:p>
            <w:pPr>
              <w:adjustRightInd w:val="0"/>
              <w:snapToGrid w:val="0"/>
              <w:ind w:firstLine="420" w:firstLineChars="200"/>
              <w:jc w:val="left"/>
              <w:rPr>
                <w:rFonts w:hint="default" w:ascii="Times New Roman" w:hAnsi="Times New Roman" w:eastAsia="宋体" w:cs="Times New Roman"/>
                <w:szCs w:val="21"/>
              </w:rPr>
            </w:pPr>
            <w:r>
              <w:rPr>
                <w:rFonts w:hint="default" w:ascii="Times New Roman" w:hAnsi="Times New Roman" w:eastAsia="宋体" w:cs="Times New Roman"/>
                <w:szCs w:val="21"/>
              </w:rPr>
              <w:t>绿化面积500m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w:t>
            </w:r>
          </w:p>
        </w:tc>
      </w:tr>
    </w:tbl>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01" w:name="_Toc7262"/>
      <w:bookmarkStart w:id="402" w:name="_Toc407912091"/>
      <w:r>
        <w:rPr>
          <w:rFonts w:cs="Times New Roman"/>
          <w:bCs w:val="0"/>
          <w:snapToGrid w:val="0"/>
          <w:kern w:val="0"/>
          <w:sz w:val="28"/>
          <w:szCs w:val="28"/>
        </w:rPr>
        <w:t>2.1.3建设规模及产品方案</w:t>
      </w:r>
      <w:bookmarkEnd w:id="401"/>
    </w:p>
    <w:p>
      <w:pPr>
        <w:adjustRightInd w:val="0"/>
        <w:snapToGrid w:val="0"/>
        <w:spacing w:line="540" w:lineRule="exact"/>
        <w:rPr>
          <w:rFonts w:ascii="Times New Roman" w:hAnsi="Times New Roman"/>
          <w:snapToGrid w:val="0"/>
          <w:sz w:val="24"/>
        </w:rPr>
      </w:pPr>
      <w:r>
        <w:rPr>
          <w:rFonts w:hint="eastAsia" w:ascii="Times New Roman" w:hAnsi="Times New Roman"/>
          <w:snapToGrid w:val="0"/>
          <w:sz w:val="24"/>
        </w:rPr>
        <w:t>（1）</w:t>
      </w:r>
      <w:r>
        <w:rPr>
          <w:rFonts w:ascii="Times New Roman" w:hAnsi="Times New Roman"/>
          <w:snapToGrid w:val="0"/>
          <w:sz w:val="24"/>
        </w:rPr>
        <w:t>建设规模</w:t>
      </w:r>
    </w:p>
    <w:p>
      <w:pPr>
        <w:adjustRightInd w:val="0"/>
        <w:snapToGrid w:val="0"/>
        <w:spacing w:line="540" w:lineRule="exact"/>
        <w:ind w:firstLine="480" w:firstLineChars="200"/>
        <w:rPr>
          <w:rFonts w:ascii="Times New Roman" w:hAnsi="Times New Roman"/>
          <w:snapToGrid w:val="0"/>
          <w:sz w:val="24"/>
        </w:rPr>
      </w:pPr>
      <w:r>
        <w:rPr>
          <w:rFonts w:hint="eastAsia" w:ascii="Times New Roman" w:hAnsi="Times New Roman"/>
          <w:snapToGrid w:val="0"/>
          <w:sz w:val="24"/>
        </w:rPr>
        <w:t>养殖建设总占地31432.4</w:t>
      </w:r>
      <w:r>
        <w:rPr>
          <w:rFonts w:ascii="Times New Roman" w:hAnsi="Times New Roman"/>
          <w:snapToGrid w:val="0"/>
          <w:sz w:val="24"/>
        </w:rPr>
        <w:t>m</w:t>
      </w:r>
      <w:r>
        <w:rPr>
          <w:rFonts w:hint="eastAsia" w:ascii="Times New Roman" w:hAnsi="Times New Roman"/>
          <w:snapToGrid w:val="0"/>
          <w:sz w:val="24"/>
          <w:vertAlign w:val="superscript"/>
        </w:rPr>
        <w:t>3</w:t>
      </w:r>
      <w:r>
        <w:rPr>
          <w:rFonts w:hint="eastAsia" w:ascii="Times New Roman" w:hAnsi="Times New Roman"/>
          <w:snapToGrid w:val="0"/>
          <w:sz w:val="24"/>
        </w:rPr>
        <w:t>（约47亩），</w:t>
      </w:r>
      <w:r>
        <w:rPr>
          <w:rFonts w:ascii="Times New Roman" w:hAnsi="Times New Roman"/>
          <w:snapToGrid w:val="0"/>
          <w:sz w:val="24"/>
        </w:rPr>
        <w:t>项目主要建设标准化牛</w:t>
      </w:r>
      <w:r>
        <w:rPr>
          <w:rFonts w:hint="eastAsia" w:ascii="Times New Roman" w:hAnsi="Times New Roman"/>
          <w:snapToGrid w:val="0"/>
          <w:sz w:val="24"/>
        </w:rPr>
        <w:t>棚10</w:t>
      </w:r>
      <w:r>
        <w:rPr>
          <w:rFonts w:ascii="Times New Roman" w:hAnsi="Times New Roman"/>
          <w:snapToGrid w:val="0"/>
          <w:sz w:val="24"/>
        </w:rPr>
        <w:t>栋</w:t>
      </w:r>
      <w:r>
        <w:rPr>
          <w:rFonts w:hint="eastAsia" w:ascii="Times New Roman" w:hAnsi="Times New Roman"/>
          <w:snapToGrid w:val="0"/>
          <w:sz w:val="24"/>
        </w:rPr>
        <w:t>9180.25</w:t>
      </w:r>
      <w:r>
        <w:rPr>
          <w:rFonts w:ascii="Times New Roman" w:hAnsi="Times New Roman"/>
          <w:snapToGrid w:val="0"/>
          <w:sz w:val="24"/>
        </w:rPr>
        <w:t>m</w:t>
      </w:r>
      <w:r>
        <w:rPr>
          <w:rFonts w:hint="eastAsia" w:ascii="Times New Roman" w:hAnsi="Times New Roman"/>
          <w:snapToGrid w:val="0"/>
          <w:sz w:val="24"/>
          <w:vertAlign w:val="superscript"/>
        </w:rPr>
        <w:t>3</w:t>
      </w:r>
      <w:r>
        <w:rPr>
          <w:rFonts w:hint="eastAsia" w:ascii="Times New Roman" w:hAnsi="Times New Roman"/>
          <w:snapToGrid w:val="0"/>
          <w:sz w:val="24"/>
        </w:rPr>
        <w:t>；青贮池2座14000</w:t>
      </w:r>
      <w:r>
        <w:rPr>
          <w:rFonts w:ascii="Times New Roman" w:hAnsi="Times New Roman"/>
          <w:snapToGrid w:val="0"/>
          <w:sz w:val="24"/>
        </w:rPr>
        <w:t>m</w:t>
      </w:r>
      <w:r>
        <w:rPr>
          <w:rFonts w:hint="eastAsia" w:ascii="Times New Roman" w:hAnsi="Times New Roman"/>
          <w:snapToGrid w:val="0"/>
          <w:sz w:val="24"/>
          <w:vertAlign w:val="superscript"/>
        </w:rPr>
        <w:t>3</w:t>
      </w:r>
      <w:r>
        <w:rPr>
          <w:rFonts w:hint="eastAsia" w:ascii="Times New Roman" w:hAnsi="Times New Roman"/>
          <w:snapToGrid w:val="0"/>
          <w:sz w:val="24"/>
        </w:rPr>
        <w:t>；积粪场2200m</w:t>
      </w:r>
      <w:r>
        <w:rPr>
          <w:rFonts w:hint="eastAsia" w:ascii="Times New Roman" w:hAnsi="Times New Roman"/>
          <w:snapToGrid w:val="0"/>
          <w:sz w:val="24"/>
          <w:vertAlign w:val="superscript"/>
        </w:rPr>
        <w:t>3</w:t>
      </w:r>
      <w:r>
        <w:rPr>
          <w:rFonts w:hint="eastAsia" w:ascii="Times New Roman" w:hAnsi="Times New Roman"/>
          <w:snapToGrid w:val="0"/>
          <w:sz w:val="24"/>
        </w:rPr>
        <w:t>；场区硬化13880.25</w:t>
      </w:r>
      <w:r>
        <w:rPr>
          <w:rFonts w:ascii="Times New Roman" w:hAnsi="Times New Roman"/>
          <w:snapToGrid w:val="0"/>
          <w:sz w:val="24"/>
        </w:rPr>
        <w:t>m</w:t>
      </w:r>
      <w:r>
        <w:rPr>
          <w:rFonts w:hint="eastAsia" w:ascii="Times New Roman" w:hAnsi="Times New Roman"/>
          <w:snapToGrid w:val="0"/>
          <w:sz w:val="24"/>
          <w:vertAlign w:val="superscript"/>
        </w:rPr>
        <w:t>3</w:t>
      </w:r>
      <w:r>
        <w:rPr>
          <w:rFonts w:hint="eastAsia" w:ascii="Times New Roman" w:hAnsi="Times New Roman"/>
          <w:snapToGrid w:val="0"/>
          <w:sz w:val="24"/>
        </w:rPr>
        <w:t>；办公区生活区100</w:t>
      </w:r>
      <w:r>
        <w:rPr>
          <w:rFonts w:ascii="Times New Roman" w:hAnsi="Times New Roman"/>
          <w:snapToGrid w:val="0"/>
          <w:sz w:val="24"/>
        </w:rPr>
        <w:t>m</w:t>
      </w:r>
      <w:r>
        <w:rPr>
          <w:rFonts w:hint="eastAsia" w:ascii="Times New Roman" w:hAnsi="Times New Roman"/>
          <w:snapToGrid w:val="0"/>
          <w:sz w:val="24"/>
          <w:vertAlign w:val="superscript"/>
        </w:rPr>
        <w:t>3</w:t>
      </w:r>
      <w:r>
        <w:rPr>
          <w:rFonts w:hint="eastAsia" w:ascii="Times New Roman" w:hAnsi="Times New Roman"/>
          <w:snapToGrid w:val="0"/>
          <w:sz w:val="24"/>
        </w:rPr>
        <w:t>；及厂区三通一平</w:t>
      </w:r>
      <w:r>
        <w:rPr>
          <w:rFonts w:ascii="Times New Roman" w:hAnsi="Times New Roman"/>
          <w:snapToGrid w:val="0"/>
          <w:sz w:val="24"/>
        </w:rPr>
        <w:t>。</w:t>
      </w:r>
      <w:r>
        <w:rPr>
          <w:rFonts w:hint="eastAsia" w:ascii="Times New Roman" w:hAnsi="Times New Roman"/>
          <w:snapToGrid w:val="0"/>
          <w:sz w:val="24"/>
        </w:rPr>
        <w:t>引进优质新品种基础母牛1000头；引进宁夏固原、甘肃庄浪牛场基础母牛和成套繁育技术，选购西门塔尔、安格斯基础母牛。</w:t>
      </w:r>
    </w:p>
    <w:p>
      <w:pPr>
        <w:adjustRightInd w:val="0"/>
        <w:snapToGrid w:val="0"/>
        <w:spacing w:line="540" w:lineRule="exact"/>
        <w:ind w:firstLine="480" w:firstLineChars="200"/>
        <w:rPr>
          <w:rFonts w:ascii="Times New Roman" w:hAnsi="Times New Roman"/>
          <w:snapToGrid w:val="0"/>
          <w:sz w:val="24"/>
        </w:rPr>
      </w:pPr>
      <w:r>
        <w:rPr>
          <w:rFonts w:hint="eastAsia" w:ascii="Times New Roman" w:hAnsi="Times New Roman"/>
          <w:snapToGrid w:val="0"/>
          <w:sz w:val="24"/>
        </w:rPr>
        <w:t>（2）经营方式</w:t>
      </w:r>
    </w:p>
    <w:bookmarkEnd w:id="402"/>
    <w:p>
      <w:pPr>
        <w:adjustRightInd w:val="0"/>
        <w:snapToGrid w:val="0"/>
        <w:spacing w:line="540" w:lineRule="exact"/>
        <w:ind w:firstLine="480" w:firstLineChars="200"/>
        <w:rPr>
          <w:rFonts w:ascii="Times New Roman" w:hAnsi="Times New Roman"/>
          <w:snapToGrid w:val="0"/>
          <w:sz w:val="24"/>
        </w:rPr>
      </w:pPr>
      <w:bookmarkStart w:id="403" w:name="_Toc21485"/>
      <w:bookmarkStart w:id="404" w:name="_Toc10382"/>
      <w:bookmarkStart w:id="405" w:name="_Toc14251"/>
      <w:bookmarkStart w:id="406" w:name="_Toc8866"/>
      <w:bookmarkStart w:id="407" w:name="_Toc3885"/>
      <w:bookmarkStart w:id="408" w:name="_Toc17393"/>
      <w:r>
        <w:rPr>
          <w:rFonts w:hint="eastAsia" w:ascii="Times New Roman" w:hAnsi="Times New Roman"/>
          <w:snapToGrid w:val="0"/>
          <w:sz w:val="24"/>
        </w:rPr>
        <w:t>养殖场的运行模式采用农户+基地+市场型的产业化经营模式。养殖场主要是为农民提供产前、产中、产后服务。其服务内容包括：基础母牛新品种引进、培育，优质牧草种植、收购及加工等。养殖场的运行机制拟采用股份合作制的形式运作。即由合作股东控股，主持养殖场的生产、经营和销售。年终按照合资企业财务管理制度和运行机制进行核算。</w:t>
      </w:r>
    </w:p>
    <w:p>
      <w:pPr>
        <w:pStyle w:val="52"/>
        <w:keepNext/>
        <w:keepLines/>
        <w:pageBreakBefore w:val="0"/>
        <w:widowControl/>
        <w:tabs>
          <w:tab w:val="left" w:pos="284"/>
        </w:tabs>
        <w:kinsoku/>
        <w:wordWrap/>
        <w:overflowPunct/>
        <w:topLinePunct w:val="0"/>
        <w:autoSpaceDE/>
        <w:autoSpaceDN/>
        <w:bidi w:val="0"/>
        <w:adjustRightInd/>
        <w:snapToGrid w:val="0"/>
        <w:spacing w:before="0" w:after="0" w:afterLines="0" w:line="540" w:lineRule="exact"/>
        <w:contextualSpacing/>
        <w:textAlignment w:val="auto"/>
        <w:rPr>
          <w:rFonts w:cs="Times New Roman"/>
          <w:bCs w:val="0"/>
          <w:snapToGrid w:val="0"/>
          <w:kern w:val="0"/>
          <w:sz w:val="28"/>
          <w:szCs w:val="28"/>
        </w:rPr>
      </w:pPr>
      <w:r>
        <w:rPr>
          <w:rFonts w:hint="eastAsia" w:cs="Times New Roman"/>
          <w:bCs w:val="0"/>
          <w:snapToGrid w:val="0"/>
          <w:kern w:val="0"/>
          <w:sz w:val="28"/>
          <w:szCs w:val="28"/>
        </w:rPr>
        <w:t>2</w:t>
      </w:r>
      <w:r>
        <w:rPr>
          <w:rFonts w:cs="Times New Roman"/>
          <w:bCs w:val="0"/>
          <w:snapToGrid w:val="0"/>
          <w:kern w:val="0"/>
          <w:sz w:val="28"/>
          <w:szCs w:val="28"/>
        </w:rPr>
        <w:t>.1.4主要原辅材料及能耗</w:t>
      </w:r>
      <w:bookmarkEnd w:id="403"/>
      <w:bookmarkEnd w:id="404"/>
      <w:bookmarkEnd w:id="405"/>
      <w:bookmarkEnd w:id="406"/>
      <w:bookmarkEnd w:id="407"/>
      <w:bookmarkEnd w:id="408"/>
    </w:p>
    <w:p>
      <w:pPr>
        <w:pStyle w:val="11"/>
        <w:spacing w:line="540" w:lineRule="exact"/>
        <w:ind w:left="261" w:right="255" w:firstLine="482"/>
        <w:rPr>
          <w:rFonts w:ascii="Times New Roman" w:hAnsi="Times New Roman"/>
          <w:snapToGrid w:val="0"/>
          <w:sz w:val="24"/>
          <w:lang w:val="zh-CN"/>
        </w:rPr>
      </w:pPr>
      <w:r>
        <w:rPr>
          <w:rFonts w:hint="eastAsia" w:ascii="Times New Roman" w:hAnsi="Times New Roman"/>
          <w:snapToGrid w:val="0"/>
          <w:sz w:val="24"/>
        </w:rPr>
        <w:t>本</w:t>
      </w:r>
      <w:r>
        <w:rPr>
          <w:rFonts w:ascii="Times New Roman" w:hAnsi="Times New Roman"/>
          <w:snapToGrid w:val="0"/>
          <w:sz w:val="24"/>
          <w:lang w:val="zh-CN"/>
        </w:rPr>
        <w:t>项目建成后</w:t>
      </w:r>
      <w:r>
        <w:rPr>
          <w:rFonts w:hint="eastAsia" w:ascii="Times New Roman" w:hAnsi="Times New Roman"/>
          <w:snapToGrid w:val="0"/>
          <w:sz w:val="24"/>
          <w:lang w:val="zh-CN"/>
        </w:rPr>
        <w:t>养殖基础母牛</w:t>
      </w:r>
      <w:r>
        <w:rPr>
          <w:rFonts w:hint="eastAsia" w:ascii="Times New Roman" w:hAnsi="Times New Roman"/>
          <w:snapToGrid w:val="0"/>
          <w:sz w:val="24"/>
        </w:rPr>
        <w:t>1000</w:t>
      </w:r>
      <w:r>
        <w:rPr>
          <w:rFonts w:ascii="Times New Roman" w:hAnsi="Times New Roman"/>
          <w:snapToGrid w:val="0"/>
          <w:sz w:val="24"/>
          <w:lang w:val="zh-CN"/>
        </w:rPr>
        <w:t>头，养殖过程需饲料总量为</w:t>
      </w:r>
      <w:r>
        <w:rPr>
          <w:rFonts w:hint="eastAsia" w:ascii="Times New Roman" w:hAnsi="Times New Roman"/>
          <w:snapToGrid w:val="0"/>
          <w:sz w:val="24"/>
        </w:rPr>
        <w:t>1733.75</w:t>
      </w:r>
      <w:r>
        <w:rPr>
          <w:rFonts w:ascii="Times New Roman" w:hAnsi="Times New Roman"/>
          <w:snapToGrid w:val="0"/>
          <w:sz w:val="24"/>
          <w:lang w:val="zh-CN"/>
        </w:rPr>
        <w:t>t/a，饲料分为粗饲料和精饲料，粗饲料为青贮、苜蓿、</w:t>
      </w:r>
      <w:r>
        <w:rPr>
          <w:rFonts w:hint="eastAsia" w:ascii="Times New Roman" w:hAnsi="Times New Roman"/>
          <w:snapToGrid w:val="0"/>
          <w:sz w:val="24"/>
          <w:lang w:val="zh-CN"/>
        </w:rPr>
        <w:t>黑麦</w:t>
      </w:r>
      <w:r>
        <w:rPr>
          <w:rFonts w:ascii="Times New Roman" w:hAnsi="Times New Roman"/>
          <w:snapToGrid w:val="0"/>
          <w:sz w:val="24"/>
          <w:lang w:val="zh-CN"/>
        </w:rPr>
        <w:t>草</w:t>
      </w:r>
      <w:r>
        <w:rPr>
          <w:rFonts w:hint="eastAsia" w:ascii="Times New Roman" w:hAnsi="Times New Roman"/>
          <w:snapToGrid w:val="0"/>
          <w:sz w:val="24"/>
          <w:lang w:val="zh-CN"/>
        </w:rPr>
        <w:t>、红豆草</w:t>
      </w:r>
      <w:r>
        <w:rPr>
          <w:rFonts w:ascii="Times New Roman" w:hAnsi="Times New Roman"/>
          <w:snapToGrid w:val="0"/>
          <w:sz w:val="24"/>
          <w:lang w:val="zh-CN"/>
        </w:rPr>
        <w:t>等，精饲料为玉米、棉籽、甜菜颗粒、油 饼、菜柏等。精粗精饲料来源主要由周边进行外购，能源主要为水和电。本项目饲料及能源消耗量见表2</w:t>
      </w:r>
      <w:r>
        <w:rPr>
          <w:rFonts w:hint="eastAsia" w:ascii="Times New Roman" w:hAnsi="Times New Roman"/>
          <w:snapToGrid w:val="0"/>
          <w:sz w:val="24"/>
        </w:rPr>
        <w:t>.1</w:t>
      </w:r>
      <w:r>
        <w:rPr>
          <w:rFonts w:ascii="Times New Roman" w:hAnsi="Times New Roman"/>
          <w:snapToGrid w:val="0"/>
          <w:sz w:val="24"/>
          <w:lang w:val="zh-CN"/>
        </w:rPr>
        <w:t>-</w:t>
      </w:r>
      <w:r>
        <w:rPr>
          <w:rFonts w:hint="eastAsia" w:ascii="Times New Roman" w:hAnsi="Times New Roman"/>
          <w:snapToGrid w:val="0"/>
          <w:sz w:val="24"/>
        </w:rPr>
        <w:t>4</w:t>
      </w:r>
      <w:r>
        <w:rPr>
          <w:rFonts w:ascii="Times New Roman" w:hAnsi="Times New Roman"/>
          <w:snapToGrid w:val="0"/>
          <w:sz w:val="24"/>
          <w:lang w:val="zh-CN"/>
        </w:rPr>
        <w:t>所示。</w:t>
      </w:r>
    </w:p>
    <w:p>
      <w:pPr>
        <w:jc w:val="center"/>
        <w:rPr>
          <w:rFonts w:ascii="宋体" w:hAnsi="宋体" w:cs="宋体"/>
          <w:b/>
          <w:bCs/>
          <w:sz w:val="24"/>
        </w:rPr>
      </w:pPr>
      <w:r>
        <w:rPr>
          <w:rFonts w:hint="default" w:ascii="Times New Roman" w:hAnsi="Times New Roman" w:cs="Times New Roman"/>
          <w:b/>
          <w:bCs/>
          <w:sz w:val="24"/>
        </w:rPr>
        <w:t>表2.1-4  主要原</w:t>
      </w:r>
      <w:r>
        <w:rPr>
          <w:rFonts w:ascii="宋体" w:hAnsi="宋体" w:cs="宋体"/>
          <w:b/>
          <w:bCs/>
          <w:sz w:val="24"/>
        </w:rPr>
        <w:t>辅材料消耗统计表</w:t>
      </w:r>
    </w:p>
    <w:tbl>
      <w:tblPr>
        <w:tblStyle w:val="29"/>
        <w:tblW w:w="9071" w:type="dxa"/>
        <w:jc w:val="center"/>
        <w:tblLayout w:type="fixed"/>
        <w:tblCellMar>
          <w:top w:w="0" w:type="dxa"/>
          <w:left w:w="0" w:type="dxa"/>
          <w:bottom w:w="0" w:type="dxa"/>
          <w:right w:w="0" w:type="dxa"/>
        </w:tblCellMar>
      </w:tblPr>
      <w:tblGrid>
        <w:gridCol w:w="404"/>
        <w:gridCol w:w="969"/>
        <w:gridCol w:w="1232"/>
        <w:gridCol w:w="1173"/>
        <w:gridCol w:w="1062"/>
        <w:gridCol w:w="3435"/>
        <w:gridCol w:w="796"/>
      </w:tblGrid>
      <w:tr>
        <w:tblPrEx>
          <w:tblCellMar>
            <w:top w:w="0" w:type="dxa"/>
            <w:left w:w="0" w:type="dxa"/>
            <w:bottom w:w="0" w:type="dxa"/>
            <w:right w:w="0" w:type="dxa"/>
          </w:tblCellMar>
        </w:tblPrEx>
        <w:trPr>
          <w:trHeight w:val="284" w:hRule="atLeast"/>
          <w:jc w:val="center"/>
        </w:trPr>
        <w:tc>
          <w:tcPr>
            <w:tcW w:w="404" w:type="dxa"/>
            <w:tcBorders>
              <w:top w:val="single" w:color="000000" w:sz="12" w:space="0"/>
              <w:left w:val="single" w:color="000000" w:sz="12" w:space="0"/>
              <w:bottom w:val="single" w:color="000000" w:sz="6" w:space="0"/>
              <w:right w:val="single" w:color="000000" w:sz="6"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类</w:t>
            </w:r>
          </w:p>
          <w:p>
            <w:pPr>
              <w:adjustRightInd w:val="0"/>
              <w:snapToGrid w:val="0"/>
              <w:jc w:val="center"/>
              <w:rPr>
                <w:rFonts w:ascii="Times New Roman" w:hAnsi="Times New Roman"/>
                <w:b/>
                <w:bCs/>
                <w:szCs w:val="21"/>
              </w:rPr>
            </w:pPr>
            <w:r>
              <w:rPr>
                <w:rFonts w:ascii="Times New Roman" w:hAnsi="Times New Roman"/>
                <w:b/>
                <w:bCs/>
                <w:szCs w:val="21"/>
              </w:rPr>
              <w:t>别</w:t>
            </w:r>
          </w:p>
        </w:tc>
        <w:tc>
          <w:tcPr>
            <w:tcW w:w="2201" w:type="dxa"/>
            <w:gridSpan w:val="2"/>
            <w:tcBorders>
              <w:top w:val="single" w:color="000000" w:sz="12"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名称</w:t>
            </w:r>
          </w:p>
        </w:tc>
        <w:tc>
          <w:tcPr>
            <w:tcW w:w="1173" w:type="dxa"/>
            <w:tcBorders>
              <w:top w:val="single" w:color="000000" w:sz="12"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年耗量</w:t>
            </w:r>
          </w:p>
        </w:tc>
        <w:tc>
          <w:tcPr>
            <w:tcW w:w="1062" w:type="dxa"/>
            <w:tcBorders>
              <w:top w:val="single" w:color="000000" w:sz="12"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来源</w:t>
            </w:r>
          </w:p>
        </w:tc>
        <w:tc>
          <w:tcPr>
            <w:tcW w:w="4231" w:type="dxa"/>
            <w:gridSpan w:val="2"/>
            <w:tcBorders>
              <w:top w:val="single" w:color="000000" w:sz="12" w:space="0"/>
              <w:left w:val="single" w:color="000000" w:sz="6" w:space="0"/>
              <w:bottom w:val="single" w:color="000000" w:sz="6" w:space="0"/>
              <w:right w:val="single" w:color="000000" w:sz="12"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备注</w:t>
            </w:r>
          </w:p>
        </w:tc>
      </w:tr>
      <w:tr>
        <w:tblPrEx>
          <w:tblCellMar>
            <w:top w:w="0" w:type="dxa"/>
            <w:left w:w="0" w:type="dxa"/>
            <w:bottom w:w="0" w:type="dxa"/>
            <w:right w:w="0" w:type="dxa"/>
          </w:tblCellMar>
        </w:tblPrEx>
        <w:trPr>
          <w:trHeight w:val="284" w:hRule="atLeast"/>
          <w:jc w:val="center"/>
        </w:trPr>
        <w:tc>
          <w:tcPr>
            <w:tcW w:w="404" w:type="dxa"/>
            <w:vMerge w:val="restart"/>
            <w:tcBorders>
              <w:top w:val="single" w:color="000000" w:sz="6" w:space="0"/>
              <w:left w:val="single" w:color="000000" w:sz="12"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饲 料</w:t>
            </w:r>
          </w:p>
        </w:tc>
        <w:tc>
          <w:tcPr>
            <w:tcW w:w="2201" w:type="dxa"/>
            <w:gridSpan w:val="2"/>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粗饲料</w:t>
            </w:r>
          </w:p>
        </w:tc>
        <w:tc>
          <w:tcPr>
            <w:tcW w:w="1173"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hint="eastAsia" w:ascii="Times New Roman" w:hAnsi="Times New Roman"/>
                <w:szCs w:val="21"/>
              </w:rPr>
              <w:t>1277.5</w:t>
            </w:r>
            <w:r>
              <w:rPr>
                <w:rFonts w:ascii="Times New Roman" w:hAnsi="Times New Roman"/>
                <w:szCs w:val="21"/>
              </w:rPr>
              <w:t>t/a</w:t>
            </w:r>
          </w:p>
        </w:tc>
        <w:tc>
          <w:tcPr>
            <w:tcW w:w="1062"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外购</w:t>
            </w:r>
          </w:p>
        </w:tc>
        <w:tc>
          <w:tcPr>
            <w:tcW w:w="3435"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项目粗饲料主要为苜蓿、稻草 等；每头牛每天消耗粗饲料</w:t>
            </w:r>
          </w:p>
          <w:p>
            <w:pPr>
              <w:adjustRightInd w:val="0"/>
              <w:snapToGrid w:val="0"/>
              <w:jc w:val="center"/>
              <w:rPr>
                <w:rFonts w:ascii="Times New Roman" w:hAnsi="Times New Roman"/>
                <w:szCs w:val="21"/>
              </w:rPr>
            </w:pPr>
            <w:r>
              <w:rPr>
                <w:rFonts w:ascii="Times New Roman" w:hAnsi="Times New Roman"/>
                <w:szCs w:val="21"/>
              </w:rPr>
              <w:t>以</w:t>
            </w:r>
            <w:r>
              <w:rPr>
                <w:rFonts w:hint="eastAsia" w:ascii="Times New Roman" w:hAnsi="Times New Roman"/>
                <w:szCs w:val="21"/>
              </w:rPr>
              <w:t>3.5</w:t>
            </w:r>
            <w:r>
              <w:rPr>
                <w:rFonts w:ascii="Times New Roman" w:hAnsi="Times New Roman"/>
                <w:szCs w:val="21"/>
              </w:rPr>
              <w:t>kg计</w:t>
            </w:r>
          </w:p>
        </w:tc>
        <w:tc>
          <w:tcPr>
            <w:tcW w:w="796" w:type="dxa"/>
            <w:vMerge w:val="restart"/>
            <w:tcBorders>
              <w:top w:val="single" w:color="000000" w:sz="6" w:space="0"/>
              <w:left w:val="single" w:color="000000" w:sz="6" w:space="0"/>
              <w:right w:val="single" w:color="000000" w:sz="12" w:space="0"/>
            </w:tcBorders>
            <w:vAlign w:val="center"/>
          </w:tcPr>
          <w:p>
            <w:pPr>
              <w:adjustRightInd w:val="0"/>
              <w:snapToGrid w:val="0"/>
              <w:jc w:val="center"/>
              <w:rPr>
                <w:rFonts w:ascii="Times New Roman" w:hAnsi="Times New Roman"/>
                <w:szCs w:val="21"/>
              </w:rPr>
            </w:pPr>
            <w:r>
              <w:rPr>
                <w:rFonts w:ascii="Times New Roman" w:hAnsi="Times New Roman"/>
                <w:szCs w:val="21"/>
              </w:rPr>
              <w:t>年运行 365 天</w:t>
            </w:r>
          </w:p>
        </w:tc>
      </w:tr>
      <w:tr>
        <w:tblPrEx>
          <w:tblCellMar>
            <w:top w:w="0" w:type="dxa"/>
            <w:left w:w="0" w:type="dxa"/>
            <w:bottom w:w="0" w:type="dxa"/>
            <w:right w:w="0" w:type="dxa"/>
          </w:tblCellMar>
        </w:tblPrEx>
        <w:trPr>
          <w:trHeight w:val="284" w:hRule="atLeast"/>
          <w:jc w:val="center"/>
        </w:trPr>
        <w:tc>
          <w:tcPr>
            <w:tcW w:w="404" w:type="dxa"/>
            <w:vMerge w:val="continue"/>
            <w:tcBorders>
              <w:left w:val="single" w:color="000000" w:sz="12" w:space="0"/>
              <w:bottom w:val="single" w:color="000000" w:sz="6" w:space="0"/>
              <w:right w:val="single" w:color="000000" w:sz="6" w:space="0"/>
            </w:tcBorders>
            <w:vAlign w:val="center"/>
          </w:tcPr>
          <w:p>
            <w:pPr>
              <w:adjustRightInd w:val="0"/>
              <w:snapToGrid w:val="0"/>
              <w:jc w:val="center"/>
              <w:rPr>
                <w:rFonts w:ascii="Times New Roman" w:hAnsi="Times New Roman"/>
                <w:szCs w:val="21"/>
              </w:rPr>
            </w:pPr>
          </w:p>
        </w:tc>
        <w:tc>
          <w:tcPr>
            <w:tcW w:w="2201" w:type="dxa"/>
            <w:gridSpan w:val="2"/>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精饲料</w:t>
            </w:r>
          </w:p>
        </w:tc>
        <w:tc>
          <w:tcPr>
            <w:tcW w:w="1173"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hint="eastAsia" w:ascii="Times New Roman" w:hAnsi="Times New Roman"/>
                <w:szCs w:val="21"/>
              </w:rPr>
              <w:t>456.25</w:t>
            </w:r>
            <w:r>
              <w:rPr>
                <w:rFonts w:ascii="Times New Roman" w:hAnsi="Times New Roman"/>
                <w:szCs w:val="21"/>
              </w:rPr>
              <w:t>t/a</w:t>
            </w:r>
          </w:p>
        </w:tc>
        <w:tc>
          <w:tcPr>
            <w:tcW w:w="1062"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外购</w:t>
            </w:r>
          </w:p>
        </w:tc>
        <w:tc>
          <w:tcPr>
            <w:tcW w:w="3435"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项目精饲料主要为玉米、油</w:t>
            </w:r>
          </w:p>
          <w:p>
            <w:pPr>
              <w:adjustRightInd w:val="0"/>
              <w:snapToGrid w:val="0"/>
              <w:jc w:val="center"/>
              <w:rPr>
                <w:rFonts w:ascii="Times New Roman" w:hAnsi="Times New Roman"/>
                <w:szCs w:val="21"/>
              </w:rPr>
            </w:pPr>
            <w:r>
              <w:rPr>
                <w:rFonts w:ascii="Times New Roman" w:hAnsi="Times New Roman"/>
                <w:szCs w:val="21"/>
              </w:rPr>
              <w:t>饼、菜柏等；每头牛每天消耗 精饲料以</w:t>
            </w:r>
            <w:r>
              <w:rPr>
                <w:rFonts w:hint="eastAsia" w:ascii="Times New Roman" w:hAnsi="Times New Roman"/>
                <w:szCs w:val="21"/>
              </w:rPr>
              <w:t>1.25</w:t>
            </w:r>
            <w:r>
              <w:rPr>
                <w:rFonts w:ascii="Times New Roman" w:hAnsi="Times New Roman"/>
                <w:szCs w:val="21"/>
              </w:rPr>
              <w:t>kg计</w:t>
            </w:r>
          </w:p>
        </w:tc>
        <w:tc>
          <w:tcPr>
            <w:tcW w:w="796" w:type="dxa"/>
            <w:vMerge w:val="continue"/>
            <w:tcBorders>
              <w:left w:val="single" w:color="000000" w:sz="6" w:space="0"/>
              <w:bottom w:val="single" w:color="000000" w:sz="6" w:space="0"/>
              <w:right w:val="single" w:color="000000" w:sz="12" w:space="0"/>
            </w:tcBorders>
            <w:vAlign w:val="center"/>
          </w:tcPr>
          <w:p>
            <w:pPr>
              <w:adjustRightInd w:val="0"/>
              <w:snapToGrid w:val="0"/>
              <w:jc w:val="center"/>
              <w:rPr>
                <w:rFonts w:ascii="Times New Roman" w:hAnsi="Times New Roman"/>
                <w:szCs w:val="21"/>
              </w:rPr>
            </w:pPr>
          </w:p>
        </w:tc>
      </w:tr>
      <w:tr>
        <w:tblPrEx>
          <w:tblCellMar>
            <w:top w:w="0" w:type="dxa"/>
            <w:left w:w="0" w:type="dxa"/>
            <w:bottom w:w="0" w:type="dxa"/>
            <w:right w:w="0" w:type="dxa"/>
          </w:tblCellMar>
        </w:tblPrEx>
        <w:trPr>
          <w:trHeight w:val="284" w:hRule="atLeast"/>
          <w:jc w:val="center"/>
        </w:trPr>
        <w:tc>
          <w:tcPr>
            <w:tcW w:w="404" w:type="dxa"/>
            <w:vMerge w:val="restart"/>
            <w:tcBorders>
              <w:top w:val="single" w:color="000000" w:sz="6" w:space="0"/>
              <w:left w:val="single" w:color="000000" w:sz="12"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能 源</w:t>
            </w:r>
          </w:p>
        </w:tc>
        <w:tc>
          <w:tcPr>
            <w:tcW w:w="2201" w:type="dxa"/>
            <w:gridSpan w:val="2"/>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电</w:t>
            </w:r>
          </w:p>
        </w:tc>
        <w:tc>
          <w:tcPr>
            <w:tcW w:w="1173"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color w:val="auto"/>
                <w:szCs w:val="21"/>
                <w:highlight w:val="red"/>
              </w:rPr>
            </w:pPr>
            <w:r>
              <w:rPr>
                <w:rFonts w:hint="eastAsia" w:ascii="Times New Roman" w:hAnsi="Times New Roman"/>
                <w:color w:val="auto"/>
                <w:szCs w:val="21"/>
                <w:lang w:val="en-US" w:eastAsia="zh-CN"/>
              </w:rPr>
              <w:t>20万</w:t>
            </w:r>
            <w:r>
              <w:rPr>
                <w:rFonts w:ascii="Times New Roman" w:hAnsi="Times New Roman"/>
                <w:color w:val="auto"/>
                <w:szCs w:val="21"/>
              </w:rPr>
              <w:t>kw·h</w:t>
            </w:r>
          </w:p>
        </w:tc>
        <w:tc>
          <w:tcPr>
            <w:tcW w:w="1062"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color w:val="auto"/>
                <w:szCs w:val="21"/>
              </w:rPr>
            </w:pPr>
            <w:r>
              <w:rPr>
                <w:rFonts w:ascii="Times New Roman" w:hAnsi="Times New Roman"/>
                <w:color w:val="auto"/>
                <w:szCs w:val="21"/>
              </w:rPr>
              <w:t>由当地</w:t>
            </w:r>
            <w:r>
              <w:rPr>
                <w:rFonts w:hint="eastAsia" w:ascii="Times New Roman" w:hAnsi="Times New Roman"/>
                <w:color w:val="auto"/>
                <w:szCs w:val="21"/>
              </w:rPr>
              <w:t>变电所</w:t>
            </w:r>
            <w:r>
              <w:rPr>
                <w:rFonts w:ascii="Times New Roman" w:hAnsi="Times New Roman"/>
                <w:color w:val="auto"/>
                <w:szCs w:val="21"/>
              </w:rPr>
              <w:t>电</w:t>
            </w:r>
          </w:p>
          <w:p>
            <w:pPr>
              <w:adjustRightInd w:val="0"/>
              <w:snapToGrid w:val="0"/>
              <w:jc w:val="center"/>
              <w:rPr>
                <w:rFonts w:ascii="Times New Roman" w:hAnsi="Times New Roman"/>
                <w:color w:val="auto"/>
                <w:szCs w:val="21"/>
                <w:highlight w:val="red"/>
              </w:rPr>
            </w:pPr>
            <w:r>
              <w:rPr>
                <w:rFonts w:ascii="Times New Roman" w:hAnsi="Times New Roman"/>
                <w:color w:val="auto"/>
                <w:szCs w:val="21"/>
              </w:rPr>
              <w:t>网接入</w:t>
            </w:r>
          </w:p>
        </w:tc>
        <w:tc>
          <w:tcPr>
            <w:tcW w:w="4231" w:type="dxa"/>
            <w:gridSpan w:val="2"/>
            <w:tcBorders>
              <w:top w:val="single" w:color="000000" w:sz="6" w:space="0"/>
              <w:left w:val="single" w:color="000000" w:sz="6" w:space="0"/>
              <w:bottom w:val="single" w:color="000000" w:sz="6" w:space="0"/>
              <w:right w:val="single" w:color="000000" w:sz="12" w:space="0"/>
            </w:tcBorders>
            <w:vAlign w:val="center"/>
          </w:tcPr>
          <w:p>
            <w:pPr>
              <w:adjustRightInd w:val="0"/>
              <w:snapToGrid w:val="0"/>
              <w:jc w:val="center"/>
              <w:rPr>
                <w:rFonts w:ascii="Times New Roman" w:hAnsi="Times New Roman"/>
                <w:color w:val="auto"/>
                <w:szCs w:val="21"/>
                <w:highlight w:val="red"/>
              </w:rPr>
            </w:pPr>
            <w:r>
              <w:rPr>
                <w:rFonts w:ascii="Times New Roman" w:hAnsi="Times New Roman"/>
                <w:color w:val="auto"/>
                <w:szCs w:val="21"/>
              </w:rPr>
              <w:t>每月耗电量约为</w:t>
            </w:r>
            <w:r>
              <w:rPr>
                <w:rFonts w:hint="eastAsia" w:ascii="Times New Roman" w:hAnsi="Times New Roman"/>
                <w:color w:val="auto"/>
                <w:szCs w:val="21"/>
                <w:lang w:val="en-US" w:eastAsia="zh-CN"/>
              </w:rPr>
              <w:t>1.67万</w:t>
            </w:r>
            <w:r>
              <w:rPr>
                <w:rFonts w:ascii="Times New Roman" w:hAnsi="Times New Roman"/>
                <w:color w:val="auto"/>
                <w:szCs w:val="21"/>
              </w:rPr>
              <w:t>kw·h</w:t>
            </w:r>
          </w:p>
        </w:tc>
      </w:tr>
      <w:tr>
        <w:tblPrEx>
          <w:tblCellMar>
            <w:top w:w="0" w:type="dxa"/>
            <w:left w:w="0" w:type="dxa"/>
            <w:bottom w:w="0" w:type="dxa"/>
            <w:right w:w="0" w:type="dxa"/>
          </w:tblCellMar>
        </w:tblPrEx>
        <w:trPr>
          <w:trHeight w:val="284" w:hRule="atLeast"/>
          <w:jc w:val="center"/>
        </w:trPr>
        <w:tc>
          <w:tcPr>
            <w:tcW w:w="404" w:type="dxa"/>
            <w:vMerge w:val="continue"/>
            <w:tcBorders>
              <w:left w:val="single" w:color="000000" w:sz="12" w:space="0"/>
              <w:right w:val="single" w:color="000000" w:sz="6" w:space="0"/>
            </w:tcBorders>
            <w:vAlign w:val="center"/>
          </w:tcPr>
          <w:p>
            <w:pPr>
              <w:adjustRightInd w:val="0"/>
              <w:snapToGrid w:val="0"/>
              <w:jc w:val="center"/>
              <w:rPr>
                <w:rFonts w:ascii="Times New Roman" w:hAnsi="Times New Roman"/>
                <w:szCs w:val="21"/>
              </w:rPr>
            </w:pPr>
          </w:p>
        </w:tc>
        <w:tc>
          <w:tcPr>
            <w:tcW w:w="969" w:type="dxa"/>
            <w:vMerge w:val="restart"/>
            <w:tcBorders>
              <w:top w:val="single" w:color="000000" w:sz="6" w:space="0"/>
              <w:left w:val="single" w:color="000000" w:sz="6" w:space="0"/>
              <w:right w:val="single" w:color="000000" w:sz="6" w:space="0"/>
            </w:tcBorders>
            <w:vAlign w:val="center"/>
          </w:tcPr>
          <w:p>
            <w:pPr>
              <w:adjustRightInd w:val="0"/>
              <w:snapToGrid w:val="0"/>
              <w:jc w:val="center"/>
              <w:rPr>
                <w:rFonts w:hint="default" w:ascii="Times New Roman" w:hAnsi="Times New Roman" w:eastAsia="宋体"/>
                <w:szCs w:val="21"/>
                <w:highlight w:val="none"/>
                <w:lang w:val="en-US" w:eastAsia="zh-CN"/>
              </w:rPr>
            </w:pPr>
            <w:r>
              <w:rPr>
                <w:rFonts w:ascii="Times New Roman" w:hAnsi="Times New Roman"/>
                <w:szCs w:val="21"/>
                <w:highlight w:val="none"/>
              </w:rPr>
              <w:t xml:space="preserve">新鲜水 </w:t>
            </w:r>
            <w:r>
              <w:rPr>
                <w:rFonts w:hint="eastAsia" w:ascii="Times New Roman" w:hAnsi="Times New Roman"/>
                <w:szCs w:val="21"/>
                <w:highlight w:val="none"/>
                <w:lang w:val="en-US" w:eastAsia="zh-CN"/>
              </w:rPr>
              <w:t>24584.75</w:t>
            </w:r>
          </w:p>
          <w:p>
            <w:pPr>
              <w:adjustRightInd w:val="0"/>
              <w:snapToGrid w:val="0"/>
              <w:jc w:val="center"/>
              <w:rPr>
                <w:rFonts w:ascii="Times New Roman" w:hAnsi="Times New Roman"/>
                <w:szCs w:val="21"/>
              </w:rPr>
            </w:pPr>
            <w:r>
              <w:rPr>
                <w:rFonts w:ascii="Times New Roman" w:hAnsi="Times New Roman"/>
                <w:szCs w:val="21"/>
                <w:highlight w:val="none"/>
              </w:rPr>
              <w:t>（m</w:t>
            </w:r>
            <w:r>
              <w:rPr>
                <w:rFonts w:ascii="Times New Roman" w:hAnsi="Times New Roman"/>
                <w:szCs w:val="21"/>
                <w:highlight w:val="none"/>
                <w:vertAlign w:val="superscript"/>
              </w:rPr>
              <w:t>3</w:t>
            </w:r>
            <w:r>
              <w:rPr>
                <w:rFonts w:ascii="Times New Roman" w:hAnsi="Times New Roman"/>
                <w:szCs w:val="21"/>
                <w:highlight w:val="none"/>
              </w:rPr>
              <w:t>/a）</w:t>
            </w:r>
          </w:p>
        </w:tc>
        <w:tc>
          <w:tcPr>
            <w:tcW w:w="1232"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生活用水</w:t>
            </w:r>
          </w:p>
        </w:tc>
        <w:tc>
          <w:tcPr>
            <w:tcW w:w="1173"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hint="eastAsia" w:ascii="Times New Roman" w:hAnsi="Times New Roman"/>
                <w:szCs w:val="21"/>
                <w:lang w:val="en-US" w:eastAsia="zh-CN"/>
              </w:rPr>
              <w:t>255.5</w:t>
            </w:r>
            <w:r>
              <w:rPr>
                <w:rFonts w:ascii="Times New Roman" w:hAnsi="Times New Roman"/>
                <w:szCs w:val="21"/>
              </w:rPr>
              <w:t>m</w:t>
            </w:r>
            <w:r>
              <w:rPr>
                <w:rFonts w:ascii="Times New Roman" w:hAnsi="Times New Roman"/>
                <w:szCs w:val="21"/>
                <w:vertAlign w:val="superscript"/>
              </w:rPr>
              <w:t>3</w:t>
            </w:r>
            <w:r>
              <w:rPr>
                <w:rFonts w:ascii="Times New Roman" w:hAnsi="Times New Roman"/>
                <w:szCs w:val="21"/>
              </w:rPr>
              <w:t>/a</w:t>
            </w:r>
          </w:p>
        </w:tc>
        <w:tc>
          <w:tcPr>
            <w:tcW w:w="1062" w:type="dxa"/>
            <w:vMerge w:val="restart"/>
            <w:tcBorders>
              <w:top w:val="single" w:color="000000" w:sz="6" w:space="0"/>
              <w:left w:val="single" w:color="000000" w:sz="6" w:space="0"/>
              <w:right w:val="single" w:color="000000" w:sz="6" w:space="0"/>
            </w:tcBorders>
            <w:vAlign w:val="center"/>
          </w:tcPr>
          <w:p>
            <w:pPr>
              <w:adjustRightInd w:val="0"/>
              <w:snapToGrid w:val="0"/>
              <w:jc w:val="center"/>
              <w:rPr>
                <w:rFonts w:ascii="Times New Roman" w:hAnsi="Times New Roman"/>
                <w:szCs w:val="21"/>
              </w:rPr>
            </w:pPr>
            <w:r>
              <w:rPr>
                <w:rFonts w:hint="eastAsia" w:ascii="Times New Roman" w:hAnsi="Times New Roman"/>
                <w:szCs w:val="21"/>
              </w:rPr>
              <w:t>隆德县自来水公司</w:t>
            </w:r>
          </w:p>
        </w:tc>
        <w:tc>
          <w:tcPr>
            <w:tcW w:w="4231" w:type="dxa"/>
            <w:gridSpan w:val="2"/>
            <w:tcBorders>
              <w:top w:val="single" w:color="000000" w:sz="6" w:space="0"/>
              <w:left w:val="single" w:color="000000" w:sz="6" w:space="0"/>
              <w:bottom w:val="single" w:color="000000" w:sz="6" w:space="0"/>
              <w:right w:val="single" w:color="000000" w:sz="12" w:space="0"/>
            </w:tcBorders>
            <w:vAlign w:val="center"/>
          </w:tcPr>
          <w:p>
            <w:pPr>
              <w:adjustRightInd w:val="0"/>
              <w:snapToGrid w:val="0"/>
              <w:jc w:val="center"/>
              <w:rPr>
                <w:rFonts w:ascii="Times New Roman" w:hAnsi="Times New Roman"/>
                <w:szCs w:val="21"/>
              </w:rPr>
            </w:pPr>
            <w:r>
              <w:rPr>
                <w:rFonts w:ascii="Times New Roman" w:hAnsi="Times New Roman"/>
                <w:szCs w:val="21"/>
              </w:rPr>
              <w:t>项目定员</w:t>
            </w:r>
            <w:r>
              <w:rPr>
                <w:rFonts w:hint="eastAsia" w:ascii="Times New Roman" w:hAnsi="Times New Roman"/>
                <w:szCs w:val="21"/>
              </w:rPr>
              <w:t>7</w:t>
            </w:r>
            <w:r>
              <w:rPr>
                <w:rFonts w:ascii="Times New Roman" w:hAnsi="Times New Roman"/>
                <w:szCs w:val="21"/>
              </w:rPr>
              <w:t>人，生活用水标准按</w:t>
            </w:r>
            <w:r>
              <w:rPr>
                <w:rFonts w:hint="eastAsia" w:ascii="Times New Roman" w:hAnsi="Times New Roman"/>
                <w:szCs w:val="21"/>
                <w:lang w:val="en-US" w:eastAsia="zh-CN"/>
              </w:rPr>
              <w:t>10</w:t>
            </w:r>
            <w:r>
              <w:rPr>
                <w:rFonts w:ascii="Times New Roman" w:hAnsi="Times New Roman"/>
                <w:szCs w:val="21"/>
              </w:rPr>
              <w:t>0L/人.d计</w:t>
            </w:r>
          </w:p>
        </w:tc>
      </w:tr>
      <w:tr>
        <w:tblPrEx>
          <w:tblCellMar>
            <w:top w:w="0" w:type="dxa"/>
            <w:left w:w="0" w:type="dxa"/>
            <w:bottom w:w="0" w:type="dxa"/>
            <w:right w:w="0" w:type="dxa"/>
          </w:tblCellMar>
        </w:tblPrEx>
        <w:trPr>
          <w:trHeight w:val="284" w:hRule="atLeast"/>
          <w:jc w:val="center"/>
        </w:trPr>
        <w:tc>
          <w:tcPr>
            <w:tcW w:w="404" w:type="dxa"/>
            <w:vMerge w:val="continue"/>
            <w:tcBorders>
              <w:left w:val="single" w:color="000000" w:sz="12" w:space="0"/>
              <w:right w:val="single" w:color="000000" w:sz="6" w:space="0"/>
            </w:tcBorders>
            <w:vAlign w:val="center"/>
          </w:tcPr>
          <w:p>
            <w:pPr>
              <w:adjustRightInd w:val="0"/>
              <w:snapToGrid w:val="0"/>
              <w:jc w:val="center"/>
              <w:rPr>
                <w:rFonts w:ascii="Times New Roman" w:hAnsi="Times New Roman"/>
                <w:szCs w:val="21"/>
              </w:rPr>
            </w:pPr>
          </w:p>
        </w:tc>
        <w:tc>
          <w:tcPr>
            <w:tcW w:w="969" w:type="dxa"/>
            <w:vMerge w:val="continue"/>
            <w:tcBorders>
              <w:left w:val="single" w:color="000000" w:sz="6" w:space="0"/>
              <w:right w:val="single" w:color="000000" w:sz="6" w:space="0"/>
            </w:tcBorders>
            <w:vAlign w:val="center"/>
          </w:tcPr>
          <w:p>
            <w:pPr>
              <w:adjustRightInd w:val="0"/>
              <w:snapToGrid w:val="0"/>
              <w:jc w:val="center"/>
              <w:rPr>
                <w:rFonts w:ascii="Times New Roman" w:hAnsi="Times New Roman"/>
                <w:szCs w:val="21"/>
              </w:rPr>
            </w:pPr>
          </w:p>
        </w:tc>
        <w:tc>
          <w:tcPr>
            <w:tcW w:w="1232" w:type="dxa"/>
            <w:tcBorders>
              <w:top w:val="single" w:color="000000" w:sz="6" w:space="0"/>
              <w:left w:val="single" w:color="000000" w:sz="6" w:space="0"/>
              <w:bottom w:val="single" w:color="000000" w:sz="12"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牛饮用水</w:t>
            </w:r>
          </w:p>
        </w:tc>
        <w:tc>
          <w:tcPr>
            <w:tcW w:w="1173" w:type="dxa"/>
            <w:tcBorders>
              <w:top w:val="single" w:color="000000" w:sz="6" w:space="0"/>
              <w:left w:val="single" w:color="000000" w:sz="6" w:space="0"/>
              <w:bottom w:val="single" w:color="000000" w:sz="12" w:space="0"/>
              <w:right w:val="single" w:color="000000" w:sz="6" w:space="0"/>
            </w:tcBorders>
            <w:vAlign w:val="center"/>
          </w:tcPr>
          <w:p>
            <w:pPr>
              <w:adjustRightInd w:val="0"/>
              <w:snapToGrid w:val="0"/>
              <w:jc w:val="center"/>
              <w:rPr>
                <w:rFonts w:ascii="Times New Roman" w:hAnsi="Times New Roman"/>
                <w:szCs w:val="21"/>
              </w:rPr>
            </w:pPr>
            <w:r>
              <w:rPr>
                <w:rFonts w:hint="eastAsia" w:ascii="Times New Roman" w:hAnsi="Times New Roman"/>
                <w:szCs w:val="21"/>
                <w:lang w:val="en-US" w:eastAsia="zh-CN"/>
              </w:rPr>
              <w:t>23871</w:t>
            </w:r>
            <w:r>
              <w:rPr>
                <w:rFonts w:ascii="Times New Roman" w:hAnsi="Times New Roman"/>
                <w:szCs w:val="21"/>
              </w:rPr>
              <w:t>m</w:t>
            </w:r>
            <w:r>
              <w:rPr>
                <w:rFonts w:ascii="Times New Roman" w:hAnsi="Times New Roman"/>
                <w:szCs w:val="21"/>
                <w:vertAlign w:val="superscript"/>
              </w:rPr>
              <w:t>3</w:t>
            </w:r>
            <w:r>
              <w:rPr>
                <w:rFonts w:ascii="Times New Roman" w:hAnsi="Times New Roman"/>
                <w:szCs w:val="21"/>
              </w:rPr>
              <w:t>/a</w:t>
            </w:r>
          </w:p>
        </w:tc>
        <w:tc>
          <w:tcPr>
            <w:tcW w:w="1062" w:type="dxa"/>
            <w:vMerge w:val="continue"/>
            <w:tcBorders>
              <w:left w:val="single" w:color="000000" w:sz="6" w:space="0"/>
              <w:right w:val="single" w:color="000000" w:sz="6" w:space="0"/>
            </w:tcBorders>
            <w:vAlign w:val="center"/>
          </w:tcPr>
          <w:p>
            <w:pPr>
              <w:adjustRightInd w:val="0"/>
              <w:snapToGrid w:val="0"/>
              <w:jc w:val="center"/>
              <w:rPr>
                <w:rFonts w:ascii="Times New Roman" w:hAnsi="Times New Roman"/>
                <w:szCs w:val="21"/>
              </w:rPr>
            </w:pPr>
          </w:p>
        </w:tc>
        <w:tc>
          <w:tcPr>
            <w:tcW w:w="4231" w:type="dxa"/>
            <w:gridSpan w:val="2"/>
            <w:tcBorders>
              <w:top w:val="single" w:color="000000" w:sz="6" w:space="0"/>
              <w:left w:val="single" w:color="000000" w:sz="6" w:space="0"/>
              <w:bottom w:val="single" w:color="000000" w:sz="12" w:space="0"/>
              <w:right w:val="single" w:color="000000" w:sz="12" w:space="0"/>
            </w:tcBorders>
            <w:vAlign w:val="center"/>
          </w:tcPr>
          <w:p>
            <w:pPr>
              <w:adjustRightInd w:val="0"/>
              <w:snapToGrid w:val="0"/>
              <w:jc w:val="center"/>
              <w:rPr>
                <w:rFonts w:ascii="Times New Roman" w:hAnsi="Times New Roman"/>
                <w:szCs w:val="21"/>
              </w:rPr>
            </w:pPr>
            <w:r>
              <w:rPr>
                <w:rFonts w:hint="eastAsia" w:ascii="Times New Roman" w:hAnsi="Times New Roman" w:eastAsia="宋体" w:cs="Times New Roman"/>
                <w:kern w:val="2"/>
                <w:sz w:val="24"/>
                <w:szCs w:val="24"/>
                <w:lang w:val="en-US" w:eastAsia="zh-CN" w:bidi="ar-SA"/>
              </w:rPr>
              <w:t>基础母牛用水量为50L/头·d，犊牛用水量为20L/头·d</w:t>
            </w:r>
          </w:p>
        </w:tc>
      </w:tr>
      <w:tr>
        <w:tblPrEx>
          <w:tblCellMar>
            <w:top w:w="0" w:type="dxa"/>
            <w:left w:w="0" w:type="dxa"/>
            <w:bottom w:w="0" w:type="dxa"/>
            <w:right w:w="0" w:type="dxa"/>
          </w:tblCellMar>
        </w:tblPrEx>
        <w:trPr>
          <w:trHeight w:val="284" w:hRule="atLeast"/>
          <w:jc w:val="center"/>
        </w:trPr>
        <w:tc>
          <w:tcPr>
            <w:tcW w:w="404" w:type="dxa"/>
            <w:vMerge w:val="continue"/>
            <w:tcBorders>
              <w:left w:val="single" w:color="000000" w:sz="12" w:space="0"/>
              <w:right w:val="single" w:color="000000" w:sz="6" w:space="0"/>
            </w:tcBorders>
            <w:vAlign w:val="center"/>
          </w:tcPr>
          <w:p>
            <w:pPr>
              <w:adjustRightInd w:val="0"/>
              <w:snapToGrid w:val="0"/>
              <w:jc w:val="center"/>
              <w:rPr>
                <w:rFonts w:ascii="Times New Roman" w:hAnsi="Times New Roman"/>
                <w:szCs w:val="21"/>
              </w:rPr>
            </w:pPr>
          </w:p>
        </w:tc>
        <w:tc>
          <w:tcPr>
            <w:tcW w:w="969" w:type="dxa"/>
            <w:vMerge w:val="continue"/>
            <w:tcBorders>
              <w:left w:val="single" w:color="000000" w:sz="6" w:space="0"/>
              <w:right w:val="single" w:color="000000" w:sz="6" w:space="0"/>
            </w:tcBorders>
            <w:vAlign w:val="center"/>
          </w:tcPr>
          <w:p>
            <w:pPr>
              <w:adjustRightInd w:val="0"/>
              <w:snapToGrid w:val="0"/>
              <w:jc w:val="center"/>
              <w:rPr>
                <w:rFonts w:ascii="Times New Roman" w:hAnsi="Times New Roman"/>
                <w:szCs w:val="21"/>
              </w:rPr>
            </w:pPr>
          </w:p>
        </w:tc>
        <w:tc>
          <w:tcPr>
            <w:tcW w:w="1232" w:type="dxa"/>
            <w:tcBorders>
              <w:top w:val="single" w:color="000000" w:sz="12"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饲料配水</w:t>
            </w:r>
          </w:p>
        </w:tc>
        <w:tc>
          <w:tcPr>
            <w:tcW w:w="1173" w:type="dxa"/>
            <w:tcBorders>
              <w:top w:val="single" w:color="000000" w:sz="12" w:space="0"/>
              <w:left w:val="single" w:color="000000" w:sz="6" w:space="0"/>
              <w:bottom w:val="single" w:color="000000" w:sz="6" w:space="0"/>
              <w:right w:val="single" w:color="000000" w:sz="6" w:space="0"/>
            </w:tcBorders>
            <w:vAlign w:val="center"/>
          </w:tcPr>
          <w:p>
            <w:pPr>
              <w:pStyle w:val="14"/>
              <w:ind w:firstLine="0" w:firstLineChars="0"/>
              <w:jc w:val="center"/>
              <w:rPr>
                <w:rFonts w:ascii="Times New Roman" w:hAnsi="Times New Roman"/>
              </w:rPr>
            </w:pPr>
            <w:r>
              <w:rPr>
                <w:rFonts w:hint="eastAsia" w:ascii="Times New Roman" w:hAnsi="Times New Roman"/>
                <w:sz w:val="21"/>
                <w:szCs w:val="21"/>
                <w:lang w:val="en-US" w:eastAsia="zh-CN"/>
              </w:rPr>
              <w:t>346.75</w:t>
            </w:r>
            <w:r>
              <w:rPr>
                <w:rFonts w:hint="eastAsia" w:ascii="Times New Roman" w:hAnsi="Times New Roman"/>
                <w:sz w:val="21"/>
                <w:szCs w:val="21"/>
              </w:rPr>
              <w:t>m</w:t>
            </w:r>
            <w:r>
              <w:rPr>
                <w:rFonts w:hint="eastAsia" w:ascii="Times New Roman" w:hAnsi="Times New Roman"/>
                <w:sz w:val="21"/>
                <w:szCs w:val="21"/>
                <w:vertAlign w:val="superscript"/>
              </w:rPr>
              <w:t>3</w:t>
            </w:r>
            <w:r>
              <w:rPr>
                <w:rFonts w:hint="eastAsia" w:ascii="Times New Roman" w:hAnsi="Times New Roman"/>
                <w:sz w:val="21"/>
                <w:szCs w:val="21"/>
              </w:rPr>
              <w:t>/a</w:t>
            </w:r>
          </w:p>
        </w:tc>
        <w:tc>
          <w:tcPr>
            <w:tcW w:w="1062" w:type="dxa"/>
            <w:vMerge w:val="continue"/>
            <w:tcBorders>
              <w:left w:val="single" w:color="000000" w:sz="6" w:space="0"/>
              <w:right w:val="single" w:color="000000" w:sz="6" w:space="0"/>
            </w:tcBorders>
            <w:vAlign w:val="center"/>
          </w:tcPr>
          <w:p>
            <w:pPr>
              <w:adjustRightInd w:val="0"/>
              <w:snapToGrid w:val="0"/>
              <w:jc w:val="center"/>
              <w:rPr>
                <w:rFonts w:ascii="Times New Roman" w:hAnsi="Times New Roman"/>
                <w:szCs w:val="21"/>
              </w:rPr>
            </w:pPr>
          </w:p>
        </w:tc>
        <w:tc>
          <w:tcPr>
            <w:tcW w:w="4231" w:type="dxa"/>
            <w:gridSpan w:val="2"/>
            <w:tcBorders>
              <w:top w:val="single" w:color="000000" w:sz="12" w:space="0"/>
              <w:left w:val="single" w:color="000000" w:sz="6" w:space="0"/>
              <w:bottom w:val="single" w:color="000000" w:sz="6" w:space="0"/>
              <w:right w:val="single" w:color="000000" w:sz="12" w:space="0"/>
            </w:tcBorders>
            <w:vAlign w:val="center"/>
          </w:tcPr>
          <w:p>
            <w:pPr>
              <w:adjustRightInd w:val="0"/>
              <w:snapToGrid w:val="0"/>
              <w:jc w:val="center"/>
              <w:rPr>
                <w:rFonts w:ascii="Times New Roman" w:hAnsi="Times New Roman"/>
                <w:szCs w:val="21"/>
              </w:rPr>
            </w:pPr>
            <w:r>
              <w:rPr>
                <w:rFonts w:ascii="Times New Roman" w:hAnsi="Times New Roman"/>
                <w:szCs w:val="21"/>
              </w:rPr>
              <w:t>每 10kg配比饲料（10kg粗饲料、2.5kg精饲料；以粗饲料计）配水 0.002m³新鲜 水</w:t>
            </w:r>
          </w:p>
        </w:tc>
      </w:tr>
      <w:tr>
        <w:tblPrEx>
          <w:tblCellMar>
            <w:top w:w="0" w:type="dxa"/>
            <w:left w:w="0" w:type="dxa"/>
            <w:bottom w:w="0" w:type="dxa"/>
            <w:right w:w="0" w:type="dxa"/>
          </w:tblCellMar>
        </w:tblPrEx>
        <w:trPr>
          <w:trHeight w:val="284" w:hRule="atLeast"/>
          <w:jc w:val="center"/>
        </w:trPr>
        <w:tc>
          <w:tcPr>
            <w:tcW w:w="404" w:type="dxa"/>
            <w:vMerge w:val="continue"/>
            <w:tcBorders>
              <w:left w:val="single" w:color="000000" w:sz="12" w:space="0"/>
              <w:right w:val="single" w:color="000000" w:sz="6" w:space="0"/>
            </w:tcBorders>
            <w:vAlign w:val="center"/>
          </w:tcPr>
          <w:p>
            <w:pPr>
              <w:adjustRightInd w:val="0"/>
              <w:snapToGrid w:val="0"/>
              <w:jc w:val="center"/>
              <w:rPr>
                <w:rFonts w:ascii="Times New Roman" w:hAnsi="Times New Roman"/>
                <w:szCs w:val="21"/>
              </w:rPr>
            </w:pPr>
          </w:p>
        </w:tc>
        <w:tc>
          <w:tcPr>
            <w:tcW w:w="969" w:type="dxa"/>
            <w:vMerge w:val="continue"/>
            <w:tcBorders>
              <w:left w:val="single" w:color="000000" w:sz="6" w:space="0"/>
              <w:right w:val="single" w:color="000000" w:sz="6" w:space="0"/>
            </w:tcBorders>
            <w:vAlign w:val="center"/>
          </w:tcPr>
          <w:p>
            <w:pPr>
              <w:adjustRightInd w:val="0"/>
              <w:snapToGrid w:val="0"/>
              <w:jc w:val="center"/>
              <w:rPr>
                <w:rFonts w:ascii="Times New Roman" w:hAnsi="Times New Roman"/>
                <w:szCs w:val="21"/>
              </w:rPr>
            </w:pPr>
          </w:p>
        </w:tc>
        <w:tc>
          <w:tcPr>
            <w:tcW w:w="1232"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绿化用水</w:t>
            </w:r>
          </w:p>
        </w:tc>
        <w:tc>
          <w:tcPr>
            <w:tcW w:w="1173"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hint="eastAsia" w:ascii="Times New Roman" w:hAnsi="Times New Roman"/>
                <w:szCs w:val="21"/>
                <w:lang w:val="en-US" w:eastAsia="zh-CN"/>
              </w:rPr>
              <w:t>75</w:t>
            </w:r>
            <w:r>
              <w:rPr>
                <w:rFonts w:ascii="Times New Roman" w:hAnsi="Times New Roman"/>
                <w:szCs w:val="21"/>
              </w:rPr>
              <w:t>m</w:t>
            </w:r>
            <w:r>
              <w:rPr>
                <w:rFonts w:ascii="Times New Roman" w:hAnsi="Times New Roman"/>
                <w:szCs w:val="21"/>
                <w:vertAlign w:val="superscript"/>
              </w:rPr>
              <w:t>3</w:t>
            </w:r>
            <w:r>
              <w:rPr>
                <w:rFonts w:ascii="Times New Roman" w:hAnsi="Times New Roman"/>
                <w:szCs w:val="21"/>
              </w:rPr>
              <w:t>/a</w:t>
            </w:r>
          </w:p>
        </w:tc>
        <w:tc>
          <w:tcPr>
            <w:tcW w:w="1062" w:type="dxa"/>
            <w:vMerge w:val="continue"/>
            <w:tcBorders>
              <w:left w:val="single" w:color="000000" w:sz="6" w:space="0"/>
              <w:right w:val="single" w:color="000000" w:sz="6" w:space="0"/>
            </w:tcBorders>
            <w:vAlign w:val="center"/>
          </w:tcPr>
          <w:p>
            <w:pPr>
              <w:adjustRightInd w:val="0"/>
              <w:snapToGrid w:val="0"/>
              <w:jc w:val="center"/>
              <w:rPr>
                <w:rFonts w:ascii="Times New Roman" w:hAnsi="Times New Roman"/>
                <w:szCs w:val="21"/>
              </w:rPr>
            </w:pPr>
          </w:p>
        </w:tc>
        <w:tc>
          <w:tcPr>
            <w:tcW w:w="4231" w:type="dxa"/>
            <w:gridSpan w:val="2"/>
            <w:tcBorders>
              <w:top w:val="single" w:color="000000" w:sz="6" w:space="0"/>
              <w:left w:val="single" w:color="000000" w:sz="6" w:space="0"/>
              <w:bottom w:val="single" w:color="000000" w:sz="6" w:space="0"/>
              <w:right w:val="single" w:color="000000" w:sz="12" w:space="0"/>
            </w:tcBorders>
            <w:vAlign w:val="center"/>
          </w:tcPr>
          <w:p>
            <w:pPr>
              <w:adjustRightInd w:val="0"/>
              <w:snapToGrid w:val="0"/>
              <w:jc w:val="center"/>
              <w:rPr>
                <w:rFonts w:ascii="Times New Roman" w:hAnsi="Times New Roman"/>
                <w:szCs w:val="21"/>
              </w:rPr>
            </w:pPr>
            <w:r>
              <w:rPr>
                <w:rFonts w:ascii="Times New Roman" w:hAnsi="Times New Roman"/>
                <w:szCs w:val="21"/>
              </w:rPr>
              <w:t>绿化面积为</w:t>
            </w:r>
            <w:r>
              <w:rPr>
                <w:rFonts w:hint="eastAsia" w:ascii="Times New Roman" w:hAnsi="Times New Roman"/>
                <w:szCs w:val="21"/>
              </w:rPr>
              <w:t>500</w:t>
            </w:r>
            <w:r>
              <w:rPr>
                <w:rFonts w:ascii="Times New Roman" w:hAnsi="Times New Roman"/>
                <w:szCs w:val="21"/>
              </w:rPr>
              <w:t>m</w:t>
            </w:r>
            <w:r>
              <w:rPr>
                <w:rFonts w:ascii="Times New Roman" w:hAnsi="Times New Roman"/>
                <w:szCs w:val="21"/>
                <w:vertAlign w:val="superscript"/>
              </w:rPr>
              <w:t>2</w:t>
            </w:r>
            <w:r>
              <w:rPr>
                <w:rFonts w:ascii="Times New Roman" w:hAnsi="Times New Roman"/>
                <w:szCs w:val="21"/>
              </w:rPr>
              <w:t>，绿化用水标准按</w:t>
            </w:r>
          </w:p>
          <w:p>
            <w:pPr>
              <w:adjustRightInd w:val="0"/>
              <w:snapToGrid w:val="0"/>
              <w:jc w:val="center"/>
              <w:rPr>
                <w:rFonts w:ascii="Times New Roman" w:hAnsi="Times New Roman"/>
                <w:szCs w:val="21"/>
              </w:rPr>
            </w:pPr>
            <w:r>
              <w:rPr>
                <w:rFonts w:ascii="Times New Roman" w:hAnsi="Times New Roman"/>
                <w:szCs w:val="21"/>
              </w:rPr>
              <w:t>2L/m</w:t>
            </w:r>
            <w:r>
              <w:rPr>
                <w:rFonts w:ascii="Times New Roman" w:hAnsi="Times New Roman"/>
                <w:szCs w:val="21"/>
                <w:vertAlign w:val="superscript"/>
              </w:rPr>
              <w:t>2</w:t>
            </w:r>
            <w:r>
              <w:rPr>
                <w:rFonts w:ascii="Times New Roman" w:hAnsi="Times New Roman"/>
                <w:szCs w:val="21"/>
              </w:rPr>
              <w:t>·d 计，按210d计</w:t>
            </w:r>
          </w:p>
        </w:tc>
      </w:tr>
      <w:tr>
        <w:tblPrEx>
          <w:tblCellMar>
            <w:top w:w="0" w:type="dxa"/>
            <w:left w:w="0" w:type="dxa"/>
            <w:bottom w:w="0" w:type="dxa"/>
            <w:right w:w="0" w:type="dxa"/>
          </w:tblCellMar>
        </w:tblPrEx>
        <w:trPr>
          <w:trHeight w:val="284" w:hRule="atLeast"/>
          <w:jc w:val="center"/>
        </w:trPr>
        <w:tc>
          <w:tcPr>
            <w:tcW w:w="404" w:type="dxa"/>
            <w:vMerge w:val="continue"/>
            <w:tcBorders>
              <w:left w:val="single" w:color="000000" w:sz="12" w:space="0"/>
              <w:bottom w:val="single" w:color="000000" w:sz="6" w:space="0"/>
              <w:right w:val="single" w:color="000000" w:sz="6" w:space="0"/>
            </w:tcBorders>
            <w:vAlign w:val="center"/>
          </w:tcPr>
          <w:p>
            <w:pPr>
              <w:adjustRightInd w:val="0"/>
              <w:snapToGrid w:val="0"/>
              <w:jc w:val="center"/>
              <w:rPr>
                <w:rFonts w:ascii="Times New Roman" w:hAnsi="Times New Roman"/>
                <w:szCs w:val="21"/>
              </w:rPr>
            </w:pPr>
          </w:p>
        </w:tc>
        <w:tc>
          <w:tcPr>
            <w:tcW w:w="969" w:type="dxa"/>
            <w:vMerge w:val="continue"/>
            <w:tcBorders>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p>
        </w:tc>
        <w:tc>
          <w:tcPr>
            <w:tcW w:w="1232"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hint="default" w:ascii="Times New Roman" w:hAnsi="Times New Roman" w:eastAsia="宋体"/>
                <w:szCs w:val="21"/>
                <w:lang w:val="en-US" w:eastAsia="zh-CN"/>
              </w:rPr>
            </w:pPr>
            <w:r>
              <w:rPr>
                <w:rFonts w:hint="eastAsia" w:ascii="Times New Roman" w:hAnsi="Times New Roman"/>
                <w:szCs w:val="21"/>
                <w:lang w:eastAsia="zh-CN"/>
              </w:rPr>
              <w:t>消毒药剂配制用水</w:t>
            </w:r>
          </w:p>
        </w:tc>
        <w:tc>
          <w:tcPr>
            <w:tcW w:w="1173"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hint="eastAsia" w:ascii="Times New Roman" w:hAnsi="Times New Roman"/>
                <w:szCs w:val="21"/>
                <w:lang w:val="en-US" w:eastAsia="zh-CN"/>
              </w:rPr>
            </w:pPr>
            <w:r>
              <w:rPr>
                <w:rFonts w:hint="eastAsia" w:ascii="Times New Roman" w:hAnsi="Times New Roman"/>
                <w:szCs w:val="21"/>
                <w:lang w:val="en-US" w:eastAsia="zh-CN"/>
              </w:rPr>
              <w:t>36.5</w:t>
            </w:r>
            <w:r>
              <w:rPr>
                <w:rFonts w:hint="eastAsia" w:ascii="Times New Roman" w:hAnsi="Times New Roman"/>
                <w:sz w:val="21"/>
                <w:szCs w:val="21"/>
              </w:rPr>
              <w:t>m</w:t>
            </w:r>
            <w:r>
              <w:rPr>
                <w:rFonts w:hint="eastAsia" w:ascii="Times New Roman" w:hAnsi="Times New Roman"/>
                <w:sz w:val="21"/>
                <w:szCs w:val="21"/>
                <w:vertAlign w:val="superscript"/>
              </w:rPr>
              <w:t>3</w:t>
            </w:r>
            <w:r>
              <w:rPr>
                <w:rFonts w:hint="eastAsia" w:ascii="Times New Roman" w:hAnsi="Times New Roman"/>
                <w:sz w:val="21"/>
                <w:szCs w:val="21"/>
              </w:rPr>
              <w:t>/a</w:t>
            </w:r>
          </w:p>
        </w:tc>
        <w:tc>
          <w:tcPr>
            <w:tcW w:w="1062" w:type="dxa"/>
            <w:vMerge w:val="continue"/>
            <w:tcBorders>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p>
        </w:tc>
        <w:tc>
          <w:tcPr>
            <w:tcW w:w="4231" w:type="dxa"/>
            <w:gridSpan w:val="2"/>
            <w:tcBorders>
              <w:top w:val="single" w:color="000000" w:sz="6" w:space="0"/>
              <w:left w:val="single" w:color="000000" w:sz="6" w:space="0"/>
              <w:bottom w:val="single" w:color="000000" w:sz="6" w:space="0"/>
              <w:right w:val="single" w:color="000000" w:sz="12" w:space="0"/>
            </w:tcBorders>
            <w:vAlign w:val="center"/>
          </w:tcPr>
          <w:p>
            <w:pPr>
              <w:adjustRightInd w:val="0"/>
              <w:snapToGrid w:val="0"/>
              <w:jc w:val="center"/>
              <w:rPr>
                <w:rFonts w:hint="default" w:ascii="Times New Roman" w:hAnsi="Times New Roman" w:eastAsia="宋体"/>
                <w:szCs w:val="21"/>
                <w:lang w:val="en-US" w:eastAsia="zh-CN"/>
              </w:rPr>
            </w:pPr>
            <w:r>
              <w:rPr>
                <w:rFonts w:hint="eastAsia" w:ascii="Times New Roman" w:hAnsi="Times New Roman"/>
                <w:szCs w:val="21"/>
                <w:lang w:eastAsia="zh-CN"/>
              </w:rPr>
              <w:t>用水量</w:t>
            </w:r>
            <w:r>
              <w:rPr>
                <w:rFonts w:hint="eastAsia" w:ascii="Times New Roman" w:hAnsi="Times New Roman"/>
                <w:szCs w:val="21"/>
                <w:lang w:val="en-US" w:eastAsia="zh-CN"/>
              </w:rPr>
              <w:t>0.1</w:t>
            </w:r>
            <w:r>
              <w:rPr>
                <w:rFonts w:ascii="Times New Roman" w:hAnsi="Times New Roman" w:eastAsia="宋体" w:cs="Times New Roman"/>
                <w:kern w:val="2"/>
                <w:sz w:val="24"/>
                <w:szCs w:val="24"/>
                <w:lang w:val="en-US" w:eastAsia="zh-CN" w:bidi="ar-SA"/>
              </w:rPr>
              <w:t>m</w:t>
            </w:r>
            <w:r>
              <w:rPr>
                <w:rFonts w:ascii="Times New Roman" w:hAnsi="Times New Roman" w:eastAsia="宋体" w:cs="Times New Roman"/>
                <w:kern w:val="2"/>
                <w:sz w:val="24"/>
                <w:szCs w:val="24"/>
                <w:vertAlign w:val="superscript"/>
                <w:lang w:val="en-US" w:eastAsia="zh-CN" w:bidi="ar-SA"/>
              </w:rPr>
              <w:t>3</w:t>
            </w:r>
            <w:r>
              <w:rPr>
                <w:rFonts w:ascii="Times New Roman" w:hAnsi="Times New Roman" w:eastAsia="宋体" w:cs="Times New Roman"/>
                <w:kern w:val="2"/>
                <w:sz w:val="24"/>
                <w:szCs w:val="24"/>
                <w:lang w:val="en-US" w:eastAsia="zh-CN" w:bidi="ar-SA"/>
              </w:rPr>
              <w:t>/</w:t>
            </w:r>
            <w:r>
              <w:rPr>
                <w:rFonts w:hint="eastAsia" w:ascii="Times New Roman" w:hAnsi="Times New Roman" w:eastAsia="宋体" w:cs="Times New Roman"/>
                <w:kern w:val="2"/>
                <w:sz w:val="24"/>
                <w:szCs w:val="24"/>
                <w:lang w:val="en-US" w:eastAsia="zh-CN" w:bidi="ar-SA"/>
              </w:rPr>
              <w:t>次</w:t>
            </w:r>
          </w:p>
        </w:tc>
      </w:tr>
      <w:tr>
        <w:tblPrEx>
          <w:tblCellMar>
            <w:top w:w="0" w:type="dxa"/>
            <w:left w:w="0" w:type="dxa"/>
            <w:bottom w:w="0" w:type="dxa"/>
            <w:right w:w="0" w:type="dxa"/>
          </w:tblCellMar>
        </w:tblPrEx>
        <w:trPr>
          <w:trHeight w:val="284" w:hRule="atLeast"/>
          <w:jc w:val="center"/>
        </w:trPr>
        <w:tc>
          <w:tcPr>
            <w:tcW w:w="404" w:type="dxa"/>
            <w:vMerge w:val="restart"/>
            <w:tcBorders>
              <w:top w:val="single" w:color="000000" w:sz="6" w:space="0"/>
              <w:left w:val="single" w:color="000000" w:sz="12"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辅助</w:t>
            </w:r>
          </w:p>
        </w:tc>
        <w:tc>
          <w:tcPr>
            <w:tcW w:w="2201" w:type="dxa"/>
            <w:gridSpan w:val="2"/>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消毒药品（生石灰、</w:t>
            </w:r>
          </w:p>
          <w:p>
            <w:pPr>
              <w:adjustRightInd w:val="0"/>
              <w:snapToGrid w:val="0"/>
              <w:jc w:val="center"/>
              <w:rPr>
                <w:rFonts w:ascii="Times New Roman" w:hAnsi="Times New Roman"/>
                <w:szCs w:val="21"/>
              </w:rPr>
            </w:pPr>
            <w:r>
              <w:rPr>
                <w:rFonts w:ascii="Times New Roman" w:hAnsi="Times New Roman"/>
                <w:szCs w:val="21"/>
              </w:rPr>
              <w:t>固体氢氧化钠）</w:t>
            </w:r>
          </w:p>
        </w:tc>
        <w:tc>
          <w:tcPr>
            <w:tcW w:w="1173"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ascii="Times New Roman" w:hAnsi="Times New Roman"/>
                <w:szCs w:val="21"/>
              </w:rPr>
            </w:pPr>
            <w:r>
              <w:rPr>
                <w:rFonts w:hint="eastAsia" w:ascii="Times New Roman" w:hAnsi="Times New Roman"/>
                <w:szCs w:val="21"/>
                <w:lang w:val="en-US" w:eastAsia="zh-CN"/>
              </w:rPr>
              <w:t>10</w:t>
            </w:r>
            <w:r>
              <w:rPr>
                <w:rFonts w:ascii="Times New Roman" w:hAnsi="Times New Roman"/>
                <w:szCs w:val="21"/>
              </w:rPr>
              <w:t>t/a</w:t>
            </w:r>
          </w:p>
        </w:tc>
        <w:tc>
          <w:tcPr>
            <w:tcW w:w="1062" w:type="dxa"/>
            <w:vMerge w:val="restart"/>
            <w:tcBorders>
              <w:top w:val="single" w:color="000000" w:sz="6" w:space="0"/>
              <w:left w:val="single" w:color="000000" w:sz="6"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外购</w:t>
            </w:r>
          </w:p>
        </w:tc>
        <w:tc>
          <w:tcPr>
            <w:tcW w:w="4231" w:type="dxa"/>
            <w:gridSpan w:val="2"/>
            <w:tcBorders>
              <w:top w:val="single" w:color="000000" w:sz="6" w:space="0"/>
              <w:left w:val="single" w:color="000000" w:sz="6" w:space="0"/>
              <w:bottom w:val="single" w:color="000000" w:sz="4" w:space="0"/>
              <w:right w:val="single" w:color="000000" w:sz="6" w:space="0"/>
            </w:tcBorders>
            <w:vAlign w:val="center"/>
          </w:tcPr>
          <w:p>
            <w:pPr>
              <w:adjustRightInd w:val="0"/>
              <w:snapToGrid w:val="0"/>
              <w:jc w:val="center"/>
              <w:rPr>
                <w:rFonts w:hint="eastAsia" w:ascii="Times New Roman" w:hAnsi="Times New Roman" w:eastAsia="宋体"/>
                <w:szCs w:val="21"/>
                <w:lang w:val="en-US" w:eastAsia="zh-CN"/>
              </w:rPr>
            </w:pPr>
            <w:r>
              <w:rPr>
                <w:rFonts w:hint="eastAsia" w:ascii="Times New Roman" w:hAnsi="Times New Roman"/>
                <w:szCs w:val="21"/>
                <w:lang w:val="en-US" w:eastAsia="zh-CN"/>
              </w:rPr>
              <w:t>/</w:t>
            </w:r>
          </w:p>
        </w:tc>
      </w:tr>
      <w:tr>
        <w:tblPrEx>
          <w:tblCellMar>
            <w:top w:w="0" w:type="dxa"/>
            <w:left w:w="0" w:type="dxa"/>
            <w:bottom w:w="0" w:type="dxa"/>
            <w:right w:w="0" w:type="dxa"/>
          </w:tblCellMar>
        </w:tblPrEx>
        <w:trPr>
          <w:trHeight w:val="284" w:hRule="atLeast"/>
          <w:jc w:val="center"/>
        </w:trPr>
        <w:tc>
          <w:tcPr>
            <w:tcW w:w="404" w:type="dxa"/>
            <w:vMerge w:val="continue"/>
            <w:tcBorders>
              <w:left w:val="single" w:color="000000" w:sz="12" w:space="0"/>
              <w:right w:val="single" w:color="000000" w:sz="6" w:space="0"/>
            </w:tcBorders>
            <w:vAlign w:val="center"/>
          </w:tcPr>
          <w:p>
            <w:pPr>
              <w:adjustRightInd w:val="0"/>
              <w:snapToGrid w:val="0"/>
              <w:jc w:val="center"/>
              <w:rPr>
                <w:rFonts w:ascii="Times New Roman" w:hAnsi="Times New Roman"/>
                <w:szCs w:val="21"/>
              </w:rPr>
            </w:pPr>
          </w:p>
        </w:tc>
        <w:tc>
          <w:tcPr>
            <w:tcW w:w="2201" w:type="dxa"/>
            <w:gridSpan w:val="2"/>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hint="eastAsia" w:ascii="Times New Roman" w:hAnsi="Times New Roman" w:eastAsia="宋体"/>
                <w:szCs w:val="21"/>
                <w:lang w:eastAsia="zh-CN"/>
              </w:rPr>
            </w:pPr>
            <w:r>
              <w:rPr>
                <w:rFonts w:hint="eastAsia" w:ascii="Times New Roman" w:hAnsi="Times New Roman"/>
                <w:szCs w:val="21"/>
                <w:lang w:eastAsia="zh-CN"/>
              </w:rPr>
              <w:t>其他常用消毒药品</w:t>
            </w:r>
          </w:p>
        </w:tc>
        <w:tc>
          <w:tcPr>
            <w:tcW w:w="1173" w:type="dxa"/>
            <w:tcBorders>
              <w:top w:val="single" w:color="000000" w:sz="6" w:space="0"/>
              <w:left w:val="single" w:color="000000" w:sz="6" w:space="0"/>
              <w:bottom w:val="single" w:color="000000" w:sz="6" w:space="0"/>
              <w:right w:val="single" w:color="000000" w:sz="6" w:space="0"/>
            </w:tcBorders>
            <w:vAlign w:val="center"/>
          </w:tcPr>
          <w:p>
            <w:pPr>
              <w:adjustRightInd w:val="0"/>
              <w:snapToGrid w:val="0"/>
              <w:jc w:val="center"/>
              <w:rPr>
                <w:rFonts w:hint="default" w:ascii="Times New Roman" w:hAnsi="Times New Roman"/>
                <w:szCs w:val="21"/>
                <w:lang w:val="en-US" w:eastAsia="zh-CN"/>
              </w:rPr>
            </w:pPr>
            <w:r>
              <w:rPr>
                <w:rFonts w:hint="eastAsia" w:ascii="Times New Roman" w:hAnsi="Times New Roman"/>
                <w:szCs w:val="21"/>
                <w:lang w:val="en-US" w:eastAsia="zh-CN"/>
              </w:rPr>
              <w:t>8</w:t>
            </w:r>
            <w:r>
              <w:rPr>
                <w:rFonts w:ascii="Times New Roman" w:hAnsi="Times New Roman"/>
                <w:szCs w:val="21"/>
              </w:rPr>
              <w:t>t/a</w:t>
            </w:r>
          </w:p>
        </w:tc>
        <w:tc>
          <w:tcPr>
            <w:tcW w:w="1062" w:type="dxa"/>
            <w:vMerge w:val="continue"/>
            <w:tcBorders>
              <w:left w:val="single" w:color="000000" w:sz="6" w:space="0"/>
              <w:right w:val="single" w:color="000000" w:sz="6" w:space="0"/>
            </w:tcBorders>
            <w:vAlign w:val="center"/>
          </w:tcPr>
          <w:p>
            <w:pPr>
              <w:adjustRightInd w:val="0"/>
              <w:snapToGrid w:val="0"/>
              <w:jc w:val="center"/>
              <w:rPr>
                <w:rFonts w:ascii="Times New Roman" w:hAnsi="Times New Roman"/>
                <w:szCs w:val="21"/>
              </w:rPr>
            </w:pPr>
          </w:p>
        </w:tc>
        <w:tc>
          <w:tcPr>
            <w:tcW w:w="4231" w:type="dxa"/>
            <w:gridSpan w:val="2"/>
            <w:tcBorders>
              <w:top w:val="single" w:color="000000" w:sz="4" w:space="0"/>
              <w:left w:val="single" w:color="000000" w:sz="6" w:space="0"/>
              <w:bottom w:val="single" w:color="000000" w:sz="4" w:space="0"/>
              <w:right w:val="single" w:color="000000" w:sz="6" w:space="0"/>
            </w:tcBorders>
            <w:vAlign w:val="center"/>
          </w:tcPr>
          <w:p>
            <w:pPr>
              <w:adjustRightInd w:val="0"/>
              <w:snapToGrid w:val="0"/>
              <w:jc w:val="center"/>
              <w:rPr>
                <w:rFonts w:ascii="Times New Roman" w:hAnsi="Times New Roman"/>
                <w:szCs w:val="21"/>
              </w:rPr>
            </w:pPr>
            <w:r>
              <w:rPr>
                <w:rFonts w:hint="eastAsia"/>
                <w:sz w:val="21"/>
                <w:szCs w:val="21"/>
              </w:rPr>
              <w:t>来苏尔、新洁尔灭水溶液、0</w:t>
            </w:r>
            <w:r>
              <w:rPr>
                <w:sz w:val="21"/>
                <w:szCs w:val="21"/>
              </w:rPr>
              <w:t>.2</w:t>
            </w:r>
            <w:r>
              <w:rPr>
                <w:rFonts w:hint="eastAsia"/>
                <w:sz w:val="21"/>
                <w:szCs w:val="21"/>
              </w:rPr>
              <w:t>%次氯酸钠、0</w:t>
            </w:r>
            <w:r>
              <w:rPr>
                <w:sz w:val="21"/>
                <w:szCs w:val="21"/>
              </w:rPr>
              <w:t>.2</w:t>
            </w:r>
            <w:r>
              <w:rPr>
                <w:rFonts w:hint="eastAsia"/>
                <w:sz w:val="21"/>
                <w:szCs w:val="21"/>
              </w:rPr>
              <w:t>%过氧乙酸等</w:t>
            </w:r>
          </w:p>
        </w:tc>
      </w:tr>
      <w:tr>
        <w:tblPrEx>
          <w:tblCellMar>
            <w:top w:w="0" w:type="dxa"/>
            <w:left w:w="0" w:type="dxa"/>
            <w:bottom w:w="0" w:type="dxa"/>
            <w:right w:w="0" w:type="dxa"/>
          </w:tblCellMar>
        </w:tblPrEx>
        <w:trPr>
          <w:trHeight w:val="284" w:hRule="atLeast"/>
          <w:jc w:val="center"/>
        </w:trPr>
        <w:tc>
          <w:tcPr>
            <w:tcW w:w="404" w:type="dxa"/>
            <w:vMerge w:val="continue"/>
            <w:tcBorders>
              <w:left w:val="single" w:color="000000" w:sz="12" w:space="0"/>
              <w:bottom w:val="single" w:color="000000" w:sz="12" w:space="0"/>
              <w:right w:val="single" w:color="000000" w:sz="6" w:space="0"/>
            </w:tcBorders>
            <w:vAlign w:val="center"/>
          </w:tcPr>
          <w:p>
            <w:pPr>
              <w:jc w:val="center"/>
              <w:rPr>
                <w:rFonts w:ascii="Times New Roman" w:hAnsi="Times New Roman"/>
              </w:rPr>
            </w:pPr>
          </w:p>
        </w:tc>
        <w:tc>
          <w:tcPr>
            <w:tcW w:w="2201" w:type="dxa"/>
            <w:gridSpan w:val="2"/>
            <w:tcBorders>
              <w:top w:val="single" w:color="000000" w:sz="6" w:space="0"/>
              <w:left w:val="single" w:color="000000" w:sz="6" w:space="0"/>
              <w:bottom w:val="single" w:color="000000" w:sz="12" w:space="0"/>
              <w:right w:val="single" w:color="000000" w:sz="6" w:space="0"/>
            </w:tcBorders>
            <w:vAlign w:val="center"/>
          </w:tcPr>
          <w:p>
            <w:pPr>
              <w:adjustRightInd w:val="0"/>
              <w:snapToGrid w:val="0"/>
              <w:jc w:val="center"/>
              <w:rPr>
                <w:rFonts w:ascii="Times New Roman" w:hAnsi="Times New Roman"/>
                <w:szCs w:val="21"/>
              </w:rPr>
            </w:pPr>
            <w:r>
              <w:rPr>
                <w:rFonts w:ascii="Times New Roman" w:hAnsi="Times New Roman"/>
                <w:szCs w:val="21"/>
              </w:rPr>
              <w:t>除臭剂（EM微生物菌</w:t>
            </w:r>
          </w:p>
          <w:p>
            <w:pPr>
              <w:adjustRightInd w:val="0"/>
              <w:snapToGrid w:val="0"/>
              <w:jc w:val="center"/>
              <w:rPr>
                <w:rFonts w:ascii="Times New Roman" w:hAnsi="Times New Roman"/>
                <w:szCs w:val="21"/>
              </w:rPr>
            </w:pPr>
            <w:r>
              <w:rPr>
                <w:rFonts w:ascii="Times New Roman" w:hAnsi="Times New Roman"/>
                <w:szCs w:val="21"/>
              </w:rPr>
              <w:t>剂、常用除臭剂等）</w:t>
            </w:r>
          </w:p>
        </w:tc>
        <w:tc>
          <w:tcPr>
            <w:tcW w:w="1173" w:type="dxa"/>
            <w:tcBorders>
              <w:top w:val="single" w:color="000000" w:sz="6" w:space="0"/>
              <w:left w:val="single" w:color="000000" w:sz="6" w:space="0"/>
              <w:bottom w:val="single" w:color="000000" w:sz="12" w:space="0"/>
              <w:right w:val="single" w:color="000000" w:sz="6" w:space="0"/>
            </w:tcBorders>
            <w:vAlign w:val="center"/>
          </w:tcPr>
          <w:p>
            <w:pPr>
              <w:adjustRightInd w:val="0"/>
              <w:snapToGrid w:val="0"/>
              <w:jc w:val="center"/>
              <w:rPr>
                <w:rFonts w:ascii="Times New Roman" w:hAnsi="Times New Roman"/>
                <w:szCs w:val="21"/>
              </w:rPr>
            </w:pPr>
            <w:r>
              <w:rPr>
                <w:rFonts w:hint="eastAsia" w:ascii="Times New Roman" w:hAnsi="Times New Roman"/>
                <w:szCs w:val="21"/>
                <w:lang w:val="en-US" w:eastAsia="zh-CN"/>
              </w:rPr>
              <w:t>10</w:t>
            </w:r>
            <w:r>
              <w:rPr>
                <w:rFonts w:ascii="Times New Roman" w:hAnsi="Times New Roman"/>
                <w:szCs w:val="21"/>
              </w:rPr>
              <w:t>t/a</w:t>
            </w:r>
          </w:p>
        </w:tc>
        <w:tc>
          <w:tcPr>
            <w:tcW w:w="1062" w:type="dxa"/>
            <w:vMerge w:val="continue"/>
            <w:tcBorders>
              <w:left w:val="single" w:color="000000" w:sz="6" w:space="0"/>
              <w:bottom w:val="single" w:color="000000" w:sz="12" w:space="0"/>
              <w:right w:val="single" w:color="000000" w:sz="6" w:space="0"/>
            </w:tcBorders>
            <w:vAlign w:val="center"/>
          </w:tcPr>
          <w:p>
            <w:pPr>
              <w:jc w:val="center"/>
              <w:rPr>
                <w:rFonts w:ascii="Times New Roman" w:hAnsi="Times New Roman"/>
              </w:rPr>
            </w:pPr>
          </w:p>
        </w:tc>
        <w:tc>
          <w:tcPr>
            <w:tcW w:w="4231" w:type="dxa"/>
            <w:gridSpan w:val="2"/>
            <w:tcBorders>
              <w:top w:val="single" w:color="000000" w:sz="4" w:space="0"/>
              <w:left w:val="single" w:color="000000" w:sz="6" w:space="0"/>
              <w:bottom w:val="single" w:color="000000" w:sz="6" w:space="0"/>
              <w:right w:val="single" w:color="000000" w:sz="6" w:space="0"/>
            </w:tcBorders>
            <w:vAlign w:val="center"/>
          </w:tcPr>
          <w:p>
            <w:pPr>
              <w:jc w:val="center"/>
              <w:rPr>
                <w:rFonts w:hint="eastAsia" w:ascii="Times New Roman" w:hAnsi="Times New Roman" w:eastAsia="宋体"/>
                <w:lang w:val="en-US" w:eastAsia="zh-CN"/>
              </w:rPr>
            </w:pPr>
            <w:r>
              <w:rPr>
                <w:rFonts w:hint="eastAsia" w:ascii="Times New Roman" w:hAnsi="Times New Roman"/>
                <w:lang w:val="en-US" w:eastAsia="zh-CN"/>
              </w:rPr>
              <w:t>/</w:t>
            </w:r>
          </w:p>
        </w:tc>
      </w:tr>
    </w:tbl>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09" w:name="_Toc16284"/>
      <w:r>
        <w:rPr>
          <w:rFonts w:hint="eastAsia" w:cs="Times New Roman"/>
          <w:bCs w:val="0"/>
          <w:snapToGrid w:val="0"/>
          <w:kern w:val="0"/>
          <w:sz w:val="28"/>
          <w:szCs w:val="28"/>
        </w:rPr>
        <w:t>2</w:t>
      </w:r>
      <w:r>
        <w:rPr>
          <w:rFonts w:cs="Times New Roman"/>
          <w:bCs w:val="0"/>
          <w:snapToGrid w:val="0"/>
          <w:kern w:val="0"/>
          <w:sz w:val="28"/>
          <w:szCs w:val="28"/>
        </w:rPr>
        <w:t>.1.5</w:t>
      </w:r>
      <w:r>
        <w:rPr>
          <w:rFonts w:hint="eastAsia" w:cs="Times New Roman"/>
          <w:bCs w:val="0"/>
          <w:snapToGrid w:val="0"/>
          <w:kern w:val="0"/>
          <w:sz w:val="28"/>
          <w:szCs w:val="28"/>
        </w:rPr>
        <w:t>主要生产设备</w:t>
      </w:r>
      <w:bookmarkEnd w:id="409"/>
    </w:p>
    <w:p>
      <w:pPr>
        <w:adjustRightInd w:val="0"/>
        <w:snapToGrid w:val="0"/>
        <w:spacing w:line="540" w:lineRule="exact"/>
        <w:ind w:firstLine="480" w:firstLineChars="200"/>
        <w:rPr>
          <w:rFonts w:ascii="Times New Roman" w:hAnsi="Times New Roman"/>
          <w:sz w:val="24"/>
          <w:lang w:val="zh-CN"/>
        </w:rPr>
      </w:pPr>
      <w:r>
        <w:rPr>
          <w:rFonts w:ascii="Times New Roman" w:hAnsi="Times New Roman"/>
          <w:sz w:val="24"/>
          <w:lang w:val="zh-CN"/>
        </w:rPr>
        <w:t>本项目</w:t>
      </w:r>
      <w:r>
        <w:rPr>
          <w:rFonts w:hint="eastAsia" w:ascii="Times New Roman" w:hAnsi="Times New Roman"/>
          <w:sz w:val="24"/>
          <w:lang w:val="zh-CN"/>
        </w:rPr>
        <w:t>肉牛</w:t>
      </w:r>
      <w:r>
        <w:rPr>
          <w:rFonts w:ascii="Times New Roman" w:hAnsi="Times New Roman"/>
          <w:sz w:val="24"/>
          <w:lang w:val="zh-CN"/>
        </w:rPr>
        <w:t>养殖主要设备见表</w:t>
      </w:r>
      <w:r>
        <w:rPr>
          <w:rFonts w:hint="eastAsia" w:ascii="Times New Roman" w:hAnsi="Times New Roman"/>
          <w:sz w:val="24"/>
        </w:rPr>
        <w:t>2</w:t>
      </w:r>
      <w:r>
        <w:rPr>
          <w:rFonts w:ascii="Times New Roman" w:hAnsi="Times New Roman"/>
          <w:sz w:val="24"/>
          <w:lang w:val="zh-CN"/>
        </w:rPr>
        <w:t>.1-</w:t>
      </w:r>
      <w:r>
        <w:rPr>
          <w:rFonts w:hint="eastAsia" w:ascii="Times New Roman" w:hAnsi="Times New Roman"/>
          <w:sz w:val="24"/>
        </w:rPr>
        <w:t>5</w:t>
      </w:r>
      <w:r>
        <w:rPr>
          <w:rFonts w:ascii="Times New Roman" w:hAnsi="Times New Roman"/>
          <w:sz w:val="24"/>
          <w:lang w:val="zh-CN"/>
        </w:rPr>
        <w:t>。</w:t>
      </w:r>
    </w:p>
    <w:p>
      <w:pPr>
        <w:adjustRightInd w:val="0"/>
        <w:snapToGrid w:val="0"/>
        <w:jc w:val="center"/>
        <w:rPr>
          <w:rFonts w:ascii="Times New Roman" w:hAnsi="Times New Roman"/>
          <w:b/>
          <w:sz w:val="24"/>
        </w:rPr>
      </w:pPr>
      <w:bookmarkStart w:id="410" w:name="_Toc21034"/>
    </w:p>
    <w:p>
      <w:pPr>
        <w:adjustRightInd w:val="0"/>
        <w:snapToGrid w:val="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2</w:t>
      </w:r>
      <w:r>
        <w:rPr>
          <w:rFonts w:ascii="Times New Roman" w:hAnsi="Times New Roman"/>
          <w:b/>
          <w:sz w:val="24"/>
        </w:rPr>
        <w:t>.1-</w:t>
      </w:r>
      <w:r>
        <w:rPr>
          <w:rFonts w:hint="eastAsia" w:ascii="Times New Roman" w:hAnsi="Times New Roman"/>
          <w:b/>
          <w:sz w:val="24"/>
        </w:rPr>
        <w:t>5</w:t>
      </w:r>
      <w:r>
        <w:rPr>
          <w:rFonts w:ascii="Times New Roman" w:hAnsi="Times New Roman"/>
          <w:b/>
          <w:sz w:val="24"/>
        </w:rPr>
        <w:t xml:space="preserve">  </w:t>
      </w:r>
      <w:r>
        <w:rPr>
          <w:rFonts w:hint="eastAsia" w:ascii="Times New Roman" w:hAnsi="Times New Roman"/>
          <w:b/>
          <w:sz w:val="24"/>
        </w:rPr>
        <w:t>本项目养殖主要生产设备一览表</w:t>
      </w:r>
      <w:bookmarkEnd w:id="410"/>
    </w:p>
    <w:p>
      <w:pPr>
        <w:spacing w:before="10"/>
        <w:jc w:val="center"/>
        <w:rPr>
          <w:rFonts w:ascii="Times New Roman" w:hAnsi="Times New Roman" w:cs="仿宋"/>
          <w:b/>
          <w:sz w:val="2"/>
          <w:szCs w:val="2"/>
        </w:rPr>
      </w:pPr>
    </w:p>
    <w:tbl>
      <w:tblPr>
        <w:tblStyle w:val="29"/>
        <w:tblW w:w="9030" w:type="dxa"/>
        <w:tblInd w:w="-2" w:type="dxa"/>
        <w:tblLayout w:type="fixed"/>
        <w:tblCellMar>
          <w:top w:w="0" w:type="dxa"/>
          <w:left w:w="0" w:type="dxa"/>
          <w:bottom w:w="0" w:type="dxa"/>
          <w:right w:w="0" w:type="dxa"/>
        </w:tblCellMar>
      </w:tblPr>
      <w:tblGrid>
        <w:gridCol w:w="1785"/>
        <w:gridCol w:w="2505"/>
        <w:gridCol w:w="2085"/>
        <w:gridCol w:w="2655"/>
      </w:tblGrid>
      <w:tr>
        <w:tblPrEx>
          <w:tblCellMar>
            <w:top w:w="0" w:type="dxa"/>
            <w:left w:w="0" w:type="dxa"/>
            <w:bottom w:w="0" w:type="dxa"/>
            <w:right w:w="0" w:type="dxa"/>
          </w:tblCellMar>
        </w:tblPrEx>
        <w:trPr>
          <w:trHeight w:val="429" w:hRule="exact"/>
        </w:trPr>
        <w:tc>
          <w:tcPr>
            <w:tcW w:w="1785" w:type="dxa"/>
            <w:tcBorders>
              <w:top w:val="single" w:color="000000" w:sz="12" w:space="0"/>
              <w:left w:val="single" w:color="000000" w:sz="12" w:space="0"/>
              <w:bottom w:val="single" w:color="000000" w:sz="6" w:space="0"/>
              <w:right w:val="single" w:color="000000" w:sz="6" w:space="0"/>
            </w:tcBorders>
          </w:tcPr>
          <w:p>
            <w:pPr>
              <w:pStyle w:val="46"/>
              <w:spacing w:before="28" w:line="240" w:lineRule="auto"/>
              <w:ind w:right="4" w:firstLine="0" w:firstLineChars="0"/>
              <w:jc w:val="center"/>
              <w:rPr>
                <w:rFonts w:hAnsi="Times New Roman" w:cs="仿宋"/>
                <w:b/>
                <w:szCs w:val="21"/>
              </w:rPr>
            </w:pPr>
            <w:r>
              <w:rPr>
                <w:rFonts w:hAnsi="Times New Roman" w:cs="仿宋"/>
                <w:b/>
                <w:szCs w:val="21"/>
              </w:rPr>
              <w:t>序号</w:t>
            </w:r>
          </w:p>
        </w:tc>
        <w:tc>
          <w:tcPr>
            <w:tcW w:w="2505" w:type="dxa"/>
            <w:tcBorders>
              <w:top w:val="single" w:color="000000" w:sz="12" w:space="0"/>
              <w:left w:val="single" w:color="000000" w:sz="6" w:space="0"/>
              <w:bottom w:val="single" w:color="000000" w:sz="6" w:space="0"/>
              <w:right w:val="single" w:color="000000" w:sz="6" w:space="0"/>
            </w:tcBorders>
          </w:tcPr>
          <w:p>
            <w:pPr>
              <w:pStyle w:val="46"/>
              <w:spacing w:before="28" w:line="240" w:lineRule="auto"/>
              <w:ind w:left="3" w:firstLine="0" w:firstLineChars="0"/>
              <w:jc w:val="center"/>
              <w:rPr>
                <w:rFonts w:hAnsi="Times New Roman" w:cs="仿宋"/>
                <w:b/>
                <w:szCs w:val="21"/>
              </w:rPr>
            </w:pPr>
            <w:r>
              <w:rPr>
                <w:rFonts w:hAnsi="Times New Roman" w:cs="仿宋"/>
                <w:b/>
                <w:szCs w:val="21"/>
              </w:rPr>
              <w:t>设备名称</w:t>
            </w:r>
          </w:p>
        </w:tc>
        <w:tc>
          <w:tcPr>
            <w:tcW w:w="2085" w:type="dxa"/>
            <w:tcBorders>
              <w:top w:val="single" w:color="000000" w:sz="12" w:space="0"/>
              <w:left w:val="single" w:color="000000" w:sz="6" w:space="0"/>
              <w:bottom w:val="single" w:color="000000" w:sz="6" w:space="0"/>
              <w:right w:val="single" w:color="000000" w:sz="6" w:space="0"/>
            </w:tcBorders>
          </w:tcPr>
          <w:p>
            <w:pPr>
              <w:pStyle w:val="46"/>
              <w:spacing w:before="28" w:line="240" w:lineRule="auto"/>
              <w:ind w:left="2" w:firstLine="0" w:firstLineChars="0"/>
              <w:jc w:val="center"/>
              <w:rPr>
                <w:rFonts w:hAnsi="Times New Roman" w:cs="仿宋"/>
                <w:b/>
                <w:szCs w:val="21"/>
              </w:rPr>
            </w:pPr>
            <w:r>
              <w:rPr>
                <w:rFonts w:hAnsi="Times New Roman" w:cs="仿宋"/>
                <w:b/>
                <w:szCs w:val="21"/>
              </w:rPr>
              <w:t>单位</w:t>
            </w:r>
          </w:p>
        </w:tc>
        <w:tc>
          <w:tcPr>
            <w:tcW w:w="2655" w:type="dxa"/>
            <w:tcBorders>
              <w:top w:val="single" w:color="000000" w:sz="12" w:space="0"/>
              <w:left w:val="single" w:color="000000" w:sz="6" w:space="0"/>
              <w:bottom w:val="single" w:color="000000" w:sz="6" w:space="0"/>
              <w:right w:val="single" w:color="000000" w:sz="12" w:space="0"/>
            </w:tcBorders>
          </w:tcPr>
          <w:p>
            <w:pPr>
              <w:pStyle w:val="46"/>
              <w:spacing w:before="28" w:line="240" w:lineRule="auto"/>
              <w:ind w:left="4" w:firstLine="0" w:firstLineChars="0"/>
              <w:jc w:val="center"/>
              <w:rPr>
                <w:rFonts w:hAnsi="Times New Roman" w:cs="仿宋"/>
                <w:b/>
                <w:szCs w:val="21"/>
              </w:rPr>
            </w:pPr>
            <w:r>
              <w:rPr>
                <w:rFonts w:hAnsi="Times New Roman" w:cs="仿宋"/>
                <w:b/>
                <w:szCs w:val="21"/>
              </w:rPr>
              <w:t>数量</w:t>
            </w:r>
          </w:p>
        </w:tc>
      </w:tr>
      <w:tr>
        <w:tblPrEx>
          <w:tblCellMar>
            <w:top w:w="0" w:type="dxa"/>
            <w:left w:w="0" w:type="dxa"/>
            <w:bottom w:w="0" w:type="dxa"/>
            <w:right w:w="0" w:type="dxa"/>
          </w:tblCellMar>
        </w:tblPrEx>
        <w:trPr>
          <w:trHeight w:val="395" w:hRule="exact"/>
        </w:trPr>
        <w:tc>
          <w:tcPr>
            <w:tcW w:w="1785" w:type="dxa"/>
            <w:tcBorders>
              <w:top w:val="single" w:color="000000" w:sz="6" w:space="0"/>
              <w:left w:val="single" w:color="000000" w:sz="12" w:space="0"/>
              <w:bottom w:val="single" w:color="000000" w:sz="6" w:space="0"/>
              <w:right w:val="single" w:color="000000" w:sz="6" w:space="0"/>
            </w:tcBorders>
          </w:tcPr>
          <w:p>
            <w:pPr>
              <w:pStyle w:val="46"/>
              <w:spacing w:before="28" w:line="240" w:lineRule="auto"/>
              <w:ind w:right="8" w:firstLine="0" w:firstLineChars="0"/>
              <w:jc w:val="center"/>
              <w:rPr>
                <w:rFonts w:hAnsi="Times New Roman" w:cs="仿宋"/>
                <w:szCs w:val="21"/>
              </w:rPr>
            </w:pPr>
            <w:r>
              <w:rPr>
                <w:rFonts w:hAnsi="Times New Roman"/>
                <w:w w:val="99"/>
              </w:rPr>
              <w:t>1</w:t>
            </w:r>
          </w:p>
        </w:tc>
        <w:tc>
          <w:tcPr>
            <w:tcW w:w="2505" w:type="dxa"/>
            <w:tcBorders>
              <w:top w:val="single" w:color="000000" w:sz="6" w:space="0"/>
              <w:left w:val="single" w:color="000000" w:sz="6" w:space="0"/>
              <w:bottom w:val="single" w:color="000000" w:sz="6" w:space="0"/>
              <w:right w:val="single" w:color="000000" w:sz="6" w:space="0"/>
            </w:tcBorders>
          </w:tcPr>
          <w:p>
            <w:pPr>
              <w:pStyle w:val="46"/>
              <w:spacing w:before="28" w:line="240" w:lineRule="auto"/>
              <w:ind w:right="1" w:firstLine="0" w:firstLineChars="0"/>
              <w:jc w:val="center"/>
              <w:rPr>
                <w:rFonts w:hAnsi="Times New Roman" w:cs="仿宋"/>
                <w:szCs w:val="21"/>
              </w:rPr>
            </w:pPr>
            <w:r>
              <w:rPr>
                <w:rFonts w:hAnsi="Times New Roman" w:cs="仿宋"/>
                <w:szCs w:val="21"/>
              </w:rPr>
              <w:t>饲料粉碎机</w:t>
            </w:r>
          </w:p>
        </w:tc>
        <w:tc>
          <w:tcPr>
            <w:tcW w:w="2085" w:type="dxa"/>
            <w:tcBorders>
              <w:top w:val="single" w:color="000000" w:sz="6" w:space="0"/>
              <w:left w:val="single" w:color="000000" w:sz="6" w:space="0"/>
              <w:bottom w:val="single" w:color="000000" w:sz="6" w:space="0"/>
              <w:right w:val="single" w:color="000000" w:sz="6"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台</w:t>
            </w:r>
          </w:p>
        </w:tc>
        <w:tc>
          <w:tcPr>
            <w:tcW w:w="2655" w:type="dxa"/>
            <w:tcBorders>
              <w:top w:val="single" w:color="000000" w:sz="6" w:space="0"/>
              <w:left w:val="single" w:color="000000" w:sz="6" w:space="0"/>
              <w:bottom w:val="single" w:color="000000" w:sz="6" w:space="0"/>
              <w:right w:val="single" w:color="000000" w:sz="12"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1</w:t>
            </w:r>
          </w:p>
        </w:tc>
      </w:tr>
      <w:tr>
        <w:tblPrEx>
          <w:tblCellMar>
            <w:top w:w="0" w:type="dxa"/>
            <w:left w:w="0" w:type="dxa"/>
            <w:bottom w:w="0" w:type="dxa"/>
            <w:right w:w="0" w:type="dxa"/>
          </w:tblCellMar>
        </w:tblPrEx>
        <w:trPr>
          <w:trHeight w:val="412" w:hRule="exact"/>
        </w:trPr>
        <w:tc>
          <w:tcPr>
            <w:tcW w:w="1785" w:type="dxa"/>
            <w:tcBorders>
              <w:top w:val="single" w:color="000000" w:sz="6" w:space="0"/>
              <w:left w:val="single" w:color="000000" w:sz="12" w:space="0"/>
              <w:bottom w:val="single" w:color="000000" w:sz="6" w:space="0"/>
              <w:right w:val="single" w:color="000000" w:sz="6" w:space="0"/>
            </w:tcBorders>
          </w:tcPr>
          <w:p>
            <w:pPr>
              <w:pStyle w:val="46"/>
              <w:spacing w:before="26" w:line="240" w:lineRule="auto"/>
              <w:ind w:right="8" w:firstLine="0" w:firstLineChars="0"/>
              <w:jc w:val="center"/>
              <w:rPr>
                <w:rFonts w:hAnsi="Times New Roman" w:cs="仿宋"/>
                <w:szCs w:val="21"/>
              </w:rPr>
            </w:pPr>
            <w:r>
              <w:rPr>
                <w:rFonts w:hAnsi="Times New Roman"/>
                <w:w w:val="99"/>
              </w:rPr>
              <w:t>2</w:t>
            </w:r>
          </w:p>
        </w:tc>
        <w:tc>
          <w:tcPr>
            <w:tcW w:w="2505" w:type="dxa"/>
            <w:tcBorders>
              <w:top w:val="single" w:color="000000" w:sz="6" w:space="0"/>
              <w:left w:val="single" w:color="000000" w:sz="6" w:space="0"/>
              <w:bottom w:val="single" w:color="000000" w:sz="6" w:space="0"/>
              <w:right w:val="single" w:color="000000" w:sz="6" w:space="0"/>
            </w:tcBorders>
          </w:tcPr>
          <w:p>
            <w:pPr>
              <w:pStyle w:val="46"/>
              <w:spacing w:before="26" w:line="240" w:lineRule="auto"/>
              <w:ind w:right="1" w:firstLine="0" w:firstLineChars="0"/>
              <w:jc w:val="center"/>
              <w:rPr>
                <w:rFonts w:hAnsi="Times New Roman" w:cs="仿宋"/>
                <w:szCs w:val="21"/>
              </w:rPr>
            </w:pPr>
            <w:r>
              <w:rPr>
                <w:rFonts w:hAnsi="Times New Roman" w:cs="仿宋"/>
                <w:szCs w:val="21"/>
              </w:rPr>
              <w:t>饲料搅拌机</w:t>
            </w:r>
          </w:p>
        </w:tc>
        <w:tc>
          <w:tcPr>
            <w:tcW w:w="2085" w:type="dxa"/>
            <w:tcBorders>
              <w:top w:val="single" w:color="000000" w:sz="6" w:space="0"/>
              <w:left w:val="single" w:color="000000" w:sz="6" w:space="0"/>
              <w:bottom w:val="single" w:color="000000" w:sz="6" w:space="0"/>
              <w:right w:val="single" w:color="000000" w:sz="6"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台</w:t>
            </w:r>
          </w:p>
        </w:tc>
        <w:tc>
          <w:tcPr>
            <w:tcW w:w="2655" w:type="dxa"/>
            <w:tcBorders>
              <w:top w:val="single" w:color="000000" w:sz="6" w:space="0"/>
              <w:left w:val="single" w:color="000000" w:sz="6" w:space="0"/>
              <w:bottom w:val="single" w:color="000000" w:sz="6" w:space="0"/>
              <w:right w:val="single" w:color="000000" w:sz="12"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1</w:t>
            </w:r>
          </w:p>
        </w:tc>
      </w:tr>
      <w:tr>
        <w:tblPrEx>
          <w:tblCellMar>
            <w:top w:w="0" w:type="dxa"/>
            <w:left w:w="0" w:type="dxa"/>
            <w:bottom w:w="0" w:type="dxa"/>
            <w:right w:w="0" w:type="dxa"/>
          </w:tblCellMar>
        </w:tblPrEx>
        <w:trPr>
          <w:trHeight w:val="412" w:hRule="exact"/>
        </w:trPr>
        <w:tc>
          <w:tcPr>
            <w:tcW w:w="1785" w:type="dxa"/>
            <w:tcBorders>
              <w:top w:val="single" w:color="000000" w:sz="6" w:space="0"/>
              <w:left w:val="single" w:color="000000" w:sz="12" w:space="0"/>
              <w:bottom w:val="single" w:color="000000" w:sz="6" w:space="0"/>
              <w:right w:val="single" w:color="000000" w:sz="6" w:space="0"/>
            </w:tcBorders>
          </w:tcPr>
          <w:p>
            <w:pPr>
              <w:pStyle w:val="46"/>
              <w:spacing w:before="27" w:line="240" w:lineRule="auto"/>
              <w:ind w:right="8" w:firstLine="0" w:firstLineChars="0"/>
              <w:jc w:val="center"/>
              <w:rPr>
                <w:rFonts w:hAnsi="Times New Roman" w:cs="仿宋"/>
                <w:szCs w:val="21"/>
              </w:rPr>
            </w:pPr>
            <w:r>
              <w:rPr>
                <w:rFonts w:hAnsi="Times New Roman"/>
                <w:w w:val="99"/>
              </w:rPr>
              <w:t>3</w:t>
            </w:r>
          </w:p>
        </w:tc>
        <w:tc>
          <w:tcPr>
            <w:tcW w:w="2505" w:type="dxa"/>
            <w:tcBorders>
              <w:top w:val="single" w:color="000000" w:sz="6" w:space="0"/>
              <w:left w:val="single" w:color="000000" w:sz="6" w:space="0"/>
              <w:bottom w:val="single" w:color="000000" w:sz="6" w:space="0"/>
              <w:right w:val="single" w:color="000000" w:sz="6" w:space="0"/>
            </w:tcBorders>
          </w:tcPr>
          <w:p>
            <w:pPr>
              <w:pStyle w:val="46"/>
              <w:spacing w:before="27" w:line="240" w:lineRule="auto"/>
              <w:ind w:right="1" w:firstLine="0" w:firstLineChars="0"/>
              <w:jc w:val="center"/>
              <w:rPr>
                <w:rFonts w:hAnsi="Times New Roman" w:cs="仿宋"/>
                <w:szCs w:val="21"/>
              </w:rPr>
            </w:pPr>
            <w:r>
              <w:rPr>
                <w:rFonts w:hint="eastAsia" w:hAnsi="Times New Roman" w:cs="仿宋"/>
                <w:szCs w:val="21"/>
              </w:rPr>
              <w:t>投喂机</w:t>
            </w:r>
          </w:p>
        </w:tc>
        <w:tc>
          <w:tcPr>
            <w:tcW w:w="2085" w:type="dxa"/>
            <w:tcBorders>
              <w:top w:val="single" w:color="000000" w:sz="6" w:space="0"/>
              <w:left w:val="single" w:color="000000" w:sz="6" w:space="0"/>
              <w:bottom w:val="single" w:color="000000" w:sz="6" w:space="0"/>
              <w:right w:val="single" w:color="000000" w:sz="6"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台</w:t>
            </w:r>
          </w:p>
        </w:tc>
        <w:tc>
          <w:tcPr>
            <w:tcW w:w="2655" w:type="dxa"/>
            <w:tcBorders>
              <w:top w:val="single" w:color="000000" w:sz="6" w:space="0"/>
              <w:left w:val="single" w:color="000000" w:sz="6" w:space="0"/>
              <w:bottom w:val="single" w:color="000000" w:sz="6" w:space="0"/>
              <w:right w:val="single" w:color="000000" w:sz="12"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1</w:t>
            </w:r>
          </w:p>
        </w:tc>
      </w:tr>
      <w:tr>
        <w:tblPrEx>
          <w:tblCellMar>
            <w:top w:w="0" w:type="dxa"/>
            <w:left w:w="0" w:type="dxa"/>
            <w:bottom w:w="0" w:type="dxa"/>
            <w:right w:w="0" w:type="dxa"/>
          </w:tblCellMar>
        </w:tblPrEx>
        <w:trPr>
          <w:trHeight w:val="412" w:hRule="exact"/>
        </w:trPr>
        <w:tc>
          <w:tcPr>
            <w:tcW w:w="1785" w:type="dxa"/>
            <w:tcBorders>
              <w:top w:val="single" w:color="000000" w:sz="6" w:space="0"/>
              <w:left w:val="single" w:color="000000" w:sz="12" w:space="0"/>
              <w:bottom w:val="single" w:color="000000" w:sz="6" w:space="0"/>
              <w:right w:val="single" w:color="000000" w:sz="6" w:space="0"/>
            </w:tcBorders>
          </w:tcPr>
          <w:p>
            <w:pPr>
              <w:pStyle w:val="46"/>
              <w:spacing w:before="28" w:line="240" w:lineRule="auto"/>
              <w:ind w:right="8" w:firstLine="0" w:firstLineChars="0"/>
              <w:jc w:val="center"/>
              <w:rPr>
                <w:rFonts w:hAnsi="Times New Roman" w:cs="仿宋"/>
                <w:szCs w:val="21"/>
              </w:rPr>
            </w:pPr>
            <w:r>
              <w:rPr>
                <w:rFonts w:hAnsi="Times New Roman"/>
                <w:w w:val="99"/>
              </w:rPr>
              <w:t>4</w:t>
            </w:r>
          </w:p>
        </w:tc>
        <w:tc>
          <w:tcPr>
            <w:tcW w:w="2505" w:type="dxa"/>
            <w:tcBorders>
              <w:top w:val="single" w:color="000000" w:sz="6" w:space="0"/>
              <w:left w:val="single" w:color="000000" w:sz="6" w:space="0"/>
              <w:bottom w:val="single" w:color="000000" w:sz="6" w:space="0"/>
              <w:right w:val="single" w:color="000000" w:sz="6" w:space="0"/>
            </w:tcBorders>
          </w:tcPr>
          <w:p>
            <w:pPr>
              <w:pStyle w:val="46"/>
              <w:spacing w:before="28" w:line="240" w:lineRule="auto"/>
              <w:ind w:right="1" w:firstLine="0" w:firstLineChars="0"/>
              <w:jc w:val="center"/>
              <w:rPr>
                <w:rFonts w:hAnsi="Times New Roman" w:cs="仿宋"/>
                <w:szCs w:val="21"/>
              </w:rPr>
            </w:pPr>
            <w:r>
              <w:rPr>
                <w:rFonts w:hint="eastAsia" w:hAnsi="Times New Roman" w:cs="仿宋"/>
                <w:szCs w:val="21"/>
              </w:rPr>
              <w:t>吸粪车</w:t>
            </w:r>
          </w:p>
        </w:tc>
        <w:tc>
          <w:tcPr>
            <w:tcW w:w="2085" w:type="dxa"/>
            <w:tcBorders>
              <w:top w:val="single" w:color="000000" w:sz="6" w:space="0"/>
              <w:left w:val="single" w:color="000000" w:sz="6" w:space="0"/>
              <w:bottom w:val="single" w:color="000000" w:sz="6" w:space="0"/>
              <w:right w:val="single" w:color="000000" w:sz="6"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辆</w:t>
            </w:r>
          </w:p>
        </w:tc>
        <w:tc>
          <w:tcPr>
            <w:tcW w:w="2655" w:type="dxa"/>
            <w:tcBorders>
              <w:top w:val="single" w:color="000000" w:sz="6" w:space="0"/>
              <w:left w:val="single" w:color="000000" w:sz="6" w:space="0"/>
              <w:bottom w:val="single" w:color="000000" w:sz="6" w:space="0"/>
              <w:right w:val="single" w:color="000000" w:sz="12"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1</w:t>
            </w:r>
          </w:p>
        </w:tc>
      </w:tr>
      <w:tr>
        <w:tblPrEx>
          <w:tblCellMar>
            <w:top w:w="0" w:type="dxa"/>
            <w:left w:w="0" w:type="dxa"/>
            <w:bottom w:w="0" w:type="dxa"/>
            <w:right w:w="0" w:type="dxa"/>
          </w:tblCellMar>
        </w:tblPrEx>
        <w:trPr>
          <w:trHeight w:val="412" w:hRule="exact"/>
        </w:trPr>
        <w:tc>
          <w:tcPr>
            <w:tcW w:w="1785" w:type="dxa"/>
            <w:tcBorders>
              <w:top w:val="single" w:color="000000" w:sz="6" w:space="0"/>
              <w:left w:val="single" w:color="000000" w:sz="12" w:space="0"/>
              <w:bottom w:val="single" w:color="000000" w:sz="6" w:space="0"/>
              <w:right w:val="single" w:color="000000" w:sz="6" w:space="0"/>
            </w:tcBorders>
          </w:tcPr>
          <w:p>
            <w:pPr>
              <w:pStyle w:val="46"/>
              <w:spacing w:before="26" w:line="240" w:lineRule="auto"/>
              <w:ind w:right="8" w:firstLine="0" w:firstLineChars="0"/>
              <w:jc w:val="center"/>
              <w:rPr>
                <w:rFonts w:hAnsi="Times New Roman" w:cs="仿宋"/>
                <w:szCs w:val="21"/>
              </w:rPr>
            </w:pPr>
            <w:r>
              <w:rPr>
                <w:rFonts w:hAnsi="Times New Roman"/>
                <w:w w:val="99"/>
              </w:rPr>
              <w:t>5</w:t>
            </w:r>
          </w:p>
        </w:tc>
        <w:tc>
          <w:tcPr>
            <w:tcW w:w="2505" w:type="dxa"/>
            <w:tcBorders>
              <w:top w:val="single" w:color="000000" w:sz="6" w:space="0"/>
              <w:left w:val="single" w:color="000000" w:sz="6" w:space="0"/>
              <w:bottom w:val="single" w:color="000000" w:sz="6" w:space="0"/>
              <w:right w:val="single" w:color="000000" w:sz="6" w:space="0"/>
            </w:tcBorders>
          </w:tcPr>
          <w:p>
            <w:pPr>
              <w:pStyle w:val="46"/>
              <w:spacing w:before="26" w:line="240" w:lineRule="auto"/>
              <w:ind w:firstLine="0" w:firstLineChars="0"/>
              <w:jc w:val="center"/>
              <w:rPr>
                <w:rFonts w:hAnsi="Times New Roman" w:cs="仿宋"/>
                <w:szCs w:val="21"/>
              </w:rPr>
            </w:pPr>
            <w:r>
              <w:rPr>
                <w:rFonts w:hint="eastAsia" w:hAnsi="Times New Roman" w:cs="仿宋"/>
                <w:szCs w:val="21"/>
              </w:rPr>
              <w:t>挖机</w:t>
            </w:r>
          </w:p>
        </w:tc>
        <w:tc>
          <w:tcPr>
            <w:tcW w:w="2085" w:type="dxa"/>
            <w:tcBorders>
              <w:top w:val="single" w:color="000000" w:sz="6" w:space="0"/>
              <w:left w:val="single" w:color="000000" w:sz="6" w:space="0"/>
              <w:bottom w:val="single" w:color="000000" w:sz="6" w:space="0"/>
              <w:right w:val="single" w:color="000000" w:sz="6"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台</w:t>
            </w:r>
          </w:p>
        </w:tc>
        <w:tc>
          <w:tcPr>
            <w:tcW w:w="2655" w:type="dxa"/>
            <w:tcBorders>
              <w:top w:val="single" w:color="000000" w:sz="6" w:space="0"/>
              <w:left w:val="single" w:color="000000" w:sz="6" w:space="0"/>
              <w:bottom w:val="single" w:color="000000" w:sz="6" w:space="0"/>
              <w:right w:val="single" w:color="000000" w:sz="12"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1</w:t>
            </w:r>
          </w:p>
        </w:tc>
      </w:tr>
      <w:tr>
        <w:tblPrEx>
          <w:tblCellMar>
            <w:top w:w="0" w:type="dxa"/>
            <w:left w:w="0" w:type="dxa"/>
            <w:bottom w:w="0" w:type="dxa"/>
            <w:right w:w="0" w:type="dxa"/>
          </w:tblCellMar>
        </w:tblPrEx>
        <w:trPr>
          <w:trHeight w:val="419" w:hRule="exact"/>
        </w:trPr>
        <w:tc>
          <w:tcPr>
            <w:tcW w:w="1785" w:type="dxa"/>
            <w:tcBorders>
              <w:top w:val="single" w:color="000000" w:sz="6" w:space="0"/>
              <w:left w:val="single" w:color="000000" w:sz="12" w:space="0"/>
              <w:bottom w:val="single" w:color="000000" w:sz="12" w:space="0"/>
              <w:right w:val="single" w:color="000000" w:sz="6" w:space="0"/>
            </w:tcBorders>
          </w:tcPr>
          <w:p>
            <w:pPr>
              <w:pStyle w:val="46"/>
              <w:spacing w:before="27" w:line="240" w:lineRule="auto"/>
              <w:ind w:right="8" w:firstLine="0" w:firstLineChars="0"/>
              <w:jc w:val="center"/>
              <w:rPr>
                <w:rFonts w:hAnsi="Times New Roman" w:cs="仿宋"/>
                <w:szCs w:val="21"/>
              </w:rPr>
            </w:pPr>
            <w:r>
              <w:rPr>
                <w:rFonts w:hAnsi="Times New Roman"/>
                <w:w w:val="99"/>
              </w:rPr>
              <w:t>6</w:t>
            </w:r>
          </w:p>
        </w:tc>
        <w:tc>
          <w:tcPr>
            <w:tcW w:w="2505" w:type="dxa"/>
            <w:tcBorders>
              <w:top w:val="single" w:color="000000" w:sz="6" w:space="0"/>
              <w:left w:val="single" w:color="000000" w:sz="6" w:space="0"/>
              <w:bottom w:val="single" w:color="000000" w:sz="12" w:space="0"/>
              <w:right w:val="single" w:color="000000" w:sz="6" w:space="0"/>
            </w:tcBorders>
          </w:tcPr>
          <w:p>
            <w:pPr>
              <w:pStyle w:val="46"/>
              <w:spacing w:before="27" w:line="240" w:lineRule="auto"/>
              <w:ind w:right="1" w:firstLine="0" w:firstLineChars="0"/>
              <w:jc w:val="center"/>
              <w:rPr>
                <w:rFonts w:hAnsi="Times New Roman" w:cs="仿宋"/>
                <w:szCs w:val="21"/>
              </w:rPr>
            </w:pPr>
            <w:r>
              <w:rPr>
                <w:rFonts w:hint="eastAsia" w:hAnsi="Times New Roman" w:cs="仿宋"/>
                <w:szCs w:val="21"/>
              </w:rPr>
              <w:t>拖车</w:t>
            </w:r>
          </w:p>
        </w:tc>
        <w:tc>
          <w:tcPr>
            <w:tcW w:w="2085" w:type="dxa"/>
            <w:tcBorders>
              <w:top w:val="single" w:color="000000" w:sz="6" w:space="0"/>
              <w:left w:val="single" w:color="000000" w:sz="6" w:space="0"/>
              <w:bottom w:val="single" w:color="000000" w:sz="12" w:space="0"/>
              <w:right w:val="single" w:color="000000" w:sz="6"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辆</w:t>
            </w:r>
          </w:p>
        </w:tc>
        <w:tc>
          <w:tcPr>
            <w:tcW w:w="2655" w:type="dxa"/>
            <w:tcBorders>
              <w:top w:val="single" w:color="000000" w:sz="6" w:space="0"/>
              <w:left w:val="single" w:color="000000" w:sz="6" w:space="0"/>
              <w:bottom w:val="single" w:color="000000" w:sz="12" w:space="0"/>
              <w:right w:val="single" w:color="000000" w:sz="12" w:space="0"/>
            </w:tcBorders>
          </w:tcPr>
          <w:p>
            <w:pPr>
              <w:pStyle w:val="46"/>
              <w:spacing w:before="27" w:line="240" w:lineRule="auto"/>
              <w:ind w:right="1" w:firstLine="0" w:firstLineChars="0"/>
              <w:jc w:val="center"/>
              <w:rPr>
                <w:rFonts w:hint="eastAsia" w:hAnsi="Times New Roman" w:cs="仿宋"/>
                <w:szCs w:val="21"/>
              </w:rPr>
            </w:pPr>
            <w:r>
              <w:rPr>
                <w:rFonts w:hint="eastAsia" w:hAnsi="Times New Roman" w:cs="仿宋"/>
                <w:szCs w:val="21"/>
              </w:rPr>
              <w:t>1</w:t>
            </w:r>
          </w:p>
        </w:tc>
      </w:tr>
    </w:tbl>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11" w:name="_Toc13219"/>
      <w:r>
        <w:rPr>
          <w:rFonts w:hint="eastAsia" w:cs="Times New Roman"/>
          <w:bCs w:val="0"/>
          <w:snapToGrid w:val="0"/>
          <w:kern w:val="0"/>
          <w:sz w:val="28"/>
          <w:szCs w:val="28"/>
        </w:rPr>
        <w:t>2</w:t>
      </w:r>
      <w:r>
        <w:rPr>
          <w:rFonts w:cs="Times New Roman"/>
          <w:bCs w:val="0"/>
          <w:snapToGrid w:val="0"/>
          <w:kern w:val="0"/>
          <w:sz w:val="28"/>
          <w:szCs w:val="28"/>
        </w:rPr>
        <w:t>.1.6</w:t>
      </w:r>
      <w:r>
        <w:rPr>
          <w:rFonts w:hint="eastAsia" w:cs="Times New Roman"/>
          <w:bCs w:val="0"/>
          <w:snapToGrid w:val="0"/>
          <w:kern w:val="0"/>
          <w:sz w:val="28"/>
          <w:szCs w:val="28"/>
        </w:rPr>
        <w:t>总平面布置</w:t>
      </w:r>
      <w:bookmarkEnd w:id="411"/>
    </w:p>
    <w:p>
      <w:pPr>
        <w:pStyle w:val="2"/>
        <w:adjustRightInd w:val="0"/>
        <w:spacing w:line="540" w:lineRule="exact"/>
        <w:ind w:firstLine="480" w:firstLineChars="200"/>
        <w:jc w:val="both"/>
        <w:rPr>
          <w:rFonts w:ascii="Times New Roman" w:hAnsi="Times New Roman"/>
          <w:snapToGrid w:val="0"/>
          <w:sz w:val="24"/>
          <w:szCs w:val="32"/>
        </w:rPr>
      </w:pPr>
      <w:r>
        <w:rPr>
          <w:rFonts w:ascii="Times New Roman" w:hAnsi="Times New Roman"/>
          <w:snapToGrid w:val="0"/>
          <w:sz w:val="24"/>
          <w:szCs w:val="32"/>
        </w:rPr>
        <w:t>本项目建设地点位于</w:t>
      </w:r>
      <w:r>
        <w:rPr>
          <w:rFonts w:hint="eastAsia" w:ascii="Times New Roman" w:hAnsi="Times New Roman"/>
          <w:snapToGrid w:val="0"/>
          <w:sz w:val="24"/>
          <w:szCs w:val="32"/>
        </w:rPr>
        <w:t>固原市隆德县神林乡神林村</w:t>
      </w:r>
      <w:r>
        <w:rPr>
          <w:rFonts w:ascii="Times New Roman" w:hAnsi="Times New Roman"/>
          <w:snapToGrid w:val="0"/>
          <w:sz w:val="24"/>
          <w:szCs w:val="32"/>
        </w:rPr>
        <w:t>，</w:t>
      </w:r>
      <w:r>
        <w:rPr>
          <w:rFonts w:hint="eastAsia" w:ascii="Times New Roman" w:hAnsi="Times New Roman"/>
          <w:sz w:val="24"/>
          <w:szCs w:val="22"/>
          <w:lang w:val="zh-CN"/>
        </w:rPr>
        <w:t>根据隆德县神林乡人民政府的用地批复（见附件），其中养殖棚占地面积</w:t>
      </w:r>
      <w:r>
        <w:rPr>
          <w:rFonts w:hint="eastAsia" w:ascii="Times New Roman" w:hAnsi="Times New Roman"/>
          <w:sz w:val="24"/>
          <w:szCs w:val="22"/>
          <w:lang w:val="en-US" w:eastAsia="zh-CN"/>
        </w:rPr>
        <w:t>23.65亩，积粪场占地面积5.75亩，土地性质为建设用地，不占用永久性基本农田；青贮池用地性质为设施农用地，使用期限为5年，并保证到期结束，及时做好耕作层的恢复工作。</w:t>
      </w:r>
      <w:r>
        <w:rPr>
          <w:rFonts w:ascii="Times New Roman" w:hAnsi="Times New Roman"/>
          <w:snapToGrid w:val="0"/>
          <w:sz w:val="24"/>
          <w:szCs w:val="32"/>
        </w:rPr>
        <w:t>总平面布置根据养殖场各组成部门的性质、使用功能和卫生要求等因素，将性质相同、功能相近、联系密切</w:t>
      </w:r>
      <w:r>
        <w:rPr>
          <w:rFonts w:hint="eastAsia" w:ascii="Times New Roman" w:hAnsi="Times New Roman"/>
          <w:snapToGrid w:val="0"/>
          <w:sz w:val="24"/>
          <w:szCs w:val="32"/>
        </w:rPr>
        <w:t>、</w:t>
      </w:r>
      <w:r>
        <w:rPr>
          <w:rFonts w:ascii="Times New Roman" w:hAnsi="Times New Roman"/>
          <w:snapToGrid w:val="0"/>
          <w:sz w:val="24"/>
          <w:szCs w:val="32"/>
        </w:rPr>
        <w:t>对环境要求相对一致的建筑物、构筑物及设施，分为若干组并结合用地的具体条件，进行功能分区，主要分为养殖区、办公生活区、饲料仓储及加工区、粪污处理区四大区。</w:t>
      </w:r>
    </w:p>
    <w:p>
      <w:pPr>
        <w:pStyle w:val="2"/>
        <w:adjustRightInd w:val="0"/>
        <w:spacing w:line="540" w:lineRule="exact"/>
        <w:ind w:firstLine="480" w:firstLineChars="200"/>
        <w:jc w:val="both"/>
        <w:rPr>
          <w:rFonts w:ascii="Times New Roman" w:hAnsi="Times New Roman"/>
          <w:snapToGrid w:val="0"/>
          <w:sz w:val="24"/>
          <w:szCs w:val="32"/>
        </w:rPr>
      </w:pPr>
      <w:r>
        <w:rPr>
          <w:rFonts w:ascii="Times New Roman" w:hAnsi="Times New Roman"/>
          <w:snapToGrid w:val="0"/>
          <w:sz w:val="24"/>
          <w:szCs w:val="32"/>
        </w:rPr>
        <w:t>（1）养殖区：养殖区位于整个场区的中间，主要建有标准化牛舍</w:t>
      </w:r>
      <w:r>
        <w:rPr>
          <w:rFonts w:hint="eastAsia" w:ascii="Times New Roman" w:hAnsi="Times New Roman"/>
          <w:snapToGrid w:val="0"/>
          <w:sz w:val="24"/>
          <w:szCs w:val="32"/>
        </w:rPr>
        <w:t>10栋</w:t>
      </w:r>
      <w:r>
        <w:rPr>
          <w:rFonts w:hint="eastAsia" w:ascii="Times New Roman" w:hAnsi="Times New Roman"/>
          <w:snapToGrid w:val="0"/>
          <w:sz w:val="24"/>
          <w:szCs w:val="32"/>
          <w:lang w:eastAsia="zh-CN"/>
        </w:rPr>
        <w:t>（其中犊牛舍一栋，产房一栋）</w:t>
      </w:r>
      <w:r>
        <w:rPr>
          <w:rFonts w:ascii="Times New Roman" w:hAnsi="Times New Roman"/>
          <w:snapToGrid w:val="0"/>
          <w:sz w:val="24"/>
          <w:szCs w:val="32"/>
        </w:rPr>
        <w:t>。</w:t>
      </w:r>
    </w:p>
    <w:p>
      <w:pPr>
        <w:pStyle w:val="2"/>
        <w:adjustRightInd w:val="0"/>
        <w:spacing w:line="540" w:lineRule="exact"/>
        <w:ind w:firstLine="480" w:firstLineChars="200"/>
        <w:jc w:val="both"/>
        <w:rPr>
          <w:rFonts w:ascii="Times New Roman" w:hAnsi="Times New Roman"/>
          <w:snapToGrid w:val="0"/>
          <w:sz w:val="24"/>
          <w:szCs w:val="32"/>
        </w:rPr>
      </w:pPr>
      <w:r>
        <w:rPr>
          <w:rFonts w:ascii="Times New Roman" w:hAnsi="Times New Roman"/>
          <w:snapToGrid w:val="0"/>
          <w:sz w:val="24"/>
          <w:szCs w:val="32"/>
        </w:rPr>
        <w:t>（2）饲料仓储及加工区：主要含</w:t>
      </w:r>
      <w:r>
        <w:rPr>
          <w:rFonts w:hint="eastAsia" w:ascii="Times New Roman" w:hAnsi="Times New Roman"/>
          <w:snapToGrid w:val="0"/>
          <w:sz w:val="24"/>
          <w:szCs w:val="32"/>
        </w:rPr>
        <w:t>饲料</w:t>
      </w:r>
      <w:r>
        <w:rPr>
          <w:rFonts w:ascii="Times New Roman" w:hAnsi="Times New Roman"/>
          <w:snapToGrid w:val="0"/>
          <w:sz w:val="24"/>
          <w:szCs w:val="32"/>
        </w:rPr>
        <w:t>库、青贮池</w:t>
      </w:r>
      <w:r>
        <w:rPr>
          <w:rFonts w:hint="eastAsia" w:ascii="Times New Roman" w:hAnsi="Times New Roman"/>
          <w:snapToGrid w:val="0"/>
          <w:sz w:val="24"/>
          <w:szCs w:val="32"/>
          <w:lang w:eastAsia="zh-CN"/>
        </w:rPr>
        <w:t>、干草棚</w:t>
      </w:r>
      <w:r>
        <w:rPr>
          <w:rFonts w:ascii="Times New Roman" w:hAnsi="Times New Roman"/>
          <w:snapToGrid w:val="0"/>
          <w:sz w:val="24"/>
          <w:szCs w:val="32"/>
        </w:rPr>
        <w:t>等。其中</w:t>
      </w:r>
      <w:r>
        <w:rPr>
          <w:rFonts w:hint="eastAsia" w:ascii="Times New Roman" w:hAnsi="Times New Roman"/>
          <w:snapToGrid w:val="0"/>
          <w:sz w:val="24"/>
          <w:szCs w:val="32"/>
        </w:rPr>
        <w:t>饲</w:t>
      </w:r>
      <w:r>
        <w:rPr>
          <w:rFonts w:ascii="Times New Roman" w:hAnsi="Times New Roman"/>
          <w:snapToGrid w:val="0"/>
          <w:sz w:val="24"/>
          <w:szCs w:val="32"/>
        </w:rPr>
        <w:t>料库1座、青贮池</w:t>
      </w:r>
      <w:r>
        <w:rPr>
          <w:rFonts w:hint="eastAsia" w:ascii="Times New Roman" w:hAnsi="Times New Roman"/>
          <w:snapToGrid w:val="0"/>
          <w:sz w:val="24"/>
          <w:szCs w:val="32"/>
        </w:rPr>
        <w:t>2</w:t>
      </w:r>
      <w:r>
        <w:rPr>
          <w:rFonts w:ascii="Times New Roman" w:hAnsi="Times New Roman"/>
          <w:snapToGrid w:val="0"/>
          <w:sz w:val="24"/>
          <w:szCs w:val="32"/>
        </w:rPr>
        <w:t>座，总占地面积</w:t>
      </w:r>
      <w:r>
        <w:rPr>
          <w:rFonts w:hint="eastAsia" w:ascii="Times New Roman" w:hAnsi="Times New Roman"/>
          <w:snapToGrid w:val="0"/>
          <w:sz w:val="24"/>
          <w:szCs w:val="32"/>
        </w:rPr>
        <w:t>14360m</w:t>
      </w:r>
      <w:r>
        <w:rPr>
          <w:rFonts w:hint="eastAsia" w:ascii="Times New Roman" w:hAnsi="Times New Roman"/>
          <w:snapToGrid w:val="0"/>
          <w:sz w:val="24"/>
          <w:szCs w:val="32"/>
          <w:vertAlign w:val="superscript"/>
        </w:rPr>
        <w:t>2</w:t>
      </w:r>
      <w:r>
        <w:rPr>
          <w:rFonts w:hint="eastAsia" w:ascii="Times New Roman" w:hAnsi="Times New Roman"/>
          <w:snapToGrid w:val="0"/>
          <w:sz w:val="24"/>
          <w:szCs w:val="32"/>
        </w:rPr>
        <w:t>。</w:t>
      </w:r>
    </w:p>
    <w:p>
      <w:pPr>
        <w:pStyle w:val="2"/>
        <w:numPr>
          <w:ilvl w:val="0"/>
          <w:numId w:val="0"/>
        </w:numPr>
        <w:adjustRightInd w:val="0"/>
        <w:spacing w:line="540" w:lineRule="exact"/>
        <w:ind w:firstLine="480" w:firstLineChars="200"/>
        <w:jc w:val="both"/>
        <w:rPr>
          <w:rFonts w:hint="eastAsia" w:eastAsia="宋体"/>
          <w:lang w:eastAsia="zh-CN"/>
        </w:rPr>
      </w:pPr>
      <w:r>
        <w:rPr>
          <w:rFonts w:hint="eastAsia" w:ascii="Times New Roman" w:hAnsi="Times New Roman"/>
          <w:snapToGrid w:val="0"/>
          <w:sz w:val="24"/>
          <w:szCs w:val="32"/>
          <w:lang w:eastAsia="zh-CN"/>
        </w:rPr>
        <w:t>（</w:t>
      </w:r>
      <w:r>
        <w:rPr>
          <w:rFonts w:hint="eastAsia" w:ascii="Times New Roman" w:hAnsi="Times New Roman"/>
          <w:snapToGrid w:val="0"/>
          <w:sz w:val="24"/>
          <w:szCs w:val="32"/>
          <w:lang w:val="en-US" w:eastAsia="zh-CN"/>
        </w:rPr>
        <w:t>3</w:t>
      </w:r>
      <w:r>
        <w:rPr>
          <w:rFonts w:hint="eastAsia" w:ascii="Times New Roman" w:hAnsi="Times New Roman"/>
          <w:snapToGrid w:val="0"/>
          <w:sz w:val="24"/>
          <w:szCs w:val="32"/>
          <w:lang w:eastAsia="zh-CN"/>
        </w:rPr>
        <w:t>）</w:t>
      </w:r>
      <w:r>
        <w:rPr>
          <w:rFonts w:ascii="Times New Roman" w:hAnsi="Times New Roman"/>
          <w:snapToGrid w:val="0"/>
          <w:sz w:val="24"/>
          <w:szCs w:val="32"/>
        </w:rPr>
        <w:t>粪污处理区：</w:t>
      </w:r>
      <w:r>
        <w:rPr>
          <w:rFonts w:hint="eastAsia" w:ascii="Times New Roman" w:hAnsi="Times New Roman"/>
          <w:snapToGrid w:val="0"/>
          <w:sz w:val="24"/>
          <w:szCs w:val="32"/>
        </w:rPr>
        <w:t>积粪场</w:t>
      </w:r>
      <w:r>
        <w:rPr>
          <w:rFonts w:ascii="Times New Roman" w:hAnsi="Times New Roman"/>
          <w:snapToGrid w:val="0"/>
          <w:sz w:val="24"/>
          <w:szCs w:val="32"/>
        </w:rPr>
        <w:t>位于场区</w:t>
      </w:r>
      <w:r>
        <w:rPr>
          <w:rFonts w:hint="eastAsia" w:ascii="Times New Roman" w:hAnsi="Times New Roman"/>
          <w:snapToGrid w:val="0"/>
          <w:sz w:val="24"/>
          <w:szCs w:val="32"/>
        </w:rPr>
        <w:t>南</w:t>
      </w:r>
      <w:r>
        <w:rPr>
          <w:rFonts w:ascii="Times New Roman" w:hAnsi="Times New Roman"/>
          <w:snapToGrid w:val="0"/>
          <w:sz w:val="24"/>
          <w:szCs w:val="32"/>
        </w:rPr>
        <w:t>侧。</w:t>
      </w:r>
      <w:r>
        <w:rPr>
          <w:rFonts w:hint="eastAsia" w:ascii="Times New Roman" w:hAnsi="Times New Roman"/>
          <w:snapToGrid w:val="0"/>
          <w:sz w:val="24"/>
          <w:szCs w:val="32"/>
          <w:lang w:eastAsia="zh-CN"/>
        </w:rPr>
        <w:t>定期由</w:t>
      </w:r>
      <w:r>
        <w:rPr>
          <w:rFonts w:hint="eastAsia" w:ascii="Times New Roman" w:hAnsi="Times New Roman"/>
          <w:bCs/>
          <w:sz w:val="24"/>
          <w:highlight w:val="none"/>
          <w:lang w:eastAsia="zh-CN"/>
        </w:rPr>
        <w:t>隆德县腾发牧草专业合作社运走进行处理</w:t>
      </w:r>
      <w:r>
        <w:rPr>
          <w:rFonts w:ascii="Times New Roman" w:hAnsi="Times New Roman"/>
          <w:snapToGrid w:val="0"/>
          <w:sz w:val="24"/>
          <w:szCs w:val="32"/>
        </w:rPr>
        <w:t>。</w:t>
      </w:r>
    </w:p>
    <w:p>
      <w:pPr>
        <w:pStyle w:val="2"/>
        <w:adjustRightInd w:val="0"/>
        <w:spacing w:line="540" w:lineRule="exact"/>
        <w:ind w:firstLine="480" w:firstLineChars="200"/>
        <w:jc w:val="both"/>
        <w:rPr>
          <w:rFonts w:ascii="Times New Roman" w:hAnsi="Times New Roman"/>
          <w:snapToGrid w:val="0"/>
          <w:sz w:val="24"/>
          <w:szCs w:val="32"/>
        </w:rPr>
      </w:pPr>
      <w:r>
        <w:rPr>
          <w:rFonts w:ascii="Times New Roman" w:hAnsi="Times New Roman"/>
          <w:snapToGrid w:val="0"/>
          <w:sz w:val="24"/>
          <w:szCs w:val="32"/>
        </w:rPr>
        <w:t>（4）</w:t>
      </w:r>
      <w:r>
        <w:rPr>
          <w:rFonts w:hint="eastAsia" w:ascii="Times New Roman" w:hAnsi="Times New Roman"/>
          <w:snapToGrid w:val="0"/>
          <w:sz w:val="24"/>
          <w:szCs w:val="32"/>
        </w:rPr>
        <w:t>生活用房</w:t>
      </w:r>
      <w:r>
        <w:rPr>
          <w:rFonts w:ascii="Times New Roman" w:hAnsi="Times New Roman"/>
          <w:snapToGrid w:val="0"/>
          <w:sz w:val="24"/>
          <w:szCs w:val="32"/>
        </w:rPr>
        <w:t>：</w:t>
      </w:r>
      <w:r>
        <w:rPr>
          <w:rFonts w:hint="eastAsia" w:ascii="Times New Roman" w:hAnsi="Times New Roman"/>
          <w:snapToGrid w:val="0"/>
          <w:sz w:val="24"/>
          <w:szCs w:val="32"/>
        </w:rPr>
        <w:t>生活用房</w:t>
      </w:r>
      <w:r>
        <w:rPr>
          <w:rFonts w:ascii="Times New Roman" w:hAnsi="Times New Roman"/>
          <w:snapToGrid w:val="0"/>
          <w:sz w:val="24"/>
          <w:szCs w:val="32"/>
        </w:rPr>
        <w:t>整体位于</w:t>
      </w:r>
      <w:r>
        <w:rPr>
          <w:rFonts w:hint="eastAsia" w:ascii="Times New Roman" w:hAnsi="Times New Roman"/>
          <w:snapToGrid w:val="0"/>
          <w:sz w:val="24"/>
          <w:szCs w:val="32"/>
        </w:rPr>
        <w:t>青贮池北侧</w:t>
      </w:r>
      <w:r>
        <w:rPr>
          <w:rFonts w:ascii="Times New Roman" w:hAnsi="Times New Roman"/>
          <w:snapToGrid w:val="0"/>
          <w:sz w:val="24"/>
          <w:szCs w:val="32"/>
        </w:rPr>
        <w:t>，生活区与养殖区之间由绿化带相隔，有效地降低了养殖废气对于项目生活管理区的影响。项目生活区、养殖区、粪污处理区分区明确，实施分区管理，各分区均位于同一水平风向上，满足《畜禽养殖业污染防治技术规范》（HJ/T81-2001）</w:t>
      </w:r>
      <w:r>
        <w:rPr>
          <w:rFonts w:hint="eastAsia" w:ascii="Times New Roman" w:hAnsi="Times New Roman"/>
          <w:snapToGrid w:val="0"/>
          <w:sz w:val="24"/>
          <w:szCs w:val="32"/>
        </w:rPr>
        <w:t>“</w:t>
      </w:r>
      <w:r>
        <w:rPr>
          <w:rFonts w:ascii="Times New Roman" w:hAnsi="Times New Roman"/>
          <w:snapToGrid w:val="0"/>
          <w:sz w:val="24"/>
          <w:szCs w:val="32"/>
        </w:rPr>
        <w:t>4.1新建、改建、扩建的畜禽养殖场应实现生产区、生活管理区的隔离，粪便污水处理设施和禽畜尸体焚烧炉应设在养殖场的生产区、生活管理区区的常年主导风向的下风向或侧风向处</w:t>
      </w:r>
      <w:r>
        <w:rPr>
          <w:rFonts w:hint="eastAsia" w:ascii="Times New Roman" w:hAnsi="Times New Roman"/>
          <w:snapToGrid w:val="0"/>
          <w:sz w:val="24"/>
          <w:szCs w:val="32"/>
        </w:rPr>
        <w:t>”</w:t>
      </w:r>
      <w:r>
        <w:rPr>
          <w:rFonts w:ascii="Times New Roman" w:hAnsi="Times New Roman"/>
          <w:snapToGrid w:val="0"/>
          <w:sz w:val="24"/>
          <w:szCs w:val="32"/>
        </w:rPr>
        <w:t>的规要求。</w:t>
      </w:r>
    </w:p>
    <w:p>
      <w:pPr>
        <w:pStyle w:val="2"/>
        <w:adjustRightInd w:val="0"/>
        <w:spacing w:line="540" w:lineRule="exact"/>
        <w:ind w:firstLine="480" w:firstLineChars="200"/>
        <w:jc w:val="both"/>
        <w:rPr>
          <w:rFonts w:hint="eastAsia" w:ascii="Times New Roman" w:hAnsi="Times New Roman" w:eastAsia="宋体"/>
          <w:snapToGrid w:val="0"/>
          <w:sz w:val="24"/>
          <w:szCs w:val="32"/>
          <w:lang w:val="en-US" w:eastAsia="zh-CN"/>
        </w:rPr>
        <w:sectPr>
          <w:headerReference r:id="rId6" w:type="default"/>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r>
        <w:rPr>
          <w:rFonts w:ascii="Times New Roman" w:hAnsi="Times New Roman"/>
          <w:snapToGrid w:val="0"/>
          <w:sz w:val="24"/>
          <w:szCs w:val="32"/>
        </w:rPr>
        <w:t>本项目总平面布置根据其工艺流程，充分考虑自然地形地貌条件，满足生产和方便 管理及消防等规范、标准要求。合理布置场区的建筑物、运输线路，使场内的物料运输 路径短捷，提高了生产效率，降低了运输成本。从环保角度分析，本项目平面布局基本 合理。本项目平面布置见</w:t>
      </w:r>
      <w:r>
        <w:rPr>
          <w:rFonts w:hint="eastAsia" w:ascii="Times New Roman" w:hAnsi="Times New Roman"/>
          <w:snapToGrid w:val="0"/>
          <w:sz w:val="24"/>
          <w:szCs w:val="32"/>
        </w:rPr>
        <w:t>图2.1-</w:t>
      </w:r>
      <w:r>
        <w:rPr>
          <w:rFonts w:hint="eastAsia" w:ascii="Times New Roman" w:hAnsi="Times New Roman"/>
          <w:snapToGrid w:val="0"/>
          <w:sz w:val="24"/>
          <w:szCs w:val="32"/>
          <w:lang w:val="en-US" w:eastAsia="zh-CN"/>
        </w:rPr>
        <w:t>4</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snapToGrid w:val="0"/>
          <w:kern w:val="0"/>
          <w:sz w:val="28"/>
          <w:szCs w:val="28"/>
          <w:lang w:eastAsia="zh-CN"/>
        </w:rPr>
      </w:pPr>
      <w:r>
        <w:rPr>
          <w:rFonts w:hint="eastAsia" w:ascii="Times New Roman" w:hAnsi="Times New Roman" w:eastAsia="宋体"/>
          <w:b/>
          <w:snapToGrid w:val="0"/>
          <w:kern w:val="0"/>
          <w:sz w:val="28"/>
          <w:szCs w:val="28"/>
          <w:lang w:eastAsia="zh-CN"/>
        </w:rPr>
        <w:drawing>
          <wp:inline distT="0" distB="0" distL="114300" distR="114300">
            <wp:extent cx="7374255" cy="5215255"/>
            <wp:effectExtent l="0" t="0" r="17145" b="4445"/>
            <wp:docPr id="95" name="图片 95" descr="腾发养殖场总平面布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腾发养殖场总平面布置改"/>
                    <pic:cNvPicPr>
                      <a:picLocks noChangeAspect="1"/>
                    </pic:cNvPicPr>
                  </pic:nvPicPr>
                  <pic:blipFill>
                    <a:blip r:embed="rId29"/>
                    <a:stretch>
                      <a:fillRect/>
                    </a:stretch>
                  </pic:blipFill>
                  <pic:spPr>
                    <a:xfrm>
                      <a:off x="0" y="0"/>
                      <a:ext cx="7374255" cy="5215255"/>
                    </a:xfrm>
                    <a:prstGeom prst="rect">
                      <a:avLst/>
                    </a:prstGeom>
                  </pic:spPr>
                </pic:pic>
              </a:graphicData>
            </a:graphic>
          </wp:inline>
        </w:drawing>
      </w:r>
    </w:p>
    <w:p>
      <w:pPr>
        <w:spacing w:line="540" w:lineRule="exact"/>
        <w:jc w:val="center"/>
        <w:outlineLvl w:val="9"/>
        <w:rPr>
          <w:rFonts w:hint="eastAsia" w:ascii="宋体" w:hAnsi="宋体" w:eastAsia="宋体" w:cs="宋体"/>
          <w:b/>
          <w:bCs/>
          <w:color w:val="FF0000"/>
          <w:sz w:val="24"/>
          <w:szCs w:val="24"/>
          <w:highlight w:val="yellow"/>
        </w:rPr>
        <w:sectPr>
          <w:headerReference r:id="rId7" w:type="default"/>
          <w:pgSz w:w="16838" w:h="11911" w:orient="landscape"/>
          <w:pgMar w:top="1417" w:right="1701" w:bottom="1417" w:left="1701" w:header="1134" w:footer="1134"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b/>
          <w:bCs/>
          <w:color w:val="FF0000"/>
          <w:sz w:val="24"/>
          <w:szCs w:val="24"/>
          <w:highlight w:val="none"/>
        </w:rPr>
        <w:t>图</w:t>
      </w:r>
      <w:r>
        <w:rPr>
          <w:rFonts w:eastAsia="宋体"/>
          <w:b/>
          <w:bCs/>
          <w:color w:val="FF0000"/>
          <w:sz w:val="24"/>
          <w:szCs w:val="24"/>
          <w:highlight w:val="none"/>
        </w:rPr>
        <w:t>2.1-4</w:t>
      </w:r>
      <w:r>
        <w:rPr>
          <w:rFonts w:hint="eastAsia" w:ascii="宋体" w:hAnsi="宋体" w:eastAsia="宋体" w:cs="宋体"/>
          <w:b/>
          <w:bCs/>
          <w:color w:val="FF0000"/>
          <w:sz w:val="24"/>
          <w:szCs w:val="24"/>
          <w:highlight w:val="none"/>
        </w:rPr>
        <w:t xml:space="preserve">    厂区平面布置图</w:t>
      </w:r>
    </w:p>
    <w:p>
      <w:pPr>
        <w:spacing w:line="540" w:lineRule="exact"/>
        <w:outlineLvl w:val="2"/>
        <w:rPr>
          <w:rFonts w:ascii="Times New Roman" w:hAnsi="Times New Roman"/>
          <w:b/>
          <w:snapToGrid w:val="0"/>
          <w:kern w:val="0"/>
          <w:sz w:val="28"/>
          <w:szCs w:val="28"/>
        </w:rPr>
      </w:pPr>
      <w:r>
        <w:rPr>
          <w:rFonts w:hint="eastAsia" w:ascii="Times New Roman" w:hAnsi="Times New Roman"/>
          <w:b/>
          <w:snapToGrid w:val="0"/>
          <w:kern w:val="0"/>
          <w:sz w:val="28"/>
          <w:szCs w:val="28"/>
        </w:rPr>
        <w:t>2</w:t>
      </w:r>
      <w:r>
        <w:rPr>
          <w:rFonts w:ascii="Times New Roman" w:hAnsi="Times New Roman"/>
          <w:b/>
          <w:snapToGrid w:val="0"/>
          <w:kern w:val="0"/>
          <w:sz w:val="28"/>
          <w:szCs w:val="28"/>
        </w:rPr>
        <w:t>.1.7公用工程</w:t>
      </w:r>
    </w:p>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2</w:t>
      </w:r>
      <w:r>
        <w:rPr>
          <w:rFonts w:ascii="Times New Roman" w:hAnsi="Times New Roman" w:eastAsia="宋体"/>
          <w:bCs w:val="0"/>
          <w:sz w:val="24"/>
        </w:rPr>
        <w:t>.1.7.1</w:t>
      </w:r>
      <w:r>
        <w:rPr>
          <w:rFonts w:hint="eastAsia" w:ascii="Times New Roman" w:hAnsi="Times New Roman" w:eastAsia="宋体"/>
          <w:bCs w:val="0"/>
          <w:sz w:val="24"/>
        </w:rPr>
        <w:t>给排水</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fldChar w:fldCharType="begin"/>
      </w:r>
      <w:r>
        <w:rPr>
          <w:rFonts w:ascii="Times New Roman" w:hAnsi="Times New Roman"/>
          <w:bCs/>
          <w:sz w:val="24"/>
        </w:rPr>
        <w:instrText xml:space="preserve"> = 1 \* GB4 \* MERGEFORMAT </w:instrText>
      </w:r>
      <w:r>
        <w:rPr>
          <w:rFonts w:ascii="Times New Roman" w:hAnsi="Times New Roman"/>
          <w:bCs/>
          <w:sz w:val="24"/>
        </w:rPr>
        <w:fldChar w:fldCharType="separate"/>
      </w:r>
      <w:r>
        <w:rPr>
          <w:rFonts w:ascii="Times New Roman" w:hAnsi="Times New Roman"/>
          <w:bCs/>
        </w:rPr>
        <w:t>㈠</w:t>
      </w:r>
      <w:r>
        <w:rPr>
          <w:rFonts w:ascii="Times New Roman" w:hAnsi="Times New Roman"/>
          <w:bCs/>
          <w:sz w:val="24"/>
        </w:rPr>
        <w:fldChar w:fldCharType="end"/>
      </w:r>
      <w:r>
        <w:rPr>
          <w:rFonts w:ascii="Times New Roman" w:hAnsi="Times New Roman"/>
          <w:bCs/>
          <w:sz w:val="24"/>
        </w:rPr>
        <w:t>给水</w:t>
      </w:r>
    </w:p>
    <w:p>
      <w:pPr>
        <w:adjustRightInd w:val="0"/>
        <w:snapToGrid w:val="0"/>
        <w:spacing w:line="540" w:lineRule="exact"/>
        <w:ind w:firstLine="480" w:firstLineChars="200"/>
        <w:rPr>
          <w:rFonts w:ascii="Times New Roman" w:hAnsi="Times New Roman"/>
          <w:color w:val="auto"/>
          <w:sz w:val="24"/>
          <w:highlight w:val="none"/>
        </w:rPr>
      </w:pPr>
      <w:r>
        <w:rPr>
          <w:rFonts w:ascii="Times New Roman" w:hAnsi="Times New Roman"/>
          <w:sz w:val="24"/>
        </w:rPr>
        <w:t>由</w:t>
      </w:r>
      <w:r>
        <w:rPr>
          <w:rFonts w:hint="eastAsia" w:ascii="Times New Roman" w:hAnsi="Times New Roman"/>
          <w:sz w:val="24"/>
        </w:rPr>
        <w:t>自来水系统供给</w:t>
      </w:r>
      <w:r>
        <w:rPr>
          <w:rFonts w:ascii="Times New Roman" w:hAnsi="Times New Roman"/>
          <w:sz w:val="24"/>
        </w:rPr>
        <w:t>，可以保障项目用水的需求。</w:t>
      </w:r>
      <w:r>
        <w:rPr>
          <w:rFonts w:ascii="Times New Roman" w:hAnsi="Times New Roman"/>
          <w:sz w:val="24"/>
          <w:lang w:val="zh-CN"/>
        </w:rPr>
        <w:t>本项目用水主要包括牛饮用水</w:t>
      </w:r>
      <w:r>
        <w:rPr>
          <w:rFonts w:ascii="Times New Roman" w:hAnsi="Times New Roman"/>
          <w:color w:val="auto"/>
          <w:sz w:val="24"/>
          <w:highlight w:val="none"/>
          <w:lang w:val="zh-CN"/>
        </w:rPr>
        <w:t>、</w:t>
      </w:r>
      <w:r>
        <w:rPr>
          <w:rFonts w:hint="eastAsia" w:ascii="Times New Roman" w:hAnsi="Times New Roman"/>
          <w:color w:val="auto"/>
          <w:sz w:val="24"/>
          <w:highlight w:val="none"/>
          <w:lang w:val="zh-CN"/>
        </w:rPr>
        <w:t>消毒药剂配制用水</w:t>
      </w:r>
      <w:r>
        <w:rPr>
          <w:rFonts w:ascii="Times New Roman" w:hAnsi="Times New Roman"/>
          <w:color w:val="auto"/>
          <w:sz w:val="24"/>
          <w:highlight w:val="none"/>
          <w:lang w:val="zh-CN"/>
        </w:rPr>
        <w:t>、生活用水、</w:t>
      </w:r>
      <w:r>
        <w:rPr>
          <w:rFonts w:hint="eastAsia" w:ascii="Times New Roman" w:hAnsi="Times New Roman"/>
          <w:color w:val="auto"/>
          <w:sz w:val="24"/>
          <w:highlight w:val="none"/>
          <w:lang w:val="zh-CN"/>
        </w:rPr>
        <w:t>饲料用水</w:t>
      </w:r>
      <w:r>
        <w:rPr>
          <w:rFonts w:ascii="Times New Roman" w:hAnsi="Times New Roman"/>
          <w:color w:val="auto"/>
          <w:sz w:val="24"/>
          <w:highlight w:val="none"/>
          <w:lang w:val="zh-CN"/>
        </w:rPr>
        <w:t>及绿化用水</w:t>
      </w:r>
      <w:r>
        <w:rPr>
          <w:rFonts w:ascii="Times New Roman" w:hAnsi="Times New Roman"/>
          <w:color w:val="auto"/>
          <w:sz w:val="24"/>
          <w:highlight w:val="none"/>
        </w:rPr>
        <w:t>。本项目总用水量为</w:t>
      </w:r>
      <w:r>
        <w:rPr>
          <w:rFonts w:hint="eastAsia" w:ascii="Times New Roman" w:hAnsi="Times New Roman"/>
          <w:color w:val="auto"/>
          <w:sz w:val="24"/>
          <w:highlight w:val="none"/>
          <w:lang w:val="en-US" w:eastAsia="zh-CN"/>
        </w:rPr>
        <w:t>24584.75</w:t>
      </w:r>
      <w:r>
        <w:rPr>
          <w:rFonts w:hint="eastAsia" w:ascii="Times New Roman" w:hAnsi="Times New Roman"/>
          <w:color w:val="auto"/>
          <w:sz w:val="24"/>
          <w:highlight w:val="none"/>
        </w:rPr>
        <w:t>m</w:t>
      </w:r>
      <w:r>
        <w:rPr>
          <w:rFonts w:hint="eastAsia" w:ascii="Times New Roman" w:hAnsi="Times New Roman"/>
          <w:color w:val="auto"/>
          <w:sz w:val="24"/>
          <w:highlight w:val="none"/>
          <w:vertAlign w:val="superscript"/>
        </w:rPr>
        <w:t>3</w:t>
      </w:r>
      <w:r>
        <w:rPr>
          <w:rFonts w:hint="eastAsia" w:ascii="Times New Roman" w:hAnsi="Times New Roman"/>
          <w:color w:val="auto"/>
          <w:sz w:val="24"/>
          <w:highlight w:val="none"/>
        </w:rPr>
        <w:t>/a</w:t>
      </w:r>
      <w:r>
        <w:rPr>
          <w:rFonts w:ascii="Times New Roman" w:hAnsi="Times New Roman"/>
          <w:color w:val="auto"/>
          <w:sz w:val="24"/>
          <w:highlight w:val="none"/>
        </w:rPr>
        <w:t>。</w:t>
      </w:r>
    </w:p>
    <w:p>
      <w:pPr>
        <w:pStyle w:val="24"/>
        <w:adjustRightInd w:val="0"/>
        <w:snapToGrid w:val="0"/>
        <w:spacing w:line="540" w:lineRule="exact"/>
        <w:ind w:firstLine="480"/>
      </w:pPr>
      <w:r>
        <w:rPr>
          <w:rFonts w:hint="eastAsia" w:ascii="Times New Roman" w:hAnsi="Times New Roman"/>
          <w:lang w:eastAsia="zh-CN"/>
        </w:rPr>
        <w:t>（</w:t>
      </w:r>
      <w:r>
        <w:rPr>
          <w:rFonts w:hint="eastAsia" w:ascii="Times New Roman" w:hAnsi="Times New Roman"/>
          <w:lang w:val="en-US" w:eastAsia="zh-CN"/>
        </w:rPr>
        <w:t>1</w:t>
      </w:r>
      <w:r>
        <w:rPr>
          <w:rFonts w:hint="eastAsia" w:ascii="Times New Roman" w:hAnsi="Times New Roman"/>
          <w:lang w:eastAsia="zh-CN"/>
        </w:rPr>
        <w:t>）</w:t>
      </w:r>
      <w:r>
        <w:rPr>
          <w:rFonts w:ascii="Times New Roman" w:hAnsi="Times New Roman"/>
          <w:lang w:val="zh-CN"/>
        </w:rPr>
        <w:t>牛饮用水</w:t>
      </w:r>
      <w:bookmarkStart w:id="412" w:name="_Toc30140"/>
    </w:p>
    <w:bookmarkEnd w:id="412"/>
    <w:p>
      <w:pPr>
        <w:pStyle w:val="24"/>
        <w:adjustRightInd w:val="0"/>
        <w:snapToGrid w:val="0"/>
        <w:spacing w:line="540" w:lineRule="exact"/>
        <w:ind w:firstLine="48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项目饲养规模为年存栏</w:t>
      </w:r>
      <w:r>
        <w:rPr>
          <w:rFonts w:hint="eastAsia" w:ascii="Times New Roman" w:hAnsi="Times New Roman" w:cs="Times New Roman"/>
          <w:kern w:val="2"/>
          <w:sz w:val="24"/>
          <w:szCs w:val="24"/>
          <w:lang w:val="en-US" w:eastAsia="zh-CN" w:bidi="ar-SA"/>
        </w:rPr>
        <w:t>基础母牛1</w:t>
      </w:r>
      <w:r>
        <w:rPr>
          <w:rFonts w:hint="eastAsia" w:ascii="Times New Roman" w:hAnsi="Times New Roman" w:eastAsia="宋体" w:cs="Times New Roman"/>
          <w:kern w:val="2"/>
          <w:sz w:val="24"/>
          <w:szCs w:val="24"/>
          <w:lang w:val="en-US" w:eastAsia="zh-CN" w:bidi="ar-SA"/>
        </w:rPr>
        <w:t>000头，</w:t>
      </w:r>
      <w:r>
        <w:rPr>
          <w:rFonts w:hint="eastAsia" w:ascii="Times New Roman" w:hAnsi="Times New Roman" w:cs="Times New Roman"/>
          <w:kern w:val="2"/>
          <w:sz w:val="24"/>
          <w:szCs w:val="24"/>
          <w:lang w:val="en-US" w:eastAsia="zh-CN" w:bidi="ar-SA"/>
        </w:rPr>
        <w:t>考虑本项目繁育繁殖率大于79%，犊牛存活率大于97%，</w:t>
      </w:r>
      <w:r>
        <w:rPr>
          <w:rFonts w:hint="eastAsia" w:ascii="Times New Roman" w:hAnsi="Times New Roman" w:eastAsia="宋体" w:cs="Times New Roman"/>
          <w:kern w:val="2"/>
          <w:sz w:val="24"/>
          <w:szCs w:val="24"/>
          <w:lang w:val="en-US" w:eastAsia="zh-CN" w:bidi="ar-SA"/>
        </w:rPr>
        <w:t>犊牛</w:t>
      </w:r>
      <w:r>
        <w:rPr>
          <w:rFonts w:hint="eastAsia" w:ascii="Times New Roman" w:hAnsi="Times New Roman" w:cs="Times New Roman"/>
          <w:kern w:val="2"/>
          <w:sz w:val="24"/>
          <w:szCs w:val="24"/>
          <w:lang w:val="en-US" w:eastAsia="zh-CN" w:bidi="ar-SA"/>
        </w:rPr>
        <w:t>按770</w:t>
      </w:r>
      <w:r>
        <w:rPr>
          <w:rFonts w:hint="eastAsia" w:ascii="Times New Roman" w:hAnsi="Times New Roman" w:eastAsia="宋体" w:cs="Times New Roman"/>
          <w:kern w:val="2"/>
          <w:sz w:val="24"/>
          <w:szCs w:val="24"/>
          <w:lang w:val="en-US" w:eastAsia="zh-CN" w:bidi="ar-SA"/>
        </w:rPr>
        <w:t>头</w:t>
      </w:r>
      <w:r>
        <w:rPr>
          <w:rFonts w:hint="eastAsia" w:ascii="Times New Roman" w:hAnsi="Times New Roman" w:cs="Times New Roman"/>
          <w:kern w:val="2"/>
          <w:sz w:val="24"/>
          <w:szCs w:val="24"/>
          <w:lang w:val="en-US" w:eastAsia="zh-CN" w:bidi="ar-SA"/>
        </w:rPr>
        <w:t>计算。</w:t>
      </w:r>
      <w:r>
        <w:rPr>
          <w:rFonts w:hint="eastAsia" w:ascii="Times New Roman" w:hAnsi="Times New Roman" w:eastAsia="宋体" w:cs="Times New Roman"/>
          <w:kern w:val="2"/>
          <w:sz w:val="24"/>
          <w:szCs w:val="24"/>
          <w:lang w:val="en-US" w:eastAsia="zh-CN" w:bidi="ar-SA"/>
        </w:rPr>
        <w:t>结合《宁夏回族自治区有关行业用水定额(修订)》，基础母牛用水量为50L/头·d，犊牛用水量为20L/头·d，则本项目牛饮用水量为</w:t>
      </w:r>
      <w:r>
        <w:rPr>
          <w:rFonts w:hint="eastAsia" w:ascii="Times New Roman" w:hAnsi="Times New Roman" w:cs="Times New Roman"/>
          <w:kern w:val="2"/>
          <w:sz w:val="24"/>
          <w:szCs w:val="24"/>
          <w:lang w:val="en-US" w:eastAsia="zh-CN" w:bidi="ar-SA"/>
        </w:rPr>
        <w:t>65.4</w:t>
      </w:r>
      <w:r>
        <w:rPr>
          <w:rFonts w:hint="eastAsia" w:ascii="Times New Roman" w:hAnsi="Times New Roman" w:eastAsia="宋体" w:cs="Times New Roman"/>
          <w:kern w:val="2"/>
          <w:sz w:val="24"/>
          <w:szCs w:val="24"/>
          <w:lang w:val="en-US" w:eastAsia="zh-CN" w:bidi="ar-SA"/>
        </w:rPr>
        <w:t>m</w:t>
      </w:r>
      <w:r>
        <w:rPr>
          <w:rFonts w:hint="eastAsia" w:ascii="Times New Roman" w:hAnsi="Times New Roman" w:eastAsia="宋体" w:cs="Times New Roman"/>
          <w:kern w:val="2"/>
          <w:sz w:val="24"/>
          <w:szCs w:val="24"/>
          <w:vertAlign w:val="superscript"/>
          <w:lang w:val="en-US" w:eastAsia="zh-CN" w:bidi="ar-SA"/>
        </w:rPr>
        <w:t>3</w:t>
      </w:r>
      <w:r>
        <w:rPr>
          <w:rFonts w:hint="eastAsia" w:ascii="Times New Roman" w:hAnsi="Times New Roman" w:eastAsia="宋体" w:cs="Times New Roman"/>
          <w:kern w:val="2"/>
          <w:sz w:val="24"/>
          <w:szCs w:val="24"/>
          <w:lang w:val="en-US" w:eastAsia="zh-CN" w:bidi="ar-SA"/>
        </w:rPr>
        <w:t>/d(</w:t>
      </w:r>
      <w:r>
        <w:rPr>
          <w:rFonts w:hint="eastAsia" w:ascii="Times New Roman" w:hAnsi="Times New Roman" w:cs="Times New Roman"/>
          <w:kern w:val="2"/>
          <w:sz w:val="24"/>
          <w:szCs w:val="24"/>
          <w:lang w:val="en-US" w:eastAsia="zh-CN" w:bidi="ar-SA"/>
        </w:rPr>
        <w:t>23871</w:t>
      </w:r>
      <w:r>
        <w:rPr>
          <w:rFonts w:hint="eastAsia" w:ascii="Times New Roman" w:hAnsi="Times New Roman" w:eastAsia="宋体" w:cs="Times New Roman"/>
          <w:kern w:val="2"/>
          <w:sz w:val="24"/>
          <w:szCs w:val="24"/>
          <w:lang w:val="en-US" w:eastAsia="zh-CN" w:bidi="ar-SA"/>
        </w:rPr>
        <w:t>m</w:t>
      </w:r>
      <w:r>
        <w:rPr>
          <w:rFonts w:hint="eastAsia" w:ascii="Times New Roman" w:hAnsi="Times New Roman" w:eastAsia="宋体" w:cs="Times New Roman"/>
          <w:kern w:val="2"/>
          <w:sz w:val="24"/>
          <w:szCs w:val="24"/>
          <w:vertAlign w:val="superscript"/>
          <w:lang w:val="en-US" w:eastAsia="zh-CN" w:bidi="ar-SA"/>
        </w:rPr>
        <w:t>3</w:t>
      </w:r>
      <w:r>
        <w:rPr>
          <w:rFonts w:hint="eastAsia" w:ascii="Times New Roman" w:hAnsi="Times New Roman" w:eastAsia="宋体" w:cs="Times New Roman"/>
          <w:kern w:val="2"/>
          <w:sz w:val="24"/>
          <w:szCs w:val="24"/>
          <w:lang w:val="en-US" w:eastAsia="zh-CN" w:bidi="ar-SA"/>
        </w:rPr>
        <w:t>/a)。</w:t>
      </w:r>
    </w:p>
    <w:p>
      <w:pPr>
        <w:pStyle w:val="24"/>
        <w:numPr>
          <w:ilvl w:val="0"/>
          <w:numId w:val="0"/>
        </w:numPr>
        <w:adjustRightInd w:val="0"/>
        <w:snapToGrid w:val="0"/>
        <w:spacing w:line="540" w:lineRule="exact"/>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饲料用水</w:t>
      </w:r>
    </w:p>
    <w:p>
      <w:pPr>
        <w:pStyle w:val="24"/>
        <w:adjustRightInd w:val="0"/>
        <w:snapToGrid w:val="0"/>
        <w:spacing w:line="540" w:lineRule="exact"/>
        <w:ind w:firstLine="480"/>
        <w:rPr>
          <w:rFonts w:hint="default" w:ascii="Times New Roman" w:hAnsi="Times New Roman" w:cs="Times New Roman"/>
        </w:rPr>
      </w:pPr>
      <w:r>
        <w:rPr>
          <w:rFonts w:hint="default" w:ascii="Times New Roman" w:hAnsi="Times New Roman" w:cs="Times New Roman"/>
          <w:szCs w:val="21"/>
        </w:rPr>
        <w:t>每10kg配比饲料（10kg粗饲料、2.5kg精饲料；以粗饲料计）配水0.002m³新鲜水，本项目所需饲料1733.75t/a，所需用水量346.75</w:t>
      </w:r>
      <w:r>
        <w:rPr>
          <w:rFonts w:hint="default" w:ascii="Times New Roman" w:hAnsi="Times New Roman" w:cs="Times New Roman"/>
          <w:bCs/>
        </w:rPr>
        <w:t>m</w:t>
      </w:r>
      <w:r>
        <w:rPr>
          <w:rFonts w:hint="default" w:ascii="Times New Roman" w:hAnsi="Times New Roman" w:cs="Times New Roman"/>
          <w:bCs/>
          <w:vertAlign w:val="superscript"/>
        </w:rPr>
        <w:t>3</w:t>
      </w:r>
      <w:r>
        <w:rPr>
          <w:rFonts w:hint="default" w:ascii="Times New Roman" w:hAnsi="Times New Roman" w:cs="Times New Roman"/>
          <w:bCs/>
        </w:rPr>
        <w:t>/a。</w:t>
      </w:r>
    </w:p>
    <w:p>
      <w:pPr>
        <w:keepNext w:val="0"/>
        <w:keepLines w:val="0"/>
        <w:pageBreakBefore w:val="0"/>
        <w:widowControl w:val="0"/>
        <w:kinsoku/>
        <w:wordWrap/>
        <w:overflowPunct/>
        <w:topLinePunct w:val="0"/>
        <w:autoSpaceDE/>
        <w:autoSpaceDN/>
        <w:bidi w:val="0"/>
        <w:spacing w:line="540" w:lineRule="exact"/>
        <w:ind w:firstLine="480" w:firstLineChars="200"/>
        <w:textAlignment w:val="auto"/>
        <w:rPr>
          <w:rFonts w:ascii="Times New Roman" w:hAnsi="Times New Roman" w:eastAsia="宋体"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（3）</w:t>
      </w:r>
      <w:r>
        <w:rPr>
          <w:rFonts w:hint="eastAsia" w:ascii="Times New Roman" w:hAnsi="Times New Roman" w:eastAsia="宋体" w:cs="Times New Roman"/>
          <w:kern w:val="2"/>
          <w:sz w:val="24"/>
          <w:szCs w:val="24"/>
          <w:lang w:val="en-US" w:eastAsia="zh-CN" w:bidi="ar-SA"/>
        </w:rPr>
        <w:t>消毒药剂配制用水</w:t>
      </w:r>
    </w:p>
    <w:p>
      <w:pPr>
        <w:keepNext w:val="0"/>
        <w:keepLines w:val="0"/>
        <w:pageBreakBefore w:val="0"/>
        <w:widowControl w:val="0"/>
        <w:kinsoku/>
        <w:wordWrap/>
        <w:overflowPunct/>
        <w:topLinePunct w:val="0"/>
        <w:autoSpaceDE/>
        <w:autoSpaceDN/>
        <w:bidi w:val="0"/>
        <w:spacing w:line="540" w:lineRule="exact"/>
        <w:ind w:firstLine="480" w:firstLineChars="200"/>
        <w:textAlignment w:val="auto"/>
        <w:rPr>
          <w:rFonts w:ascii="Times New Roman" w:hAnsi="Times New Roman" w:eastAsia="宋体" w:cs="Times New Roman"/>
          <w:kern w:val="2"/>
          <w:sz w:val="24"/>
          <w:szCs w:val="24"/>
          <w:lang w:val="zh-CN" w:eastAsia="zh-CN" w:bidi="ar-SA"/>
        </w:rPr>
      </w:pPr>
      <w:r>
        <w:rPr>
          <w:rFonts w:hint="eastAsia" w:ascii="Times New Roman" w:hAnsi="Times New Roman" w:eastAsia="宋体" w:cs="Times New Roman"/>
          <w:kern w:val="2"/>
          <w:sz w:val="24"/>
          <w:szCs w:val="24"/>
          <w:lang w:val="en-US" w:eastAsia="zh-CN" w:bidi="ar-SA"/>
        </w:rPr>
        <w:t>根据</w:t>
      </w:r>
      <w:r>
        <w:rPr>
          <w:rFonts w:ascii="Times New Roman" w:hAnsi="Times New Roman" w:eastAsia="宋体" w:cs="Times New Roman"/>
          <w:kern w:val="2"/>
          <w:sz w:val="24"/>
          <w:szCs w:val="24"/>
          <w:lang w:val="en-US" w:eastAsia="zh-CN" w:bidi="ar-SA"/>
        </w:rPr>
        <w:t>建设单位提供</w:t>
      </w:r>
      <w:r>
        <w:rPr>
          <w:rFonts w:hint="eastAsia" w:ascii="Times New Roman" w:hAnsi="Times New Roman" w:eastAsia="宋体" w:cs="Times New Roman"/>
          <w:kern w:val="2"/>
          <w:sz w:val="24"/>
          <w:szCs w:val="24"/>
          <w:lang w:val="en-US" w:eastAsia="zh-CN" w:bidi="ar-SA"/>
        </w:rPr>
        <w:t>的</w:t>
      </w:r>
      <w:r>
        <w:rPr>
          <w:rFonts w:ascii="Times New Roman" w:hAnsi="Times New Roman" w:eastAsia="宋体" w:cs="Times New Roman"/>
          <w:kern w:val="2"/>
          <w:sz w:val="24"/>
          <w:szCs w:val="24"/>
          <w:lang w:val="en-US" w:eastAsia="zh-CN" w:bidi="ar-SA"/>
        </w:rPr>
        <w:t>资料，</w:t>
      </w:r>
      <w:r>
        <w:rPr>
          <w:rFonts w:hint="eastAsia" w:ascii="Times New Roman" w:hAnsi="Times New Roman" w:eastAsia="宋体" w:cs="Times New Roman"/>
          <w:kern w:val="2"/>
          <w:sz w:val="24"/>
          <w:szCs w:val="24"/>
          <w:lang w:val="en-US" w:eastAsia="zh-CN" w:bidi="ar-SA"/>
        </w:rPr>
        <w:t>项目在进行杀菌消毒时，需要消毒药剂的配制，用水量约</w:t>
      </w:r>
      <w:r>
        <w:rPr>
          <w:rFonts w:ascii="Times New Roman" w:hAnsi="Times New Roman" w:eastAsia="宋体" w:cs="Times New Roman"/>
          <w:kern w:val="2"/>
          <w:sz w:val="24"/>
          <w:szCs w:val="24"/>
          <w:lang w:val="en-US" w:eastAsia="zh-CN" w:bidi="ar-SA"/>
        </w:rPr>
        <w:t>0.1m</w:t>
      </w:r>
      <w:r>
        <w:rPr>
          <w:rFonts w:ascii="Times New Roman" w:hAnsi="Times New Roman" w:eastAsia="宋体" w:cs="Times New Roman"/>
          <w:kern w:val="2"/>
          <w:sz w:val="24"/>
          <w:szCs w:val="24"/>
          <w:vertAlign w:val="superscript"/>
          <w:lang w:val="en-US" w:eastAsia="zh-CN" w:bidi="ar-SA"/>
        </w:rPr>
        <w:t>3</w:t>
      </w:r>
      <w:r>
        <w:rPr>
          <w:rFonts w:ascii="Times New Roman" w:hAnsi="Times New Roman" w:eastAsia="宋体" w:cs="Times New Roman"/>
          <w:kern w:val="2"/>
          <w:sz w:val="24"/>
          <w:szCs w:val="24"/>
          <w:lang w:val="en-US" w:eastAsia="zh-CN" w:bidi="ar-SA"/>
        </w:rPr>
        <w:t>/</w:t>
      </w:r>
      <w:r>
        <w:rPr>
          <w:rFonts w:hint="eastAsia" w:ascii="Times New Roman" w:hAnsi="Times New Roman" w:eastAsia="宋体" w:cs="Times New Roman"/>
          <w:kern w:val="2"/>
          <w:sz w:val="24"/>
          <w:szCs w:val="24"/>
          <w:lang w:val="en-US" w:eastAsia="zh-CN" w:bidi="ar-SA"/>
        </w:rPr>
        <w:t>次(</w:t>
      </w:r>
      <w:r>
        <w:rPr>
          <w:rFonts w:ascii="Times New Roman" w:hAnsi="Times New Roman" w:eastAsia="宋体" w:cs="Times New Roman"/>
          <w:kern w:val="2"/>
          <w:sz w:val="24"/>
          <w:szCs w:val="24"/>
          <w:lang w:val="en-US" w:eastAsia="zh-CN" w:bidi="ar-SA"/>
        </w:rPr>
        <w:t>36.5m</w:t>
      </w:r>
      <w:r>
        <w:rPr>
          <w:rFonts w:ascii="Times New Roman" w:hAnsi="Times New Roman" w:eastAsia="宋体" w:cs="Times New Roman"/>
          <w:kern w:val="2"/>
          <w:sz w:val="24"/>
          <w:szCs w:val="24"/>
          <w:vertAlign w:val="superscript"/>
          <w:lang w:val="en-US" w:eastAsia="zh-CN" w:bidi="ar-SA"/>
        </w:rPr>
        <w:t>3</w:t>
      </w:r>
      <w:r>
        <w:rPr>
          <w:rFonts w:ascii="Times New Roman" w:hAnsi="Times New Roman" w:eastAsia="宋体" w:cs="Times New Roman"/>
          <w:kern w:val="2"/>
          <w:sz w:val="24"/>
          <w:szCs w:val="24"/>
          <w:lang w:val="en-US" w:eastAsia="zh-CN" w:bidi="ar-SA"/>
        </w:rPr>
        <w:t>/a</w:t>
      </w:r>
      <w:r>
        <w:rPr>
          <w:rFonts w:hint="eastAsia" w:ascii="Times New Roman" w:hAnsi="Times New Roman" w:eastAsia="宋体" w:cs="Times New Roman"/>
          <w:kern w:val="2"/>
          <w:sz w:val="24"/>
          <w:szCs w:val="24"/>
          <w:lang w:val="en-US" w:eastAsia="zh-CN" w:bidi="ar-SA"/>
        </w:rPr>
        <w:t>)。</w:t>
      </w:r>
    </w:p>
    <w:p>
      <w:pPr>
        <w:pStyle w:val="24"/>
        <w:adjustRightInd w:val="0"/>
        <w:snapToGrid w:val="0"/>
        <w:spacing w:line="540" w:lineRule="exact"/>
        <w:ind w:firstLine="480"/>
        <w:rPr>
          <w:rFonts w:ascii="Times New Roman" w:hAnsi="Times New Roman"/>
          <w:lang w:val="zh-CN"/>
        </w:rPr>
      </w:pPr>
      <w:r>
        <w:rPr>
          <w:rFonts w:hint="eastAsia" w:ascii="Times New Roman" w:hAnsi="Times New Roman"/>
          <w:lang w:val="zh-CN"/>
        </w:rPr>
        <w:t>（</w:t>
      </w:r>
      <w:r>
        <w:rPr>
          <w:rFonts w:hint="eastAsia" w:ascii="Times New Roman" w:hAnsi="Times New Roman"/>
          <w:lang w:val="en-US" w:eastAsia="zh-CN"/>
        </w:rPr>
        <w:t>4</w:t>
      </w:r>
      <w:r>
        <w:rPr>
          <w:rFonts w:hint="eastAsia" w:ascii="Times New Roman" w:hAnsi="Times New Roman"/>
          <w:lang w:val="zh-CN"/>
        </w:rPr>
        <w:t>）</w:t>
      </w:r>
      <w:r>
        <w:rPr>
          <w:rFonts w:ascii="Times New Roman" w:hAnsi="Times New Roman"/>
          <w:lang w:val="zh-CN"/>
        </w:rPr>
        <w:t>生活用水</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ascii="Times New Roman" w:hAnsi="Times New Roman" w:eastAsia="宋体" w:cs="Times New Roman"/>
          <w:kern w:val="2"/>
          <w:sz w:val="24"/>
          <w:szCs w:val="24"/>
          <w:lang w:val="zh-CN" w:eastAsia="zh-CN" w:bidi="ar-SA"/>
        </w:rPr>
      </w:pPr>
      <w:r>
        <w:rPr>
          <w:rFonts w:ascii="Times New Roman" w:hAnsi="Times New Roman" w:eastAsia="宋体" w:cs="Times New Roman"/>
          <w:kern w:val="2"/>
          <w:sz w:val="24"/>
          <w:szCs w:val="24"/>
          <w:lang w:val="zh-CN" w:eastAsia="zh-CN" w:bidi="ar-SA"/>
        </w:rPr>
        <w:t>本项目工作人员</w:t>
      </w:r>
      <w:r>
        <w:rPr>
          <w:rFonts w:hint="eastAsia" w:ascii="Times New Roman" w:hAnsi="Times New Roman" w:eastAsia="宋体" w:cs="Times New Roman"/>
          <w:kern w:val="2"/>
          <w:sz w:val="24"/>
          <w:szCs w:val="24"/>
          <w:lang w:val="zh-CN" w:eastAsia="zh-CN" w:bidi="ar-SA"/>
        </w:rPr>
        <w:t>7</w:t>
      </w:r>
      <w:r>
        <w:rPr>
          <w:rFonts w:ascii="Times New Roman" w:hAnsi="Times New Roman" w:eastAsia="宋体" w:cs="Times New Roman"/>
          <w:kern w:val="2"/>
          <w:sz w:val="24"/>
          <w:szCs w:val="24"/>
          <w:lang w:val="zh-CN" w:eastAsia="zh-CN" w:bidi="ar-SA"/>
        </w:rPr>
        <w:t>人，</w:t>
      </w:r>
      <w:r>
        <w:rPr>
          <w:rFonts w:hint="eastAsia" w:ascii="Times New Roman" w:hAnsi="Times New Roman" w:eastAsia="宋体" w:cs="Times New Roman"/>
          <w:kern w:val="2"/>
          <w:sz w:val="24"/>
          <w:szCs w:val="24"/>
          <w:lang w:val="zh-CN" w:eastAsia="zh-CN" w:bidi="ar-SA"/>
        </w:rPr>
        <w:t>结合《宁夏回族自治区有关行业用水定额(修订)》</w:t>
      </w:r>
      <w:r>
        <w:rPr>
          <w:rFonts w:ascii="Times New Roman" w:hAnsi="Times New Roman" w:eastAsia="宋体" w:cs="Times New Roman"/>
          <w:kern w:val="2"/>
          <w:sz w:val="24"/>
          <w:szCs w:val="24"/>
          <w:lang w:val="zh-CN" w:eastAsia="zh-CN" w:bidi="ar-SA"/>
        </w:rPr>
        <w:t>，生活</w:t>
      </w:r>
      <w:r>
        <w:rPr>
          <w:rFonts w:hint="eastAsia" w:ascii="Times New Roman" w:hAnsi="Times New Roman" w:eastAsia="宋体" w:cs="Times New Roman"/>
          <w:kern w:val="2"/>
          <w:sz w:val="24"/>
          <w:szCs w:val="24"/>
          <w:lang w:val="zh-CN" w:eastAsia="zh-CN" w:bidi="ar-SA"/>
        </w:rPr>
        <w:t>用水量</w:t>
      </w:r>
      <w:r>
        <w:rPr>
          <w:rFonts w:ascii="Times New Roman" w:hAnsi="Times New Roman" w:eastAsia="宋体" w:cs="Times New Roman"/>
          <w:kern w:val="2"/>
          <w:sz w:val="24"/>
          <w:szCs w:val="24"/>
          <w:lang w:val="zh-CN" w:eastAsia="zh-CN" w:bidi="ar-SA"/>
        </w:rPr>
        <w:t>按100L/人·d计，年工作天数365天，厂区内生活用水量为</w:t>
      </w:r>
      <w:r>
        <w:rPr>
          <w:rFonts w:hint="eastAsia" w:ascii="Times New Roman" w:hAnsi="Times New Roman" w:cs="Times New Roman"/>
          <w:kern w:val="2"/>
          <w:sz w:val="24"/>
          <w:szCs w:val="24"/>
          <w:lang w:val="en-US" w:eastAsia="zh-CN" w:bidi="ar-SA"/>
        </w:rPr>
        <w:t>0.7</w:t>
      </w:r>
      <w:r>
        <w:rPr>
          <w:rFonts w:ascii="Times New Roman" w:hAnsi="Times New Roman" w:eastAsia="宋体" w:cs="Times New Roman"/>
          <w:kern w:val="2"/>
          <w:sz w:val="24"/>
          <w:szCs w:val="24"/>
          <w:lang w:val="zh-CN" w:eastAsia="zh-CN" w:bidi="ar-SA"/>
        </w:rPr>
        <w:t>m</w:t>
      </w:r>
      <w:r>
        <w:rPr>
          <w:rFonts w:ascii="Times New Roman" w:hAnsi="Times New Roman" w:eastAsia="宋体" w:cs="Times New Roman"/>
          <w:kern w:val="2"/>
          <w:sz w:val="24"/>
          <w:szCs w:val="24"/>
          <w:vertAlign w:val="superscript"/>
          <w:lang w:val="zh-CN" w:eastAsia="zh-CN" w:bidi="ar-SA"/>
        </w:rPr>
        <w:t>3</w:t>
      </w:r>
      <w:r>
        <w:rPr>
          <w:rFonts w:ascii="Times New Roman" w:hAnsi="Times New Roman" w:eastAsia="宋体" w:cs="Times New Roman"/>
          <w:kern w:val="2"/>
          <w:sz w:val="24"/>
          <w:szCs w:val="24"/>
          <w:lang w:val="zh-CN" w:eastAsia="zh-CN" w:bidi="ar-SA"/>
        </w:rPr>
        <w:t>/d（</w:t>
      </w:r>
      <w:r>
        <w:rPr>
          <w:rFonts w:hint="eastAsia" w:ascii="Times New Roman" w:hAnsi="Times New Roman" w:cs="Times New Roman"/>
          <w:kern w:val="2"/>
          <w:sz w:val="24"/>
          <w:szCs w:val="24"/>
          <w:lang w:val="en-US" w:eastAsia="zh-CN" w:bidi="ar-SA"/>
        </w:rPr>
        <w:t>255.5</w:t>
      </w:r>
      <w:r>
        <w:rPr>
          <w:rFonts w:ascii="Times New Roman" w:hAnsi="Times New Roman" w:eastAsia="宋体" w:cs="Times New Roman"/>
          <w:kern w:val="2"/>
          <w:sz w:val="24"/>
          <w:szCs w:val="24"/>
          <w:lang w:val="zh-CN" w:eastAsia="zh-CN" w:bidi="ar-SA"/>
        </w:rPr>
        <w:t>m</w:t>
      </w:r>
      <w:r>
        <w:rPr>
          <w:rFonts w:ascii="Times New Roman" w:hAnsi="Times New Roman" w:eastAsia="宋体" w:cs="Times New Roman"/>
          <w:kern w:val="2"/>
          <w:sz w:val="24"/>
          <w:szCs w:val="24"/>
          <w:vertAlign w:val="superscript"/>
          <w:lang w:val="zh-CN" w:eastAsia="zh-CN" w:bidi="ar-SA"/>
        </w:rPr>
        <w:t>3</w:t>
      </w:r>
      <w:r>
        <w:rPr>
          <w:rFonts w:ascii="Times New Roman" w:hAnsi="Times New Roman" w:eastAsia="宋体" w:cs="Times New Roman"/>
          <w:kern w:val="2"/>
          <w:sz w:val="24"/>
          <w:szCs w:val="24"/>
          <w:lang w:val="zh-CN" w:eastAsia="zh-CN" w:bidi="ar-SA"/>
        </w:rPr>
        <w:t>/a）。</w:t>
      </w:r>
    </w:p>
    <w:p>
      <w:pPr>
        <w:pStyle w:val="24"/>
        <w:adjustRightInd w:val="0"/>
        <w:snapToGrid w:val="0"/>
        <w:spacing w:line="540" w:lineRule="exact"/>
        <w:ind w:firstLine="480"/>
        <w:rPr>
          <w:rFonts w:ascii="Times New Roman" w:hAnsi="Times New Roman"/>
        </w:rPr>
      </w:pPr>
      <w:r>
        <w:rPr>
          <w:rFonts w:hint="eastAsia" w:ascii="Times New Roman" w:hAnsi="Times New Roman"/>
          <w:lang w:eastAsia="zh-CN"/>
        </w:rPr>
        <w:t>（</w:t>
      </w:r>
      <w:r>
        <w:rPr>
          <w:rFonts w:hint="eastAsia" w:ascii="Times New Roman" w:hAnsi="Times New Roman"/>
          <w:lang w:val="en-US" w:eastAsia="zh-CN"/>
        </w:rPr>
        <w:t>5</w:t>
      </w:r>
      <w:r>
        <w:rPr>
          <w:rFonts w:hint="eastAsia" w:ascii="Times New Roman" w:hAnsi="Times New Roman"/>
          <w:lang w:eastAsia="zh-CN"/>
        </w:rPr>
        <w:t>）</w:t>
      </w:r>
      <w:r>
        <w:rPr>
          <w:rFonts w:ascii="Times New Roman" w:hAnsi="Times New Roman"/>
        </w:rPr>
        <w:t>绿化用水</w:t>
      </w:r>
    </w:p>
    <w:p>
      <w:pPr>
        <w:adjustRightInd w:val="0"/>
        <w:snapToGrid w:val="0"/>
        <w:spacing w:line="540" w:lineRule="exact"/>
        <w:ind w:firstLine="480" w:firstLineChars="200"/>
        <w:rPr>
          <w:rFonts w:hint="eastAsia" w:ascii="Times New Roman" w:hAnsi="Times New Roman"/>
          <w:sz w:val="24"/>
          <w:lang w:eastAsia="zh-CN"/>
        </w:rPr>
      </w:pPr>
      <w:r>
        <w:rPr>
          <w:rFonts w:ascii="Times New Roman" w:hAnsi="Times New Roman"/>
          <w:sz w:val="24"/>
        </w:rPr>
        <w:t>场区绿化面积为</w:t>
      </w:r>
      <w:r>
        <w:rPr>
          <w:rFonts w:hint="eastAsia" w:ascii="Times New Roman" w:hAnsi="Times New Roman"/>
          <w:sz w:val="24"/>
        </w:rPr>
        <w:t>500</w:t>
      </w:r>
      <w:r>
        <w:rPr>
          <w:rFonts w:ascii="Times New Roman" w:hAnsi="Times New Roman"/>
          <w:sz w:val="24"/>
        </w:rPr>
        <w:t>m</w:t>
      </w:r>
      <w:r>
        <w:rPr>
          <w:rFonts w:ascii="Times New Roman" w:hAnsi="Times New Roman"/>
          <w:sz w:val="24"/>
          <w:vertAlign w:val="superscript"/>
        </w:rPr>
        <w:t>2</w:t>
      </w:r>
      <w:r>
        <w:rPr>
          <w:rFonts w:ascii="Times New Roman" w:hAnsi="Times New Roman"/>
          <w:sz w:val="24"/>
        </w:rPr>
        <w:t>，</w:t>
      </w:r>
      <w:r>
        <w:rPr>
          <w:rFonts w:cs="Times New Roman"/>
          <w:color w:val="auto"/>
        </w:rPr>
        <w:t>结</w:t>
      </w:r>
      <w:r>
        <w:rPr>
          <w:rFonts w:ascii="Times New Roman" w:hAnsi="Times New Roman"/>
          <w:color w:val="auto"/>
          <w:sz w:val="24"/>
        </w:rPr>
        <w:t>合《</w:t>
      </w:r>
      <w:r>
        <w:rPr>
          <w:rFonts w:ascii="Times New Roman" w:hAnsi="Times New Roman"/>
          <w:sz w:val="24"/>
        </w:rPr>
        <w:t>宁夏回族自治区有关行业用水定额(修订)》，绿化用水按0.15m</w:t>
      </w:r>
      <w:r>
        <w:rPr>
          <w:rFonts w:ascii="Times New Roman" w:hAnsi="Times New Roman"/>
          <w:sz w:val="24"/>
          <w:vertAlign w:val="superscript"/>
        </w:rPr>
        <w:t>3</w:t>
      </w:r>
      <w:r>
        <w:rPr>
          <w:rFonts w:ascii="Times New Roman" w:hAnsi="Times New Roman"/>
          <w:sz w:val="24"/>
        </w:rPr>
        <w:t>/(m</w:t>
      </w:r>
      <w:r>
        <w:rPr>
          <w:rFonts w:ascii="Times New Roman" w:hAnsi="Times New Roman"/>
          <w:sz w:val="24"/>
          <w:vertAlign w:val="superscript"/>
        </w:rPr>
        <w:t>2</w:t>
      </w:r>
      <w:r>
        <w:rPr>
          <w:rFonts w:ascii="Times New Roman" w:hAnsi="Times New Roman"/>
          <w:sz w:val="24"/>
        </w:rPr>
        <w:t>·a)计，</w:t>
      </w:r>
      <w:r>
        <w:rPr>
          <w:rFonts w:hint="eastAsia" w:ascii="Times New Roman" w:hAnsi="Times New Roman"/>
          <w:sz w:val="24"/>
        </w:rPr>
        <w:t>用水天数按1</w:t>
      </w:r>
      <w:r>
        <w:rPr>
          <w:rFonts w:ascii="Times New Roman" w:hAnsi="Times New Roman"/>
          <w:sz w:val="24"/>
        </w:rPr>
        <w:t>50</w:t>
      </w:r>
      <w:r>
        <w:rPr>
          <w:rFonts w:hint="eastAsia" w:ascii="Times New Roman" w:hAnsi="Times New Roman"/>
          <w:sz w:val="24"/>
        </w:rPr>
        <w:t>天计，</w:t>
      </w:r>
      <w:r>
        <w:rPr>
          <w:rFonts w:ascii="Times New Roman" w:hAnsi="Times New Roman"/>
          <w:sz w:val="24"/>
        </w:rPr>
        <w:t>绿化用水</w:t>
      </w:r>
      <w:r>
        <w:rPr>
          <w:rFonts w:hint="eastAsia" w:ascii="Times New Roman" w:hAnsi="Times New Roman"/>
          <w:sz w:val="24"/>
          <w:lang w:eastAsia="zh-CN"/>
        </w:rPr>
        <w:t>量为</w:t>
      </w:r>
      <w:r>
        <w:rPr>
          <w:rFonts w:hint="eastAsia" w:ascii="Times New Roman" w:hAnsi="Times New Roman"/>
          <w:sz w:val="24"/>
          <w:lang w:val="en-US" w:eastAsia="zh-CN"/>
        </w:rPr>
        <w:t>0.5</w:t>
      </w:r>
      <w:r>
        <w:rPr>
          <w:rFonts w:ascii="Times New Roman" w:hAnsi="Times New Roman" w:eastAsia="宋体" w:cs="Times New Roman"/>
          <w:kern w:val="2"/>
          <w:sz w:val="24"/>
          <w:szCs w:val="24"/>
          <w:lang w:val="zh-CN" w:eastAsia="zh-CN" w:bidi="ar-SA"/>
        </w:rPr>
        <w:t>m</w:t>
      </w:r>
      <w:r>
        <w:rPr>
          <w:rFonts w:ascii="Times New Roman" w:hAnsi="Times New Roman" w:eastAsia="宋体" w:cs="Times New Roman"/>
          <w:kern w:val="2"/>
          <w:sz w:val="24"/>
          <w:szCs w:val="24"/>
          <w:vertAlign w:val="superscript"/>
          <w:lang w:val="zh-CN" w:eastAsia="zh-CN" w:bidi="ar-SA"/>
        </w:rPr>
        <w:t>3</w:t>
      </w:r>
      <w:r>
        <w:rPr>
          <w:rFonts w:ascii="Times New Roman" w:hAnsi="Times New Roman" w:eastAsia="宋体" w:cs="Times New Roman"/>
          <w:kern w:val="2"/>
          <w:sz w:val="24"/>
          <w:szCs w:val="24"/>
          <w:lang w:val="zh-CN" w:eastAsia="zh-CN" w:bidi="ar-SA"/>
        </w:rPr>
        <w:t>/d</w:t>
      </w:r>
      <w:r>
        <w:rPr>
          <w:rFonts w:hint="eastAsia" w:ascii="Times New Roman" w:hAnsi="Times New Roman"/>
          <w:sz w:val="24"/>
          <w:lang w:eastAsia="zh-CN"/>
        </w:rPr>
        <w:t>（</w:t>
      </w:r>
      <w:r>
        <w:rPr>
          <w:rFonts w:hint="eastAsia" w:ascii="Times New Roman" w:hAnsi="Times New Roman"/>
          <w:sz w:val="24"/>
          <w:lang w:val="en-US" w:eastAsia="zh-CN"/>
        </w:rPr>
        <w:t>75</w:t>
      </w:r>
      <w:r>
        <w:rPr>
          <w:rFonts w:ascii="Times New Roman" w:hAnsi="Times New Roman"/>
          <w:bCs/>
        </w:rPr>
        <w:t>m</w:t>
      </w:r>
      <w:r>
        <w:rPr>
          <w:rFonts w:ascii="Times New Roman" w:hAnsi="Times New Roman"/>
          <w:bCs/>
          <w:vertAlign w:val="superscript"/>
        </w:rPr>
        <w:t>3</w:t>
      </w:r>
      <w:r>
        <w:rPr>
          <w:rFonts w:ascii="Times New Roman" w:hAnsi="Times New Roman"/>
          <w:bCs/>
        </w:rPr>
        <w:t>/a</w:t>
      </w:r>
      <w:r>
        <w:rPr>
          <w:rFonts w:hint="eastAsia" w:ascii="Times New Roman" w:hAnsi="Times New Roman"/>
          <w:sz w:val="24"/>
          <w:lang w:eastAsia="zh-CN"/>
        </w:rPr>
        <w:t>）。</w:t>
      </w:r>
    </w:p>
    <w:p>
      <w:pPr>
        <w:adjustRightInd w:val="0"/>
        <w:snapToGrid w:val="0"/>
        <w:spacing w:line="540" w:lineRule="exact"/>
        <w:ind w:firstLine="480" w:firstLineChars="200"/>
        <w:rPr>
          <w:rFonts w:ascii="Times New Roman" w:hAnsi="Times New Roman"/>
          <w:bCs/>
          <w:sz w:val="24"/>
        </w:rPr>
      </w:pPr>
      <w:r>
        <w:rPr>
          <w:rFonts w:hint="eastAsia" w:ascii="Times New Roman" w:hAnsi="Times New Roman"/>
          <w:bCs/>
          <w:sz w:val="24"/>
        </w:rPr>
        <w:t>（二）</w:t>
      </w:r>
      <w:r>
        <w:rPr>
          <w:rFonts w:ascii="Times New Roman" w:hAnsi="Times New Roman"/>
          <w:bCs/>
          <w:sz w:val="24"/>
        </w:rPr>
        <w:t>排水</w:t>
      </w:r>
    </w:p>
    <w:p>
      <w:pPr>
        <w:pStyle w:val="24"/>
        <w:adjustRightInd w:val="0"/>
        <w:snapToGrid w:val="0"/>
        <w:spacing w:line="540" w:lineRule="exact"/>
        <w:ind w:firstLine="480"/>
        <w:rPr>
          <w:rFonts w:ascii="Times New Roman" w:hAnsi="Times New Roman"/>
          <w:color w:val="FF0000"/>
          <w:lang w:val="zh-CN"/>
        </w:rPr>
      </w:pPr>
      <w:r>
        <w:rPr>
          <w:rFonts w:ascii="Times New Roman" w:hAnsi="Times New Roman"/>
          <w:lang w:val="zh-CN"/>
        </w:rPr>
        <w:t>本项目采用干清粪工艺，牛棚不进行水冲洗，不产生圈舍冲洗废水</w:t>
      </w:r>
      <w:r>
        <w:rPr>
          <w:rFonts w:hint="eastAsia" w:ascii="Times New Roman" w:hAnsi="Times New Roman"/>
          <w:lang w:val="zh-CN"/>
        </w:rPr>
        <w:t>，牛尿部分被蒸发，部分被垫料吸收</w:t>
      </w:r>
      <w:r>
        <w:rPr>
          <w:rFonts w:ascii="Times New Roman" w:hAnsi="Times New Roman"/>
          <w:lang w:val="zh-CN"/>
        </w:rPr>
        <w:t>。废水主要</w:t>
      </w:r>
      <w:r>
        <w:rPr>
          <w:rFonts w:hint="eastAsia" w:ascii="Times New Roman" w:hAnsi="Times New Roman"/>
          <w:lang w:val="zh-CN"/>
        </w:rPr>
        <w:t>为员工盥洗废水，用于厂区的洒水降尘；厂区建有卫生旱厕，用于员工生活卫生，旱厕定期由附近农户清掏还田。</w:t>
      </w:r>
    </w:p>
    <w:p>
      <w:pPr>
        <w:pStyle w:val="24"/>
        <w:keepNext w:val="0"/>
        <w:keepLines w:val="0"/>
        <w:pageBreakBefore w:val="0"/>
        <w:widowControl w:val="0"/>
        <w:numPr>
          <w:ilvl w:val="0"/>
          <w:numId w:val="1"/>
        </w:numPr>
        <w:kinsoku/>
        <w:wordWrap/>
        <w:overflowPunct/>
        <w:topLinePunct w:val="0"/>
        <w:autoSpaceDE/>
        <w:autoSpaceDN/>
        <w:bidi w:val="0"/>
        <w:adjustRightInd w:val="0"/>
        <w:snapToGrid w:val="0"/>
        <w:spacing w:line="540" w:lineRule="exact"/>
        <w:ind w:left="210" w:leftChars="0" w:firstLine="0" w:firstLineChars="0"/>
        <w:textAlignment w:val="auto"/>
        <w:rPr>
          <w:rFonts w:hint="eastAsia" w:ascii="Times New Roman" w:hAnsi="Times New Roman"/>
          <w:b/>
          <w:bCs/>
          <w:color w:val="auto"/>
          <w:lang w:eastAsia="zh-CN"/>
        </w:rPr>
      </w:pPr>
      <w:r>
        <w:rPr>
          <w:rFonts w:hint="eastAsia" w:ascii="Times New Roman" w:hAnsi="Times New Roman"/>
          <w:b/>
          <w:bCs/>
          <w:color w:val="auto"/>
          <w:lang w:eastAsia="zh-CN"/>
        </w:rPr>
        <w:t>雨水</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ascii="Times New Roman" w:hAnsi="Times New Roman" w:eastAsia="宋体" w:cs="Times New Roman"/>
          <w:color w:val="FF0000"/>
          <w:kern w:val="2"/>
          <w:sz w:val="24"/>
          <w:szCs w:val="24"/>
          <w:lang w:val="zh-CN" w:eastAsia="zh-CN" w:bidi="ar-SA"/>
        </w:rPr>
      </w:pPr>
      <w:r>
        <w:rPr>
          <w:rFonts w:ascii="Times New Roman" w:hAnsi="Times New Roman" w:eastAsia="宋体" w:cs="Times New Roman"/>
          <w:color w:val="FF0000"/>
          <w:kern w:val="2"/>
          <w:sz w:val="24"/>
          <w:szCs w:val="24"/>
          <w:lang w:val="zh-CN" w:eastAsia="zh-CN" w:bidi="ar-SA"/>
        </w:rPr>
        <w:t>暴雨强度公式：</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FF0000"/>
        </w:rPr>
      </w:pPr>
      <w:r>
        <w:rPr>
          <w:color w:val="FF0000"/>
        </w:rPr>
        <w:drawing>
          <wp:inline distT="0" distB="0" distL="0" distR="0">
            <wp:extent cx="1323975" cy="495300"/>
            <wp:effectExtent l="0" t="0" r="9525" b="0"/>
            <wp:docPr id="109" name="图片 109"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图示&#10;&#10;中度可信度描述已自动生成"/>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1323975" cy="4953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pacing w:line="540" w:lineRule="exact"/>
        <w:ind w:firstLine="480" w:firstLineChars="200"/>
        <w:textAlignment w:val="auto"/>
        <w:rPr>
          <w:color w:val="FF0000"/>
          <w:sz w:val="24"/>
          <w:szCs w:val="24"/>
        </w:rPr>
      </w:pPr>
      <w:r>
        <w:rPr>
          <w:color w:val="FF0000"/>
          <w:sz w:val="24"/>
          <w:szCs w:val="24"/>
        </w:rPr>
        <w:t>其中：q-暴雨强度(L/s·hm</w:t>
      </w:r>
      <w:r>
        <w:rPr>
          <w:color w:val="FF0000"/>
          <w:sz w:val="24"/>
          <w:szCs w:val="24"/>
          <w:vertAlign w:val="superscript"/>
        </w:rPr>
        <w:t>2</w:t>
      </w:r>
      <w:r>
        <w:rPr>
          <w:color w:val="FF0000"/>
          <w:sz w:val="24"/>
          <w:szCs w:val="24"/>
        </w:rPr>
        <w:t>)；</w:t>
      </w:r>
    </w:p>
    <w:p>
      <w:pPr>
        <w:keepNext w:val="0"/>
        <w:keepLines w:val="0"/>
        <w:pageBreakBefore w:val="0"/>
        <w:widowControl w:val="0"/>
        <w:kinsoku/>
        <w:wordWrap/>
        <w:overflowPunct/>
        <w:topLinePunct w:val="0"/>
        <w:autoSpaceDE/>
        <w:autoSpaceDN/>
        <w:bidi w:val="0"/>
        <w:spacing w:line="540" w:lineRule="exact"/>
        <w:ind w:firstLine="1200" w:firstLineChars="500"/>
        <w:textAlignment w:val="auto"/>
        <w:rPr>
          <w:rFonts w:ascii="Times New Roman" w:hAnsi="Times New Roman" w:eastAsia="宋体" w:cs="Times New Roman"/>
          <w:color w:val="FF0000"/>
          <w:kern w:val="2"/>
          <w:sz w:val="24"/>
          <w:szCs w:val="24"/>
          <w:lang w:val="zh-CN" w:eastAsia="zh-CN" w:bidi="ar-SA"/>
        </w:rPr>
      </w:pPr>
      <w:r>
        <w:rPr>
          <w:rFonts w:ascii="Times New Roman" w:hAnsi="Times New Roman" w:eastAsia="宋体" w:cs="Times New Roman"/>
          <w:color w:val="FF0000"/>
          <w:kern w:val="2"/>
          <w:sz w:val="24"/>
          <w:szCs w:val="24"/>
          <w:lang w:val="zh-CN" w:eastAsia="zh-CN" w:bidi="ar-SA"/>
        </w:rPr>
        <w:t>P-暴雨重现期(a)；</w:t>
      </w:r>
    </w:p>
    <w:p>
      <w:pPr>
        <w:keepNext w:val="0"/>
        <w:keepLines w:val="0"/>
        <w:pageBreakBefore w:val="0"/>
        <w:widowControl w:val="0"/>
        <w:kinsoku/>
        <w:wordWrap/>
        <w:overflowPunct/>
        <w:topLinePunct w:val="0"/>
        <w:autoSpaceDE/>
        <w:autoSpaceDN/>
        <w:bidi w:val="0"/>
        <w:spacing w:line="540" w:lineRule="exact"/>
        <w:ind w:firstLine="1200" w:firstLineChars="500"/>
        <w:textAlignment w:val="auto"/>
        <w:rPr>
          <w:rFonts w:ascii="Times New Roman" w:hAnsi="Times New Roman" w:eastAsia="宋体" w:cs="Times New Roman"/>
          <w:color w:val="FF0000"/>
          <w:kern w:val="2"/>
          <w:sz w:val="24"/>
          <w:szCs w:val="24"/>
          <w:lang w:val="zh-CN" w:eastAsia="zh-CN" w:bidi="ar-SA"/>
        </w:rPr>
      </w:pPr>
      <w:r>
        <w:rPr>
          <w:rFonts w:ascii="Times New Roman" w:hAnsi="Times New Roman" w:eastAsia="宋体" w:cs="Times New Roman"/>
          <w:color w:val="FF0000"/>
          <w:kern w:val="2"/>
          <w:sz w:val="24"/>
          <w:szCs w:val="24"/>
          <w:lang w:val="zh-CN" w:eastAsia="zh-CN" w:bidi="ar-SA"/>
        </w:rPr>
        <w:t>t-降雨历时(min)。</w:t>
      </w:r>
    </w:p>
    <w:p>
      <w:pPr>
        <w:keepNext w:val="0"/>
        <w:keepLines w:val="0"/>
        <w:pageBreakBefore w:val="0"/>
        <w:widowControl w:val="0"/>
        <w:kinsoku/>
        <w:wordWrap/>
        <w:overflowPunct/>
        <w:topLinePunct w:val="0"/>
        <w:autoSpaceDE/>
        <w:autoSpaceDN/>
        <w:bidi w:val="0"/>
        <w:spacing w:line="540" w:lineRule="exact"/>
        <w:ind w:firstLine="480" w:firstLineChars="200"/>
        <w:textAlignment w:val="auto"/>
        <w:rPr>
          <w:rFonts w:ascii="Times New Roman" w:hAnsi="Times New Roman" w:eastAsia="宋体" w:cs="Times New Roman"/>
          <w:color w:val="FF0000"/>
          <w:kern w:val="2"/>
          <w:sz w:val="24"/>
          <w:szCs w:val="24"/>
          <w:lang w:val="zh-CN" w:eastAsia="zh-CN" w:bidi="ar-SA"/>
        </w:rPr>
      </w:pPr>
      <w:r>
        <w:rPr>
          <w:rFonts w:hint="eastAsia" w:ascii="Times New Roman" w:hAnsi="Times New Roman" w:eastAsia="宋体" w:cs="Times New Roman"/>
          <w:color w:val="FF0000"/>
          <w:kern w:val="2"/>
          <w:sz w:val="24"/>
          <w:szCs w:val="24"/>
          <w:lang w:val="zh-CN" w:eastAsia="zh-CN" w:bidi="ar-SA"/>
        </w:rPr>
        <w:t>暴雨</w:t>
      </w:r>
      <w:r>
        <w:rPr>
          <w:rFonts w:ascii="Times New Roman" w:hAnsi="Times New Roman" w:eastAsia="宋体" w:cs="Times New Roman"/>
          <w:color w:val="FF0000"/>
          <w:kern w:val="2"/>
          <w:sz w:val="24"/>
          <w:szCs w:val="24"/>
          <w:lang w:val="zh-CN" w:eastAsia="zh-CN" w:bidi="ar-SA"/>
        </w:rPr>
        <w:t>重现期</w:t>
      </w:r>
      <w:r>
        <w:rPr>
          <w:rFonts w:hint="eastAsia" w:ascii="Times New Roman" w:hAnsi="Times New Roman" w:eastAsia="宋体" w:cs="Times New Roman"/>
          <w:color w:val="FF0000"/>
          <w:kern w:val="2"/>
          <w:sz w:val="24"/>
          <w:szCs w:val="24"/>
          <w:lang w:val="zh-CN" w:eastAsia="zh-CN" w:bidi="ar-SA"/>
        </w:rPr>
        <w:t>按</w:t>
      </w:r>
      <w:r>
        <w:rPr>
          <w:rFonts w:ascii="Times New Roman" w:hAnsi="Times New Roman" w:eastAsia="宋体" w:cs="Times New Roman"/>
          <w:color w:val="FF0000"/>
          <w:kern w:val="2"/>
          <w:sz w:val="24"/>
          <w:szCs w:val="24"/>
          <w:lang w:val="zh-CN" w:eastAsia="zh-CN" w:bidi="ar-SA"/>
        </w:rPr>
        <w:t>P=1.5年</w:t>
      </w:r>
      <w:r>
        <w:rPr>
          <w:rFonts w:hint="eastAsia" w:ascii="Times New Roman" w:hAnsi="Times New Roman" w:eastAsia="宋体" w:cs="Times New Roman"/>
          <w:color w:val="FF0000"/>
          <w:kern w:val="2"/>
          <w:sz w:val="24"/>
          <w:szCs w:val="24"/>
          <w:lang w:val="zh-CN" w:eastAsia="zh-CN" w:bidi="ar-SA"/>
        </w:rPr>
        <w:t>考虑</w:t>
      </w:r>
      <w:r>
        <w:rPr>
          <w:rFonts w:ascii="Times New Roman" w:hAnsi="Times New Roman" w:eastAsia="宋体" w:cs="Times New Roman"/>
          <w:color w:val="FF0000"/>
          <w:kern w:val="2"/>
          <w:sz w:val="24"/>
          <w:szCs w:val="24"/>
          <w:lang w:val="zh-CN" w:eastAsia="zh-CN" w:bidi="ar-SA"/>
        </w:rPr>
        <w:t>，初期雨水历时按15min计算，</w:t>
      </w:r>
      <w:r>
        <w:rPr>
          <w:rFonts w:hint="eastAsia" w:ascii="Times New Roman" w:hAnsi="Times New Roman" w:eastAsia="宋体" w:cs="Times New Roman"/>
          <w:color w:val="FF0000"/>
          <w:kern w:val="2"/>
          <w:sz w:val="24"/>
          <w:szCs w:val="24"/>
          <w:lang w:val="zh-CN" w:eastAsia="zh-CN" w:bidi="ar-SA"/>
        </w:rPr>
        <w:t>则经计算，</w:t>
      </w:r>
      <w:r>
        <w:rPr>
          <w:rFonts w:ascii="Times New Roman" w:hAnsi="Times New Roman" w:eastAsia="宋体" w:cs="Times New Roman"/>
          <w:color w:val="FF0000"/>
          <w:kern w:val="2"/>
          <w:sz w:val="24"/>
          <w:szCs w:val="24"/>
          <w:lang w:val="zh-CN" w:eastAsia="zh-CN" w:bidi="ar-SA"/>
        </w:rPr>
        <w:t>该地区的暴雨强度为78.53L/s·hm</w:t>
      </w:r>
      <w:r>
        <w:rPr>
          <w:rFonts w:ascii="Times New Roman" w:hAnsi="Times New Roman" w:eastAsia="宋体" w:cs="Times New Roman"/>
          <w:color w:val="FF0000"/>
          <w:kern w:val="2"/>
          <w:sz w:val="24"/>
          <w:szCs w:val="24"/>
          <w:vertAlign w:val="superscript"/>
          <w:lang w:val="zh-CN" w:eastAsia="zh-CN" w:bidi="ar-SA"/>
        </w:rPr>
        <w:t>2</w:t>
      </w:r>
      <w:r>
        <w:rPr>
          <w:rFonts w:ascii="Times New Roman" w:hAnsi="Times New Roman" w:eastAsia="宋体" w:cs="Times New Roman"/>
          <w:color w:val="FF0000"/>
          <w:kern w:val="2"/>
          <w:sz w:val="24"/>
          <w:szCs w:val="24"/>
          <w:lang w:val="zh-CN" w:eastAsia="zh-CN" w:bidi="ar-SA"/>
        </w:rPr>
        <w:t>。</w:t>
      </w:r>
    </w:p>
    <w:p>
      <w:pPr>
        <w:keepNext w:val="0"/>
        <w:keepLines w:val="0"/>
        <w:pageBreakBefore w:val="0"/>
        <w:widowControl w:val="0"/>
        <w:kinsoku/>
        <w:wordWrap/>
        <w:overflowPunct/>
        <w:topLinePunct w:val="0"/>
        <w:autoSpaceDE/>
        <w:autoSpaceDN/>
        <w:bidi w:val="0"/>
        <w:spacing w:line="540" w:lineRule="exact"/>
        <w:ind w:firstLine="480" w:firstLineChars="200"/>
        <w:textAlignment w:val="auto"/>
        <w:rPr>
          <w:rFonts w:ascii="Times New Roman" w:hAnsi="Times New Roman" w:eastAsia="宋体" w:cs="Times New Roman"/>
          <w:color w:val="FF0000"/>
          <w:kern w:val="2"/>
          <w:sz w:val="24"/>
          <w:szCs w:val="24"/>
          <w:lang w:val="zh-CN" w:eastAsia="zh-CN" w:bidi="ar-SA"/>
        </w:rPr>
      </w:pPr>
      <w:r>
        <w:rPr>
          <w:rFonts w:ascii="Times New Roman" w:hAnsi="Times New Roman" w:eastAsia="宋体" w:cs="Times New Roman"/>
          <w:color w:val="FF0000"/>
          <w:kern w:val="2"/>
          <w:sz w:val="24"/>
          <w:szCs w:val="24"/>
          <w:lang w:val="zh-CN" w:eastAsia="zh-CN" w:bidi="ar-SA"/>
        </w:rPr>
        <w:t>初期雨水量计算公式如下：</w:t>
      </w:r>
    </w:p>
    <w:p>
      <w:pPr>
        <w:keepNext w:val="0"/>
        <w:keepLines w:val="0"/>
        <w:pageBreakBefore w:val="0"/>
        <w:widowControl w:val="0"/>
        <w:kinsoku/>
        <w:wordWrap/>
        <w:overflowPunct/>
        <w:topLinePunct w:val="0"/>
        <w:autoSpaceDE/>
        <w:autoSpaceDN/>
        <w:bidi w:val="0"/>
        <w:adjustRightInd w:val="0"/>
        <w:snapToGrid w:val="0"/>
        <w:spacing w:line="540" w:lineRule="exact"/>
        <w:ind w:firstLine="3480" w:firstLineChars="1450"/>
        <w:textAlignment w:val="auto"/>
        <w:rPr>
          <w:rFonts w:ascii="Times New Roman" w:hAnsi="Times New Roman" w:eastAsia="宋体" w:cs="Times New Roman"/>
          <w:color w:val="FF0000"/>
          <w:kern w:val="2"/>
          <w:sz w:val="24"/>
          <w:szCs w:val="24"/>
          <w:lang w:val="zh-CN" w:eastAsia="zh-CN" w:bidi="ar-SA"/>
        </w:rPr>
      </w:pPr>
      <w:r>
        <w:rPr>
          <w:rFonts w:ascii="Times New Roman" w:hAnsi="Times New Roman" w:eastAsia="宋体" w:cs="Times New Roman"/>
          <w:color w:val="FF0000"/>
          <w:kern w:val="2"/>
          <w:sz w:val="24"/>
          <w:szCs w:val="24"/>
          <w:lang w:val="zh-CN" w:eastAsia="zh-CN" w:bidi="ar-SA"/>
        </w:rPr>
        <w:t>Q=qFØt</w:t>
      </w:r>
    </w:p>
    <w:p>
      <w:pPr>
        <w:keepNext w:val="0"/>
        <w:keepLines w:val="0"/>
        <w:pageBreakBefore w:val="0"/>
        <w:widowControl w:val="0"/>
        <w:kinsoku/>
        <w:wordWrap/>
        <w:overflowPunct/>
        <w:topLinePunct w:val="0"/>
        <w:autoSpaceDE/>
        <w:autoSpaceDN/>
        <w:bidi w:val="0"/>
        <w:spacing w:line="540" w:lineRule="exact"/>
        <w:ind w:firstLine="480" w:firstLineChars="200"/>
        <w:textAlignment w:val="auto"/>
        <w:rPr>
          <w:rFonts w:ascii="Times New Roman" w:hAnsi="Times New Roman" w:eastAsia="宋体" w:cs="Times New Roman"/>
          <w:color w:val="FF0000"/>
          <w:kern w:val="2"/>
          <w:sz w:val="24"/>
          <w:szCs w:val="24"/>
          <w:lang w:val="zh-CN" w:eastAsia="zh-CN" w:bidi="ar-SA"/>
        </w:rPr>
      </w:pPr>
      <w:r>
        <w:rPr>
          <w:rFonts w:ascii="Times New Roman" w:hAnsi="Times New Roman" w:eastAsia="宋体" w:cs="Times New Roman"/>
          <w:color w:val="FF0000"/>
          <w:kern w:val="2"/>
          <w:sz w:val="24"/>
          <w:szCs w:val="24"/>
          <w:lang w:val="zh-CN" w:eastAsia="zh-CN" w:bidi="ar-SA"/>
        </w:rPr>
        <w:t>其中：Q-初期雨水排放量；</w:t>
      </w:r>
    </w:p>
    <w:p>
      <w:pPr>
        <w:keepNext w:val="0"/>
        <w:keepLines w:val="0"/>
        <w:pageBreakBefore w:val="0"/>
        <w:widowControl w:val="0"/>
        <w:kinsoku/>
        <w:wordWrap/>
        <w:overflowPunct/>
        <w:topLinePunct w:val="0"/>
        <w:autoSpaceDE/>
        <w:autoSpaceDN/>
        <w:bidi w:val="0"/>
        <w:spacing w:line="540" w:lineRule="exact"/>
        <w:ind w:firstLine="1200" w:firstLineChars="500"/>
        <w:textAlignment w:val="auto"/>
        <w:rPr>
          <w:rFonts w:ascii="Times New Roman" w:hAnsi="Times New Roman" w:eastAsia="宋体" w:cs="Times New Roman"/>
          <w:color w:val="FF0000"/>
          <w:kern w:val="2"/>
          <w:sz w:val="24"/>
          <w:szCs w:val="24"/>
          <w:lang w:val="zh-CN" w:eastAsia="zh-CN" w:bidi="ar-SA"/>
        </w:rPr>
      </w:pPr>
      <w:r>
        <w:rPr>
          <w:rFonts w:ascii="Times New Roman" w:hAnsi="Times New Roman" w:eastAsia="宋体" w:cs="Times New Roman"/>
          <w:color w:val="FF0000"/>
          <w:kern w:val="2"/>
          <w:sz w:val="24"/>
          <w:szCs w:val="24"/>
          <w:lang w:val="zh-CN" w:eastAsia="zh-CN" w:bidi="ar-SA"/>
        </w:rPr>
        <w:t>q-暴雨强度(L/s·hm</w:t>
      </w:r>
      <w:r>
        <w:rPr>
          <w:rFonts w:ascii="Times New Roman" w:hAnsi="Times New Roman" w:eastAsia="宋体" w:cs="Times New Roman"/>
          <w:color w:val="FF0000"/>
          <w:kern w:val="2"/>
          <w:sz w:val="24"/>
          <w:szCs w:val="24"/>
          <w:vertAlign w:val="superscript"/>
          <w:lang w:val="zh-CN" w:eastAsia="zh-CN" w:bidi="ar-SA"/>
        </w:rPr>
        <w:t>2</w:t>
      </w:r>
      <w:r>
        <w:rPr>
          <w:rFonts w:ascii="Times New Roman" w:hAnsi="Times New Roman" w:eastAsia="宋体" w:cs="Times New Roman"/>
          <w:color w:val="FF0000"/>
          <w:kern w:val="2"/>
          <w:sz w:val="24"/>
          <w:szCs w:val="24"/>
          <w:lang w:val="zh-CN" w:eastAsia="zh-CN" w:bidi="ar-SA"/>
        </w:rPr>
        <w:t>)；</w:t>
      </w:r>
    </w:p>
    <w:p>
      <w:pPr>
        <w:keepNext w:val="0"/>
        <w:keepLines w:val="0"/>
        <w:pageBreakBefore w:val="0"/>
        <w:widowControl w:val="0"/>
        <w:kinsoku/>
        <w:wordWrap/>
        <w:overflowPunct/>
        <w:topLinePunct w:val="0"/>
        <w:autoSpaceDE/>
        <w:autoSpaceDN/>
        <w:bidi w:val="0"/>
        <w:spacing w:line="540" w:lineRule="exact"/>
        <w:ind w:firstLine="1200" w:firstLineChars="500"/>
        <w:textAlignment w:val="auto"/>
        <w:rPr>
          <w:rFonts w:ascii="Times New Roman" w:hAnsi="Times New Roman" w:eastAsia="宋体" w:cs="Times New Roman"/>
          <w:color w:val="FF0000"/>
          <w:kern w:val="2"/>
          <w:sz w:val="24"/>
          <w:szCs w:val="24"/>
          <w:lang w:val="zh-CN" w:eastAsia="zh-CN" w:bidi="ar-SA"/>
        </w:rPr>
      </w:pPr>
      <w:r>
        <w:rPr>
          <w:rFonts w:ascii="Times New Roman" w:hAnsi="Times New Roman" w:eastAsia="宋体" w:cs="Times New Roman"/>
          <w:color w:val="FF0000"/>
          <w:kern w:val="2"/>
          <w:sz w:val="24"/>
          <w:szCs w:val="24"/>
          <w:lang w:val="zh-CN" w:eastAsia="zh-CN" w:bidi="ar-SA"/>
        </w:rPr>
        <w:t>F-汇水面积，</w:t>
      </w:r>
      <w:r>
        <w:rPr>
          <w:rFonts w:hint="eastAsia" w:ascii="Times New Roman" w:hAnsi="Times New Roman" w:eastAsia="宋体" w:cs="Times New Roman"/>
          <w:color w:val="FF0000"/>
          <w:kern w:val="2"/>
          <w:sz w:val="24"/>
          <w:szCs w:val="24"/>
          <w:lang w:val="zh-CN" w:eastAsia="zh-CN" w:bidi="ar-SA"/>
        </w:rPr>
        <w:t>厂区汇水面积</w:t>
      </w:r>
      <w:r>
        <w:rPr>
          <w:rFonts w:ascii="Times New Roman" w:hAnsi="Times New Roman" w:eastAsia="宋体" w:cs="Times New Roman"/>
          <w:color w:val="FF0000"/>
          <w:kern w:val="2"/>
          <w:sz w:val="24"/>
          <w:szCs w:val="24"/>
          <w:lang w:val="zh-CN" w:eastAsia="zh-CN" w:bidi="ar-SA"/>
        </w:rPr>
        <w:t>取</w:t>
      </w:r>
      <w:r>
        <w:rPr>
          <w:rFonts w:hint="eastAsia" w:ascii="Times New Roman" w:hAnsi="Times New Roman" w:cs="Times New Roman"/>
          <w:color w:val="FF0000"/>
          <w:kern w:val="2"/>
          <w:sz w:val="24"/>
          <w:szCs w:val="24"/>
          <w:highlight w:val="none"/>
          <w:vertAlign w:val="baseline"/>
          <w:lang w:val="en-US" w:eastAsia="zh-CN" w:bidi="ar-SA"/>
        </w:rPr>
        <w:t>1.14</w:t>
      </w:r>
      <w:r>
        <w:rPr>
          <w:rFonts w:ascii="Times New Roman" w:hAnsi="Times New Roman" w:eastAsia="宋体" w:cs="Times New Roman"/>
          <w:color w:val="FF0000"/>
          <w:kern w:val="2"/>
          <w:sz w:val="24"/>
          <w:szCs w:val="24"/>
          <w:highlight w:val="none"/>
          <w:vertAlign w:val="baseline"/>
          <w:lang w:val="zh-CN" w:eastAsia="zh-CN" w:bidi="ar-SA"/>
        </w:rPr>
        <w:t>hm</w:t>
      </w:r>
      <w:r>
        <w:rPr>
          <w:rFonts w:ascii="Times New Roman" w:hAnsi="Times New Roman" w:eastAsia="宋体" w:cs="Times New Roman"/>
          <w:color w:val="FF0000"/>
          <w:kern w:val="2"/>
          <w:sz w:val="24"/>
          <w:szCs w:val="24"/>
          <w:highlight w:val="none"/>
          <w:vertAlign w:val="superscript"/>
          <w:lang w:val="zh-CN" w:eastAsia="zh-CN" w:bidi="ar-SA"/>
        </w:rPr>
        <w:t>2</w:t>
      </w:r>
      <w:r>
        <w:rPr>
          <w:rFonts w:ascii="Times New Roman" w:hAnsi="Times New Roman" w:eastAsia="宋体" w:cs="Times New Roman"/>
          <w:color w:val="FF0000"/>
          <w:kern w:val="2"/>
          <w:sz w:val="24"/>
          <w:szCs w:val="24"/>
          <w:highlight w:val="none"/>
          <w:vertAlign w:val="baseline"/>
          <w:lang w:val="zh-CN" w:eastAsia="zh-CN" w:bidi="ar-SA"/>
        </w:rPr>
        <w:t>；</w:t>
      </w:r>
    </w:p>
    <w:p>
      <w:pPr>
        <w:keepNext w:val="0"/>
        <w:keepLines w:val="0"/>
        <w:pageBreakBefore w:val="0"/>
        <w:widowControl w:val="0"/>
        <w:kinsoku/>
        <w:wordWrap/>
        <w:overflowPunct/>
        <w:topLinePunct w:val="0"/>
        <w:autoSpaceDE/>
        <w:autoSpaceDN/>
        <w:bidi w:val="0"/>
        <w:spacing w:line="540" w:lineRule="exact"/>
        <w:ind w:firstLine="1200" w:firstLineChars="500"/>
        <w:textAlignment w:val="auto"/>
        <w:rPr>
          <w:rFonts w:ascii="Times New Roman" w:hAnsi="Times New Roman" w:eastAsia="宋体" w:cs="Times New Roman"/>
          <w:color w:val="FF0000"/>
          <w:kern w:val="2"/>
          <w:sz w:val="24"/>
          <w:szCs w:val="24"/>
          <w:lang w:val="zh-CN" w:eastAsia="zh-CN" w:bidi="ar-SA"/>
        </w:rPr>
      </w:pPr>
      <w:r>
        <w:rPr>
          <w:rFonts w:ascii="Times New Roman" w:hAnsi="Times New Roman" w:eastAsia="宋体" w:cs="Times New Roman"/>
          <w:color w:val="FF0000"/>
          <w:kern w:val="2"/>
          <w:sz w:val="24"/>
          <w:szCs w:val="24"/>
          <w:lang w:val="zh-CN" w:eastAsia="zh-CN" w:bidi="ar-SA"/>
        </w:rPr>
        <w:t>Ø-径流系数(0.4</w:t>
      </w:r>
      <w:r>
        <w:rPr>
          <w:rFonts w:hint="eastAsia" w:ascii="Times New Roman" w:hAnsi="Times New Roman" w:eastAsia="宋体" w:cs="Times New Roman"/>
          <w:color w:val="FF0000"/>
          <w:kern w:val="2"/>
          <w:sz w:val="24"/>
          <w:szCs w:val="24"/>
          <w:lang w:val="zh-CN" w:eastAsia="zh-CN" w:bidi="ar-SA"/>
        </w:rPr>
        <w:t>~</w:t>
      </w:r>
      <w:r>
        <w:rPr>
          <w:rFonts w:ascii="Times New Roman" w:hAnsi="Times New Roman" w:eastAsia="宋体" w:cs="Times New Roman"/>
          <w:color w:val="FF0000"/>
          <w:kern w:val="2"/>
          <w:sz w:val="24"/>
          <w:szCs w:val="24"/>
          <w:lang w:val="zh-CN" w:eastAsia="zh-CN" w:bidi="ar-SA"/>
        </w:rPr>
        <w:t>0.9)，</w:t>
      </w:r>
      <w:r>
        <w:rPr>
          <w:rFonts w:hint="eastAsia" w:ascii="Times New Roman" w:hAnsi="Times New Roman" w:eastAsia="宋体" w:cs="Times New Roman"/>
          <w:color w:val="FF0000"/>
          <w:kern w:val="2"/>
          <w:sz w:val="24"/>
          <w:szCs w:val="24"/>
          <w:lang w:val="zh-CN" w:eastAsia="zh-CN" w:bidi="ar-SA"/>
        </w:rPr>
        <w:t>本次</w:t>
      </w:r>
      <w:r>
        <w:rPr>
          <w:rFonts w:ascii="Times New Roman" w:hAnsi="Times New Roman" w:eastAsia="宋体" w:cs="Times New Roman"/>
          <w:color w:val="FF0000"/>
          <w:kern w:val="2"/>
          <w:sz w:val="24"/>
          <w:szCs w:val="24"/>
          <w:lang w:val="zh-CN" w:eastAsia="zh-CN" w:bidi="ar-SA"/>
        </w:rPr>
        <w:t>取0.6；</w:t>
      </w:r>
    </w:p>
    <w:p>
      <w:pPr>
        <w:keepNext w:val="0"/>
        <w:keepLines w:val="0"/>
        <w:pageBreakBefore w:val="0"/>
        <w:widowControl w:val="0"/>
        <w:kinsoku/>
        <w:wordWrap/>
        <w:overflowPunct/>
        <w:topLinePunct w:val="0"/>
        <w:autoSpaceDE/>
        <w:autoSpaceDN/>
        <w:bidi w:val="0"/>
        <w:spacing w:line="540" w:lineRule="exact"/>
        <w:ind w:firstLine="1200" w:firstLineChars="500"/>
        <w:textAlignment w:val="auto"/>
        <w:rPr>
          <w:rFonts w:ascii="Times New Roman" w:hAnsi="Times New Roman" w:eastAsia="宋体" w:cs="Times New Roman"/>
          <w:color w:val="FF0000"/>
          <w:kern w:val="2"/>
          <w:sz w:val="24"/>
          <w:szCs w:val="24"/>
          <w:lang w:val="zh-CN" w:eastAsia="zh-CN" w:bidi="ar-SA"/>
        </w:rPr>
      </w:pPr>
      <w:r>
        <w:rPr>
          <w:rFonts w:ascii="Times New Roman" w:hAnsi="Times New Roman" w:eastAsia="宋体" w:cs="Times New Roman"/>
          <w:color w:val="FF0000"/>
          <w:kern w:val="2"/>
          <w:sz w:val="24"/>
          <w:szCs w:val="24"/>
          <w:lang w:val="zh-CN" w:eastAsia="zh-CN" w:bidi="ar-SA"/>
        </w:rPr>
        <w:t>t-收水时间，本次取15min。</w:t>
      </w:r>
    </w:p>
    <w:p>
      <w:pPr>
        <w:keepNext w:val="0"/>
        <w:keepLines w:val="0"/>
        <w:pageBreakBefore w:val="0"/>
        <w:widowControl w:val="0"/>
        <w:kinsoku/>
        <w:wordWrap/>
        <w:overflowPunct/>
        <w:topLinePunct w:val="0"/>
        <w:autoSpaceDE/>
        <w:autoSpaceDN/>
        <w:bidi w:val="0"/>
        <w:spacing w:line="540" w:lineRule="exact"/>
        <w:ind w:firstLine="480"/>
        <w:textAlignment w:val="auto"/>
        <w:rPr>
          <w:rFonts w:ascii="Times New Roman" w:hAnsi="Times New Roman" w:eastAsia="宋体" w:cs="Times New Roman"/>
          <w:color w:val="FF0000"/>
          <w:kern w:val="2"/>
          <w:sz w:val="24"/>
          <w:szCs w:val="24"/>
          <w:lang w:val="zh-CN" w:eastAsia="zh-CN" w:bidi="ar-SA"/>
        </w:rPr>
      </w:pPr>
      <w:r>
        <w:rPr>
          <w:rFonts w:ascii="Times New Roman" w:hAnsi="Times New Roman" w:eastAsia="宋体" w:cs="Times New Roman"/>
          <w:color w:val="FF0000"/>
          <w:kern w:val="2"/>
          <w:sz w:val="24"/>
          <w:szCs w:val="24"/>
          <w:lang w:val="zh-CN" w:eastAsia="zh-CN" w:bidi="ar-SA"/>
        </w:rPr>
        <w:t>根据上述参数计算，</w:t>
      </w:r>
      <w:bookmarkStart w:id="413" w:name="_Hlk21530509"/>
      <w:r>
        <w:rPr>
          <w:rFonts w:hint="eastAsia" w:ascii="Times New Roman" w:hAnsi="Times New Roman" w:eastAsia="宋体" w:cs="Times New Roman"/>
          <w:color w:val="FF0000"/>
          <w:kern w:val="2"/>
          <w:sz w:val="24"/>
          <w:szCs w:val="24"/>
          <w:lang w:val="zh-CN" w:eastAsia="zh-CN" w:bidi="ar-SA"/>
        </w:rPr>
        <w:t>本次</w:t>
      </w:r>
      <w:r>
        <w:rPr>
          <w:rFonts w:ascii="Times New Roman" w:hAnsi="Times New Roman" w:eastAsia="宋体" w:cs="Times New Roman"/>
          <w:color w:val="FF0000"/>
          <w:kern w:val="2"/>
          <w:sz w:val="24"/>
          <w:szCs w:val="24"/>
          <w:lang w:val="zh-CN" w:eastAsia="zh-CN" w:bidi="ar-SA"/>
        </w:rPr>
        <w:t>初期雨水产生量</w:t>
      </w:r>
      <w:r>
        <w:rPr>
          <w:rFonts w:hint="eastAsia" w:ascii="Times New Roman" w:hAnsi="Times New Roman" w:eastAsia="宋体" w:cs="Times New Roman"/>
          <w:color w:val="FF0000"/>
          <w:kern w:val="2"/>
          <w:sz w:val="24"/>
          <w:szCs w:val="24"/>
          <w:lang w:val="zh-CN" w:eastAsia="zh-CN" w:bidi="ar-SA"/>
        </w:rPr>
        <w:t>约</w:t>
      </w:r>
      <w:r>
        <w:rPr>
          <w:rFonts w:hint="eastAsia" w:ascii="Times New Roman" w:hAnsi="Times New Roman" w:cs="Times New Roman"/>
          <w:color w:val="FF0000"/>
          <w:kern w:val="2"/>
          <w:sz w:val="24"/>
          <w:szCs w:val="24"/>
          <w:lang w:val="en-US" w:eastAsia="zh-CN" w:bidi="ar-SA"/>
        </w:rPr>
        <w:t>48.34</w:t>
      </w:r>
      <w:r>
        <w:rPr>
          <w:rFonts w:ascii="Times New Roman" w:hAnsi="Times New Roman" w:eastAsia="宋体" w:cs="Times New Roman"/>
          <w:color w:val="FF0000"/>
          <w:kern w:val="2"/>
          <w:sz w:val="24"/>
          <w:szCs w:val="24"/>
          <w:lang w:val="zh-CN" w:eastAsia="zh-CN" w:bidi="ar-SA"/>
        </w:rPr>
        <w:t>m</w:t>
      </w:r>
      <w:r>
        <w:rPr>
          <w:rFonts w:ascii="Times New Roman" w:hAnsi="Times New Roman" w:eastAsia="宋体" w:cs="Times New Roman"/>
          <w:color w:val="FF0000"/>
          <w:kern w:val="2"/>
          <w:sz w:val="24"/>
          <w:szCs w:val="24"/>
          <w:vertAlign w:val="superscript"/>
          <w:lang w:val="zh-CN" w:eastAsia="zh-CN" w:bidi="ar-SA"/>
        </w:rPr>
        <w:t>3</w:t>
      </w:r>
      <w:r>
        <w:rPr>
          <w:rFonts w:ascii="Times New Roman" w:hAnsi="Times New Roman" w:eastAsia="宋体" w:cs="Times New Roman"/>
          <w:color w:val="FF0000"/>
          <w:kern w:val="2"/>
          <w:sz w:val="24"/>
          <w:szCs w:val="24"/>
          <w:lang w:val="zh-CN" w:eastAsia="zh-CN" w:bidi="ar-SA"/>
        </w:rPr>
        <w:t>/</w:t>
      </w:r>
      <w:bookmarkEnd w:id="413"/>
      <w:r>
        <w:rPr>
          <w:rFonts w:hint="eastAsia" w:ascii="Times New Roman" w:hAnsi="Times New Roman" w:eastAsia="宋体" w:cs="Times New Roman"/>
          <w:color w:val="FF0000"/>
          <w:kern w:val="2"/>
          <w:sz w:val="24"/>
          <w:szCs w:val="24"/>
          <w:lang w:val="zh-CN" w:eastAsia="zh-CN" w:bidi="ar-SA"/>
        </w:rPr>
        <w:t>次，通过道路两侧设置的导流沟</w:t>
      </w:r>
      <w:r>
        <w:rPr>
          <w:rFonts w:hint="eastAsia" w:ascii="Times New Roman" w:hAnsi="Times New Roman" w:eastAsia="宋体" w:cs="Times New Roman"/>
          <w:color w:val="FF0000"/>
          <w:kern w:val="2"/>
          <w:sz w:val="24"/>
          <w:szCs w:val="24"/>
          <w:highlight w:val="none"/>
          <w:lang w:val="zh-CN" w:eastAsia="zh-CN" w:bidi="ar-SA"/>
        </w:rPr>
        <w:t>进入1座</w:t>
      </w:r>
      <w:r>
        <w:rPr>
          <w:rFonts w:ascii="Times New Roman" w:hAnsi="Times New Roman" w:eastAsia="宋体" w:cs="Times New Roman"/>
          <w:color w:val="FF0000"/>
          <w:kern w:val="2"/>
          <w:sz w:val="24"/>
          <w:szCs w:val="24"/>
          <w:highlight w:val="none"/>
          <w:lang w:val="zh-CN" w:eastAsia="zh-CN" w:bidi="ar-SA"/>
        </w:rPr>
        <w:t>120m</w:t>
      </w:r>
      <w:r>
        <w:rPr>
          <w:rFonts w:ascii="Times New Roman" w:hAnsi="Times New Roman" w:eastAsia="宋体" w:cs="Times New Roman"/>
          <w:color w:val="FF0000"/>
          <w:kern w:val="2"/>
          <w:sz w:val="24"/>
          <w:szCs w:val="24"/>
          <w:highlight w:val="none"/>
          <w:vertAlign w:val="superscript"/>
          <w:lang w:val="zh-CN" w:eastAsia="zh-CN" w:bidi="ar-SA"/>
        </w:rPr>
        <w:t>3</w:t>
      </w:r>
      <w:r>
        <w:rPr>
          <w:rFonts w:hint="eastAsia" w:ascii="Times New Roman" w:hAnsi="Times New Roman" w:eastAsia="宋体" w:cs="Times New Roman"/>
          <w:color w:val="FF0000"/>
          <w:kern w:val="2"/>
          <w:sz w:val="24"/>
          <w:szCs w:val="24"/>
          <w:highlight w:val="none"/>
          <w:lang w:val="zh-CN" w:eastAsia="zh-CN" w:bidi="ar-SA"/>
        </w:rPr>
        <w:t>初期雨水收集池，</w:t>
      </w:r>
      <w:r>
        <w:rPr>
          <w:rFonts w:ascii="Times New Roman" w:hAnsi="Times New Roman" w:eastAsia="宋体" w:cs="Times New Roman"/>
          <w:color w:val="FF0000"/>
          <w:kern w:val="2"/>
          <w:sz w:val="24"/>
          <w:szCs w:val="24"/>
          <w:highlight w:val="none"/>
          <w:lang w:val="zh-CN" w:eastAsia="zh-CN" w:bidi="ar-SA"/>
        </w:rPr>
        <w:t>全部用于厂区绿化</w:t>
      </w:r>
      <w:r>
        <w:rPr>
          <w:rFonts w:hint="eastAsia" w:ascii="Times New Roman" w:hAnsi="Times New Roman" w:cs="Times New Roman"/>
          <w:color w:val="FF0000"/>
          <w:kern w:val="2"/>
          <w:sz w:val="24"/>
          <w:szCs w:val="24"/>
          <w:highlight w:val="none"/>
          <w:lang w:val="zh-CN" w:eastAsia="zh-CN" w:bidi="ar-SA"/>
        </w:rPr>
        <w:t>。</w:t>
      </w:r>
    </w:p>
    <w:p>
      <w:pPr>
        <w:pStyle w:val="24"/>
        <w:adjustRightInd w:val="0"/>
        <w:snapToGrid w:val="0"/>
        <w:spacing w:line="540" w:lineRule="exact"/>
        <w:rPr>
          <w:rFonts w:ascii="Times New Roman" w:hAnsi="Times New Roman"/>
          <w:b/>
          <w:bCs/>
          <w:color w:val="auto"/>
        </w:rPr>
      </w:pPr>
      <w:r>
        <w:rPr>
          <w:rFonts w:hint="eastAsia" w:ascii="Times New Roman" w:hAnsi="Times New Roman"/>
          <w:b/>
          <w:bCs/>
          <w:color w:val="auto"/>
          <w:lang w:eastAsia="zh-CN"/>
        </w:rPr>
        <w:t>（</w:t>
      </w:r>
      <w:r>
        <w:rPr>
          <w:rFonts w:hint="eastAsia" w:ascii="Times New Roman" w:hAnsi="Times New Roman"/>
          <w:b/>
          <w:bCs/>
          <w:color w:val="auto"/>
          <w:lang w:val="en-US" w:eastAsia="zh-CN"/>
        </w:rPr>
        <w:t>2</w:t>
      </w:r>
      <w:r>
        <w:rPr>
          <w:rFonts w:hint="eastAsia" w:ascii="Times New Roman" w:hAnsi="Times New Roman"/>
          <w:b/>
          <w:bCs/>
          <w:color w:val="auto"/>
          <w:lang w:eastAsia="zh-CN"/>
        </w:rPr>
        <w:t>）</w:t>
      </w:r>
      <w:r>
        <w:rPr>
          <w:rFonts w:ascii="Times New Roman" w:hAnsi="Times New Roman"/>
          <w:b/>
          <w:bCs/>
          <w:color w:val="auto"/>
        </w:rPr>
        <w:t>生</w:t>
      </w:r>
      <w:r>
        <w:rPr>
          <w:rFonts w:hint="eastAsia" w:ascii="Times New Roman" w:hAnsi="Times New Roman"/>
          <w:b/>
          <w:bCs/>
          <w:color w:val="auto"/>
        </w:rPr>
        <w:t>活污水</w:t>
      </w:r>
    </w:p>
    <w:p>
      <w:pPr>
        <w:pStyle w:val="24"/>
        <w:adjustRightInd w:val="0"/>
        <w:snapToGrid w:val="0"/>
        <w:spacing w:line="540" w:lineRule="exact"/>
        <w:ind w:firstLine="480"/>
        <w:rPr>
          <w:rFonts w:hint="eastAsia" w:ascii="Times New Roman" w:hAnsi="Times New Roman" w:cs="Times New Roman"/>
          <w:lang w:eastAsia="zh-CN"/>
        </w:rPr>
      </w:pPr>
      <w:r>
        <w:rPr>
          <w:rFonts w:hint="default" w:ascii="Times New Roman" w:hAnsi="Times New Roman" w:eastAsia="宋体" w:cs="Times New Roman"/>
        </w:rPr>
        <w:t>职工生活污水</w:t>
      </w:r>
      <w:r>
        <w:rPr>
          <w:rFonts w:hint="eastAsia" w:ascii="Times New Roman" w:hAnsi="Times New Roman" w:cs="Times New Roman"/>
          <w:lang w:eastAsia="zh-CN"/>
        </w:rPr>
        <w:t>主要为员工盥洗废水，用于厂区的洒水降尘。</w:t>
      </w:r>
    </w:p>
    <w:p>
      <w:pPr>
        <w:pStyle w:val="24"/>
        <w:adjustRightInd w:val="0"/>
        <w:snapToGrid w:val="0"/>
        <w:spacing w:line="540" w:lineRule="exact"/>
        <w:ind w:firstLine="480"/>
        <w:rPr>
          <w:rFonts w:hint="eastAsia" w:ascii="Times New Roman" w:hAnsi="Times New Roman" w:cs="Times New Roman"/>
          <w:lang w:val="zh-CN" w:eastAsia="zh-CN"/>
        </w:rPr>
      </w:pPr>
    </w:p>
    <w:p>
      <w:pPr>
        <w:adjustRightInd w:val="0"/>
        <w:snapToGrid w:val="0"/>
        <w:jc w:val="center"/>
        <w:rPr>
          <w:rFonts w:ascii="Times New Roman" w:hAnsi="Times New Roman"/>
          <w:b/>
          <w:sz w:val="24"/>
        </w:rPr>
      </w:pPr>
      <w:bookmarkStart w:id="414" w:name="_Toc32494"/>
    </w:p>
    <w:p>
      <w:pPr>
        <w:adjustRightInd w:val="0"/>
        <w:snapToGrid w:val="0"/>
        <w:jc w:val="center"/>
        <w:rPr>
          <w:rFonts w:ascii="Times New Roman" w:hAnsi="Times New Roman"/>
          <w:b/>
          <w:sz w:val="24"/>
        </w:rPr>
      </w:pPr>
    </w:p>
    <w:p>
      <w:pPr>
        <w:adjustRightInd w:val="0"/>
        <w:snapToGrid w:val="0"/>
        <w:jc w:val="center"/>
        <w:rPr>
          <w:rFonts w:ascii="Times New Roman" w:hAnsi="Times New Roman"/>
          <w:b/>
          <w:sz w:val="24"/>
        </w:rPr>
      </w:pPr>
    </w:p>
    <w:p>
      <w:pPr>
        <w:adjustRightInd w:val="0"/>
        <w:snapToGrid w:val="0"/>
        <w:jc w:val="center"/>
        <w:rPr>
          <w:rFonts w:ascii="Times New Roman" w:hAnsi="Times New Roman"/>
          <w:b/>
          <w:sz w:val="24"/>
        </w:rPr>
      </w:pPr>
    </w:p>
    <w:p>
      <w:pPr>
        <w:adjustRightInd w:val="0"/>
        <w:snapToGrid w:val="0"/>
        <w:jc w:val="center"/>
        <w:rPr>
          <w:rFonts w:ascii="Times New Roman" w:hAnsi="Times New Roman"/>
          <w:bCs/>
          <w:sz w:val="24"/>
        </w:rPr>
      </w:pPr>
      <w:r>
        <w:rPr>
          <w:rFonts w:ascii="Times New Roman" w:hAnsi="Times New Roman"/>
          <w:b/>
          <w:sz w:val="24"/>
        </w:rPr>
        <w:t>表 2</w:t>
      </w:r>
      <w:r>
        <w:rPr>
          <w:rFonts w:hint="eastAsia" w:ascii="Times New Roman" w:hAnsi="Times New Roman"/>
          <w:b/>
          <w:sz w:val="24"/>
        </w:rPr>
        <w:t>.1</w:t>
      </w:r>
      <w:r>
        <w:rPr>
          <w:rFonts w:ascii="Times New Roman" w:hAnsi="Times New Roman"/>
          <w:b/>
          <w:sz w:val="24"/>
        </w:rPr>
        <w:t>-</w:t>
      </w:r>
      <w:r>
        <w:rPr>
          <w:rFonts w:hint="eastAsia" w:ascii="Times New Roman" w:hAnsi="Times New Roman"/>
          <w:b/>
          <w:sz w:val="24"/>
        </w:rPr>
        <w:t>6</w:t>
      </w:r>
      <w:r>
        <w:rPr>
          <w:rFonts w:ascii="Times New Roman" w:hAnsi="Times New Roman"/>
          <w:b/>
          <w:sz w:val="24"/>
        </w:rPr>
        <w:tab/>
      </w:r>
      <w:r>
        <w:rPr>
          <w:rFonts w:ascii="Times New Roman" w:hAnsi="Times New Roman"/>
          <w:b/>
          <w:sz w:val="24"/>
        </w:rPr>
        <w:t>本项目给排水用量一览表</w:t>
      </w:r>
    </w:p>
    <w:tbl>
      <w:tblPr>
        <w:tblStyle w:val="29"/>
        <w:tblW w:w="8957"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4" w:space="0"/>
        </w:tblBorders>
        <w:tblLayout w:type="fixed"/>
        <w:tblCellMar>
          <w:top w:w="0" w:type="dxa"/>
          <w:left w:w="0" w:type="dxa"/>
          <w:bottom w:w="0" w:type="dxa"/>
          <w:right w:w="0" w:type="dxa"/>
        </w:tblCellMar>
      </w:tblPr>
      <w:tblGrid>
        <w:gridCol w:w="1250"/>
        <w:gridCol w:w="1360"/>
        <w:gridCol w:w="1496"/>
        <w:gridCol w:w="1335"/>
        <w:gridCol w:w="2474"/>
        <w:gridCol w:w="104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4" w:space="0"/>
          </w:tblBorders>
          <w:tblCellMar>
            <w:top w:w="0" w:type="dxa"/>
            <w:left w:w="0" w:type="dxa"/>
            <w:bottom w:w="0" w:type="dxa"/>
            <w:right w:w="0" w:type="dxa"/>
          </w:tblCellMar>
        </w:tblPrEx>
        <w:trPr>
          <w:trHeight w:val="606" w:hRule="exact"/>
          <w:jc w:val="center"/>
        </w:trPr>
        <w:tc>
          <w:tcPr>
            <w:tcW w:w="1250" w:type="dxa"/>
            <w:vAlign w:val="center"/>
          </w:tcPr>
          <w:p>
            <w:pPr>
              <w:keepNext w:val="0"/>
              <w:keepLines w:val="0"/>
              <w:pageBreakBefore w:val="0"/>
              <w:kinsoku/>
              <w:wordWrap/>
              <w:overflowPunct/>
              <w:topLinePunct w:val="0"/>
              <w:autoSpaceDE/>
              <w:autoSpaceDN/>
              <w:bidi w:val="0"/>
              <w:adjustRightInd/>
              <w:snapToGrid w:val="0"/>
              <w:jc w:val="center"/>
              <w:rPr>
                <w:rFonts w:ascii="Times New Roman" w:hAnsi="Times New Roman"/>
                <w:b/>
                <w:bCs/>
                <w:sz w:val="24"/>
              </w:rPr>
            </w:pPr>
            <w:r>
              <w:rPr>
                <w:rFonts w:ascii="Times New Roman" w:hAnsi="Times New Roman"/>
                <w:b/>
                <w:bCs/>
                <w:szCs w:val="21"/>
              </w:rPr>
              <w:t>项目</w:t>
            </w:r>
          </w:p>
        </w:tc>
        <w:tc>
          <w:tcPr>
            <w:tcW w:w="1360"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宋体"/>
                <w:b/>
                <w:bCs/>
                <w:szCs w:val="21"/>
                <w:lang w:eastAsia="zh-CN"/>
              </w:rPr>
            </w:pPr>
            <w:r>
              <w:rPr>
                <w:rFonts w:hint="eastAsia" w:ascii="Times New Roman" w:hAnsi="Times New Roman"/>
                <w:b/>
                <w:bCs/>
                <w:szCs w:val="21"/>
                <w:lang w:eastAsia="zh-CN"/>
              </w:rPr>
              <w:t>用水量</w:t>
            </w:r>
          </w:p>
        </w:tc>
        <w:tc>
          <w:tcPr>
            <w:tcW w:w="1496" w:type="dxa"/>
            <w:vAlign w:val="center"/>
          </w:tcPr>
          <w:p>
            <w:pPr>
              <w:keepNext w:val="0"/>
              <w:keepLines w:val="0"/>
              <w:pageBreakBefore w:val="0"/>
              <w:kinsoku/>
              <w:wordWrap/>
              <w:overflowPunct/>
              <w:topLinePunct w:val="0"/>
              <w:autoSpaceDE/>
              <w:autoSpaceDN/>
              <w:bidi w:val="0"/>
              <w:adjustRightInd/>
              <w:snapToGrid w:val="0"/>
              <w:jc w:val="center"/>
              <w:rPr>
                <w:rFonts w:ascii="Times New Roman" w:hAnsi="Times New Roman"/>
                <w:b/>
                <w:bCs/>
                <w:sz w:val="24"/>
              </w:rPr>
            </w:pPr>
            <w:r>
              <w:rPr>
                <w:rFonts w:hint="eastAsia" w:ascii="Times New Roman" w:hAnsi="Times New Roman"/>
                <w:b/>
                <w:bCs/>
                <w:szCs w:val="21"/>
                <w:lang w:eastAsia="zh-CN"/>
              </w:rPr>
              <w:t>消</w:t>
            </w:r>
            <w:r>
              <w:rPr>
                <w:rFonts w:hint="eastAsia" w:ascii="Times New Roman" w:hAnsi="Times New Roman"/>
                <w:b/>
                <w:bCs/>
                <w:szCs w:val="21"/>
              </w:rPr>
              <w:t>耗量（</w:t>
            </w:r>
            <w:r>
              <w:rPr>
                <w:rFonts w:ascii="Times New Roman" w:hAnsi="Times New Roman"/>
                <w:b/>
                <w:bCs/>
                <w:lang w:val="zh-CN"/>
              </w:rPr>
              <w:t>m</w:t>
            </w:r>
            <w:r>
              <w:rPr>
                <w:rFonts w:ascii="Times New Roman" w:hAnsi="Times New Roman"/>
                <w:b/>
                <w:bCs/>
                <w:vertAlign w:val="superscript"/>
                <w:lang w:val="zh-CN"/>
              </w:rPr>
              <w:t>3</w:t>
            </w:r>
            <w:r>
              <w:rPr>
                <w:rFonts w:ascii="Times New Roman" w:hAnsi="Times New Roman"/>
                <w:b/>
                <w:bCs/>
                <w:lang w:val="zh-CN"/>
              </w:rPr>
              <w:t>/a</w:t>
            </w:r>
            <w:r>
              <w:rPr>
                <w:rFonts w:hint="eastAsia" w:ascii="Times New Roman" w:hAnsi="Times New Roman"/>
                <w:b/>
                <w:bCs/>
                <w:lang w:val="zh-CN"/>
              </w:rPr>
              <w:t>）</w:t>
            </w:r>
          </w:p>
        </w:tc>
        <w:tc>
          <w:tcPr>
            <w:tcW w:w="1335"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b/>
                <w:bCs/>
                <w:szCs w:val="21"/>
                <w:lang w:eastAsia="zh-CN"/>
              </w:rPr>
            </w:pPr>
            <w:r>
              <w:rPr>
                <w:rFonts w:hint="eastAsia" w:ascii="Times New Roman" w:hAnsi="Times New Roman"/>
                <w:b/>
                <w:bCs/>
                <w:szCs w:val="21"/>
                <w:lang w:eastAsia="zh-CN"/>
              </w:rPr>
              <w:t>废水产生量</w:t>
            </w:r>
          </w:p>
        </w:tc>
        <w:tc>
          <w:tcPr>
            <w:tcW w:w="2474"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宋体"/>
                <w:b/>
                <w:bCs/>
                <w:szCs w:val="21"/>
                <w:lang w:eastAsia="zh-CN"/>
              </w:rPr>
            </w:pPr>
            <w:r>
              <w:rPr>
                <w:rFonts w:hint="eastAsia" w:ascii="Times New Roman" w:hAnsi="Times New Roman"/>
                <w:b/>
                <w:bCs/>
                <w:szCs w:val="21"/>
                <w:lang w:eastAsia="zh-CN"/>
              </w:rPr>
              <w:t>废水去向</w:t>
            </w:r>
          </w:p>
        </w:tc>
        <w:tc>
          <w:tcPr>
            <w:tcW w:w="1042"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b/>
                <w:bCs/>
                <w:szCs w:val="21"/>
              </w:rPr>
            </w:pPr>
            <w:r>
              <w:rPr>
                <w:rFonts w:hint="eastAsia" w:ascii="Times New Roman" w:hAnsi="Times New Roman"/>
                <w:b/>
                <w:bCs/>
                <w:szCs w:val="21"/>
                <w:lang w:eastAsia="zh-CN"/>
              </w:rPr>
              <w:t>排放量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4" w:space="0"/>
          </w:tblBorders>
          <w:tblCellMar>
            <w:top w:w="0" w:type="dxa"/>
            <w:left w:w="0" w:type="dxa"/>
            <w:bottom w:w="0" w:type="dxa"/>
            <w:right w:w="0" w:type="dxa"/>
          </w:tblCellMar>
        </w:tblPrEx>
        <w:trPr>
          <w:trHeight w:val="606" w:hRule="exact"/>
          <w:jc w:val="center"/>
        </w:trPr>
        <w:tc>
          <w:tcPr>
            <w:tcW w:w="1250" w:type="dxa"/>
            <w:vAlign w:val="center"/>
          </w:tcPr>
          <w:p>
            <w:pPr>
              <w:keepNext w:val="0"/>
              <w:keepLines w:val="0"/>
              <w:pageBreakBefore w:val="0"/>
              <w:kinsoku/>
              <w:wordWrap/>
              <w:overflowPunct/>
              <w:topLinePunct w:val="0"/>
              <w:autoSpaceDE/>
              <w:autoSpaceDN/>
              <w:bidi w:val="0"/>
              <w:adjustRightInd/>
              <w:snapToGrid w:val="0"/>
              <w:jc w:val="center"/>
              <w:rPr>
                <w:rFonts w:ascii="Times New Roman" w:hAnsi="Times New Roman"/>
                <w:szCs w:val="21"/>
              </w:rPr>
            </w:pPr>
            <w:r>
              <w:rPr>
                <w:rFonts w:ascii="Times New Roman" w:hAnsi="Times New Roman"/>
                <w:szCs w:val="21"/>
              </w:rPr>
              <w:t>生活用水</w:t>
            </w:r>
          </w:p>
        </w:tc>
        <w:tc>
          <w:tcPr>
            <w:tcW w:w="1360"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lang w:val="en-US" w:eastAsia="zh-CN"/>
              </w:rPr>
              <w:t>255.5</w:t>
            </w:r>
          </w:p>
        </w:tc>
        <w:tc>
          <w:tcPr>
            <w:tcW w:w="1496"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w:t>
            </w:r>
          </w:p>
        </w:tc>
        <w:tc>
          <w:tcPr>
            <w:tcW w:w="1335"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szCs w:val="21"/>
                <w:lang w:val="en-US" w:eastAsia="zh-CN"/>
              </w:rPr>
            </w:pPr>
            <w:r>
              <w:rPr>
                <w:rFonts w:hint="eastAsia" w:ascii="Times New Roman" w:hAnsi="Times New Roman"/>
                <w:szCs w:val="21"/>
                <w:lang w:val="en-US" w:eastAsia="zh-CN"/>
              </w:rPr>
              <w:t>255.5</w:t>
            </w:r>
          </w:p>
        </w:tc>
        <w:tc>
          <w:tcPr>
            <w:tcW w:w="2474"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szCs w:val="21"/>
                <w:lang w:val="en-US" w:eastAsia="zh-CN"/>
              </w:rPr>
            </w:pPr>
            <w:r>
              <w:rPr>
                <w:rFonts w:hint="eastAsia" w:ascii="Times New Roman" w:hAnsi="Times New Roman"/>
                <w:szCs w:val="21"/>
                <w:lang w:val="en-US" w:eastAsia="zh-CN"/>
              </w:rPr>
              <w:t>用于厂区洒水降尘</w:t>
            </w:r>
          </w:p>
        </w:tc>
        <w:tc>
          <w:tcPr>
            <w:tcW w:w="1042"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szCs w:val="21"/>
                <w:lang w:val="en-US" w:eastAsia="zh-CN"/>
              </w:rPr>
            </w:pPr>
            <w:r>
              <w:rPr>
                <w:rFonts w:hint="eastAsia" w:ascii="Times New Roman" w:hAnsi="Times New Roman"/>
                <w:szCs w:val="21"/>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4" w:space="0"/>
          </w:tblBorders>
          <w:tblCellMar>
            <w:top w:w="0" w:type="dxa"/>
            <w:left w:w="0" w:type="dxa"/>
            <w:bottom w:w="0" w:type="dxa"/>
            <w:right w:w="0" w:type="dxa"/>
          </w:tblCellMar>
        </w:tblPrEx>
        <w:trPr>
          <w:trHeight w:val="665" w:hRule="exact"/>
          <w:jc w:val="center"/>
        </w:trPr>
        <w:tc>
          <w:tcPr>
            <w:tcW w:w="1250" w:type="dxa"/>
            <w:vAlign w:val="center"/>
          </w:tcPr>
          <w:p>
            <w:pPr>
              <w:keepNext w:val="0"/>
              <w:keepLines w:val="0"/>
              <w:pageBreakBefore w:val="0"/>
              <w:kinsoku/>
              <w:wordWrap/>
              <w:overflowPunct/>
              <w:topLinePunct w:val="0"/>
              <w:autoSpaceDE/>
              <w:autoSpaceDN/>
              <w:bidi w:val="0"/>
              <w:adjustRightInd/>
              <w:snapToGrid w:val="0"/>
              <w:jc w:val="center"/>
              <w:rPr>
                <w:rFonts w:ascii="Times New Roman" w:hAnsi="Times New Roman"/>
                <w:szCs w:val="21"/>
              </w:rPr>
            </w:pPr>
            <w:r>
              <w:rPr>
                <w:rFonts w:ascii="Times New Roman" w:hAnsi="Times New Roman"/>
                <w:szCs w:val="21"/>
              </w:rPr>
              <w:t>牛饮用水</w:t>
            </w:r>
          </w:p>
        </w:tc>
        <w:tc>
          <w:tcPr>
            <w:tcW w:w="1360"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kern w:val="2"/>
                <w:sz w:val="24"/>
                <w:szCs w:val="24"/>
                <w:lang w:val="en-US" w:eastAsia="zh-CN" w:bidi="ar-SA"/>
              </w:rPr>
              <w:t>23871</w:t>
            </w:r>
          </w:p>
        </w:tc>
        <w:tc>
          <w:tcPr>
            <w:tcW w:w="1496"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19096.8</w:t>
            </w:r>
          </w:p>
        </w:tc>
        <w:tc>
          <w:tcPr>
            <w:tcW w:w="1335"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4774.2</w:t>
            </w:r>
          </w:p>
        </w:tc>
        <w:tc>
          <w:tcPr>
            <w:tcW w:w="2474"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cs="Times New Roman"/>
                <w:kern w:val="2"/>
                <w:sz w:val="24"/>
                <w:szCs w:val="24"/>
                <w:lang w:val="en-US" w:eastAsia="zh-CN" w:bidi="ar-SA"/>
              </w:rPr>
            </w:pPr>
            <w:r>
              <w:rPr>
                <w:rFonts w:hint="eastAsia" w:ascii="Times New Roman" w:hAnsi="Times New Roman"/>
                <w:szCs w:val="21"/>
                <w:lang w:val="en-US" w:eastAsia="zh-CN"/>
              </w:rPr>
              <w:t>大部分蒸发，少部分进入牛舍垫料</w:t>
            </w:r>
          </w:p>
        </w:tc>
        <w:tc>
          <w:tcPr>
            <w:tcW w:w="1042"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cs="Times New Roman"/>
                <w:kern w:val="2"/>
                <w:sz w:val="24"/>
                <w:szCs w:val="24"/>
                <w:lang w:val="en-US" w:eastAsia="zh-CN" w:bidi="ar-SA"/>
              </w:rPr>
            </w:pPr>
            <w:r>
              <w:rPr>
                <w:rFonts w:hint="eastAsia" w:ascii="Times New Roman" w:hAnsi="Times New Roman"/>
                <w:szCs w:val="21"/>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4" w:space="0"/>
          </w:tblBorders>
          <w:tblCellMar>
            <w:top w:w="0" w:type="dxa"/>
            <w:left w:w="0" w:type="dxa"/>
            <w:bottom w:w="0" w:type="dxa"/>
            <w:right w:w="0" w:type="dxa"/>
          </w:tblCellMar>
        </w:tblPrEx>
        <w:trPr>
          <w:trHeight w:val="785" w:hRule="exact"/>
          <w:jc w:val="center"/>
        </w:trPr>
        <w:tc>
          <w:tcPr>
            <w:tcW w:w="1250" w:type="dxa"/>
            <w:vAlign w:val="center"/>
          </w:tcPr>
          <w:p>
            <w:pPr>
              <w:keepNext w:val="0"/>
              <w:keepLines w:val="0"/>
              <w:pageBreakBefore w:val="0"/>
              <w:kinsoku/>
              <w:wordWrap/>
              <w:overflowPunct/>
              <w:topLinePunct w:val="0"/>
              <w:autoSpaceDE/>
              <w:autoSpaceDN/>
              <w:bidi w:val="0"/>
              <w:adjustRightInd/>
              <w:snapToGrid w:val="0"/>
              <w:jc w:val="center"/>
              <w:rPr>
                <w:rFonts w:ascii="Times New Roman" w:hAnsi="Times New Roman"/>
                <w:szCs w:val="21"/>
              </w:rPr>
            </w:pPr>
            <w:r>
              <w:rPr>
                <w:rFonts w:ascii="Times New Roman" w:hAnsi="Times New Roman"/>
                <w:szCs w:val="21"/>
              </w:rPr>
              <w:t>绿化用水</w:t>
            </w:r>
          </w:p>
        </w:tc>
        <w:tc>
          <w:tcPr>
            <w:tcW w:w="1360"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lang w:val="en-US" w:eastAsia="zh-CN"/>
              </w:rPr>
              <w:t>75</w:t>
            </w:r>
          </w:p>
        </w:tc>
        <w:tc>
          <w:tcPr>
            <w:tcW w:w="1496"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75</w:t>
            </w:r>
          </w:p>
        </w:tc>
        <w:tc>
          <w:tcPr>
            <w:tcW w:w="1335"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szCs w:val="21"/>
                <w:lang w:val="en-US" w:eastAsia="zh-CN"/>
              </w:rPr>
            </w:pPr>
            <w:r>
              <w:rPr>
                <w:rFonts w:hint="eastAsia" w:ascii="Times New Roman" w:hAnsi="Times New Roman"/>
                <w:szCs w:val="21"/>
                <w:lang w:val="en-US" w:eastAsia="zh-CN"/>
              </w:rPr>
              <w:t>0</w:t>
            </w:r>
          </w:p>
        </w:tc>
        <w:tc>
          <w:tcPr>
            <w:tcW w:w="2474"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szCs w:val="21"/>
                <w:lang w:val="en-US" w:eastAsia="zh-CN"/>
              </w:rPr>
            </w:pPr>
            <w:r>
              <w:rPr>
                <w:rFonts w:hint="eastAsia" w:ascii="Times New Roman" w:hAnsi="Times New Roman"/>
                <w:szCs w:val="21"/>
                <w:lang w:val="en-US" w:eastAsia="zh-CN"/>
              </w:rPr>
              <w:t>/</w:t>
            </w:r>
          </w:p>
        </w:tc>
        <w:tc>
          <w:tcPr>
            <w:tcW w:w="1042"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szCs w:val="21"/>
                <w:lang w:val="en-US" w:eastAsia="zh-CN"/>
              </w:rPr>
            </w:pPr>
            <w:r>
              <w:rPr>
                <w:rFonts w:hint="eastAsia" w:ascii="Times New Roman" w:hAnsi="Times New Roman"/>
                <w:szCs w:val="21"/>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4" w:space="0"/>
          </w:tblBorders>
          <w:tblCellMar>
            <w:top w:w="0" w:type="dxa"/>
            <w:left w:w="0" w:type="dxa"/>
            <w:bottom w:w="0" w:type="dxa"/>
            <w:right w:w="0" w:type="dxa"/>
          </w:tblCellMar>
        </w:tblPrEx>
        <w:trPr>
          <w:trHeight w:val="831" w:hRule="exact"/>
          <w:jc w:val="center"/>
        </w:trPr>
        <w:tc>
          <w:tcPr>
            <w:tcW w:w="1250" w:type="dxa"/>
            <w:vAlign w:val="center"/>
          </w:tcPr>
          <w:p>
            <w:pPr>
              <w:keepNext w:val="0"/>
              <w:keepLines w:val="0"/>
              <w:pageBreakBefore w:val="0"/>
              <w:kinsoku/>
              <w:wordWrap/>
              <w:overflowPunct/>
              <w:topLinePunct w:val="0"/>
              <w:autoSpaceDE/>
              <w:autoSpaceDN/>
              <w:bidi w:val="0"/>
              <w:adjustRightInd/>
              <w:snapToGrid w:val="0"/>
              <w:jc w:val="center"/>
              <w:rPr>
                <w:rFonts w:ascii="Times New Roman" w:hAnsi="Times New Roman"/>
                <w:szCs w:val="21"/>
              </w:rPr>
            </w:pPr>
            <w:r>
              <w:rPr>
                <w:rFonts w:hint="eastAsia" w:ascii="Times New Roman" w:hAnsi="Times New Roman"/>
                <w:szCs w:val="21"/>
              </w:rPr>
              <w:t>饲料配水</w:t>
            </w:r>
          </w:p>
        </w:tc>
        <w:tc>
          <w:tcPr>
            <w:tcW w:w="1360"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rPr>
              <w:t>346.75</w:t>
            </w:r>
          </w:p>
        </w:tc>
        <w:tc>
          <w:tcPr>
            <w:tcW w:w="1496"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346.75</w:t>
            </w:r>
          </w:p>
        </w:tc>
        <w:tc>
          <w:tcPr>
            <w:tcW w:w="1335"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szCs w:val="21"/>
                <w:lang w:val="en-US" w:eastAsia="zh-CN"/>
              </w:rPr>
            </w:pPr>
            <w:r>
              <w:rPr>
                <w:rFonts w:hint="eastAsia" w:ascii="Times New Roman" w:hAnsi="Times New Roman"/>
                <w:szCs w:val="21"/>
                <w:lang w:val="en-US" w:eastAsia="zh-CN"/>
              </w:rPr>
              <w:t>0</w:t>
            </w:r>
          </w:p>
        </w:tc>
        <w:tc>
          <w:tcPr>
            <w:tcW w:w="2474"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szCs w:val="21"/>
                <w:lang w:val="en-US" w:eastAsia="zh-CN"/>
              </w:rPr>
            </w:pPr>
            <w:r>
              <w:rPr>
                <w:rFonts w:hint="eastAsia" w:ascii="Times New Roman" w:hAnsi="Times New Roman"/>
                <w:szCs w:val="21"/>
                <w:lang w:val="en-US" w:eastAsia="zh-CN"/>
              </w:rPr>
              <w:t>/</w:t>
            </w:r>
          </w:p>
        </w:tc>
        <w:tc>
          <w:tcPr>
            <w:tcW w:w="1042"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宋体"/>
                <w:szCs w:val="21"/>
                <w:lang w:val="en-US" w:eastAsia="zh-CN"/>
              </w:rPr>
            </w:pPr>
            <w:r>
              <w:rPr>
                <w:rFonts w:hint="eastAsia" w:ascii="Times New Roman" w:hAnsi="Times New Roman"/>
                <w:szCs w:val="21"/>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4" w:space="0"/>
          </w:tblBorders>
          <w:tblCellMar>
            <w:top w:w="0" w:type="dxa"/>
            <w:left w:w="0" w:type="dxa"/>
            <w:bottom w:w="0" w:type="dxa"/>
            <w:right w:w="0" w:type="dxa"/>
          </w:tblCellMar>
        </w:tblPrEx>
        <w:trPr>
          <w:trHeight w:val="606" w:hRule="exact"/>
          <w:jc w:val="center"/>
        </w:trPr>
        <w:tc>
          <w:tcPr>
            <w:tcW w:w="1250"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宋体"/>
                <w:szCs w:val="21"/>
                <w:lang w:eastAsia="zh-CN"/>
              </w:rPr>
            </w:pPr>
            <w:r>
              <w:rPr>
                <w:rFonts w:hint="eastAsia" w:ascii="Times New Roman" w:hAnsi="Times New Roman"/>
                <w:szCs w:val="21"/>
                <w:lang w:eastAsia="zh-CN"/>
              </w:rPr>
              <w:t>消毒配制用水</w:t>
            </w:r>
          </w:p>
        </w:tc>
        <w:tc>
          <w:tcPr>
            <w:tcW w:w="1360" w:type="dxa"/>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lang w:val="en-US" w:eastAsia="zh-CN"/>
              </w:rPr>
              <w:t>36.5</w:t>
            </w:r>
          </w:p>
        </w:tc>
        <w:tc>
          <w:tcPr>
            <w:tcW w:w="1496"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36.5</w:t>
            </w:r>
          </w:p>
        </w:tc>
        <w:tc>
          <w:tcPr>
            <w:tcW w:w="1335"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szCs w:val="21"/>
                <w:lang w:val="en-US" w:eastAsia="zh-CN"/>
              </w:rPr>
            </w:pPr>
            <w:r>
              <w:rPr>
                <w:rFonts w:hint="eastAsia" w:ascii="Times New Roman" w:hAnsi="Times New Roman"/>
                <w:szCs w:val="21"/>
                <w:lang w:val="en-US" w:eastAsia="zh-CN"/>
              </w:rPr>
              <w:t>0</w:t>
            </w:r>
          </w:p>
        </w:tc>
        <w:tc>
          <w:tcPr>
            <w:tcW w:w="2474"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szCs w:val="21"/>
                <w:lang w:val="en-US" w:eastAsia="zh-CN"/>
              </w:rPr>
            </w:pPr>
            <w:r>
              <w:rPr>
                <w:rFonts w:hint="eastAsia" w:ascii="Times New Roman" w:hAnsi="Times New Roman"/>
                <w:szCs w:val="21"/>
                <w:lang w:val="en-US" w:eastAsia="zh-CN"/>
              </w:rPr>
              <w:t>/</w:t>
            </w:r>
          </w:p>
        </w:tc>
        <w:tc>
          <w:tcPr>
            <w:tcW w:w="1042"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szCs w:val="21"/>
                <w:lang w:val="en-US" w:eastAsia="zh-CN"/>
              </w:rPr>
            </w:pPr>
            <w:r>
              <w:rPr>
                <w:rFonts w:hint="eastAsia" w:ascii="Times New Roman" w:hAnsi="Times New Roman"/>
                <w:szCs w:val="21"/>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4" w:space="0"/>
          </w:tblBorders>
          <w:tblCellMar>
            <w:top w:w="0" w:type="dxa"/>
            <w:left w:w="0" w:type="dxa"/>
            <w:bottom w:w="0" w:type="dxa"/>
            <w:right w:w="0" w:type="dxa"/>
          </w:tblCellMar>
        </w:tblPrEx>
        <w:trPr>
          <w:trHeight w:val="448" w:hRule="exact"/>
          <w:jc w:val="center"/>
        </w:trPr>
        <w:tc>
          <w:tcPr>
            <w:tcW w:w="1250"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szCs w:val="21"/>
                <w:lang w:val="en-US" w:eastAsia="zh-CN"/>
              </w:rPr>
            </w:pPr>
            <w:r>
              <w:rPr>
                <w:rFonts w:hint="eastAsia" w:ascii="Times New Roman" w:hAnsi="Times New Roman"/>
                <w:szCs w:val="21"/>
                <w:lang w:val="en-US" w:eastAsia="zh-CN"/>
              </w:rPr>
              <w:t>合计</w:t>
            </w:r>
          </w:p>
        </w:tc>
        <w:tc>
          <w:tcPr>
            <w:tcW w:w="1360"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szCs w:val="21"/>
                <w:lang w:val="en-US" w:eastAsia="zh-CN"/>
              </w:rPr>
            </w:pPr>
            <w:r>
              <w:rPr>
                <w:rFonts w:hint="eastAsia" w:ascii="Times New Roman" w:hAnsi="Times New Roman"/>
                <w:szCs w:val="21"/>
                <w:lang w:val="en-US" w:eastAsia="zh-CN"/>
              </w:rPr>
              <w:t>24584.75</w:t>
            </w:r>
          </w:p>
        </w:tc>
        <w:tc>
          <w:tcPr>
            <w:tcW w:w="1496"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19555.05</w:t>
            </w:r>
          </w:p>
        </w:tc>
        <w:tc>
          <w:tcPr>
            <w:tcW w:w="1335" w:type="dxa"/>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5029.7</w:t>
            </w:r>
          </w:p>
        </w:tc>
        <w:tc>
          <w:tcPr>
            <w:tcW w:w="247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宋体" w:cs="Times New Roman"/>
                <w:kern w:val="2"/>
                <w:sz w:val="21"/>
                <w:szCs w:val="21"/>
                <w:lang w:val="en-US" w:eastAsia="zh-CN" w:bidi="ar-SA"/>
              </w:rPr>
            </w:pPr>
          </w:p>
        </w:tc>
        <w:tc>
          <w:tcPr>
            <w:tcW w:w="1042"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0</w:t>
            </w:r>
          </w:p>
        </w:tc>
      </w:tr>
    </w:tbl>
    <w:p>
      <w:pPr>
        <w:adjustRightInd w:val="0"/>
        <w:snapToGrid w:val="0"/>
        <w:jc w:val="center"/>
        <w:rPr>
          <w:rFonts w:ascii="Times New Roman" w:hAnsi="Times New Roman"/>
          <w:bCs/>
          <w:sz w:val="24"/>
          <w:szCs w:val="22"/>
        </w:rPr>
      </w:pPr>
    </w:p>
    <w:p>
      <w:pPr>
        <w:jc w:val="center"/>
        <w:rPr>
          <w:rFonts w:ascii="Times New Roman" w:hAnsi="Times New Roman"/>
          <w:b/>
          <w:sz w:val="24"/>
        </w:rPr>
      </w:pPr>
      <w:r>
        <w:rPr>
          <w:rFonts w:ascii="Times New Roman" w:hAnsi="Times New Roman"/>
          <w:b/>
          <w:sz w:val="24"/>
        </w:rPr>
        <w:drawing>
          <wp:inline distT="0" distB="0" distL="114300" distR="114300">
            <wp:extent cx="4217035" cy="4829810"/>
            <wp:effectExtent l="0" t="0" r="0" b="0"/>
            <wp:docPr id="62" name="ECB019B1-382A-4266-B25C-5B523AA43C14-1" descr="C:/Users/Administrator/AppData/Local/Temp/wps.LxyOJ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CB019B1-382A-4266-B25C-5B523AA43C14-1" descr="C:/Users/Administrator/AppData/Local/Temp/wps.LxyOJPwps"/>
                    <pic:cNvPicPr>
                      <a:picLocks noChangeAspect="1"/>
                    </pic:cNvPicPr>
                  </pic:nvPicPr>
                  <pic:blipFill>
                    <a:blip r:embed="rId31"/>
                    <a:stretch>
                      <a:fillRect/>
                    </a:stretch>
                  </pic:blipFill>
                  <pic:spPr>
                    <a:xfrm>
                      <a:off x="0" y="0"/>
                      <a:ext cx="4217035" cy="4829810"/>
                    </a:xfrm>
                    <a:prstGeom prst="rect">
                      <a:avLst/>
                    </a:prstGeom>
                    <a:noFill/>
                    <a:ln>
                      <a:noFill/>
                    </a:ln>
                  </pic:spPr>
                </pic:pic>
              </a:graphicData>
            </a:graphic>
          </wp:inline>
        </w:drawing>
      </w:r>
    </w:p>
    <w:p>
      <w:pPr>
        <w:jc w:val="center"/>
        <w:rPr>
          <w:rFonts w:ascii="Times New Roman" w:hAnsi="Times New Roman"/>
          <w:b/>
          <w:sz w:val="24"/>
          <w:szCs w:val="22"/>
          <w:highlight w:val="none"/>
        </w:rPr>
      </w:pPr>
      <w:r>
        <w:rPr>
          <w:rFonts w:ascii="Times New Roman" w:hAnsi="Times New Roman"/>
          <w:b/>
          <w:sz w:val="24"/>
          <w:highlight w:val="none"/>
        </w:rPr>
        <w:t>图</w:t>
      </w:r>
      <w:r>
        <w:rPr>
          <w:rFonts w:hint="eastAsia" w:ascii="Times New Roman" w:hAnsi="Times New Roman"/>
          <w:b/>
          <w:sz w:val="24"/>
          <w:highlight w:val="none"/>
        </w:rPr>
        <w:t>2</w:t>
      </w:r>
      <w:r>
        <w:rPr>
          <w:rFonts w:ascii="Times New Roman" w:hAnsi="Times New Roman"/>
          <w:b/>
          <w:sz w:val="24"/>
          <w:highlight w:val="none"/>
        </w:rPr>
        <w:t>.1-5 项目水平衡图  单位：m</w:t>
      </w:r>
      <w:r>
        <w:rPr>
          <w:rFonts w:ascii="Times New Roman" w:hAnsi="Times New Roman"/>
          <w:b/>
          <w:sz w:val="24"/>
          <w:highlight w:val="none"/>
          <w:vertAlign w:val="superscript"/>
        </w:rPr>
        <w:t>3</w:t>
      </w:r>
      <w:r>
        <w:rPr>
          <w:rFonts w:ascii="Times New Roman" w:hAnsi="Times New Roman"/>
          <w:b/>
          <w:sz w:val="24"/>
          <w:highlight w:val="none"/>
        </w:rPr>
        <w:t>/a</w:t>
      </w:r>
    </w:p>
    <w:p>
      <w:pPr>
        <w:pStyle w:val="6"/>
        <w:snapToGrid w:val="0"/>
        <w:spacing w:before="120" w:after="120" w:line="540" w:lineRule="exact"/>
        <w:contextualSpacing/>
        <w:rPr>
          <w:rFonts w:ascii="Times New Roman" w:hAnsi="Times New Roman" w:eastAsia="宋体"/>
          <w:bCs w:val="0"/>
          <w:sz w:val="24"/>
        </w:rPr>
      </w:pPr>
      <w:bookmarkStart w:id="415" w:name="_Toc26305"/>
      <w:bookmarkStart w:id="416" w:name="_Toc9310"/>
      <w:r>
        <w:rPr>
          <w:rFonts w:hint="eastAsia" w:ascii="Times New Roman" w:hAnsi="Times New Roman" w:eastAsia="宋体"/>
          <w:bCs w:val="0"/>
          <w:sz w:val="24"/>
        </w:rPr>
        <w:t>2</w:t>
      </w:r>
      <w:r>
        <w:rPr>
          <w:rFonts w:ascii="Times New Roman" w:hAnsi="Times New Roman" w:eastAsia="宋体"/>
          <w:bCs w:val="0"/>
          <w:sz w:val="24"/>
        </w:rPr>
        <w:t>.1.7.</w:t>
      </w:r>
      <w:r>
        <w:rPr>
          <w:rFonts w:hint="eastAsia" w:ascii="Times New Roman" w:hAnsi="Times New Roman" w:eastAsia="宋体"/>
          <w:bCs w:val="0"/>
          <w:sz w:val="24"/>
        </w:rPr>
        <w:t>2</w:t>
      </w:r>
      <w:r>
        <w:rPr>
          <w:rFonts w:ascii="Times New Roman" w:hAnsi="Times New Roman" w:eastAsia="宋体"/>
          <w:bCs w:val="0"/>
          <w:sz w:val="24"/>
        </w:rPr>
        <w:t>供电</w:t>
      </w:r>
      <w:bookmarkEnd w:id="415"/>
      <w:bookmarkEnd w:id="416"/>
    </w:p>
    <w:p>
      <w:pPr>
        <w:pStyle w:val="24"/>
        <w:adjustRightInd w:val="0"/>
        <w:snapToGrid w:val="0"/>
        <w:spacing w:line="540" w:lineRule="exact"/>
        <w:ind w:firstLine="480"/>
        <w:rPr>
          <w:rFonts w:ascii="Times New Roman" w:hAnsi="Times New Roman"/>
          <w:lang w:val="zh-CN"/>
        </w:rPr>
      </w:pPr>
      <w:bookmarkStart w:id="417" w:name="_Toc28496"/>
      <w:bookmarkStart w:id="418" w:name="_Toc11001"/>
      <w:r>
        <w:rPr>
          <w:rFonts w:ascii="Times New Roman" w:hAnsi="Times New Roman"/>
          <w:lang w:val="zh-CN"/>
        </w:rPr>
        <w:t>本项目供电</w:t>
      </w:r>
      <w:r>
        <w:rPr>
          <w:rFonts w:hint="eastAsia" w:ascii="Times New Roman" w:hAnsi="Times New Roman"/>
          <w:lang w:val="zh-CN"/>
        </w:rPr>
        <w:t>由神林乡变电所供电</w:t>
      </w:r>
      <w:r>
        <w:rPr>
          <w:rFonts w:ascii="Times New Roman" w:hAnsi="Times New Roman"/>
          <w:lang w:val="zh-CN"/>
        </w:rPr>
        <w:t>。</w:t>
      </w:r>
    </w:p>
    <w:bookmarkEnd w:id="417"/>
    <w:bookmarkEnd w:id="418"/>
    <w:p>
      <w:pPr>
        <w:pStyle w:val="6"/>
        <w:snapToGrid w:val="0"/>
        <w:spacing w:before="120" w:after="120" w:line="540" w:lineRule="exact"/>
        <w:contextualSpacing/>
        <w:rPr>
          <w:rFonts w:ascii="Times New Roman" w:hAnsi="Times New Roman" w:eastAsia="宋体"/>
          <w:bCs w:val="0"/>
          <w:sz w:val="24"/>
        </w:rPr>
      </w:pPr>
      <w:r>
        <w:rPr>
          <w:rFonts w:hint="eastAsia" w:ascii="Times New Roman" w:hAnsi="Times New Roman" w:eastAsia="宋体"/>
          <w:bCs w:val="0"/>
          <w:sz w:val="24"/>
        </w:rPr>
        <w:t>2</w:t>
      </w:r>
      <w:r>
        <w:rPr>
          <w:rFonts w:ascii="Times New Roman" w:hAnsi="Times New Roman" w:eastAsia="宋体"/>
          <w:bCs w:val="0"/>
          <w:sz w:val="24"/>
        </w:rPr>
        <w:t>.1.7.</w:t>
      </w:r>
      <w:r>
        <w:rPr>
          <w:rFonts w:hint="eastAsia" w:ascii="Times New Roman" w:hAnsi="Times New Roman" w:eastAsia="宋体"/>
          <w:bCs w:val="0"/>
          <w:sz w:val="24"/>
        </w:rPr>
        <w:t>3</w:t>
      </w:r>
      <w:r>
        <w:rPr>
          <w:rFonts w:ascii="Times New Roman" w:hAnsi="Times New Roman" w:eastAsia="宋体"/>
          <w:bCs w:val="0"/>
          <w:sz w:val="24"/>
        </w:rPr>
        <w:t>通风</w:t>
      </w:r>
    </w:p>
    <w:p>
      <w:pPr>
        <w:pStyle w:val="24"/>
        <w:adjustRightInd w:val="0"/>
        <w:snapToGrid w:val="0"/>
        <w:spacing w:line="540" w:lineRule="exact"/>
        <w:ind w:firstLine="480"/>
        <w:rPr>
          <w:rFonts w:ascii="Times New Roman" w:hAnsi="Times New Roman"/>
          <w:lang w:val="zh-CN"/>
        </w:rPr>
      </w:pPr>
      <w:r>
        <w:rPr>
          <w:rFonts w:ascii="Times New Roman" w:hAnsi="Times New Roman"/>
          <w:lang w:val="zh-CN"/>
        </w:rPr>
        <w:t>本项目各建筑物采用自然通风和机械通风相结合的通风方式，其中机械通风主要是在牛舍内安装通风装置。</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19" w:name="_Toc22688"/>
      <w:bookmarkStart w:id="420" w:name="_Toc9748"/>
      <w:bookmarkStart w:id="421" w:name="_Toc8186"/>
      <w:bookmarkStart w:id="422" w:name="_Toc11158"/>
      <w:bookmarkStart w:id="423" w:name="_Toc30626"/>
      <w:bookmarkStart w:id="424" w:name="_Toc12341"/>
      <w:bookmarkStart w:id="425" w:name="_Toc15122"/>
      <w:r>
        <w:rPr>
          <w:rFonts w:hint="eastAsia" w:cs="Times New Roman"/>
          <w:bCs w:val="0"/>
          <w:snapToGrid w:val="0"/>
          <w:kern w:val="0"/>
          <w:sz w:val="28"/>
          <w:szCs w:val="28"/>
        </w:rPr>
        <w:t>2</w:t>
      </w:r>
      <w:r>
        <w:rPr>
          <w:rFonts w:cs="Times New Roman"/>
          <w:bCs w:val="0"/>
          <w:snapToGrid w:val="0"/>
          <w:kern w:val="0"/>
          <w:sz w:val="28"/>
          <w:szCs w:val="28"/>
        </w:rPr>
        <w:t>.1.8劳动定员和工作制度</w:t>
      </w:r>
      <w:bookmarkEnd w:id="419"/>
      <w:bookmarkEnd w:id="420"/>
      <w:bookmarkEnd w:id="421"/>
      <w:bookmarkEnd w:id="422"/>
      <w:bookmarkEnd w:id="423"/>
      <w:bookmarkEnd w:id="424"/>
    </w:p>
    <w:p>
      <w:pPr>
        <w:pStyle w:val="24"/>
        <w:adjustRightInd w:val="0"/>
        <w:snapToGrid w:val="0"/>
        <w:spacing w:line="540" w:lineRule="exact"/>
        <w:ind w:firstLine="480"/>
        <w:rPr>
          <w:rFonts w:ascii="Times New Roman" w:hAnsi="Times New Roman"/>
          <w:lang w:val="zh-CN"/>
        </w:rPr>
      </w:pPr>
      <w:r>
        <w:rPr>
          <w:rFonts w:ascii="Times New Roman" w:hAnsi="Times New Roman"/>
          <w:lang w:val="zh-CN"/>
        </w:rPr>
        <w:t>本项目劳动定员</w:t>
      </w:r>
      <w:r>
        <w:rPr>
          <w:rFonts w:hint="eastAsia" w:ascii="Times New Roman" w:hAnsi="Times New Roman"/>
        </w:rPr>
        <w:t>7</w:t>
      </w:r>
      <w:r>
        <w:rPr>
          <w:rFonts w:ascii="Times New Roman" w:hAnsi="Times New Roman"/>
          <w:lang w:val="zh-CN"/>
        </w:rPr>
        <w:t>人，每天工作8小时，年工作时间为365d。</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26" w:name="_Toc13844"/>
      <w:bookmarkStart w:id="427" w:name="_Toc29336"/>
      <w:bookmarkStart w:id="428" w:name="_Toc27410"/>
      <w:bookmarkStart w:id="429" w:name="_Toc10416"/>
      <w:bookmarkStart w:id="430" w:name="_Toc16765"/>
      <w:r>
        <w:rPr>
          <w:rFonts w:hint="eastAsia" w:cs="Times New Roman"/>
          <w:bCs w:val="0"/>
          <w:snapToGrid w:val="0"/>
          <w:kern w:val="0"/>
          <w:sz w:val="28"/>
          <w:szCs w:val="28"/>
        </w:rPr>
        <w:t>2</w:t>
      </w:r>
      <w:r>
        <w:rPr>
          <w:rFonts w:cs="Times New Roman"/>
          <w:bCs w:val="0"/>
          <w:snapToGrid w:val="0"/>
          <w:kern w:val="0"/>
          <w:sz w:val="28"/>
          <w:szCs w:val="28"/>
        </w:rPr>
        <w:t>.1.9项目总投资及环保投资</w:t>
      </w:r>
      <w:bookmarkEnd w:id="425"/>
      <w:bookmarkEnd w:id="426"/>
      <w:bookmarkEnd w:id="427"/>
      <w:bookmarkEnd w:id="428"/>
      <w:bookmarkEnd w:id="429"/>
      <w:bookmarkEnd w:id="430"/>
    </w:p>
    <w:p>
      <w:pPr>
        <w:pStyle w:val="24"/>
        <w:adjustRightInd w:val="0"/>
        <w:snapToGrid w:val="0"/>
        <w:spacing w:line="540" w:lineRule="exact"/>
        <w:ind w:firstLine="480"/>
        <w:rPr>
          <w:rFonts w:ascii="Times New Roman" w:hAnsi="Times New Roman"/>
          <w:lang w:val="zh-CN"/>
        </w:rPr>
      </w:pPr>
      <w:r>
        <w:rPr>
          <w:rFonts w:ascii="Times New Roman" w:hAnsi="Times New Roman"/>
          <w:lang w:val="zh-CN"/>
        </w:rPr>
        <w:t>本项目总投资</w:t>
      </w:r>
      <w:r>
        <w:rPr>
          <w:rFonts w:hint="eastAsia" w:ascii="Times New Roman" w:hAnsi="Times New Roman"/>
        </w:rPr>
        <w:t>5100万</w:t>
      </w:r>
      <w:r>
        <w:rPr>
          <w:rFonts w:hint="eastAsia" w:ascii="Times New Roman" w:hAnsi="Times New Roman"/>
          <w:color w:val="auto"/>
        </w:rPr>
        <w:t>元</w:t>
      </w:r>
      <w:r>
        <w:rPr>
          <w:rFonts w:ascii="Times New Roman" w:hAnsi="Times New Roman"/>
          <w:color w:val="auto"/>
          <w:lang w:val="zh-CN"/>
        </w:rPr>
        <w:t>，环保投资</w:t>
      </w:r>
      <w:r>
        <w:rPr>
          <w:rFonts w:hint="eastAsia" w:ascii="Times New Roman" w:hAnsi="Times New Roman"/>
          <w:color w:val="auto"/>
          <w:lang w:val="en-US" w:eastAsia="zh-CN"/>
        </w:rPr>
        <w:t>174.2</w:t>
      </w:r>
      <w:r>
        <w:rPr>
          <w:rFonts w:ascii="Times New Roman" w:hAnsi="Times New Roman"/>
          <w:color w:val="auto"/>
          <w:lang w:val="zh-CN"/>
        </w:rPr>
        <w:t>万元，占总投资的</w:t>
      </w:r>
      <w:r>
        <w:rPr>
          <w:rFonts w:hint="eastAsia" w:ascii="Times New Roman" w:hAnsi="Times New Roman"/>
          <w:color w:val="auto"/>
          <w:lang w:val="en-US" w:eastAsia="zh-CN"/>
        </w:rPr>
        <w:t>3.42</w:t>
      </w:r>
      <w:r>
        <w:rPr>
          <w:rFonts w:ascii="Times New Roman" w:hAnsi="Times New Roman"/>
          <w:color w:val="auto"/>
          <w:lang w:val="zh-CN"/>
        </w:rPr>
        <w:t>%。环保投资主要包括施工期污染防治投资、营运期废水、废气、噪声、</w:t>
      </w:r>
      <w:r>
        <w:rPr>
          <w:rFonts w:hint="eastAsia" w:ascii="Times New Roman" w:hAnsi="Times New Roman"/>
          <w:color w:val="auto"/>
          <w:lang w:val="zh-CN"/>
        </w:rPr>
        <w:t>固体废物</w:t>
      </w:r>
      <w:r>
        <w:rPr>
          <w:rFonts w:ascii="Times New Roman" w:hAnsi="Times New Roman"/>
          <w:color w:val="auto"/>
          <w:lang w:val="zh-CN"/>
        </w:rPr>
        <w:t>等治理投资，</w:t>
      </w:r>
      <w:r>
        <w:rPr>
          <w:rFonts w:ascii="Times New Roman" w:hAnsi="Times New Roman"/>
          <w:lang w:val="zh-CN"/>
        </w:rPr>
        <w:t>具体分项见表</w:t>
      </w:r>
      <w:r>
        <w:rPr>
          <w:rFonts w:hint="eastAsia" w:ascii="Times New Roman" w:hAnsi="Times New Roman"/>
        </w:rPr>
        <w:t>2</w:t>
      </w:r>
      <w:r>
        <w:rPr>
          <w:rFonts w:ascii="Times New Roman" w:hAnsi="Times New Roman"/>
          <w:lang w:val="zh-CN"/>
        </w:rPr>
        <w:t>.1-</w:t>
      </w:r>
      <w:r>
        <w:rPr>
          <w:rFonts w:hint="eastAsia" w:ascii="Times New Roman" w:hAnsi="Times New Roman"/>
        </w:rPr>
        <w:t>9</w:t>
      </w:r>
      <w:r>
        <w:rPr>
          <w:rFonts w:ascii="Times New Roman" w:hAnsi="Times New Roman"/>
          <w:lang w:val="zh-CN"/>
        </w:rPr>
        <w:t>。</w:t>
      </w:r>
    </w:p>
    <w:p>
      <w:pPr>
        <w:adjustRightInd w:val="0"/>
        <w:snapToGrid w:val="0"/>
        <w:jc w:val="center"/>
        <w:rPr>
          <w:rFonts w:ascii="Times New Roman" w:hAnsi="Times New Roman"/>
          <w:b/>
          <w:sz w:val="24"/>
          <w:highlight w:val="none"/>
        </w:rPr>
      </w:pPr>
      <w:r>
        <w:rPr>
          <w:rFonts w:ascii="Times New Roman" w:hAnsi="Times New Roman"/>
          <w:b/>
          <w:sz w:val="24"/>
          <w:highlight w:val="none"/>
        </w:rPr>
        <w:t>表</w:t>
      </w:r>
      <w:r>
        <w:rPr>
          <w:rFonts w:hint="eastAsia" w:ascii="Times New Roman" w:hAnsi="Times New Roman"/>
          <w:b/>
          <w:sz w:val="24"/>
          <w:highlight w:val="none"/>
        </w:rPr>
        <w:t>2</w:t>
      </w:r>
      <w:r>
        <w:rPr>
          <w:rFonts w:ascii="Times New Roman" w:hAnsi="Times New Roman"/>
          <w:b/>
          <w:sz w:val="24"/>
          <w:highlight w:val="none"/>
        </w:rPr>
        <w:t>.1-</w:t>
      </w:r>
      <w:r>
        <w:rPr>
          <w:rFonts w:hint="eastAsia" w:ascii="Times New Roman" w:hAnsi="Times New Roman"/>
          <w:b/>
          <w:sz w:val="24"/>
          <w:highlight w:val="none"/>
        </w:rPr>
        <w:t>9</w:t>
      </w:r>
      <w:r>
        <w:rPr>
          <w:rFonts w:ascii="Times New Roman" w:hAnsi="Times New Roman"/>
          <w:b/>
          <w:sz w:val="24"/>
          <w:highlight w:val="none"/>
        </w:rPr>
        <w:t xml:space="preserve"> 环保投资估算一览表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73"/>
        <w:gridCol w:w="985"/>
        <w:gridCol w:w="1069"/>
        <w:gridCol w:w="5296"/>
        <w:gridCol w:w="435"/>
        <w:gridCol w:w="91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58" w:type="dxa"/>
            <w:gridSpan w:val="2"/>
            <w:vAlign w:val="center"/>
          </w:tcPr>
          <w:p>
            <w:pPr>
              <w:adjustRightInd w:val="0"/>
              <w:snapToGrid w:val="0"/>
              <w:jc w:val="center"/>
              <w:rPr>
                <w:rFonts w:ascii="Times New Roman" w:hAnsi="Times New Roman"/>
                <w:b/>
                <w:snapToGrid w:val="0"/>
                <w:szCs w:val="21"/>
              </w:rPr>
            </w:pPr>
            <w:r>
              <w:rPr>
                <w:rFonts w:ascii="Times New Roman" w:hAnsi="Times New Roman"/>
                <w:b/>
                <w:snapToGrid w:val="0"/>
                <w:szCs w:val="21"/>
              </w:rPr>
              <w:t>项目</w:t>
            </w:r>
          </w:p>
        </w:tc>
        <w:tc>
          <w:tcPr>
            <w:tcW w:w="1069" w:type="dxa"/>
            <w:vAlign w:val="center"/>
          </w:tcPr>
          <w:p>
            <w:pPr>
              <w:adjustRightInd w:val="0"/>
              <w:snapToGrid w:val="0"/>
              <w:jc w:val="center"/>
              <w:rPr>
                <w:rFonts w:ascii="Times New Roman" w:hAnsi="Times New Roman"/>
                <w:b/>
                <w:snapToGrid w:val="0"/>
                <w:szCs w:val="21"/>
              </w:rPr>
            </w:pPr>
            <w:r>
              <w:rPr>
                <w:rFonts w:ascii="Times New Roman" w:hAnsi="Times New Roman"/>
                <w:b/>
                <w:snapToGrid w:val="0"/>
                <w:szCs w:val="21"/>
              </w:rPr>
              <w:t>产污</w:t>
            </w:r>
          </w:p>
          <w:p>
            <w:pPr>
              <w:adjustRightInd w:val="0"/>
              <w:snapToGrid w:val="0"/>
              <w:jc w:val="center"/>
              <w:rPr>
                <w:rFonts w:ascii="Times New Roman" w:hAnsi="Times New Roman"/>
                <w:b/>
                <w:snapToGrid w:val="0"/>
                <w:szCs w:val="21"/>
              </w:rPr>
            </w:pPr>
            <w:r>
              <w:rPr>
                <w:rFonts w:ascii="Times New Roman" w:hAnsi="Times New Roman"/>
                <w:b/>
                <w:snapToGrid w:val="0"/>
                <w:szCs w:val="21"/>
              </w:rPr>
              <w:t>环节</w:t>
            </w:r>
          </w:p>
        </w:tc>
        <w:tc>
          <w:tcPr>
            <w:tcW w:w="5296" w:type="dxa"/>
            <w:vAlign w:val="center"/>
          </w:tcPr>
          <w:p>
            <w:pPr>
              <w:adjustRightInd w:val="0"/>
              <w:snapToGrid w:val="0"/>
              <w:jc w:val="center"/>
              <w:rPr>
                <w:rFonts w:ascii="Times New Roman" w:hAnsi="Times New Roman"/>
                <w:b/>
                <w:snapToGrid w:val="0"/>
                <w:szCs w:val="21"/>
              </w:rPr>
            </w:pPr>
            <w:r>
              <w:rPr>
                <w:rFonts w:ascii="Times New Roman" w:hAnsi="Times New Roman"/>
                <w:b/>
                <w:snapToGrid w:val="0"/>
                <w:szCs w:val="21"/>
              </w:rPr>
              <w:t>环保措施</w:t>
            </w:r>
          </w:p>
        </w:tc>
        <w:tc>
          <w:tcPr>
            <w:tcW w:w="435" w:type="dxa"/>
            <w:vAlign w:val="center"/>
          </w:tcPr>
          <w:p>
            <w:pPr>
              <w:adjustRightInd w:val="0"/>
              <w:snapToGrid w:val="0"/>
              <w:jc w:val="center"/>
              <w:rPr>
                <w:rFonts w:ascii="Times New Roman" w:hAnsi="Times New Roman"/>
                <w:b/>
                <w:snapToGrid w:val="0"/>
                <w:szCs w:val="21"/>
              </w:rPr>
            </w:pPr>
            <w:r>
              <w:rPr>
                <w:rFonts w:ascii="Times New Roman" w:hAnsi="Times New Roman"/>
                <w:b/>
                <w:snapToGrid w:val="0"/>
                <w:szCs w:val="21"/>
              </w:rPr>
              <w:t>数量</w:t>
            </w:r>
          </w:p>
        </w:tc>
        <w:tc>
          <w:tcPr>
            <w:tcW w:w="913" w:type="dxa"/>
            <w:vAlign w:val="center"/>
          </w:tcPr>
          <w:p>
            <w:pPr>
              <w:adjustRightInd w:val="0"/>
              <w:snapToGrid w:val="0"/>
              <w:jc w:val="center"/>
              <w:rPr>
                <w:rFonts w:ascii="Times New Roman" w:hAnsi="Times New Roman"/>
                <w:b/>
                <w:snapToGrid w:val="0"/>
                <w:szCs w:val="21"/>
              </w:rPr>
            </w:pPr>
            <w:r>
              <w:rPr>
                <w:rFonts w:ascii="Times New Roman" w:hAnsi="Times New Roman"/>
                <w:b/>
                <w:snapToGrid w:val="0"/>
                <w:szCs w:val="21"/>
              </w:rPr>
              <w:t>金额</w:t>
            </w:r>
          </w:p>
          <w:p>
            <w:pPr>
              <w:adjustRightInd w:val="0"/>
              <w:snapToGrid w:val="0"/>
              <w:jc w:val="center"/>
              <w:rPr>
                <w:rFonts w:ascii="Times New Roman" w:hAnsi="Times New Roman"/>
                <w:b/>
                <w:snapToGrid w:val="0"/>
                <w:szCs w:val="21"/>
              </w:rPr>
            </w:pPr>
            <w:r>
              <w:rPr>
                <w:rFonts w:ascii="Times New Roman" w:hAnsi="Times New Roman"/>
                <w:b/>
                <w:snapToGrid w:val="0"/>
                <w:szCs w:val="21"/>
              </w:rPr>
              <w:t>（</w:t>
            </w:r>
            <w:r>
              <w:rPr>
                <w:rFonts w:ascii="Times New Roman" w:hAnsi="Times New Roman"/>
                <w:b/>
                <w:snapToGrid w:val="0"/>
                <w:sz w:val="18"/>
                <w:szCs w:val="18"/>
              </w:rPr>
              <w:t>万元</w:t>
            </w:r>
            <w:r>
              <w:rPr>
                <w:rFonts w:ascii="Times New Roman" w:hAnsi="Times New Roman"/>
                <w:b/>
                <w:snapToGrid w:val="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73" w:type="dxa"/>
            <w:vMerge w:val="restart"/>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施工期</w:t>
            </w:r>
          </w:p>
        </w:tc>
        <w:tc>
          <w:tcPr>
            <w:tcW w:w="985"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废水治理</w:t>
            </w:r>
          </w:p>
        </w:tc>
        <w:tc>
          <w:tcPr>
            <w:tcW w:w="1069"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施工废水，生活污水</w:t>
            </w:r>
          </w:p>
        </w:tc>
        <w:tc>
          <w:tcPr>
            <w:tcW w:w="5296" w:type="dxa"/>
            <w:vAlign w:val="center"/>
          </w:tcPr>
          <w:p>
            <w:pPr>
              <w:adjustRightInd w:val="0"/>
              <w:snapToGrid w:val="0"/>
              <w:jc w:val="center"/>
              <w:rPr>
                <w:rFonts w:ascii="Times New Roman" w:hAnsi="Times New Roman"/>
                <w:szCs w:val="21"/>
              </w:rPr>
            </w:pPr>
            <w:r>
              <w:rPr>
                <w:rFonts w:ascii="Times New Roman" w:hAnsi="Times New Roman"/>
                <w:szCs w:val="21"/>
              </w:rPr>
              <w:t>设置防渗旱厕，生活污水主要为洗漱废水，收集用于泼洒抑尘，施工废水经10m</w:t>
            </w:r>
            <w:r>
              <w:rPr>
                <w:rFonts w:ascii="Times New Roman" w:hAnsi="Times New Roman"/>
                <w:szCs w:val="21"/>
                <w:vertAlign w:val="superscript"/>
              </w:rPr>
              <w:t>3</w:t>
            </w:r>
            <w:r>
              <w:rPr>
                <w:rFonts w:ascii="Times New Roman" w:hAnsi="Times New Roman"/>
                <w:szCs w:val="21"/>
              </w:rPr>
              <w:t>沉淀池沉淀后回用</w:t>
            </w:r>
          </w:p>
        </w:tc>
        <w:tc>
          <w:tcPr>
            <w:tcW w:w="435" w:type="dxa"/>
            <w:vAlign w:val="center"/>
          </w:tcPr>
          <w:p>
            <w:pPr>
              <w:adjustRightInd w:val="0"/>
              <w:snapToGrid w:val="0"/>
              <w:jc w:val="center"/>
              <w:rPr>
                <w:rFonts w:ascii="Times New Roman" w:hAnsi="Times New Roman"/>
                <w:szCs w:val="21"/>
              </w:rPr>
            </w:pPr>
            <w:r>
              <w:rPr>
                <w:rFonts w:ascii="Times New Roman" w:hAnsi="Times New Roman"/>
                <w:szCs w:val="21"/>
              </w:rPr>
              <w:t>1</w:t>
            </w:r>
          </w:p>
        </w:tc>
        <w:tc>
          <w:tcPr>
            <w:tcW w:w="913" w:type="dxa"/>
            <w:vAlign w:val="center"/>
          </w:tcPr>
          <w:p>
            <w:pPr>
              <w:adjustRightInd w:val="0"/>
              <w:snapToGrid w:val="0"/>
              <w:jc w:val="center"/>
              <w:rPr>
                <w:rFonts w:hint="eastAsia" w:ascii="Times New Roman" w:hAnsi="Times New Roman" w:eastAsia="宋体"/>
                <w:lang w:eastAsia="zh-CN"/>
              </w:rPr>
            </w:pPr>
            <w:r>
              <w:rPr>
                <w:rFonts w:hint="eastAsia" w:ascii="Times New Roman" w:hAnsi="Times New Roman"/>
                <w:lang w:val="en-US" w:eastAsia="zh-CN"/>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废气处理</w:t>
            </w:r>
          </w:p>
        </w:tc>
        <w:tc>
          <w:tcPr>
            <w:tcW w:w="1069"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扬尘</w:t>
            </w:r>
          </w:p>
        </w:tc>
        <w:tc>
          <w:tcPr>
            <w:tcW w:w="5296" w:type="dxa"/>
            <w:vAlign w:val="center"/>
          </w:tcPr>
          <w:p>
            <w:pPr>
              <w:adjustRightInd w:val="0"/>
              <w:snapToGrid w:val="0"/>
              <w:jc w:val="center"/>
              <w:rPr>
                <w:rFonts w:ascii="Times New Roman" w:hAnsi="Times New Roman"/>
                <w:szCs w:val="21"/>
              </w:rPr>
            </w:pPr>
            <w:r>
              <w:rPr>
                <w:rFonts w:ascii="Times New Roman" w:hAnsi="Times New Roman"/>
                <w:szCs w:val="21"/>
              </w:rPr>
              <w:t>施工现场设置围挡，现场定时洒水降尘，道路硬质覆盖，粉性物料采取封闭、遮盖措施，运输车辆加盖苫布，防止扬尘对周围环境的污染</w:t>
            </w:r>
          </w:p>
        </w:tc>
        <w:tc>
          <w:tcPr>
            <w:tcW w:w="435" w:type="dxa"/>
            <w:vAlign w:val="center"/>
          </w:tcPr>
          <w:p>
            <w:pPr>
              <w:adjustRightInd w:val="0"/>
              <w:snapToGrid w:val="0"/>
              <w:jc w:val="center"/>
              <w:rPr>
                <w:rFonts w:ascii="Times New Roman" w:hAnsi="Times New Roman"/>
                <w:szCs w:val="21"/>
              </w:rPr>
            </w:pPr>
            <w:r>
              <w:rPr>
                <w:rFonts w:ascii="Times New Roman" w:hAnsi="Times New Roman"/>
                <w:szCs w:val="21"/>
              </w:rPr>
              <w:t>--</w:t>
            </w:r>
          </w:p>
        </w:tc>
        <w:tc>
          <w:tcPr>
            <w:tcW w:w="913" w:type="dxa"/>
            <w:vAlign w:val="center"/>
          </w:tcPr>
          <w:p>
            <w:pPr>
              <w:adjustRightInd w:val="0"/>
              <w:snapToGrid w:val="0"/>
              <w:jc w:val="center"/>
              <w:rPr>
                <w:rFonts w:hint="eastAsia" w:ascii="Times New Roman" w:hAnsi="Times New Roman" w:eastAsia="宋体"/>
                <w:snapToGrid w:val="0"/>
                <w:kern w:val="0"/>
                <w:szCs w:val="21"/>
                <w:lang w:eastAsia="zh-CN"/>
              </w:rPr>
            </w:pPr>
            <w:r>
              <w:rPr>
                <w:rFonts w:hint="eastAsia" w:ascii="Times New Roman" w:hAnsi="Times New Roman"/>
                <w:snapToGrid w:val="0"/>
                <w:kern w:val="0"/>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噪声治理</w:t>
            </w:r>
          </w:p>
        </w:tc>
        <w:tc>
          <w:tcPr>
            <w:tcW w:w="1069"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建筑施工</w:t>
            </w:r>
          </w:p>
        </w:tc>
        <w:tc>
          <w:tcPr>
            <w:tcW w:w="5296" w:type="dxa"/>
            <w:vAlign w:val="center"/>
          </w:tcPr>
          <w:p>
            <w:pPr>
              <w:adjustRightInd w:val="0"/>
              <w:snapToGrid w:val="0"/>
              <w:jc w:val="center"/>
              <w:rPr>
                <w:rFonts w:ascii="Times New Roman" w:hAnsi="Times New Roman"/>
                <w:snapToGrid w:val="0"/>
                <w:szCs w:val="21"/>
              </w:rPr>
            </w:pPr>
            <w:r>
              <w:rPr>
                <w:rFonts w:ascii="Times New Roman" w:hAnsi="Times New Roman"/>
                <w:szCs w:val="21"/>
              </w:rPr>
              <w:t>选用低噪声施工机械设备，合理安排施工作业时间，施工机械采取减振措施</w:t>
            </w:r>
          </w:p>
        </w:tc>
        <w:tc>
          <w:tcPr>
            <w:tcW w:w="435"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913" w:type="dxa"/>
            <w:vAlign w:val="center"/>
          </w:tcPr>
          <w:p>
            <w:pPr>
              <w:adjustRightInd w:val="0"/>
              <w:snapToGrid w:val="0"/>
              <w:jc w:val="center"/>
              <w:rPr>
                <w:rFonts w:hint="eastAsia" w:ascii="Times New Roman" w:hAnsi="Times New Roman" w:eastAsia="宋体"/>
                <w:snapToGrid w:val="0"/>
                <w:kern w:val="0"/>
                <w:szCs w:val="21"/>
                <w:lang w:eastAsia="zh-CN"/>
              </w:rPr>
            </w:pPr>
            <w:r>
              <w:rPr>
                <w:rFonts w:hint="eastAsia" w:ascii="Times New Roman" w:hAnsi="Times New Roman"/>
                <w:snapToGrid w:val="0"/>
                <w:kern w:val="0"/>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Align w:val="center"/>
          </w:tcPr>
          <w:p>
            <w:pPr>
              <w:adjustRightInd w:val="0"/>
              <w:snapToGrid w:val="0"/>
              <w:jc w:val="center"/>
              <w:rPr>
                <w:rFonts w:ascii="Times New Roman" w:hAnsi="Times New Roman"/>
                <w:snapToGrid w:val="0"/>
                <w:szCs w:val="21"/>
              </w:rPr>
            </w:pPr>
            <w:r>
              <w:rPr>
                <w:rFonts w:hint="eastAsia" w:ascii="Times New Roman" w:hAnsi="Times New Roman"/>
                <w:snapToGrid w:val="0"/>
                <w:szCs w:val="21"/>
                <w:lang w:eastAsia="zh-CN"/>
              </w:rPr>
              <w:t>固体废物</w:t>
            </w:r>
            <w:r>
              <w:rPr>
                <w:rFonts w:ascii="Times New Roman" w:hAnsi="Times New Roman"/>
                <w:snapToGrid w:val="0"/>
                <w:szCs w:val="21"/>
              </w:rPr>
              <w:t>处理</w:t>
            </w:r>
          </w:p>
        </w:tc>
        <w:tc>
          <w:tcPr>
            <w:tcW w:w="1069" w:type="dxa"/>
            <w:vAlign w:val="center"/>
          </w:tcPr>
          <w:p>
            <w:pPr>
              <w:adjustRightInd w:val="0"/>
              <w:snapToGrid w:val="0"/>
              <w:ind w:left="-105" w:leftChars="-50" w:right="-105" w:rightChars="-50"/>
              <w:jc w:val="center"/>
              <w:rPr>
                <w:rFonts w:ascii="Times New Roman" w:hAnsi="Times New Roman"/>
                <w:snapToGrid w:val="0"/>
                <w:szCs w:val="21"/>
              </w:rPr>
            </w:pPr>
            <w:r>
              <w:rPr>
                <w:rFonts w:ascii="Times New Roman" w:hAnsi="Times New Roman"/>
                <w:snapToGrid w:val="0"/>
                <w:szCs w:val="21"/>
              </w:rPr>
              <w:t>生活垃圾、建筑垃圾</w:t>
            </w:r>
          </w:p>
        </w:tc>
        <w:tc>
          <w:tcPr>
            <w:tcW w:w="5296"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建筑垃圾及施工弃土清运至指定地点，弃土作为回填材料利用</w:t>
            </w:r>
          </w:p>
        </w:tc>
        <w:tc>
          <w:tcPr>
            <w:tcW w:w="435"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913" w:type="dxa"/>
            <w:vAlign w:val="center"/>
          </w:tcPr>
          <w:p>
            <w:pPr>
              <w:adjustRightInd w:val="0"/>
              <w:snapToGrid w:val="0"/>
              <w:jc w:val="center"/>
              <w:rPr>
                <w:rFonts w:hint="eastAsia" w:ascii="Times New Roman" w:hAnsi="Times New Roman" w:eastAsia="宋体"/>
                <w:snapToGrid w:val="0"/>
                <w:kern w:val="0"/>
                <w:szCs w:val="21"/>
                <w:lang w:eastAsia="zh-CN"/>
              </w:rPr>
            </w:pPr>
            <w:r>
              <w:rPr>
                <w:rFonts w:hint="eastAsia" w:ascii="Times New Roman" w:hAnsi="Times New Roman"/>
                <w:snapToGrid w:val="0"/>
                <w:kern w:val="0"/>
                <w:szCs w:val="21"/>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restart"/>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运营期</w:t>
            </w:r>
          </w:p>
        </w:tc>
        <w:tc>
          <w:tcPr>
            <w:tcW w:w="985" w:type="dxa"/>
            <w:vMerge w:val="restart"/>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废水处理</w:t>
            </w:r>
          </w:p>
        </w:tc>
        <w:tc>
          <w:tcPr>
            <w:tcW w:w="1069"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地下水防渗</w:t>
            </w:r>
          </w:p>
        </w:tc>
        <w:tc>
          <w:tcPr>
            <w:tcW w:w="5296" w:type="dxa"/>
            <w:vAlign w:val="center"/>
          </w:tcPr>
          <w:p>
            <w:pPr>
              <w:adjustRightInd w:val="0"/>
              <w:snapToGrid w:val="0"/>
              <w:ind w:firstLine="420" w:firstLineChars="200"/>
              <w:rPr>
                <w:rFonts w:ascii="Times New Roman" w:hAnsi="Times New Roman"/>
                <w:snapToGrid w:val="0"/>
                <w:szCs w:val="21"/>
              </w:rPr>
            </w:pPr>
            <w:r>
              <w:rPr>
                <w:rFonts w:ascii="Times New Roman" w:hAnsi="Times New Roman"/>
                <w:szCs w:val="21"/>
              </w:rPr>
              <w:t>采取分区防渗措施，对危险废物暂存间、</w:t>
            </w:r>
            <w:r>
              <w:rPr>
                <w:rFonts w:hint="eastAsia" w:ascii="Times New Roman" w:hAnsi="Times New Roman"/>
                <w:szCs w:val="21"/>
              </w:rPr>
              <w:t>积粪场</w:t>
            </w:r>
            <w:r>
              <w:rPr>
                <w:rFonts w:ascii="Times New Roman" w:hAnsi="Times New Roman"/>
                <w:szCs w:val="21"/>
              </w:rPr>
              <w:t>做重点防渗，其中危废暂存间防渗性能需满足《危险废物贮存污染控制标准》（GB 18597-2001）要求，基础必须防渗，防渗层为至少1m厚粘土层（渗透系数≤1.0×10</w:t>
            </w:r>
            <w:r>
              <w:rPr>
                <w:rFonts w:ascii="Times New Roman" w:hAnsi="Times New Roman"/>
                <w:szCs w:val="21"/>
                <w:vertAlign w:val="superscript"/>
              </w:rPr>
              <w:t>-7</w:t>
            </w:r>
            <w:r>
              <w:rPr>
                <w:rFonts w:ascii="Times New Roman" w:hAnsi="Times New Roman"/>
                <w:szCs w:val="21"/>
              </w:rPr>
              <w:t>cm/s），或2mm厚高密度聚乙烯，或至少2mm厚的其它人工材料，渗透系数1.0×10</w:t>
            </w:r>
            <w:r>
              <w:rPr>
                <w:rFonts w:ascii="Times New Roman" w:hAnsi="Times New Roman"/>
                <w:szCs w:val="21"/>
                <w:vertAlign w:val="superscript"/>
              </w:rPr>
              <w:t>-10</w:t>
            </w:r>
            <w:r>
              <w:rPr>
                <w:rFonts w:ascii="Times New Roman" w:hAnsi="Times New Roman"/>
                <w:szCs w:val="21"/>
              </w:rPr>
              <w:t>cm/s；</w:t>
            </w:r>
            <w:r>
              <w:rPr>
                <w:rFonts w:hint="eastAsia" w:ascii="Times New Roman" w:hAnsi="Times New Roman"/>
                <w:szCs w:val="21"/>
                <w:lang w:eastAsia="zh-CN"/>
              </w:rPr>
              <w:t>积粪场</w:t>
            </w:r>
            <w:r>
              <w:rPr>
                <w:rFonts w:ascii="Times New Roman" w:hAnsi="Times New Roman"/>
                <w:szCs w:val="21"/>
              </w:rPr>
              <w:t>防渗层的性能不低于6.0m厚渗透系数为1.0×10</w:t>
            </w:r>
            <w:r>
              <w:rPr>
                <w:rFonts w:ascii="Times New Roman" w:hAnsi="Times New Roman"/>
                <w:szCs w:val="21"/>
                <w:vertAlign w:val="superscript"/>
              </w:rPr>
              <w:t>-7</w:t>
            </w:r>
            <w:r>
              <w:rPr>
                <w:rFonts w:ascii="Times New Roman" w:hAnsi="Times New Roman"/>
                <w:szCs w:val="21"/>
              </w:rPr>
              <w:t>cm/s的黏土层。对牛舍、雨水收集池做一般防渗，其防渗层的防渗性能不低于1.5m厚渗透系数为1.0×10</w:t>
            </w:r>
            <w:r>
              <w:rPr>
                <w:rFonts w:ascii="Times New Roman" w:hAnsi="Times New Roman"/>
                <w:szCs w:val="21"/>
                <w:vertAlign w:val="superscript"/>
              </w:rPr>
              <w:t>-7</w:t>
            </w:r>
            <w:r>
              <w:rPr>
                <w:rFonts w:ascii="Times New Roman" w:hAnsi="Times New Roman"/>
                <w:szCs w:val="21"/>
              </w:rPr>
              <w:t>cm/s的黏土层的防渗性能。</w:t>
            </w:r>
          </w:p>
        </w:tc>
        <w:tc>
          <w:tcPr>
            <w:tcW w:w="435"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913" w:type="dxa"/>
            <w:vAlign w:val="center"/>
          </w:tcPr>
          <w:p>
            <w:pPr>
              <w:adjustRightInd w:val="0"/>
              <w:snapToGrid w:val="0"/>
              <w:jc w:val="center"/>
              <w:rPr>
                <w:rFonts w:hint="default" w:ascii="Times New Roman" w:hAnsi="Times New Roman" w:eastAsia="宋体"/>
                <w:snapToGrid w:val="0"/>
                <w:kern w:val="0"/>
                <w:szCs w:val="21"/>
                <w:lang w:val="en-US" w:eastAsia="zh-CN"/>
              </w:rPr>
            </w:pPr>
            <w:r>
              <w:rPr>
                <w:rFonts w:hint="eastAsia" w:ascii="Times New Roman" w:hAnsi="Times New Roman"/>
                <w:snapToGrid w:val="0"/>
                <w:kern w:val="0"/>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Merge w:val="continue"/>
            <w:vAlign w:val="center"/>
          </w:tcPr>
          <w:p>
            <w:pPr>
              <w:adjustRightInd w:val="0"/>
              <w:snapToGrid w:val="0"/>
              <w:jc w:val="center"/>
              <w:rPr>
                <w:rFonts w:ascii="Times New Roman" w:hAnsi="Times New Roman"/>
                <w:snapToGrid w:val="0"/>
                <w:szCs w:val="21"/>
              </w:rPr>
            </w:pPr>
          </w:p>
        </w:tc>
        <w:tc>
          <w:tcPr>
            <w:tcW w:w="1069" w:type="dxa"/>
            <w:vAlign w:val="center"/>
          </w:tcPr>
          <w:p>
            <w:pPr>
              <w:adjustRightInd w:val="0"/>
              <w:snapToGrid w:val="0"/>
              <w:jc w:val="center"/>
              <w:rPr>
                <w:rFonts w:hint="eastAsia" w:ascii="Times New Roman" w:hAnsi="Times New Roman" w:eastAsia="宋体"/>
                <w:snapToGrid w:val="0"/>
                <w:szCs w:val="21"/>
                <w:lang w:eastAsia="zh-CN"/>
              </w:rPr>
            </w:pPr>
            <w:r>
              <w:rPr>
                <w:rFonts w:hint="eastAsia" w:ascii="Times New Roman" w:hAnsi="Times New Roman"/>
                <w:snapToGrid w:val="0"/>
                <w:szCs w:val="21"/>
                <w:lang w:eastAsia="zh-CN"/>
              </w:rPr>
              <w:t>污水处理设施</w:t>
            </w:r>
          </w:p>
        </w:tc>
        <w:tc>
          <w:tcPr>
            <w:tcW w:w="5296" w:type="dxa"/>
            <w:vAlign w:val="center"/>
          </w:tcPr>
          <w:p>
            <w:pPr>
              <w:adjustRightInd w:val="0"/>
              <w:snapToGrid w:val="0"/>
              <w:ind w:firstLine="420" w:firstLineChars="200"/>
              <w:rPr>
                <w:rFonts w:hint="eastAsia" w:ascii="Times New Roman" w:hAnsi="Times New Roman" w:eastAsia="宋体"/>
                <w:szCs w:val="21"/>
                <w:lang w:eastAsia="zh-CN"/>
              </w:rPr>
            </w:pPr>
            <w:r>
              <w:rPr>
                <w:rFonts w:hint="eastAsia" w:ascii="Times New Roman" w:hAnsi="Times New Roman"/>
                <w:szCs w:val="21"/>
                <w:lang w:eastAsia="zh-CN"/>
              </w:rPr>
              <w:t>采取雨污分流，建设一座初期雨水收集池</w:t>
            </w:r>
          </w:p>
        </w:tc>
        <w:tc>
          <w:tcPr>
            <w:tcW w:w="435" w:type="dxa"/>
            <w:vAlign w:val="center"/>
          </w:tcPr>
          <w:p>
            <w:pPr>
              <w:adjustRightInd w:val="0"/>
              <w:snapToGrid w:val="0"/>
              <w:jc w:val="center"/>
              <w:rPr>
                <w:rFonts w:hint="eastAsia" w:ascii="Times New Roman" w:hAnsi="Times New Roman" w:eastAsia="宋体"/>
                <w:snapToGrid w:val="0"/>
                <w:szCs w:val="21"/>
                <w:lang w:val="en-US" w:eastAsia="zh-CN"/>
              </w:rPr>
            </w:pPr>
            <w:r>
              <w:rPr>
                <w:rFonts w:hint="eastAsia" w:ascii="Times New Roman" w:hAnsi="Times New Roman"/>
                <w:snapToGrid w:val="0"/>
                <w:szCs w:val="21"/>
                <w:lang w:val="en-US" w:eastAsia="zh-CN"/>
              </w:rPr>
              <w:t>1</w:t>
            </w:r>
          </w:p>
        </w:tc>
        <w:tc>
          <w:tcPr>
            <w:tcW w:w="913" w:type="dxa"/>
            <w:vAlign w:val="center"/>
          </w:tcPr>
          <w:p>
            <w:pPr>
              <w:adjustRightInd w:val="0"/>
              <w:snapToGrid w:val="0"/>
              <w:jc w:val="center"/>
              <w:rPr>
                <w:rFonts w:hint="default" w:ascii="Times New Roman" w:hAnsi="Times New Roman"/>
                <w:snapToGrid w:val="0"/>
                <w:kern w:val="0"/>
                <w:szCs w:val="21"/>
                <w:lang w:val="en-US" w:eastAsia="zh-CN"/>
              </w:rPr>
            </w:pPr>
            <w:r>
              <w:rPr>
                <w:rFonts w:hint="eastAsia" w:ascii="Times New Roman" w:hAnsi="Times New Roman"/>
                <w:snapToGrid w:val="0"/>
                <w:kern w:val="0"/>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Merge w:val="restart"/>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废气处理</w:t>
            </w:r>
          </w:p>
        </w:tc>
        <w:tc>
          <w:tcPr>
            <w:tcW w:w="1069" w:type="dxa"/>
            <w:vMerge w:val="restart"/>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饲料加工粉尘</w:t>
            </w:r>
          </w:p>
        </w:tc>
        <w:tc>
          <w:tcPr>
            <w:tcW w:w="5296" w:type="dxa"/>
            <w:vAlign w:val="center"/>
          </w:tcPr>
          <w:p>
            <w:pPr>
              <w:adjustRightInd w:val="0"/>
              <w:snapToGrid w:val="0"/>
              <w:jc w:val="center"/>
              <w:rPr>
                <w:rFonts w:ascii="Times New Roman" w:hAnsi="Times New Roman"/>
                <w:szCs w:val="21"/>
              </w:rPr>
            </w:pPr>
            <w:r>
              <w:rPr>
                <w:rFonts w:hint="eastAsia" w:ascii="Times New Roman" w:hAnsi="Times New Roman"/>
                <w:szCs w:val="21"/>
                <w:lang w:eastAsia="zh-CN"/>
              </w:rPr>
              <w:t>建设一座</w:t>
            </w:r>
            <w:r>
              <w:rPr>
                <w:rFonts w:ascii="Times New Roman" w:hAnsi="Times New Roman"/>
                <w:szCs w:val="21"/>
              </w:rPr>
              <w:t>半封闭式厂房内</w:t>
            </w:r>
          </w:p>
        </w:tc>
        <w:tc>
          <w:tcPr>
            <w:tcW w:w="435" w:type="dxa"/>
            <w:vAlign w:val="center"/>
          </w:tcPr>
          <w:p>
            <w:pPr>
              <w:adjustRightInd w:val="0"/>
              <w:snapToGrid w:val="0"/>
              <w:jc w:val="center"/>
              <w:rPr>
                <w:rFonts w:ascii="Times New Roman" w:hAnsi="Times New Roman"/>
                <w:snapToGrid w:val="0"/>
                <w:szCs w:val="21"/>
              </w:rPr>
            </w:pPr>
            <w:r>
              <w:rPr>
                <w:rFonts w:hint="eastAsia" w:ascii="Times New Roman" w:hAnsi="Times New Roman"/>
                <w:snapToGrid w:val="0"/>
                <w:szCs w:val="21"/>
              </w:rPr>
              <w:t>1</w:t>
            </w:r>
          </w:p>
        </w:tc>
        <w:tc>
          <w:tcPr>
            <w:tcW w:w="913" w:type="dxa"/>
            <w:vAlign w:val="center"/>
          </w:tcPr>
          <w:p>
            <w:pPr>
              <w:adjustRightInd w:val="0"/>
              <w:snapToGrid w:val="0"/>
              <w:jc w:val="center"/>
              <w:rPr>
                <w:rFonts w:hint="default" w:ascii="Times New Roman" w:hAnsi="Times New Roman" w:eastAsia="宋体"/>
                <w:snapToGrid w:val="0"/>
                <w:kern w:val="0"/>
                <w:szCs w:val="21"/>
                <w:lang w:val="en-US" w:eastAsia="zh-CN"/>
              </w:rPr>
            </w:pPr>
            <w:r>
              <w:rPr>
                <w:rFonts w:hint="eastAsia" w:ascii="Times New Roman" w:hAnsi="Times New Roman"/>
                <w:snapToGrid w:val="0"/>
                <w:kern w:val="0"/>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Merge w:val="continue"/>
            <w:vAlign w:val="center"/>
          </w:tcPr>
          <w:p>
            <w:pPr>
              <w:adjustRightInd w:val="0"/>
              <w:snapToGrid w:val="0"/>
              <w:jc w:val="center"/>
              <w:rPr>
                <w:rFonts w:ascii="Times New Roman" w:hAnsi="Times New Roman"/>
                <w:snapToGrid w:val="0"/>
                <w:szCs w:val="21"/>
              </w:rPr>
            </w:pPr>
          </w:p>
        </w:tc>
        <w:tc>
          <w:tcPr>
            <w:tcW w:w="1069" w:type="dxa"/>
            <w:vMerge w:val="continue"/>
            <w:vAlign w:val="center"/>
          </w:tcPr>
          <w:p>
            <w:pPr>
              <w:adjustRightInd w:val="0"/>
              <w:snapToGrid w:val="0"/>
              <w:jc w:val="center"/>
              <w:rPr>
                <w:rFonts w:ascii="Times New Roman" w:hAnsi="Times New Roman"/>
                <w:snapToGrid w:val="0"/>
                <w:szCs w:val="21"/>
              </w:rPr>
            </w:pPr>
          </w:p>
        </w:tc>
        <w:tc>
          <w:tcPr>
            <w:tcW w:w="5296" w:type="dxa"/>
            <w:vAlign w:val="center"/>
          </w:tcPr>
          <w:p>
            <w:pPr>
              <w:adjustRightInd w:val="0"/>
              <w:snapToGrid w:val="0"/>
              <w:jc w:val="center"/>
              <w:rPr>
                <w:rFonts w:hint="eastAsia" w:ascii="Times New Roman" w:hAnsi="Times New Roman"/>
                <w:szCs w:val="21"/>
                <w:lang w:eastAsia="zh-CN"/>
              </w:rPr>
            </w:pPr>
            <w:r>
              <w:rPr>
                <w:rFonts w:hint="eastAsia" w:ascii="Times New Roman" w:hAnsi="Times New Roman"/>
                <w:szCs w:val="21"/>
                <w:lang w:eastAsia="zh-CN"/>
              </w:rPr>
              <w:t>选用高效无尘饲料粉碎搅拌机及配套设备</w:t>
            </w:r>
          </w:p>
        </w:tc>
        <w:tc>
          <w:tcPr>
            <w:tcW w:w="435" w:type="dxa"/>
            <w:vAlign w:val="center"/>
          </w:tcPr>
          <w:p>
            <w:pPr>
              <w:adjustRightInd w:val="0"/>
              <w:snapToGrid w:val="0"/>
              <w:jc w:val="center"/>
              <w:rPr>
                <w:rFonts w:hint="eastAsia" w:ascii="Times New Roman" w:hAnsi="Times New Roman" w:eastAsia="宋体"/>
                <w:snapToGrid w:val="0"/>
                <w:szCs w:val="21"/>
                <w:lang w:val="en-US" w:eastAsia="zh-CN"/>
              </w:rPr>
            </w:pPr>
            <w:r>
              <w:rPr>
                <w:rFonts w:hint="eastAsia" w:ascii="Times New Roman" w:hAnsi="Times New Roman"/>
                <w:snapToGrid w:val="0"/>
                <w:szCs w:val="21"/>
                <w:lang w:val="en-US" w:eastAsia="zh-CN"/>
              </w:rPr>
              <w:t>1</w:t>
            </w:r>
          </w:p>
        </w:tc>
        <w:tc>
          <w:tcPr>
            <w:tcW w:w="913" w:type="dxa"/>
            <w:vAlign w:val="center"/>
          </w:tcPr>
          <w:p>
            <w:pPr>
              <w:adjustRightInd w:val="0"/>
              <w:snapToGrid w:val="0"/>
              <w:jc w:val="center"/>
              <w:rPr>
                <w:rFonts w:hint="default" w:ascii="Times New Roman" w:hAnsi="Times New Roman"/>
                <w:snapToGrid w:val="0"/>
                <w:kern w:val="0"/>
                <w:szCs w:val="21"/>
                <w:lang w:val="en-US" w:eastAsia="zh-CN"/>
              </w:rPr>
            </w:pPr>
            <w:r>
              <w:rPr>
                <w:rFonts w:hint="eastAsia" w:ascii="Times New Roman" w:hAnsi="Times New Roman"/>
                <w:snapToGrid w:val="0"/>
                <w:kern w:val="0"/>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Merge w:val="continue"/>
            <w:vAlign w:val="center"/>
          </w:tcPr>
          <w:p>
            <w:pPr>
              <w:adjustRightInd w:val="0"/>
              <w:snapToGrid w:val="0"/>
              <w:jc w:val="center"/>
              <w:rPr>
                <w:rFonts w:ascii="Times New Roman" w:hAnsi="Times New Roman"/>
                <w:snapToGrid w:val="0"/>
                <w:szCs w:val="21"/>
              </w:rPr>
            </w:pPr>
          </w:p>
        </w:tc>
        <w:tc>
          <w:tcPr>
            <w:tcW w:w="1069" w:type="dxa"/>
            <w:vMerge w:val="restart"/>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恶臭</w:t>
            </w:r>
          </w:p>
        </w:tc>
        <w:tc>
          <w:tcPr>
            <w:tcW w:w="5296" w:type="dxa"/>
            <w:vAlign w:val="center"/>
          </w:tcPr>
          <w:p>
            <w:pPr>
              <w:adjustRightInd w:val="0"/>
              <w:snapToGrid w:val="0"/>
              <w:ind w:firstLine="420" w:firstLineChars="200"/>
              <w:jc w:val="left"/>
              <w:rPr>
                <w:rFonts w:ascii="Times New Roman" w:hAnsi="Times New Roman"/>
              </w:rPr>
            </w:pPr>
            <w:r>
              <w:rPr>
                <w:rFonts w:ascii="Times New Roman" w:hAnsi="Times New Roman"/>
              </w:rPr>
              <w:t>牛</w:t>
            </w:r>
            <w:r>
              <w:rPr>
                <w:rFonts w:hint="eastAsia" w:ascii="Times New Roman" w:hAnsi="Times New Roman"/>
              </w:rPr>
              <w:t>棚</w:t>
            </w:r>
            <w:r>
              <w:rPr>
                <w:rFonts w:ascii="Times New Roman" w:hAnsi="Times New Roman"/>
              </w:rPr>
              <w:t>：对牛棚及运动场的牛粪，采用干清粪方式及时进行清理，定期消毒，喷洒除臭剂（生石灰）等。减少恶臭污染物的蓄积</w:t>
            </w:r>
            <w:r>
              <w:rPr>
                <w:rFonts w:hint="eastAsia" w:ascii="Times New Roman" w:hAnsi="Times New Roman"/>
              </w:rPr>
              <w:t>。</w:t>
            </w:r>
          </w:p>
          <w:p>
            <w:pPr>
              <w:pStyle w:val="41"/>
              <w:ind w:firstLine="0"/>
              <w:rPr>
                <w:rFonts w:eastAsia="宋体"/>
              </w:rPr>
            </w:pPr>
            <w:r>
              <w:rPr>
                <w:rFonts w:eastAsia="宋体"/>
                <w:szCs w:val="24"/>
              </w:rPr>
              <w:t>饲养过程：需科学管理、调配饲料等措施治理恶臭。</w:t>
            </w:r>
          </w:p>
        </w:tc>
        <w:tc>
          <w:tcPr>
            <w:tcW w:w="435" w:type="dxa"/>
            <w:vMerge w:val="restart"/>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913" w:type="dxa"/>
            <w:vMerge w:val="restart"/>
            <w:vAlign w:val="center"/>
          </w:tcPr>
          <w:p>
            <w:pPr>
              <w:adjustRightInd w:val="0"/>
              <w:snapToGrid w:val="0"/>
              <w:jc w:val="center"/>
              <w:rPr>
                <w:rFonts w:hint="default" w:ascii="Times New Roman" w:hAnsi="Times New Roman" w:eastAsia="宋体"/>
                <w:snapToGrid w:val="0"/>
                <w:kern w:val="0"/>
                <w:szCs w:val="21"/>
                <w:lang w:val="en-US" w:eastAsia="zh-CN"/>
              </w:rPr>
            </w:pPr>
            <w:r>
              <w:rPr>
                <w:rFonts w:hint="eastAsia" w:ascii="Times New Roman" w:hAnsi="Times New Roman"/>
                <w:snapToGrid w:val="0"/>
                <w:kern w:val="0"/>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81" w:hRule="atLeast"/>
          <w:jc w:val="center"/>
        </w:trPr>
        <w:tc>
          <w:tcPr>
            <w:tcW w:w="373" w:type="dxa"/>
            <w:vMerge w:val="continue"/>
            <w:vAlign w:val="center"/>
          </w:tcPr>
          <w:p>
            <w:pPr>
              <w:pStyle w:val="41"/>
              <w:ind w:firstLine="0"/>
              <w:rPr>
                <w:rFonts w:eastAsia="宋体"/>
              </w:rPr>
            </w:pPr>
          </w:p>
        </w:tc>
        <w:tc>
          <w:tcPr>
            <w:tcW w:w="985" w:type="dxa"/>
            <w:vMerge w:val="continue"/>
            <w:vAlign w:val="center"/>
          </w:tcPr>
          <w:p>
            <w:pPr>
              <w:pStyle w:val="41"/>
              <w:ind w:firstLine="0"/>
              <w:rPr>
                <w:rFonts w:eastAsia="宋体"/>
              </w:rPr>
            </w:pPr>
          </w:p>
        </w:tc>
        <w:tc>
          <w:tcPr>
            <w:tcW w:w="1069" w:type="dxa"/>
            <w:vMerge w:val="continue"/>
            <w:vAlign w:val="center"/>
          </w:tcPr>
          <w:p>
            <w:pPr>
              <w:pStyle w:val="41"/>
              <w:ind w:firstLine="0"/>
              <w:rPr>
                <w:rFonts w:eastAsia="宋体"/>
              </w:rPr>
            </w:pPr>
          </w:p>
        </w:tc>
        <w:tc>
          <w:tcPr>
            <w:tcW w:w="5296" w:type="dxa"/>
            <w:vAlign w:val="center"/>
          </w:tcPr>
          <w:p>
            <w:pPr>
              <w:adjustRightInd w:val="0"/>
              <w:snapToGrid w:val="0"/>
              <w:ind w:firstLine="420" w:firstLineChars="200"/>
              <w:jc w:val="left"/>
              <w:rPr>
                <w:rFonts w:ascii="Times New Roman" w:hAnsi="Times New Roman"/>
              </w:rPr>
            </w:pPr>
            <w:r>
              <w:rPr>
                <w:rFonts w:hint="eastAsia" w:ascii="Times New Roman" w:hAnsi="Times New Roman"/>
              </w:rPr>
              <w:t>积粪场</w:t>
            </w:r>
            <w:r>
              <w:rPr>
                <w:rFonts w:ascii="Times New Roman" w:hAnsi="Times New Roman"/>
              </w:rPr>
              <w:t>：加强过程控制和清运管理，减少牛粪堆存，定期消毒，在牛粪干湿分离、</w:t>
            </w:r>
            <w:r>
              <w:rPr>
                <w:rFonts w:hint="eastAsia" w:ascii="Times New Roman" w:hAnsi="Times New Roman"/>
                <w:lang w:eastAsia="zh-CN"/>
              </w:rPr>
              <w:t>积粪场</w:t>
            </w:r>
            <w:r>
              <w:rPr>
                <w:rFonts w:ascii="Times New Roman" w:hAnsi="Times New Roman"/>
              </w:rPr>
              <w:t>等加入对粪污有降解除臭的特定微生物菌。</w:t>
            </w:r>
          </w:p>
        </w:tc>
        <w:tc>
          <w:tcPr>
            <w:tcW w:w="435" w:type="dxa"/>
            <w:vMerge w:val="continue"/>
            <w:vAlign w:val="center"/>
          </w:tcPr>
          <w:p>
            <w:pPr>
              <w:pStyle w:val="41"/>
              <w:ind w:firstLine="0"/>
              <w:rPr>
                <w:rFonts w:eastAsia="宋体"/>
              </w:rPr>
            </w:pPr>
          </w:p>
        </w:tc>
        <w:tc>
          <w:tcPr>
            <w:tcW w:w="913" w:type="dxa"/>
            <w:vMerge w:val="continue"/>
            <w:vAlign w:val="center"/>
          </w:tcPr>
          <w:p>
            <w:pPr>
              <w:pStyle w:val="41"/>
              <w:ind w:firstLine="0"/>
              <w:rPr>
                <w:rFonts w:eastAsia="宋体"/>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jc w:val="center"/>
        </w:trPr>
        <w:tc>
          <w:tcPr>
            <w:tcW w:w="373" w:type="dxa"/>
            <w:vMerge w:val="continue"/>
            <w:vAlign w:val="center"/>
          </w:tcPr>
          <w:p>
            <w:pPr>
              <w:pStyle w:val="41"/>
              <w:ind w:firstLine="0"/>
              <w:rPr>
                <w:rFonts w:eastAsia="宋体"/>
              </w:rPr>
            </w:pPr>
          </w:p>
        </w:tc>
        <w:tc>
          <w:tcPr>
            <w:tcW w:w="985" w:type="dxa"/>
            <w:vMerge w:val="continue"/>
            <w:vAlign w:val="center"/>
          </w:tcPr>
          <w:p>
            <w:pPr>
              <w:pStyle w:val="41"/>
              <w:ind w:firstLine="0"/>
              <w:rPr>
                <w:rFonts w:eastAsia="宋体"/>
              </w:rPr>
            </w:pPr>
          </w:p>
        </w:tc>
        <w:tc>
          <w:tcPr>
            <w:tcW w:w="1069" w:type="dxa"/>
            <w:vAlign w:val="center"/>
          </w:tcPr>
          <w:p>
            <w:pPr>
              <w:pStyle w:val="41"/>
              <w:ind w:firstLine="0"/>
              <w:rPr>
                <w:rFonts w:hint="eastAsia" w:eastAsia="宋体"/>
                <w:lang w:eastAsia="zh-CN"/>
              </w:rPr>
            </w:pPr>
            <w:r>
              <w:rPr>
                <w:rFonts w:hint="eastAsia" w:eastAsia="宋体"/>
                <w:lang w:eastAsia="zh-CN"/>
              </w:rPr>
              <w:t>通风设备</w:t>
            </w:r>
          </w:p>
        </w:tc>
        <w:tc>
          <w:tcPr>
            <w:tcW w:w="5296" w:type="dxa"/>
            <w:vAlign w:val="center"/>
          </w:tcPr>
          <w:p>
            <w:pPr>
              <w:adjustRightInd w:val="0"/>
              <w:snapToGrid w:val="0"/>
              <w:ind w:firstLine="420" w:firstLineChars="200"/>
              <w:jc w:val="left"/>
              <w:rPr>
                <w:rFonts w:hint="eastAsia" w:ascii="Times New Roman" w:hAnsi="Times New Roman" w:eastAsia="宋体"/>
                <w:lang w:eastAsia="zh-CN"/>
              </w:rPr>
            </w:pPr>
            <w:r>
              <w:rPr>
                <w:rFonts w:hint="eastAsia" w:ascii="Times New Roman" w:hAnsi="Times New Roman"/>
                <w:lang w:eastAsia="zh-CN"/>
              </w:rPr>
              <w:t>牛舍采取自然通风和通风换气设备相结合</w:t>
            </w:r>
          </w:p>
        </w:tc>
        <w:tc>
          <w:tcPr>
            <w:tcW w:w="435" w:type="dxa"/>
            <w:vAlign w:val="center"/>
          </w:tcPr>
          <w:p>
            <w:pPr>
              <w:pStyle w:val="41"/>
              <w:ind w:firstLine="0"/>
              <w:rPr>
                <w:rFonts w:hint="eastAsia" w:eastAsia="宋体"/>
                <w:lang w:eastAsia="zh-CN"/>
              </w:rPr>
            </w:pPr>
            <w:r>
              <w:rPr>
                <w:rFonts w:hint="eastAsia" w:eastAsia="宋体"/>
                <w:lang w:eastAsia="zh-CN"/>
              </w:rPr>
              <w:t>若干</w:t>
            </w:r>
          </w:p>
        </w:tc>
        <w:tc>
          <w:tcPr>
            <w:tcW w:w="913" w:type="dxa"/>
            <w:vAlign w:val="center"/>
          </w:tcPr>
          <w:p>
            <w:pPr>
              <w:pStyle w:val="41"/>
              <w:ind w:firstLine="0"/>
              <w:jc w:val="center"/>
              <w:rPr>
                <w:rFonts w:hint="default" w:eastAsia="宋体"/>
                <w:lang w:val="en-US" w:eastAsia="zh-CN"/>
              </w:rPr>
            </w:pPr>
            <w:r>
              <w:rPr>
                <w:rFonts w:hint="eastAsia" w:eastAsia="宋体"/>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4"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噪声治理</w:t>
            </w:r>
          </w:p>
        </w:tc>
        <w:tc>
          <w:tcPr>
            <w:tcW w:w="1069"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设备运转</w:t>
            </w:r>
          </w:p>
        </w:tc>
        <w:tc>
          <w:tcPr>
            <w:tcW w:w="5296"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设备降噪减振、管线等设置软管连接装置</w:t>
            </w:r>
          </w:p>
        </w:tc>
        <w:tc>
          <w:tcPr>
            <w:tcW w:w="435"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若干</w:t>
            </w:r>
          </w:p>
        </w:tc>
        <w:tc>
          <w:tcPr>
            <w:tcW w:w="913" w:type="dxa"/>
            <w:vAlign w:val="center"/>
          </w:tcPr>
          <w:p>
            <w:pPr>
              <w:adjustRightInd w:val="0"/>
              <w:snapToGrid w:val="0"/>
              <w:jc w:val="center"/>
              <w:rPr>
                <w:rFonts w:ascii="Times New Roman" w:hAnsi="Times New Roman"/>
                <w:snapToGrid w:val="0"/>
                <w:szCs w:val="21"/>
              </w:rPr>
            </w:pPr>
            <w:r>
              <w:rPr>
                <w:rFonts w:hint="eastAsia" w:ascii="Times New Roman" w:hAnsi="Times New Roman"/>
                <w:snapToGrid w:val="0"/>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Merge w:val="restart"/>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固体废物</w:t>
            </w:r>
          </w:p>
        </w:tc>
        <w:tc>
          <w:tcPr>
            <w:tcW w:w="1069"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生活垃圾</w:t>
            </w:r>
          </w:p>
        </w:tc>
        <w:tc>
          <w:tcPr>
            <w:tcW w:w="5296"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生活垃圾收集设施</w:t>
            </w:r>
          </w:p>
        </w:tc>
        <w:tc>
          <w:tcPr>
            <w:tcW w:w="435"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913" w:type="dxa"/>
            <w:vAlign w:val="center"/>
          </w:tcPr>
          <w:p>
            <w:pPr>
              <w:adjustRightInd w:val="0"/>
              <w:snapToGrid w:val="0"/>
              <w:jc w:val="center"/>
              <w:rPr>
                <w:rFonts w:ascii="Times New Roman" w:hAnsi="Times New Roman"/>
                <w:snapToGrid w:val="0"/>
                <w:szCs w:val="21"/>
              </w:rPr>
            </w:pPr>
            <w:r>
              <w:rPr>
                <w:rFonts w:hint="eastAsia" w:ascii="Times New Roman" w:hAnsi="Times New Roman"/>
                <w:snapToGrid w:val="0"/>
                <w:szCs w:val="21"/>
              </w:rPr>
              <w:t>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Merge w:val="continue"/>
            <w:vAlign w:val="center"/>
          </w:tcPr>
          <w:p>
            <w:pPr>
              <w:adjustRightInd w:val="0"/>
              <w:snapToGrid w:val="0"/>
              <w:jc w:val="center"/>
              <w:rPr>
                <w:rFonts w:ascii="Times New Roman" w:hAnsi="Times New Roman"/>
                <w:snapToGrid w:val="0"/>
                <w:szCs w:val="21"/>
              </w:rPr>
            </w:pPr>
          </w:p>
        </w:tc>
        <w:tc>
          <w:tcPr>
            <w:tcW w:w="1069"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医疗废物</w:t>
            </w:r>
          </w:p>
        </w:tc>
        <w:tc>
          <w:tcPr>
            <w:tcW w:w="5296"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设危险废物暂存间1座（</w:t>
            </w:r>
            <w:r>
              <w:rPr>
                <w:rFonts w:hint="eastAsia" w:ascii="Times New Roman" w:hAnsi="Times New Roman"/>
                <w:snapToGrid w:val="0"/>
                <w:szCs w:val="21"/>
              </w:rPr>
              <w:t>10</w:t>
            </w:r>
            <w:r>
              <w:rPr>
                <w:rFonts w:ascii="Times New Roman" w:hAnsi="Times New Roman"/>
                <w:snapToGrid w:val="0"/>
                <w:szCs w:val="21"/>
              </w:rPr>
              <w:t>m</w:t>
            </w:r>
            <w:r>
              <w:rPr>
                <w:rFonts w:ascii="Times New Roman" w:hAnsi="Times New Roman"/>
                <w:snapToGrid w:val="0"/>
                <w:szCs w:val="21"/>
                <w:vertAlign w:val="superscript"/>
              </w:rPr>
              <w:t>2</w:t>
            </w:r>
            <w:r>
              <w:rPr>
                <w:rFonts w:ascii="Times New Roman" w:hAnsi="Times New Roman"/>
                <w:snapToGrid w:val="0"/>
                <w:szCs w:val="21"/>
              </w:rPr>
              <w:t>），位于场区北部，医疗废物收集后委托有资质的单位定期外运处理</w:t>
            </w:r>
          </w:p>
        </w:tc>
        <w:tc>
          <w:tcPr>
            <w:tcW w:w="435"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1座</w:t>
            </w:r>
          </w:p>
        </w:tc>
        <w:tc>
          <w:tcPr>
            <w:tcW w:w="913" w:type="dxa"/>
            <w:vAlign w:val="center"/>
          </w:tcPr>
          <w:p>
            <w:pPr>
              <w:adjustRightInd w:val="0"/>
              <w:snapToGrid w:val="0"/>
              <w:jc w:val="center"/>
              <w:rPr>
                <w:rFonts w:hint="default" w:ascii="Times New Roman" w:hAnsi="Times New Roman" w:eastAsia="宋体"/>
                <w:snapToGrid w:val="0"/>
                <w:szCs w:val="21"/>
                <w:lang w:val="en-US" w:eastAsia="zh-CN"/>
              </w:rPr>
            </w:pPr>
            <w:r>
              <w:rPr>
                <w:rFonts w:hint="eastAsia" w:ascii="Times New Roman" w:hAnsi="Times New Roman"/>
                <w:snapToGrid w:val="0"/>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3"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Merge w:val="continue"/>
            <w:vAlign w:val="center"/>
          </w:tcPr>
          <w:p>
            <w:pPr>
              <w:adjustRightInd w:val="0"/>
              <w:snapToGrid w:val="0"/>
              <w:jc w:val="center"/>
              <w:rPr>
                <w:rFonts w:ascii="Times New Roman" w:hAnsi="Times New Roman"/>
                <w:snapToGrid w:val="0"/>
                <w:szCs w:val="21"/>
              </w:rPr>
            </w:pPr>
          </w:p>
        </w:tc>
        <w:tc>
          <w:tcPr>
            <w:tcW w:w="1069"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牛粪</w:t>
            </w:r>
          </w:p>
        </w:tc>
        <w:tc>
          <w:tcPr>
            <w:tcW w:w="5296" w:type="dxa"/>
            <w:tcBorders>
              <w:bottom w:val="single" w:color="auto" w:sz="4" w:space="0"/>
            </w:tcBorders>
            <w:vAlign w:val="center"/>
          </w:tcPr>
          <w:p>
            <w:pPr>
              <w:adjustRightInd w:val="0"/>
              <w:snapToGrid w:val="0"/>
              <w:jc w:val="center"/>
              <w:rPr>
                <w:rFonts w:ascii="Times New Roman" w:hAnsi="Times New Roman"/>
                <w:snapToGrid w:val="0"/>
                <w:szCs w:val="21"/>
              </w:rPr>
            </w:pPr>
            <w:r>
              <w:rPr>
                <w:rFonts w:hint="eastAsia" w:ascii="Times New Roman" w:hAnsi="Times New Roman"/>
                <w:snapToGrid w:val="0"/>
                <w:szCs w:val="21"/>
              </w:rPr>
              <w:t>积粪场</w:t>
            </w:r>
            <w:r>
              <w:rPr>
                <w:rFonts w:ascii="Times New Roman" w:hAnsi="Times New Roman"/>
                <w:snapToGrid w:val="0"/>
                <w:szCs w:val="21"/>
              </w:rPr>
              <w:t>总建筑面积</w:t>
            </w:r>
            <w:r>
              <w:rPr>
                <w:rFonts w:hint="eastAsia" w:ascii="Times New Roman" w:hAnsi="Times New Roman"/>
                <w:snapToGrid w:val="0"/>
                <w:szCs w:val="21"/>
              </w:rPr>
              <w:t>2200</w:t>
            </w:r>
            <w:r>
              <w:rPr>
                <w:rFonts w:ascii="Times New Roman" w:hAnsi="Times New Roman"/>
                <w:snapToGrid w:val="0"/>
                <w:szCs w:val="21"/>
              </w:rPr>
              <w:t>m</w:t>
            </w:r>
            <w:r>
              <w:rPr>
                <w:rFonts w:ascii="Times New Roman" w:hAnsi="Times New Roman"/>
                <w:snapToGrid w:val="0"/>
                <w:szCs w:val="21"/>
                <w:vertAlign w:val="superscript"/>
              </w:rPr>
              <w:t>2</w:t>
            </w:r>
            <w:r>
              <w:rPr>
                <w:rFonts w:ascii="Times New Roman" w:hAnsi="Times New Roman"/>
                <w:snapToGrid w:val="0"/>
                <w:szCs w:val="21"/>
              </w:rPr>
              <w:t>，顶部设防雨顶棚、四周设挡雨墙，地面采取硬化防渗处理</w:t>
            </w:r>
          </w:p>
        </w:tc>
        <w:tc>
          <w:tcPr>
            <w:tcW w:w="435" w:type="dxa"/>
            <w:tcBorders>
              <w:bottom w:val="single" w:color="auto" w:sz="4" w:space="0"/>
            </w:tcBorders>
            <w:vAlign w:val="center"/>
          </w:tcPr>
          <w:p>
            <w:pPr>
              <w:adjustRightInd w:val="0"/>
              <w:snapToGrid w:val="0"/>
              <w:jc w:val="center"/>
              <w:rPr>
                <w:rFonts w:ascii="Times New Roman" w:hAnsi="Times New Roman"/>
                <w:snapToGrid w:val="0"/>
                <w:szCs w:val="21"/>
              </w:rPr>
            </w:pPr>
            <w:r>
              <w:rPr>
                <w:rFonts w:hint="eastAsia" w:ascii="Times New Roman" w:hAnsi="Times New Roman"/>
                <w:snapToGrid w:val="0"/>
                <w:szCs w:val="21"/>
              </w:rPr>
              <w:t>1</w:t>
            </w:r>
            <w:r>
              <w:rPr>
                <w:rFonts w:ascii="Times New Roman" w:hAnsi="Times New Roman"/>
                <w:snapToGrid w:val="0"/>
                <w:szCs w:val="21"/>
              </w:rPr>
              <w:t>座</w:t>
            </w:r>
          </w:p>
        </w:tc>
        <w:tc>
          <w:tcPr>
            <w:tcW w:w="913" w:type="dxa"/>
            <w:tcBorders>
              <w:bottom w:val="single" w:color="auto" w:sz="4" w:space="0"/>
            </w:tcBorders>
            <w:vAlign w:val="center"/>
          </w:tcPr>
          <w:p>
            <w:pPr>
              <w:adjustRightInd w:val="0"/>
              <w:snapToGrid w:val="0"/>
              <w:jc w:val="center"/>
              <w:rPr>
                <w:rFonts w:hint="default" w:ascii="Times New Roman" w:hAnsi="Times New Roman" w:eastAsia="宋体"/>
                <w:snapToGrid w:val="0"/>
                <w:szCs w:val="21"/>
                <w:lang w:val="en-US" w:eastAsia="zh-CN"/>
              </w:rPr>
            </w:pPr>
            <w:r>
              <w:rPr>
                <w:rFonts w:hint="eastAsia" w:ascii="Times New Roman" w:hAnsi="Times New Roman"/>
                <w:snapToGrid w:val="0"/>
                <w:szCs w:val="21"/>
                <w:lang w:val="en-US" w:eastAsia="zh-CN"/>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Merge w:val="continue"/>
            <w:vAlign w:val="center"/>
          </w:tcPr>
          <w:p>
            <w:pPr>
              <w:adjustRightInd w:val="0"/>
              <w:snapToGrid w:val="0"/>
              <w:jc w:val="center"/>
              <w:rPr>
                <w:rFonts w:ascii="Times New Roman" w:hAnsi="Times New Roman"/>
                <w:snapToGrid w:val="0"/>
                <w:szCs w:val="21"/>
              </w:rPr>
            </w:pPr>
          </w:p>
        </w:tc>
        <w:tc>
          <w:tcPr>
            <w:tcW w:w="1069" w:type="dxa"/>
            <w:vMerge w:val="restart"/>
            <w:vAlign w:val="center"/>
          </w:tcPr>
          <w:p>
            <w:pPr>
              <w:adjustRightInd w:val="0"/>
              <w:snapToGrid w:val="0"/>
              <w:jc w:val="center"/>
              <w:rPr>
                <w:rFonts w:hint="eastAsia" w:ascii="Times New Roman" w:hAnsi="Times New Roman" w:eastAsia="宋体"/>
                <w:snapToGrid w:val="0"/>
                <w:color w:val="auto"/>
                <w:szCs w:val="21"/>
                <w:highlight w:val="none"/>
                <w:lang w:eastAsia="zh-CN"/>
              </w:rPr>
            </w:pPr>
            <w:r>
              <w:rPr>
                <w:rFonts w:ascii="Times New Roman" w:hAnsi="Times New Roman"/>
                <w:snapToGrid w:val="0"/>
                <w:color w:val="auto"/>
                <w:szCs w:val="21"/>
                <w:highlight w:val="none"/>
              </w:rPr>
              <w:t>病死牛尸体</w:t>
            </w:r>
            <w:r>
              <w:rPr>
                <w:rFonts w:hint="eastAsia" w:ascii="Times New Roman" w:hAnsi="Times New Roman"/>
                <w:snapToGrid w:val="0"/>
                <w:color w:val="auto"/>
                <w:szCs w:val="21"/>
                <w:highlight w:val="none"/>
                <w:lang w:eastAsia="zh-CN"/>
              </w:rPr>
              <w:t>及胎盘</w:t>
            </w:r>
          </w:p>
        </w:tc>
        <w:tc>
          <w:tcPr>
            <w:tcW w:w="5296" w:type="dxa"/>
            <w:vAlign w:val="center"/>
          </w:tcPr>
          <w:p>
            <w:pPr>
              <w:adjustRightInd w:val="0"/>
              <w:snapToGrid w:val="0"/>
              <w:jc w:val="center"/>
              <w:rPr>
                <w:rFonts w:ascii="Times New Roman" w:hAnsi="Times New Roman"/>
                <w:snapToGrid w:val="0"/>
                <w:color w:val="auto"/>
                <w:szCs w:val="21"/>
                <w:highlight w:val="none"/>
              </w:rPr>
            </w:pPr>
            <w:r>
              <w:rPr>
                <w:rFonts w:hint="eastAsia" w:ascii="Times New Roman" w:hAnsi="Times New Roman"/>
                <w:color w:val="auto"/>
                <w:szCs w:val="21"/>
                <w:highlight w:val="none"/>
                <w:lang w:eastAsia="zh-CN"/>
              </w:rPr>
              <w:t>建设一间病死牛暂存间，</w:t>
            </w:r>
            <w:r>
              <w:rPr>
                <w:rFonts w:hint="eastAsia" w:ascii="Times New Roman" w:hAnsi="Times New Roman"/>
                <w:color w:val="auto"/>
                <w:szCs w:val="21"/>
                <w:highlight w:val="none"/>
              </w:rPr>
              <w:t>由隆德县神林畜牧兽医站监督运送到隆德县定点无害化处理场所焚烧</w:t>
            </w:r>
            <w:r>
              <w:rPr>
                <w:rFonts w:ascii="Times New Roman" w:hAnsi="Times New Roman"/>
                <w:snapToGrid w:val="0"/>
                <w:color w:val="auto"/>
                <w:szCs w:val="21"/>
                <w:highlight w:val="none"/>
              </w:rPr>
              <w:t>。</w:t>
            </w:r>
          </w:p>
        </w:tc>
        <w:tc>
          <w:tcPr>
            <w:tcW w:w="435" w:type="dxa"/>
            <w:vAlign w:val="center"/>
          </w:tcPr>
          <w:p>
            <w:pPr>
              <w:adjustRightInd w:val="0"/>
              <w:snapToGrid w:val="0"/>
              <w:jc w:val="center"/>
              <w:rPr>
                <w:rFonts w:hint="eastAsia" w:ascii="Times New Roman" w:hAnsi="Times New Roman" w:eastAsia="宋体"/>
                <w:snapToGrid w:val="0"/>
                <w:color w:val="auto"/>
                <w:szCs w:val="21"/>
                <w:highlight w:val="none"/>
                <w:lang w:eastAsia="zh-CN"/>
              </w:rPr>
            </w:pPr>
            <w:r>
              <w:rPr>
                <w:rFonts w:hint="eastAsia" w:ascii="Times New Roman" w:hAnsi="Times New Roman"/>
                <w:snapToGrid w:val="0"/>
                <w:color w:val="auto"/>
                <w:szCs w:val="21"/>
                <w:highlight w:val="none"/>
                <w:lang w:val="en-US" w:eastAsia="zh-CN"/>
              </w:rPr>
              <w:t>1座</w:t>
            </w:r>
          </w:p>
        </w:tc>
        <w:tc>
          <w:tcPr>
            <w:tcW w:w="913" w:type="dxa"/>
            <w:tcBorders>
              <w:top w:val="single" w:color="auto" w:sz="4" w:space="0"/>
            </w:tcBorders>
            <w:vAlign w:val="center"/>
          </w:tcPr>
          <w:p>
            <w:pPr>
              <w:adjustRightInd w:val="0"/>
              <w:snapToGrid w:val="0"/>
              <w:jc w:val="center"/>
              <w:rPr>
                <w:rFonts w:hint="default" w:ascii="Times New Roman" w:hAnsi="Times New Roman" w:eastAsia="宋体"/>
                <w:snapToGrid w:val="0"/>
                <w:color w:val="auto"/>
                <w:szCs w:val="21"/>
                <w:highlight w:val="none"/>
                <w:lang w:val="en-US" w:eastAsia="zh-CN"/>
              </w:rPr>
            </w:pPr>
            <w:r>
              <w:rPr>
                <w:rFonts w:hint="eastAsia" w:ascii="Times New Roman" w:hAnsi="Times New Roman"/>
                <w:snapToGrid w:val="0"/>
                <w:color w:val="auto"/>
                <w:szCs w:val="21"/>
                <w:highlight w:val="none"/>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Merge w:val="continue"/>
            <w:vAlign w:val="center"/>
          </w:tcPr>
          <w:p>
            <w:pPr>
              <w:adjustRightInd w:val="0"/>
              <w:snapToGrid w:val="0"/>
              <w:jc w:val="center"/>
              <w:rPr>
                <w:rFonts w:ascii="Times New Roman" w:hAnsi="Times New Roman"/>
                <w:snapToGrid w:val="0"/>
                <w:szCs w:val="21"/>
              </w:rPr>
            </w:pPr>
          </w:p>
        </w:tc>
        <w:tc>
          <w:tcPr>
            <w:tcW w:w="1069" w:type="dxa"/>
            <w:vMerge w:val="continue"/>
            <w:vAlign w:val="center"/>
          </w:tcPr>
          <w:p>
            <w:pPr>
              <w:adjustRightInd w:val="0"/>
              <w:snapToGrid w:val="0"/>
              <w:jc w:val="center"/>
              <w:rPr>
                <w:rFonts w:ascii="Times New Roman" w:hAnsi="Times New Roman"/>
                <w:snapToGrid w:val="0"/>
                <w:color w:val="auto"/>
                <w:szCs w:val="21"/>
                <w:highlight w:val="none"/>
              </w:rPr>
            </w:pPr>
          </w:p>
        </w:tc>
        <w:tc>
          <w:tcPr>
            <w:tcW w:w="5296" w:type="dxa"/>
            <w:vAlign w:val="center"/>
          </w:tcPr>
          <w:p>
            <w:pPr>
              <w:adjustRightInd w:val="0"/>
              <w:snapToGrid w:val="0"/>
              <w:jc w:val="center"/>
              <w:rPr>
                <w:rFonts w:hint="eastAsia" w:ascii="Times New Roman" w:hAnsi="Times New Roman"/>
                <w:color w:val="auto"/>
                <w:szCs w:val="21"/>
                <w:highlight w:val="none"/>
                <w:lang w:eastAsia="zh-CN"/>
              </w:rPr>
            </w:pPr>
            <w:r>
              <w:rPr>
                <w:rFonts w:hint="eastAsia" w:ascii="Times New Roman" w:hAnsi="Times New Roman"/>
                <w:color w:val="auto"/>
                <w:szCs w:val="21"/>
                <w:highlight w:val="none"/>
                <w:lang w:eastAsia="zh-CN"/>
              </w:rPr>
              <w:t>病死牛尸体暂存冷柜</w:t>
            </w:r>
          </w:p>
        </w:tc>
        <w:tc>
          <w:tcPr>
            <w:tcW w:w="435" w:type="dxa"/>
            <w:vAlign w:val="center"/>
          </w:tcPr>
          <w:p>
            <w:pPr>
              <w:adjustRightInd w:val="0"/>
              <w:snapToGrid w:val="0"/>
              <w:jc w:val="center"/>
              <w:rPr>
                <w:rFonts w:hint="default" w:ascii="Times New Roman" w:hAnsi="Times New Roman"/>
                <w:snapToGrid w:val="0"/>
                <w:color w:val="auto"/>
                <w:szCs w:val="21"/>
                <w:highlight w:val="none"/>
                <w:lang w:val="en-US" w:eastAsia="zh-CN"/>
              </w:rPr>
            </w:pPr>
            <w:r>
              <w:rPr>
                <w:rFonts w:hint="eastAsia" w:ascii="Times New Roman" w:hAnsi="Times New Roman"/>
                <w:snapToGrid w:val="0"/>
                <w:color w:val="auto"/>
                <w:szCs w:val="21"/>
                <w:highlight w:val="none"/>
                <w:lang w:val="en-US" w:eastAsia="zh-CN"/>
              </w:rPr>
              <w:t>1</w:t>
            </w:r>
          </w:p>
        </w:tc>
        <w:tc>
          <w:tcPr>
            <w:tcW w:w="913" w:type="dxa"/>
            <w:tcBorders>
              <w:top w:val="single" w:color="auto" w:sz="4" w:space="0"/>
            </w:tcBorders>
            <w:vAlign w:val="center"/>
          </w:tcPr>
          <w:p>
            <w:pPr>
              <w:adjustRightInd w:val="0"/>
              <w:snapToGrid w:val="0"/>
              <w:jc w:val="center"/>
              <w:rPr>
                <w:rFonts w:hint="default" w:ascii="Times New Roman" w:hAnsi="Times New Roman"/>
                <w:snapToGrid w:val="0"/>
                <w:color w:val="auto"/>
                <w:szCs w:val="21"/>
                <w:highlight w:val="none"/>
                <w:lang w:val="en-US" w:eastAsia="zh-CN"/>
              </w:rPr>
            </w:pPr>
            <w:r>
              <w:rPr>
                <w:rFonts w:hint="eastAsia" w:ascii="Times New Roman" w:hAnsi="Times New Roman"/>
                <w:snapToGrid w:val="0"/>
                <w:color w:val="auto"/>
                <w:szCs w:val="21"/>
                <w:highlight w:val="non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2" w:hRule="atLeast"/>
          <w:jc w:val="center"/>
        </w:trPr>
        <w:tc>
          <w:tcPr>
            <w:tcW w:w="373" w:type="dxa"/>
            <w:vMerge w:val="continue"/>
            <w:vAlign w:val="center"/>
          </w:tcPr>
          <w:p>
            <w:pPr>
              <w:adjustRightInd w:val="0"/>
              <w:snapToGrid w:val="0"/>
              <w:jc w:val="center"/>
              <w:rPr>
                <w:rFonts w:ascii="Times New Roman" w:hAnsi="Times New Roman"/>
                <w:snapToGrid w:val="0"/>
                <w:szCs w:val="21"/>
              </w:rPr>
            </w:pPr>
          </w:p>
        </w:tc>
        <w:tc>
          <w:tcPr>
            <w:tcW w:w="985" w:type="dxa"/>
            <w:vAlign w:val="center"/>
          </w:tcPr>
          <w:p>
            <w:pPr>
              <w:adjustRightInd w:val="0"/>
              <w:snapToGrid w:val="0"/>
              <w:ind w:left="-105" w:leftChars="-50" w:right="-105" w:rightChars="-50"/>
              <w:jc w:val="center"/>
              <w:rPr>
                <w:rFonts w:ascii="Times New Roman" w:hAnsi="Times New Roman"/>
                <w:snapToGrid w:val="0"/>
                <w:szCs w:val="21"/>
              </w:rPr>
            </w:pPr>
            <w:r>
              <w:rPr>
                <w:rFonts w:ascii="Times New Roman" w:hAnsi="Times New Roman"/>
                <w:snapToGrid w:val="0"/>
                <w:szCs w:val="21"/>
              </w:rPr>
              <w:t>地下水跟踪监测</w:t>
            </w:r>
          </w:p>
        </w:tc>
        <w:tc>
          <w:tcPr>
            <w:tcW w:w="1069"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5296" w:type="dxa"/>
            <w:vAlign w:val="center"/>
          </w:tcPr>
          <w:p>
            <w:pPr>
              <w:adjustRightInd w:val="0"/>
              <w:snapToGrid w:val="0"/>
              <w:jc w:val="center"/>
              <w:rPr>
                <w:rFonts w:ascii="Times New Roman" w:hAnsi="Times New Roman"/>
                <w:snapToGrid w:val="0"/>
                <w:szCs w:val="21"/>
              </w:rPr>
            </w:pPr>
            <w:r>
              <w:rPr>
                <w:rFonts w:ascii="Times New Roman" w:hAnsi="Times New Roman"/>
                <w:szCs w:val="21"/>
              </w:rPr>
              <w:t>设置1座地下水跟踪监测井，用于日常地下水水质监测</w:t>
            </w:r>
          </w:p>
        </w:tc>
        <w:tc>
          <w:tcPr>
            <w:tcW w:w="435"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w:t>
            </w:r>
          </w:p>
        </w:tc>
        <w:tc>
          <w:tcPr>
            <w:tcW w:w="913" w:type="dxa"/>
            <w:vAlign w:val="center"/>
          </w:tcPr>
          <w:p>
            <w:pPr>
              <w:adjustRightInd w:val="0"/>
              <w:snapToGrid w:val="0"/>
              <w:jc w:val="center"/>
              <w:rPr>
                <w:rFonts w:hint="eastAsia" w:ascii="Times New Roman" w:hAnsi="Times New Roman" w:eastAsia="宋体"/>
                <w:snapToGrid w:val="0"/>
                <w:szCs w:val="21"/>
                <w:lang w:eastAsia="zh-CN"/>
              </w:rPr>
            </w:pPr>
            <w:r>
              <w:rPr>
                <w:rFonts w:hint="eastAsia" w:ascii="Times New Roman" w:hAnsi="Times New Roman"/>
                <w:snapToGrid w:val="0"/>
                <w:szCs w:val="21"/>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27" w:type="dxa"/>
            <w:gridSpan w:val="3"/>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场区绿化</w:t>
            </w:r>
          </w:p>
        </w:tc>
        <w:tc>
          <w:tcPr>
            <w:tcW w:w="5296" w:type="dxa"/>
            <w:vAlign w:val="center"/>
          </w:tcPr>
          <w:p>
            <w:pPr>
              <w:adjustRightInd w:val="0"/>
              <w:snapToGrid w:val="0"/>
              <w:jc w:val="center"/>
              <w:rPr>
                <w:rFonts w:ascii="Times New Roman" w:hAnsi="Times New Roman"/>
                <w:snapToGrid w:val="0"/>
                <w:szCs w:val="21"/>
              </w:rPr>
            </w:pPr>
            <w:r>
              <w:rPr>
                <w:rFonts w:ascii="Times New Roman" w:hAnsi="Times New Roman"/>
                <w:snapToGrid w:val="0"/>
                <w:szCs w:val="21"/>
              </w:rPr>
              <w:t>绿化面积</w:t>
            </w:r>
            <w:r>
              <w:rPr>
                <w:rFonts w:hint="eastAsia" w:ascii="Times New Roman" w:hAnsi="Times New Roman"/>
                <w:snapToGrid w:val="0"/>
                <w:szCs w:val="21"/>
              </w:rPr>
              <w:t>500</w:t>
            </w:r>
            <w:r>
              <w:rPr>
                <w:rFonts w:ascii="Times New Roman" w:hAnsi="Times New Roman"/>
                <w:snapToGrid w:val="0"/>
                <w:szCs w:val="21"/>
              </w:rPr>
              <w:t>m</w:t>
            </w:r>
            <w:r>
              <w:rPr>
                <w:rFonts w:ascii="Times New Roman" w:hAnsi="Times New Roman"/>
                <w:snapToGrid w:val="0"/>
                <w:szCs w:val="21"/>
                <w:vertAlign w:val="superscript"/>
              </w:rPr>
              <w:t>2</w:t>
            </w:r>
          </w:p>
        </w:tc>
        <w:tc>
          <w:tcPr>
            <w:tcW w:w="435" w:type="dxa"/>
            <w:vAlign w:val="center"/>
          </w:tcPr>
          <w:p>
            <w:pPr>
              <w:adjustRightInd w:val="0"/>
              <w:snapToGrid w:val="0"/>
              <w:jc w:val="center"/>
              <w:rPr>
                <w:rFonts w:ascii="Times New Roman" w:hAnsi="Times New Roman"/>
                <w:snapToGrid w:val="0"/>
                <w:szCs w:val="21"/>
              </w:rPr>
            </w:pPr>
            <w:r>
              <w:rPr>
                <w:rFonts w:hint="eastAsia" w:ascii="Times New Roman" w:hAnsi="Times New Roman"/>
                <w:snapToGrid w:val="0"/>
                <w:szCs w:val="21"/>
              </w:rPr>
              <w:t>/</w:t>
            </w:r>
          </w:p>
        </w:tc>
        <w:tc>
          <w:tcPr>
            <w:tcW w:w="913" w:type="dxa"/>
            <w:vAlign w:val="center"/>
          </w:tcPr>
          <w:p>
            <w:pPr>
              <w:adjustRightInd w:val="0"/>
              <w:snapToGrid w:val="0"/>
              <w:jc w:val="center"/>
              <w:rPr>
                <w:rFonts w:hint="eastAsia" w:ascii="Times New Roman" w:hAnsi="Times New Roman" w:eastAsia="宋体"/>
                <w:snapToGrid w:val="0"/>
                <w:szCs w:val="21"/>
                <w:lang w:eastAsia="zh-CN"/>
              </w:rPr>
            </w:pPr>
            <w:r>
              <w:rPr>
                <w:rFonts w:hint="eastAsia" w:ascii="Times New Roman" w:hAnsi="Times New Roman"/>
                <w:snapToGrid w:val="0"/>
                <w:szCs w:val="21"/>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58" w:type="dxa"/>
            <w:gridSpan w:val="5"/>
            <w:vAlign w:val="center"/>
          </w:tcPr>
          <w:p>
            <w:pPr>
              <w:adjustRightInd w:val="0"/>
              <w:snapToGrid w:val="0"/>
              <w:jc w:val="center"/>
              <w:rPr>
                <w:rFonts w:ascii="Times New Roman" w:hAnsi="Times New Roman"/>
                <w:bCs/>
                <w:snapToGrid w:val="0"/>
                <w:szCs w:val="21"/>
              </w:rPr>
            </w:pPr>
            <w:r>
              <w:rPr>
                <w:rFonts w:ascii="Times New Roman" w:hAnsi="Times New Roman"/>
                <w:bCs/>
                <w:snapToGrid w:val="0"/>
                <w:szCs w:val="21"/>
              </w:rPr>
              <w:t>合计</w:t>
            </w:r>
          </w:p>
        </w:tc>
        <w:tc>
          <w:tcPr>
            <w:tcW w:w="913" w:type="dxa"/>
            <w:vAlign w:val="center"/>
          </w:tcPr>
          <w:p>
            <w:pPr>
              <w:adjustRightInd w:val="0"/>
              <w:snapToGrid w:val="0"/>
              <w:jc w:val="center"/>
              <w:rPr>
                <w:rFonts w:hint="default" w:ascii="Times New Roman" w:hAnsi="Times New Roman" w:eastAsia="宋体"/>
                <w:bCs/>
                <w:snapToGrid w:val="0"/>
                <w:szCs w:val="21"/>
                <w:lang w:val="en-US" w:eastAsia="zh-CN"/>
              </w:rPr>
            </w:pPr>
            <w:r>
              <w:rPr>
                <w:rFonts w:hint="eastAsia" w:ascii="Times New Roman" w:hAnsi="Times New Roman"/>
                <w:bCs/>
                <w:snapToGrid w:val="0"/>
                <w:szCs w:val="21"/>
                <w:lang w:val="en-US" w:eastAsia="zh-CN"/>
              </w:rPr>
              <w:t>174.2</w:t>
            </w:r>
          </w:p>
        </w:tc>
      </w:tr>
      <w:bookmarkEnd w:id="414"/>
    </w:tbl>
    <w:p>
      <w:pPr>
        <w:pStyle w:val="51"/>
        <w:snapToGrid w:val="0"/>
        <w:spacing w:before="120" w:beforeLines="50" w:after="120" w:afterLines="50" w:line="540" w:lineRule="exact"/>
        <w:contextualSpacing/>
        <w:rPr>
          <w:rFonts w:cs="Times New Roman"/>
          <w:bCs w:val="0"/>
          <w:snapToGrid w:val="0"/>
          <w:kern w:val="0"/>
          <w:sz w:val="30"/>
          <w:szCs w:val="30"/>
        </w:rPr>
      </w:pPr>
      <w:bookmarkStart w:id="431" w:name="_Toc11324"/>
      <w:bookmarkStart w:id="432" w:name="_Toc28698"/>
      <w:bookmarkStart w:id="433" w:name="_Toc5882"/>
      <w:bookmarkStart w:id="434" w:name="_Toc30529"/>
      <w:r>
        <w:rPr>
          <w:rFonts w:cs="Times New Roman"/>
          <w:bCs w:val="0"/>
          <w:snapToGrid w:val="0"/>
          <w:kern w:val="0"/>
          <w:sz w:val="30"/>
          <w:szCs w:val="30"/>
        </w:rPr>
        <w:t>2.2工艺流程分析</w:t>
      </w:r>
      <w:bookmarkEnd w:id="431"/>
      <w:bookmarkEnd w:id="432"/>
      <w:bookmarkEnd w:id="433"/>
      <w:bookmarkEnd w:id="434"/>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35" w:name="_Toc7000"/>
      <w:r>
        <w:rPr>
          <w:rFonts w:cs="Times New Roman"/>
          <w:bCs w:val="0"/>
          <w:snapToGrid w:val="0"/>
          <w:kern w:val="0"/>
          <w:sz w:val="28"/>
          <w:szCs w:val="28"/>
        </w:rPr>
        <w:t>2.2.1</w:t>
      </w:r>
      <w:r>
        <w:rPr>
          <w:rFonts w:hint="eastAsia" w:cs="Times New Roman"/>
          <w:bCs w:val="0"/>
          <w:snapToGrid w:val="0"/>
          <w:kern w:val="0"/>
          <w:sz w:val="28"/>
          <w:szCs w:val="28"/>
        </w:rPr>
        <w:t>基础</w:t>
      </w:r>
      <w:r>
        <w:rPr>
          <w:rFonts w:cs="Times New Roman"/>
          <w:bCs w:val="0"/>
          <w:snapToGrid w:val="0"/>
          <w:kern w:val="0"/>
          <w:sz w:val="28"/>
          <w:szCs w:val="28"/>
        </w:rPr>
        <w:t>养殖工艺</w:t>
      </w:r>
      <w:bookmarkEnd w:id="435"/>
    </w:p>
    <w:p>
      <w:pPr>
        <w:tabs>
          <w:tab w:val="left" w:pos="0"/>
        </w:tabs>
        <w:spacing w:line="540" w:lineRule="exact"/>
        <w:ind w:firstLine="641"/>
      </w:pPr>
      <w:r>
        <w:rPr>
          <w:rFonts w:hint="eastAsia" w:ascii="Times New Roman" w:hAnsi="Times New Roman"/>
          <w:sz w:val="24"/>
          <w:szCs w:val="22"/>
        </w:rPr>
        <w:t>本项目选购西门塔尔、安格斯基础母牛，引进宁夏固原、甘肃庄浪牛场基础母牛和成套繁育技术，生产专门化良种肉牛的冷冻精液，在良种肉牛纯繁中，采用同期发情、人工授精、冷冻精液等关键技术；具体为：</w:t>
      </w:r>
    </w:p>
    <w:p>
      <w:pPr>
        <w:rPr>
          <w:rFonts w:ascii="Times New Roman" w:hAnsi="Times New Roman" w:cs="仿宋"/>
          <w:position w:val="-81"/>
          <w:sz w:val="20"/>
          <w:szCs w:val="20"/>
        </w:rPr>
      </w:pPr>
      <w:r>
        <w:rPr>
          <w:rFonts w:hint="eastAsia"/>
        </w:rPr>
        <w:drawing>
          <wp:inline distT="0" distB="0" distL="114300" distR="114300">
            <wp:extent cx="5997575" cy="2277745"/>
            <wp:effectExtent l="0" t="0" r="0" b="0"/>
            <wp:docPr id="63" name="图片 37"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7" descr="wps"/>
                    <pic:cNvPicPr>
                      <a:picLocks noChangeAspect="1"/>
                    </pic:cNvPicPr>
                  </pic:nvPicPr>
                  <pic:blipFill>
                    <a:blip r:embed="rId32"/>
                    <a:srcRect t="9682" b="5934"/>
                    <a:stretch>
                      <a:fillRect/>
                    </a:stretch>
                  </pic:blipFill>
                  <pic:spPr>
                    <a:xfrm>
                      <a:off x="0" y="0"/>
                      <a:ext cx="5999480" cy="2277745"/>
                    </a:xfrm>
                    <a:prstGeom prst="rect">
                      <a:avLst/>
                    </a:prstGeom>
                    <a:noFill/>
                    <a:ln>
                      <a:noFill/>
                    </a:ln>
                  </pic:spPr>
                </pic:pic>
              </a:graphicData>
            </a:graphic>
          </wp:inline>
        </w:drawing>
      </w:r>
    </w:p>
    <w:p>
      <w:pPr>
        <w:pStyle w:val="41"/>
        <w:jc w:val="center"/>
      </w:pPr>
      <w:r>
        <w:rPr>
          <w:rFonts w:eastAsia="宋体"/>
          <w:b/>
          <w:sz w:val="24"/>
          <w:szCs w:val="24"/>
        </w:rPr>
        <w:t xml:space="preserve">图2.2-1  </w:t>
      </w:r>
      <w:r>
        <w:rPr>
          <w:rFonts w:hint="eastAsia" w:eastAsia="宋体"/>
          <w:b/>
          <w:sz w:val="24"/>
          <w:szCs w:val="24"/>
        </w:rPr>
        <w:t>基础母牛</w:t>
      </w:r>
      <w:r>
        <w:rPr>
          <w:rFonts w:eastAsia="宋体"/>
          <w:b/>
          <w:sz w:val="24"/>
          <w:szCs w:val="24"/>
        </w:rPr>
        <w:t>养殖工艺流程及产污环节示意图</w:t>
      </w:r>
    </w:p>
    <w:p>
      <w:pPr>
        <w:pStyle w:val="5"/>
        <w:snapToGrid w:val="0"/>
        <w:spacing w:before="120" w:after="120" w:line="540" w:lineRule="exact"/>
        <w:contextualSpacing/>
        <w:outlineLvl w:val="2"/>
        <w:rPr>
          <w:rFonts w:ascii="Times New Roman" w:hAnsi="Times New Roman" w:eastAsia="宋体"/>
          <w:bCs w:val="0"/>
          <w:sz w:val="24"/>
        </w:rPr>
      </w:pPr>
      <w:r>
        <w:rPr>
          <w:rFonts w:ascii="Times New Roman" w:hAnsi="Times New Roman" w:eastAsia="宋体"/>
          <w:bCs w:val="0"/>
          <w:sz w:val="24"/>
        </w:rPr>
        <w:t>2.2.</w:t>
      </w:r>
      <w:r>
        <w:rPr>
          <w:rFonts w:hint="eastAsia" w:ascii="Times New Roman" w:hAnsi="Times New Roman" w:eastAsia="宋体"/>
          <w:bCs w:val="0"/>
          <w:sz w:val="24"/>
          <w:lang w:val="en-US" w:eastAsia="zh-CN"/>
        </w:rPr>
        <w:t>2</w:t>
      </w:r>
      <w:r>
        <w:rPr>
          <w:rFonts w:ascii="Times New Roman" w:hAnsi="Times New Roman" w:eastAsia="宋体"/>
          <w:bCs w:val="0"/>
          <w:sz w:val="24"/>
        </w:rPr>
        <w:t>技术指标</w:t>
      </w:r>
    </w:p>
    <w:p>
      <w:pPr>
        <w:pStyle w:val="11"/>
        <w:adjustRightInd w:val="0"/>
        <w:snapToGrid w:val="0"/>
        <w:spacing w:after="0" w:line="540" w:lineRule="exact"/>
        <w:ind w:firstLine="480" w:firstLineChars="200"/>
        <w:rPr>
          <w:rFonts w:ascii="Times New Roman" w:hAnsi="Times New Roman"/>
          <w:b/>
          <w:sz w:val="24"/>
        </w:rPr>
      </w:pPr>
      <w:r>
        <w:rPr>
          <w:rFonts w:ascii="Times New Roman" w:hAnsi="Times New Roman"/>
          <w:sz w:val="24"/>
          <w:szCs w:val="22"/>
        </w:rPr>
        <w:t>项目实施后达到的主要生产技术指标见表2.2-1。</w:t>
      </w:r>
    </w:p>
    <w:p>
      <w:pPr>
        <w:pStyle w:val="11"/>
        <w:adjustRightInd w:val="0"/>
        <w:snapToGrid w:val="0"/>
        <w:spacing w:after="0"/>
        <w:jc w:val="center"/>
        <w:rPr>
          <w:rFonts w:ascii="Times New Roman" w:hAnsi="Times New Roman"/>
          <w:b/>
          <w:sz w:val="24"/>
        </w:rPr>
      </w:pPr>
      <w:r>
        <w:rPr>
          <w:rFonts w:ascii="Times New Roman" w:hAnsi="Times New Roman"/>
          <w:b/>
          <w:sz w:val="24"/>
        </w:rPr>
        <w:t>表2.2-1             项目实施后主要生产技术指标一览表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59"/>
        <w:gridCol w:w="2426"/>
        <w:gridCol w:w="2052"/>
        <w:gridCol w:w="34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pStyle w:val="11"/>
              <w:adjustRightInd w:val="0"/>
              <w:snapToGrid w:val="0"/>
              <w:spacing w:after="0"/>
              <w:jc w:val="center"/>
              <w:rPr>
                <w:rFonts w:ascii="Times New Roman" w:hAnsi="Times New Roman"/>
                <w:bCs/>
                <w:szCs w:val="21"/>
              </w:rPr>
            </w:pPr>
            <w:r>
              <w:rPr>
                <w:rFonts w:ascii="Times New Roman" w:hAnsi="Times New Roman"/>
                <w:bCs/>
                <w:szCs w:val="21"/>
              </w:rPr>
              <w:t>序号</w:t>
            </w:r>
          </w:p>
        </w:tc>
        <w:tc>
          <w:tcPr>
            <w:tcW w:w="2426" w:type="dxa"/>
            <w:vAlign w:val="center"/>
          </w:tcPr>
          <w:p>
            <w:pPr>
              <w:pStyle w:val="11"/>
              <w:adjustRightInd w:val="0"/>
              <w:snapToGrid w:val="0"/>
              <w:spacing w:after="0"/>
              <w:jc w:val="center"/>
              <w:rPr>
                <w:rFonts w:ascii="Times New Roman" w:hAnsi="Times New Roman"/>
                <w:bCs/>
                <w:szCs w:val="21"/>
              </w:rPr>
            </w:pPr>
            <w:r>
              <w:rPr>
                <w:rFonts w:ascii="Times New Roman" w:hAnsi="Times New Roman"/>
                <w:bCs/>
                <w:szCs w:val="21"/>
              </w:rPr>
              <w:t>主要生产技术指标</w:t>
            </w:r>
          </w:p>
        </w:tc>
        <w:tc>
          <w:tcPr>
            <w:tcW w:w="2052" w:type="dxa"/>
            <w:vAlign w:val="center"/>
          </w:tcPr>
          <w:p>
            <w:pPr>
              <w:pStyle w:val="11"/>
              <w:adjustRightInd w:val="0"/>
              <w:snapToGrid w:val="0"/>
              <w:spacing w:after="0"/>
              <w:jc w:val="center"/>
              <w:rPr>
                <w:rFonts w:ascii="Times New Roman" w:hAnsi="Times New Roman"/>
                <w:bCs/>
                <w:color w:val="FF0000"/>
                <w:szCs w:val="21"/>
              </w:rPr>
            </w:pPr>
            <w:r>
              <w:rPr>
                <w:rFonts w:ascii="Times New Roman" w:hAnsi="Times New Roman"/>
                <w:bCs/>
                <w:color w:val="FF0000"/>
                <w:szCs w:val="21"/>
              </w:rPr>
              <w:t>指标</w:t>
            </w:r>
          </w:p>
        </w:tc>
        <w:tc>
          <w:tcPr>
            <w:tcW w:w="3434" w:type="dxa"/>
            <w:vAlign w:val="center"/>
          </w:tcPr>
          <w:p>
            <w:pPr>
              <w:pStyle w:val="11"/>
              <w:adjustRightInd w:val="0"/>
              <w:snapToGrid w:val="0"/>
              <w:spacing w:after="0"/>
              <w:jc w:val="center"/>
              <w:rPr>
                <w:rFonts w:ascii="Times New Roman" w:hAnsi="Times New Roman"/>
                <w:bCs/>
                <w:szCs w:val="21"/>
              </w:rPr>
            </w:pPr>
            <w:r>
              <w:rPr>
                <w:rFonts w:ascii="Times New Roman" w:hAnsi="Times New Roman"/>
                <w:bCs/>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1</w:t>
            </w:r>
          </w:p>
        </w:tc>
        <w:tc>
          <w:tcPr>
            <w:tcW w:w="2426" w:type="dxa"/>
            <w:vAlign w:val="center"/>
          </w:tcPr>
          <w:p>
            <w:pPr>
              <w:pStyle w:val="11"/>
              <w:adjustRightInd w:val="0"/>
              <w:snapToGrid w:val="0"/>
              <w:spacing w:after="0"/>
              <w:jc w:val="center"/>
              <w:rPr>
                <w:rFonts w:ascii="Times New Roman" w:hAnsi="Times New Roman"/>
                <w:szCs w:val="21"/>
              </w:rPr>
            </w:pPr>
            <w:r>
              <w:rPr>
                <w:rFonts w:hint="eastAsia" w:ascii="Times New Roman" w:hAnsi="Times New Roman"/>
                <w:szCs w:val="21"/>
                <w:lang w:eastAsia="zh-CN"/>
              </w:rPr>
              <w:t>体</w:t>
            </w:r>
            <w:r>
              <w:rPr>
                <w:rFonts w:ascii="Times New Roman" w:hAnsi="Times New Roman"/>
                <w:szCs w:val="21"/>
              </w:rPr>
              <w:t>成熟月龄</w:t>
            </w:r>
          </w:p>
        </w:tc>
        <w:tc>
          <w:tcPr>
            <w:tcW w:w="2052" w:type="dxa"/>
            <w:vAlign w:val="center"/>
          </w:tcPr>
          <w:p>
            <w:pPr>
              <w:pStyle w:val="11"/>
              <w:adjustRightInd w:val="0"/>
              <w:snapToGrid w:val="0"/>
              <w:spacing w:after="0"/>
              <w:jc w:val="center"/>
              <w:rPr>
                <w:rFonts w:ascii="Times New Roman" w:hAnsi="Times New Roman"/>
                <w:color w:val="FF0000"/>
                <w:szCs w:val="21"/>
              </w:rPr>
            </w:pPr>
            <w:r>
              <w:rPr>
                <w:rFonts w:hint="eastAsia" w:ascii="Times New Roman" w:hAnsi="Times New Roman"/>
                <w:color w:val="FF0000"/>
                <w:szCs w:val="21"/>
                <w:lang w:val="en-US" w:eastAsia="zh-CN"/>
              </w:rPr>
              <w:t>24</w:t>
            </w:r>
            <w:r>
              <w:rPr>
                <w:rFonts w:ascii="Times New Roman" w:hAnsi="Times New Roman"/>
                <w:color w:val="FF0000"/>
                <w:szCs w:val="21"/>
              </w:rPr>
              <w:t>月</w:t>
            </w:r>
          </w:p>
        </w:tc>
        <w:tc>
          <w:tcPr>
            <w:tcW w:w="3434"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pStyle w:val="11"/>
              <w:adjustRightInd w:val="0"/>
              <w:snapToGrid w:val="0"/>
              <w:spacing w:after="0"/>
              <w:jc w:val="center"/>
              <w:rPr>
                <w:rFonts w:ascii="Times New Roman" w:hAnsi="Times New Roman"/>
                <w:szCs w:val="21"/>
              </w:rPr>
            </w:pPr>
            <w:r>
              <w:rPr>
                <w:rFonts w:hint="eastAsia" w:ascii="Times New Roman" w:hAnsi="Times New Roman"/>
                <w:szCs w:val="21"/>
              </w:rPr>
              <w:t>2</w:t>
            </w:r>
          </w:p>
        </w:tc>
        <w:tc>
          <w:tcPr>
            <w:tcW w:w="2426"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每胎产仔数</w:t>
            </w:r>
          </w:p>
        </w:tc>
        <w:tc>
          <w:tcPr>
            <w:tcW w:w="2052" w:type="dxa"/>
            <w:vAlign w:val="center"/>
          </w:tcPr>
          <w:p>
            <w:pPr>
              <w:pStyle w:val="11"/>
              <w:adjustRightInd w:val="0"/>
              <w:snapToGrid w:val="0"/>
              <w:spacing w:after="0"/>
              <w:jc w:val="center"/>
              <w:rPr>
                <w:rFonts w:ascii="Times New Roman" w:hAnsi="Times New Roman"/>
                <w:color w:val="FF0000"/>
                <w:szCs w:val="21"/>
              </w:rPr>
            </w:pPr>
            <w:r>
              <w:rPr>
                <w:rFonts w:ascii="Times New Roman" w:hAnsi="Times New Roman"/>
                <w:color w:val="FF0000"/>
                <w:szCs w:val="21"/>
              </w:rPr>
              <w:t>1</w:t>
            </w:r>
          </w:p>
        </w:tc>
        <w:tc>
          <w:tcPr>
            <w:tcW w:w="3434"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w:t>
            </w:r>
            <w:r>
              <w:rPr>
                <w:rFonts w:hint="eastAsia" w:ascii="Times New Roman" w:hAnsi="Times New Roman"/>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pStyle w:val="11"/>
              <w:adjustRightInd w:val="0"/>
              <w:snapToGrid w:val="0"/>
              <w:spacing w:after="0"/>
              <w:jc w:val="center"/>
              <w:rPr>
                <w:rFonts w:ascii="Times New Roman" w:hAnsi="Times New Roman"/>
                <w:szCs w:val="21"/>
              </w:rPr>
            </w:pPr>
            <w:r>
              <w:rPr>
                <w:rFonts w:hint="eastAsia" w:ascii="Times New Roman" w:hAnsi="Times New Roman"/>
                <w:szCs w:val="21"/>
              </w:rPr>
              <w:t>3</w:t>
            </w:r>
          </w:p>
        </w:tc>
        <w:tc>
          <w:tcPr>
            <w:tcW w:w="2426"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繁殖率</w:t>
            </w:r>
          </w:p>
        </w:tc>
        <w:tc>
          <w:tcPr>
            <w:tcW w:w="2052" w:type="dxa"/>
            <w:vAlign w:val="center"/>
          </w:tcPr>
          <w:p>
            <w:pPr>
              <w:pStyle w:val="11"/>
              <w:adjustRightInd w:val="0"/>
              <w:snapToGrid w:val="0"/>
              <w:spacing w:after="0"/>
              <w:jc w:val="center"/>
              <w:rPr>
                <w:rFonts w:ascii="Times New Roman" w:hAnsi="Times New Roman"/>
                <w:color w:val="FF0000"/>
                <w:szCs w:val="21"/>
              </w:rPr>
            </w:pPr>
            <w:r>
              <w:rPr>
                <w:rFonts w:hint="eastAsia" w:ascii="Times New Roman" w:hAnsi="Times New Roman"/>
                <w:color w:val="FF0000"/>
                <w:szCs w:val="21"/>
                <w:lang w:val="en-US" w:eastAsia="zh-CN"/>
              </w:rPr>
              <w:t>＞79</w:t>
            </w:r>
            <w:r>
              <w:rPr>
                <w:rFonts w:ascii="Times New Roman" w:hAnsi="Times New Roman"/>
                <w:color w:val="FF0000"/>
                <w:szCs w:val="21"/>
              </w:rPr>
              <w:t>%</w:t>
            </w:r>
          </w:p>
        </w:tc>
        <w:tc>
          <w:tcPr>
            <w:tcW w:w="3434"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pStyle w:val="11"/>
              <w:adjustRightInd w:val="0"/>
              <w:snapToGrid w:val="0"/>
              <w:spacing w:after="0"/>
              <w:jc w:val="center"/>
              <w:rPr>
                <w:rFonts w:ascii="Times New Roman" w:hAnsi="Times New Roman"/>
                <w:szCs w:val="21"/>
              </w:rPr>
            </w:pPr>
            <w:r>
              <w:rPr>
                <w:rFonts w:hint="eastAsia" w:ascii="Times New Roman" w:hAnsi="Times New Roman"/>
                <w:szCs w:val="21"/>
              </w:rPr>
              <w:t>5</w:t>
            </w:r>
          </w:p>
        </w:tc>
        <w:tc>
          <w:tcPr>
            <w:tcW w:w="2426"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犊牛成活率</w:t>
            </w:r>
          </w:p>
        </w:tc>
        <w:tc>
          <w:tcPr>
            <w:tcW w:w="2052" w:type="dxa"/>
            <w:vAlign w:val="center"/>
          </w:tcPr>
          <w:p>
            <w:pPr>
              <w:pStyle w:val="11"/>
              <w:adjustRightInd w:val="0"/>
              <w:snapToGrid w:val="0"/>
              <w:spacing w:after="0"/>
              <w:jc w:val="center"/>
              <w:rPr>
                <w:rFonts w:ascii="Times New Roman" w:hAnsi="Times New Roman"/>
                <w:color w:val="FF0000"/>
                <w:szCs w:val="21"/>
              </w:rPr>
            </w:pPr>
            <w:r>
              <w:rPr>
                <w:rFonts w:hint="eastAsia" w:ascii="Times New Roman" w:hAnsi="Times New Roman"/>
                <w:color w:val="FF0000"/>
                <w:szCs w:val="21"/>
                <w:lang w:eastAsia="zh-CN"/>
              </w:rPr>
              <w:t>＞</w:t>
            </w:r>
            <w:r>
              <w:rPr>
                <w:rFonts w:ascii="Times New Roman" w:hAnsi="Times New Roman"/>
                <w:color w:val="FF0000"/>
                <w:szCs w:val="21"/>
              </w:rPr>
              <w:t>9</w:t>
            </w:r>
            <w:r>
              <w:rPr>
                <w:rFonts w:hint="eastAsia" w:ascii="Times New Roman" w:hAnsi="Times New Roman"/>
                <w:color w:val="FF0000"/>
                <w:szCs w:val="21"/>
                <w:lang w:val="en-US" w:eastAsia="zh-CN"/>
              </w:rPr>
              <w:t>7</w:t>
            </w:r>
            <w:r>
              <w:rPr>
                <w:rFonts w:ascii="Times New Roman" w:hAnsi="Times New Roman"/>
                <w:color w:val="FF0000"/>
                <w:szCs w:val="21"/>
              </w:rPr>
              <w:t>%</w:t>
            </w:r>
          </w:p>
        </w:tc>
        <w:tc>
          <w:tcPr>
            <w:tcW w:w="3434"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pStyle w:val="11"/>
              <w:adjustRightInd w:val="0"/>
              <w:snapToGrid w:val="0"/>
              <w:spacing w:after="0"/>
              <w:jc w:val="center"/>
              <w:rPr>
                <w:rFonts w:ascii="Times New Roman" w:hAnsi="Times New Roman"/>
                <w:szCs w:val="21"/>
              </w:rPr>
            </w:pPr>
            <w:r>
              <w:rPr>
                <w:rFonts w:hint="eastAsia" w:ascii="Times New Roman" w:hAnsi="Times New Roman"/>
                <w:szCs w:val="21"/>
              </w:rPr>
              <w:t>6</w:t>
            </w:r>
          </w:p>
        </w:tc>
        <w:tc>
          <w:tcPr>
            <w:tcW w:w="2426"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总受胎率</w:t>
            </w:r>
          </w:p>
        </w:tc>
        <w:tc>
          <w:tcPr>
            <w:tcW w:w="2052" w:type="dxa"/>
            <w:vAlign w:val="center"/>
          </w:tcPr>
          <w:p>
            <w:pPr>
              <w:pStyle w:val="11"/>
              <w:adjustRightInd w:val="0"/>
              <w:snapToGrid w:val="0"/>
              <w:spacing w:after="0"/>
              <w:jc w:val="center"/>
              <w:rPr>
                <w:rFonts w:hint="eastAsia" w:ascii="Times New Roman" w:hAnsi="Times New Roman" w:eastAsia="宋体"/>
                <w:color w:val="FF0000"/>
                <w:szCs w:val="21"/>
                <w:lang w:val="en-US" w:eastAsia="zh-CN"/>
              </w:rPr>
            </w:pPr>
            <w:r>
              <w:rPr>
                <w:rFonts w:hint="eastAsia" w:ascii="Times New Roman" w:hAnsi="Times New Roman"/>
                <w:color w:val="FF0000"/>
                <w:szCs w:val="21"/>
                <w:lang w:eastAsia="zh-CN"/>
              </w:rPr>
              <w:t>＞</w:t>
            </w:r>
            <w:r>
              <w:rPr>
                <w:rFonts w:ascii="Times New Roman" w:hAnsi="Times New Roman"/>
                <w:color w:val="FF0000"/>
                <w:szCs w:val="21"/>
              </w:rPr>
              <w:t>90</w:t>
            </w:r>
            <w:r>
              <w:rPr>
                <w:rFonts w:hint="eastAsia" w:ascii="Times New Roman" w:hAnsi="Times New Roman"/>
                <w:color w:val="FF0000"/>
                <w:szCs w:val="21"/>
                <w:lang w:val="en-US" w:eastAsia="zh-CN"/>
              </w:rPr>
              <w:t>%</w:t>
            </w:r>
          </w:p>
        </w:tc>
        <w:tc>
          <w:tcPr>
            <w:tcW w:w="3434"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9" w:type="dxa"/>
            <w:vAlign w:val="center"/>
          </w:tcPr>
          <w:p>
            <w:pPr>
              <w:pStyle w:val="11"/>
              <w:adjustRightInd w:val="0"/>
              <w:snapToGrid w:val="0"/>
              <w:spacing w:after="0"/>
              <w:jc w:val="center"/>
              <w:rPr>
                <w:rFonts w:ascii="Times New Roman" w:hAnsi="Times New Roman"/>
                <w:szCs w:val="21"/>
              </w:rPr>
            </w:pPr>
            <w:r>
              <w:rPr>
                <w:rFonts w:hint="eastAsia" w:ascii="Times New Roman" w:hAnsi="Times New Roman"/>
                <w:szCs w:val="21"/>
              </w:rPr>
              <w:t>7</w:t>
            </w:r>
          </w:p>
        </w:tc>
        <w:tc>
          <w:tcPr>
            <w:tcW w:w="2426"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更新率</w:t>
            </w:r>
          </w:p>
        </w:tc>
        <w:tc>
          <w:tcPr>
            <w:tcW w:w="2052" w:type="dxa"/>
            <w:vAlign w:val="center"/>
          </w:tcPr>
          <w:p>
            <w:pPr>
              <w:pStyle w:val="11"/>
              <w:adjustRightInd w:val="0"/>
              <w:snapToGrid w:val="0"/>
              <w:spacing w:after="0"/>
              <w:jc w:val="center"/>
              <w:rPr>
                <w:rFonts w:ascii="Times New Roman" w:hAnsi="Times New Roman"/>
                <w:color w:val="FF0000"/>
                <w:szCs w:val="21"/>
              </w:rPr>
            </w:pPr>
            <w:r>
              <w:rPr>
                <w:rFonts w:ascii="Times New Roman" w:hAnsi="Times New Roman"/>
                <w:color w:val="FF0000"/>
                <w:szCs w:val="21"/>
              </w:rPr>
              <w:t>2</w:t>
            </w:r>
            <w:r>
              <w:rPr>
                <w:rFonts w:hint="eastAsia" w:ascii="Times New Roman" w:hAnsi="Times New Roman"/>
                <w:color w:val="FF0000"/>
                <w:szCs w:val="21"/>
                <w:lang w:val="en-US" w:eastAsia="zh-CN"/>
              </w:rPr>
              <w:t>0</w:t>
            </w:r>
            <w:r>
              <w:rPr>
                <w:rFonts w:ascii="Times New Roman" w:hAnsi="Times New Roman"/>
                <w:color w:val="FF0000"/>
                <w:szCs w:val="21"/>
              </w:rPr>
              <w:t>%</w:t>
            </w:r>
          </w:p>
        </w:tc>
        <w:tc>
          <w:tcPr>
            <w:tcW w:w="3434" w:type="dxa"/>
            <w:vAlign w:val="center"/>
          </w:tcPr>
          <w:p>
            <w:pPr>
              <w:pStyle w:val="11"/>
              <w:adjustRightInd w:val="0"/>
              <w:snapToGrid w:val="0"/>
              <w:spacing w:after="0"/>
              <w:jc w:val="center"/>
              <w:rPr>
                <w:rFonts w:ascii="Times New Roman" w:hAnsi="Times New Roman"/>
                <w:szCs w:val="21"/>
              </w:rPr>
            </w:pPr>
            <w:r>
              <w:rPr>
                <w:rFonts w:ascii="Times New Roman" w:hAnsi="Times New Roman"/>
                <w:szCs w:val="21"/>
              </w:rPr>
              <w:t>每年按</w:t>
            </w:r>
            <w:r>
              <w:rPr>
                <w:rFonts w:hint="eastAsia" w:ascii="Times New Roman" w:hAnsi="Times New Roman"/>
                <w:szCs w:val="21"/>
                <w:lang w:val="en-US" w:eastAsia="zh-CN"/>
              </w:rPr>
              <w:t>20</w:t>
            </w:r>
            <w:r>
              <w:rPr>
                <w:rFonts w:ascii="Times New Roman" w:hAnsi="Times New Roman"/>
                <w:szCs w:val="21"/>
              </w:rPr>
              <w:t>%的淘汰率更新，即每年向市场出售淘汰</w:t>
            </w:r>
            <w:r>
              <w:rPr>
                <w:rFonts w:hint="eastAsia" w:ascii="Times New Roman" w:hAnsi="Times New Roman"/>
                <w:szCs w:val="21"/>
              </w:rPr>
              <w:t>基础母牛</w:t>
            </w:r>
            <w:r>
              <w:rPr>
                <w:rFonts w:hint="eastAsia" w:ascii="Times New Roman" w:hAnsi="Times New Roman"/>
                <w:szCs w:val="21"/>
                <w:lang w:val="en-US" w:eastAsia="zh-CN"/>
              </w:rPr>
              <w:t>200</w:t>
            </w:r>
            <w:r>
              <w:rPr>
                <w:rFonts w:ascii="Times New Roman" w:hAnsi="Times New Roman"/>
                <w:szCs w:val="21"/>
              </w:rPr>
              <w:t>头</w:t>
            </w:r>
          </w:p>
        </w:tc>
      </w:tr>
    </w:tbl>
    <w:p>
      <w:pPr>
        <w:pStyle w:val="5"/>
        <w:snapToGrid w:val="0"/>
        <w:spacing w:before="120" w:after="120" w:line="540" w:lineRule="exact"/>
        <w:contextualSpacing/>
        <w:outlineLvl w:val="2"/>
        <w:rPr>
          <w:rFonts w:ascii="Times New Roman" w:hAnsi="Times New Roman" w:eastAsia="宋体"/>
          <w:bCs w:val="0"/>
          <w:sz w:val="24"/>
        </w:rPr>
      </w:pPr>
      <w:bookmarkStart w:id="436" w:name="_Toc16459"/>
      <w:r>
        <w:rPr>
          <w:rFonts w:ascii="Times New Roman" w:hAnsi="Times New Roman" w:eastAsia="宋体"/>
          <w:bCs w:val="0"/>
          <w:sz w:val="24"/>
        </w:rPr>
        <w:t>2.2.</w:t>
      </w:r>
      <w:r>
        <w:rPr>
          <w:rFonts w:hint="eastAsia" w:ascii="Times New Roman" w:hAnsi="Times New Roman" w:eastAsia="宋体"/>
          <w:bCs w:val="0"/>
          <w:sz w:val="24"/>
          <w:lang w:val="en-US" w:eastAsia="zh-CN"/>
        </w:rPr>
        <w:t>3</w:t>
      </w:r>
      <w:r>
        <w:rPr>
          <w:rFonts w:ascii="Times New Roman" w:hAnsi="Times New Roman" w:eastAsia="宋体"/>
          <w:bCs w:val="0"/>
          <w:sz w:val="24"/>
        </w:rPr>
        <w:t>饲养工艺技术方案</w:t>
      </w:r>
    </w:p>
    <w:bookmarkEnd w:id="436"/>
    <w:p>
      <w:pPr>
        <w:pStyle w:val="11"/>
        <w:adjustRightInd w:val="0"/>
        <w:snapToGrid w:val="0"/>
        <w:spacing w:after="0" w:line="540" w:lineRule="exact"/>
        <w:ind w:firstLine="480" w:firstLineChars="200"/>
        <w:rPr>
          <w:rFonts w:ascii="Times New Roman" w:hAnsi="Times New Roman"/>
          <w:sz w:val="24"/>
          <w:szCs w:val="22"/>
        </w:rPr>
      </w:pPr>
      <w:r>
        <w:rPr>
          <w:rFonts w:ascii="Times New Roman" w:hAnsi="Times New Roman"/>
          <w:sz w:val="24"/>
          <w:szCs w:val="22"/>
        </w:rPr>
        <w:t>⑴饲养工艺</w:t>
      </w:r>
    </w:p>
    <w:p>
      <w:pPr>
        <w:pStyle w:val="11"/>
        <w:spacing w:line="540" w:lineRule="exact"/>
        <w:ind w:firstLine="480" w:firstLineChars="200"/>
        <w:rPr>
          <w:rFonts w:ascii="Times New Roman" w:hAnsi="Times New Roman"/>
          <w:sz w:val="24"/>
          <w:szCs w:val="22"/>
        </w:rPr>
      </w:pPr>
      <w:r>
        <w:rPr>
          <w:rFonts w:ascii="Times New Roman" w:hAnsi="Times New Roman"/>
          <w:sz w:val="24"/>
          <w:szCs w:val="22"/>
        </w:rPr>
        <w:t>①饲料加工阶段：</w:t>
      </w:r>
    </w:p>
    <w:p>
      <w:pPr>
        <w:pStyle w:val="11"/>
        <w:spacing w:after="0" w:line="540" w:lineRule="exact"/>
        <w:ind w:firstLine="480" w:firstLineChars="200"/>
        <w:rPr>
          <w:rFonts w:ascii="Times New Roman" w:hAnsi="Times New Roman"/>
          <w:sz w:val="24"/>
          <w:szCs w:val="22"/>
        </w:rPr>
      </w:pPr>
      <w:r>
        <w:rPr>
          <w:rFonts w:hint="eastAsia" w:ascii="Times New Roman" w:hAnsi="Times New Roman"/>
          <w:sz w:val="24"/>
          <w:szCs w:val="22"/>
        </w:rPr>
        <w:t>（一）秸秆青贮</w:t>
      </w:r>
    </w:p>
    <w:p>
      <w:pPr>
        <w:pStyle w:val="11"/>
        <w:spacing w:after="0" w:line="540" w:lineRule="exact"/>
        <w:ind w:firstLine="480" w:firstLineChars="200"/>
        <w:rPr>
          <w:rFonts w:ascii="Times New Roman" w:hAnsi="Times New Roman"/>
          <w:sz w:val="24"/>
          <w:szCs w:val="22"/>
        </w:rPr>
      </w:pPr>
      <w:r>
        <w:rPr>
          <w:rFonts w:hint="eastAsia" w:ascii="Times New Roman" w:hAnsi="Times New Roman"/>
          <w:sz w:val="24"/>
          <w:szCs w:val="22"/>
        </w:rPr>
        <w:t>收割乳熟期的全株玉米、麦后复种的青玉米或收获玉米棒后的秸秆等原料，适时运到窖旁，及时用机械铡切成2～3cm的短节，分层（每层30cm左右）装填进青贮窖，均匀铺平，踩踏压实，待原料装到高出窖口0.5～0.7m时，用塑料薄膜（或覆盖20cm左右厚的麦秸）覆盖后，再压上30cm左右厚的土，要求窖顶中间高、四周低，以利于排水，待其不再下陷时，用草泥封闭。青贮40天左右即可开窖，由少到多添加饲喂肉牛。</w:t>
      </w:r>
    </w:p>
    <w:p>
      <w:pPr>
        <w:pStyle w:val="11"/>
        <w:spacing w:line="540" w:lineRule="exact"/>
        <w:ind w:firstLine="480" w:firstLineChars="200"/>
        <w:rPr>
          <w:rFonts w:ascii="Times New Roman" w:hAnsi="Times New Roman"/>
          <w:sz w:val="24"/>
          <w:szCs w:val="22"/>
        </w:rPr>
      </w:pPr>
      <w:r>
        <w:rPr>
          <w:rFonts w:hint="eastAsia" w:ascii="Times New Roman" w:hAnsi="Times New Roman"/>
          <w:sz w:val="24"/>
          <w:szCs w:val="22"/>
        </w:rPr>
        <w:t>（二）秸秆微贮</w:t>
      </w:r>
    </w:p>
    <w:p>
      <w:pPr>
        <w:pStyle w:val="11"/>
        <w:spacing w:after="0" w:line="540" w:lineRule="exact"/>
        <w:ind w:firstLine="480" w:firstLineChars="200"/>
        <w:rPr>
          <w:rFonts w:ascii="Times New Roman" w:hAnsi="Times New Roman"/>
          <w:sz w:val="24"/>
          <w:szCs w:val="22"/>
        </w:rPr>
      </w:pPr>
      <w:r>
        <w:rPr>
          <w:rFonts w:hint="eastAsia" w:ascii="Times New Roman" w:hAnsi="Times New Roman"/>
          <w:sz w:val="24"/>
          <w:szCs w:val="22"/>
          <w:highlight w:val="none"/>
        </w:rPr>
        <w:t>将玉米秸秆或小麦秸等原料，用</w:t>
      </w:r>
      <w:r>
        <w:rPr>
          <w:rFonts w:hint="eastAsia" w:ascii="Times New Roman" w:hAnsi="Times New Roman"/>
          <w:sz w:val="24"/>
          <w:szCs w:val="22"/>
          <w:highlight w:val="none"/>
          <w:lang w:eastAsia="zh-CN"/>
        </w:rPr>
        <w:t>粉碎机粉碎处理</w:t>
      </w:r>
      <w:r>
        <w:rPr>
          <w:rFonts w:hint="eastAsia" w:ascii="Times New Roman" w:hAnsi="Times New Roman"/>
          <w:sz w:val="24"/>
          <w:szCs w:val="22"/>
          <w:highlight w:val="none"/>
        </w:rPr>
        <w:t>。</w:t>
      </w:r>
      <w:r>
        <w:rPr>
          <w:rFonts w:hint="eastAsia" w:ascii="Times New Roman" w:hAnsi="Times New Roman"/>
          <w:sz w:val="24"/>
          <w:szCs w:val="22"/>
        </w:rPr>
        <w:t>每吨微贮原料用微贮活干菌3.0g，充分溶解于200ml 1％的白糖水溶液中，常温下放置1～2h。将复活的菌剂充分溶解到0.8％～1.0％食盐水中，搅拌均匀。食盐水的量以调微贮原料含水量到60％～70％为宜。在窖底铺放20～30cm厚的秸秆原料，然后均匀喷洒菌液和5％～10％玉米粉或麸皮，再压实。一层一层的铺放、压实，直至高出窖口50～70cm。填装结束后，均匀喷洒菌液、玉米粉或麸皮，再按250g/m</w:t>
      </w:r>
      <w:r>
        <w:rPr>
          <w:rFonts w:hint="eastAsia" w:ascii="Times New Roman" w:hAnsi="Times New Roman"/>
          <w:sz w:val="24"/>
          <w:szCs w:val="22"/>
          <w:vertAlign w:val="superscript"/>
        </w:rPr>
        <w:t>2</w:t>
      </w:r>
      <w:r>
        <w:rPr>
          <w:rFonts w:hint="eastAsia" w:ascii="Times New Roman" w:hAnsi="Times New Roman"/>
          <w:sz w:val="24"/>
          <w:szCs w:val="22"/>
        </w:rPr>
        <w:t>撒一层食盐，压实后，盖上塑料膜。塑料膜上加盖20～30cm厚的未铡短的秸秆，然后覆土15～20cm厚，密封。一般发酵30～45天即可开窖，由少到多添加</w:t>
      </w:r>
      <w:r>
        <w:rPr>
          <w:rFonts w:hint="eastAsia" w:ascii="Times New Roman" w:hAnsi="Times New Roman"/>
          <w:sz w:val="24"/>
          <w:szCs w:val="22"/>
          <w:lang w:eastAsia="zh-CN"/>
        </w:rPr>
        <w:t>进行</w:t>
      </w:r>
      <w:r>
        <w:rPr>
          <w:rFonts w:hint="eastAsia" w:ascii="Times New Roman" w:hAnsi="Times New Roman"/>
          <w:sz w:val="24"/>
          <w:szCs w:val="22"/>
        </w:rPr>
        <w:t>饲喂。</w:t>
      </w:r>
    </w:p>
    <w:p>
      <w:pPr>
        <w:pStyle w:val="11"/>
        <w:spacing w:after="0" w:line="540" w:lineRule="exact"/>
        <w:ind w:firstLine="480" w:firstLineChars="200"/>
        <w:rPr>
          <w:rFonts w:ascii="Times New Roman" w:hAnsi="Times New Roman"/>
          <w:sz w:val="24"/>
          <w:szCs w:val="22"/>
        </w:rPr>
      </w:pPr>
      <w:r>
        <w:rPr>
          <w:rFonts w:hint="eastAsia" w:ascii="Times New Roman" w:hAnsi="Times New Roman"/>
          <w:sz w:val="24"/>
          <w:szCs w:val="22"/>
        </w:rPr>
        <w:t>（三）秸秆酶贮</w:t>
      </w:r>
    </w:p>
    <w:p>
      <w:pPr>
        <w:pStyle w:val="11"/>
        <w:spacing w:after="0" w:line="540" w:lineRule="exact"/>
        <w:ind w:firstLine="480" w:firstLineChars="200"/>
        <w:rPr>
          <w:rFonts w:ascii="Times New Roman" w:hAnsi="Times New Roman"/>
          <w:sz w:val="24"/>
          <w:szCs w:val="22"/>
        </w:rPr>
      </w:pPr>
      <w:r>
        <w:rPr>
          <w:rFonts w:hint="eastAsia" w:ascii="Times New Roman" w:hAnsi="Times New Roman"/>
          <w:sz w:val="24"/>
          <w:szCs w:val="22"/>
        </w:rPr>
        <w:t>将玉米秸秆、苜蓿或小麦秸等原料，用机械铡切为2～3cm或粉碎、揉丝。每吨秸秆需混合1千克青贮饲料专用酶、4-5千克食盐和10千克麸皮或玉米面。将混合好的青贮饲料专用酶、食盐、麸皮或玉米面均匀地撒在秸秆中，按照秸秆与水1：1-1.5的比例洒水，使原料含水量达到60％～70％为宜，然后充分拌匀。将拌好的秸秆分层装入酶贮池，每50 cm左右厚为一层。直至高出窖口50～70cm。在最上面一层铺上干稻草或麦草，再按青贮饲料专用酶10克/ m</w:t>
      </w:r>
      <w:r>
        <w:rPr>
          <w:rFonts w:hint="eastAsia" w:ascii="Times New Roman" w:hAnsi="Times New Roman"/>
          <w:sz w:val="24"/>
          <w:szCs w:val="22"/>
          <w:vertAlign w:val="superscript"/>
        </w:rPr>
        <w:t>2</w:t>
      </w:r>
      <w:r>
        <w:rPr>
          <w:rFonts w:hint="eastAsia" w:ascii="Times New Roman" w:hAnsi="Times New Roman"/>
          <w:sz w:val="24"/>
          <w:szCs w:val="22"/>
        </w:rPr>
        <w:t>、食盐250g/m</w:t>
      </w:r>
      <w:r>
        <w:rPr>
          <w:rFonts w:hint="eastAsia" w:ascii="Times New Roman" w:hAnsi="Times New Roman"/>
          <w:sz w:val="24"/>
          <w:szCs w:val="22"/>
          <w:vertAlign w:val="superscript"/>
        </w:rPr>
        <w:t>2</w:t>
      </w:r>
      <w:r>
        <w:rPr>
          <w:rFonts w:hint="eastAsia" w:ascii="Times New Roman" w:hAnsi="Times New Roman"/>
          <w:sz w:val="24"/>
          <w:szCs w:val="22"/>
        </w:rPr>
        <w:t>均匀撒一层，用双层塑料薄膜封顶。塑料膜上用30～50cm厚的土或泥压实、封严。一般夏秋季贮存15-30天，冬春季45天以上，即可开窖，由少到多添加</w:t>
      </w:r>
      <w:r>
        <w:rPr>
          <w:rFonts w:hint="eastAsia" w:ascii="Times New Roman" w:hAnsi="Times New Roman"/>
          <w:sz w:val="24"/>
          <w:szCs w:val="22"/>
          <w:lang w:eastAsia="zh-CN"/>
        </w:rPr>
        <w:t>进行</w:t>
      </w:r>
      <w:r>
        <w:rPr>
          <w:rFonts w:hint="eastAsia" w:ascii="Times New Roman" w:hAnsi="Times New Roman"/>
          <w:sz w:val="24"/>
          <w:szCs w:val="22"/>
        </w:rPr>
        <w:t>饲喂。</w:t>
      </w:r>
    </w:p>
    <w:p>
      <w:pPr>
        <w:pStyle w:val="11"/>
        <w:spacing w:after="0" w:line="540" w:lineRule="exact"/>
        <w:ind w:firstLine="480" w:firstLineChars="200"/>
        <w:rPr>
          <w:rFonts w:ascii="Times New Roman" w:hAnsi="Times New Roman"/>
          <w:sz w:val="24"/>
          <w:szCs w:val="22"/>
        </w:rPr>
      </w:pPr>
      <w:r>
        <w:rPr>
          <w:rFonts w:ascii="Times New Roman" w:hAnsi="Times New Roman"/>
          <w:sz w:val="24"/>
          <w:szCs w:val="22"/>
        </w:rPr>
        <w:fldChar w:fldCharType="begin"/>
      </w:r>
      <w:r>
        <w:rPr>
          <w:rFonts w:ascii="Times New Roman" w:hAnsi="Times New Roman"/>
          <w:sz w:val="24"/>
          <w:szCs w:val="22"/>
        </w:rPr>
        <w:instrText xml:space="preserve"> = 2 \* GB3 \* MERGEFORMAT </w:instrText>
      </w:r>
      <w:r>
        <w:rPr>
          <w:rFonts w:ascii="Times New Roman" w:hAnsi="Times New Roman"/>
          <w:sz w:val="24"/>
          <w:szCs w:val="22"/>
        </w:rPr>
        <w:fldChar w:fldCharType="separate"/>
      </w:r>
      <w:r>
        <w:t>②</w:t>
      </w:r>
      <w:r>
        <w:rPr>
          <w:rFonts w:ascii="Times New Roman" w:hAnsi="Times New Roman"/>
          <w:sz w:val="24"/>
          <w:szCs w:val="22"/>
        </w:rPr>
        <w:fldChar w:fldCharType="end"/>
      </w:r>
      <w:r>
        <w:rPr>
          <w:rFonts w:ascii="Times New Roman" w:hAnsi="Times New Roman"/>
          <w:sz w:val="24"/>
          <w:szCs w:val="22"/>
        </w:rPr>
        <w:t>饲养管理：粗饲料主要为青贮、苜蓿、</w:t>
      </w:r>
      <w:r>
        <w:rPr>
          <w:rFonts w:hint="eastAsia" w:ascii="Times New Roman" w:hAnsi="Times New Roman"/>
          <w:color w:val="FF0000"/>
          <w:sz w:val="24"/>
          <w:szCs w:val="22"/>
          <w:lang w:eastAsia="zh-CN"/>
        </w:rPr>
        <w:t>麦草</w:t>
      </w:r>
      <w:r>
        <w:rPr>
          <w:rFonts w:ascii="Times New Roman" w:hAnsi="Times New Roman"/>
          <w:sz w:val="24"/>
          <w:szCs w:val="22"/>
        </w:rPr>
        <w:t>等，精饲料为玉米、棉籽、 油饼、菜柏等，全部采购自当地及周边农户。饲料喂养时主要涉及精、粗饲料破碎等工 序，饲喂精、粗混合搭配，先粗后精，先干后湿，同时饲料里添加沙皂素等除臭剂。圈 舍内保持清洁卫生，每天彻底清除剩余饲料，定期消毒除臭。</w:t>
      </w:r>
      <w:r>
        <w:rPr>
          <w:rFonts w:hint="eastAsia" w:ascii="Times New Roman" w:hAnsi="Times New Roman"/>
          <w:sz w:val="24"/>
          <w:szCs w:val="22"/>
        </w:rPr>
        <w:t>秸秆饲料生产及饲喂流程图如下：</w:t>
      </w:r>
    </w:p>
    <w:p>
      <w:pPr>
        <w:spacing w:line="360" w:lineRule="auto"/>
        <w:ind w:firstLine="481" w:firstLineChars="200"/>
        <w:jc w:val="center"/>
        <w:rPr>
          <w:rFonts w:ascii="宋体" w:hAnsi="宋体" w:cs="宋体"/>
          <w:b/>
          <w:bCs/>
          <w:sz w:val="24"/>
        </w:rPr>
      </w:pPr>
      <w:r>
        <w:rPr>
          <w:rFonts w:hint="eastAsia" w:ascii="宋体" w:hAnsi="宋体" w:cs="宋体"/>
          <w:b/>
          <w:bCs/>
          <w:sz w:val="24"/>
        </w:rPr>
        <w:drawing>
          <wp:inline distT="0" distB="0" distL="114300" distR="114300">
            <wp:extent cx="4522470" cy="4498975"/>
            <wp:effectExtent l="0" t="0" r="0" b="0"/>
            <wp:docPr id="60" name="ECB019B1-382A-4266-B25C-5B523AA43C14-2" descr="C:/Users/Administrator/AppData/Local/Temp/wps.cFqlnu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CB019B1-382A-4266-B25C-5B523AA43C14-2" descr="C:/Users/Administrator/AppData/Local/Temp/wps.cFqlnuwps"/>
                    <pic:cNvPicPr>
                      <a:picLocks noChangeAspect="1"/>
                    </pic:cNvPicPr>
                  </pic:nvPicPr>
                  <pic:blipFill>
                    <a:blip r:embed="rId33"/>
                    <a:stretch>
                      <a:fillRect/>
                    </a:stretch>
                  </pic:blipFill>
                  <pic:spPr>
                    <a:xfrm>
                      <a:off x="0" y="0"/>
                      <a:ext cx="4522470" cy="4498975"/>
                    </a:xfrm>
                    <a:prstGeom prst="rect">
                      <a:avLst/>
                    </a:prstGeom>
                  </pic:spPr>
                </pic:pic>
              </a:graphicData>
            </a:graphic>
          </wp:inline>
        </w:drawing>
      </w:r>
    </w:p>
    <w:p>
      <w:pPr>
        <w:spacing w:line="360" w:lineRule="auto"/>
        <w:ind w:firstLine="481" w:firstLineChars="200"/>
        <w:jc w:val="center"/>
        <w:rPr>
          <w:rFonts w:ascii="宋体" w:hAnsi="宋体" w:cs="宋体"/>
          <w:sz w:val="24"/>
        </w:rPr>
      </w:pPr>
      <w:r>
        <w:rPr>
          <w:rFonts w:ascii="Times New Roman" w:hAnsi="Times New Roman"/>
          <w:b/>
          <w:bCs/>
          <w:sz w:val="24"/>
        </w:rPr>
        <w:t>图2.2-2秸秆饲</w:t>
      </w:r>
      <w:r>
        <w:rPr>
          <w:rFonts w:hint="eastAsia" w:ascii="宋体" w:hAnsi="宋体" w:cs="宋体"/>
          <w:b/>
          <w:bCs/>
          <w:sz w:val="24"/>
        </w:rPr>
        <w:t>料生产及饲喂流程图</w:t>
      </w:r>
    </w:p>
    <w:p>
      <w:pPr>
        <w:pStyle w:val="11"/>
        <w:spacing w:after="0" w:line="540" w:lineRule="exact"/>
        <w:ind w:firstLine="480" w:firstLineChars="200"/>
        <w:rPr>
          <w:rFonts w:ascii="Times New Roman" w:hAnsi="Times New Roman"/>
          <w:sz w:val="24"/>
          <w:szCs w:val="22"/>
        </w:rPr>
      </w:pPr>
      <w:r>
        <w:rPr>
          <w:rFonts w:ascii="Times New Roman" w:hAnsi="Times New Roman"/>
          <w:sz w:val="24"/>
          <w:szCs w:val="22"/>
        </w:rPr>
        <w:t>④牛疫病防治：疫病防控包括消毒和灭菌、免疫接种，按规程进行免疫接种、卫生消毒、定期保健护理等。</w:t>
      </w:r>
    </w:p>
    <w:p>
      <w:pPr>
        <w:pStyle w:val="11"/>
        <w:adjustRightInd w:val="0"/>
        <w:snapToGrid w:val="0"/>
        <w:spacing w:after="0" w:line="540" w:lineRule="exact"/>
        <w:ind w:firstLine="480" w:firstLineChars="200"/>
        <w:rPr>
          <w:rFonts w:ascii="Times New Roman" w:hAnsi="Times New Roman"/>
          <w:color w:val="FF0000"/>
          <w:sz w:val="24"/>
          <w:szCs w:val="22"/>
          <w:lang w:val="en-GB"/>
        </w:rPr>
      </w:pPr>
      <w:r>
        <w:rPr>
          <w:rFonts w:ascii="Times New Roman" w:hAnsi="Times New Roman"/>
          <w:sz w:val="24"/>
          <w:szCs w:val="22"/>
        </w:rPr>
        <w:t>⑤</w:t>
      </w:r>
      <w:r>
        <w:rPr>
          <w:rFonts w:hint="eastAsia" w:ascii="Times New Roman" w:hAnsi="Times New Roman"/>
          <w:sz w:val="24"/>
          <w:szCs w:val="22"/>
          <w:lang w:eastAsia="zh-CN"/>
        </w:rPr>
        <w:t>干</w:t>
      </w:r>
      <w:r>
        <w:rPr>
          <w:rFonts w:ascii="Times New Roman" w:hAnsi="Times New Roman"/>
          <w:sz w:val="24"/>
          <w:szCs w:val="22"/>
        </w:rPr>
        <w:t>清粪工艺</w:t>
      </w:r>
      <w:r>
        <w:rPr>
          <w:rFonts w:ascii="Times New Roman" w:hAnsi="Times New Roman"/>
          <w:sz w:val="24"/>
          <w:szCs w:val="22"/>
          <w:lang w:val="en-GB"/>
        </w:rPr>
        <w:t>：</w:t>
      </w:r>
      <w:r>
        <w:rPr>
          <w:rFonts w:hint="eastAsia" w:ascii="Times New Roman" w:hAnsi="Times New Roman"/>
          <w:sz w:val="24"/>
          <w:szCs w:val="22"/>
          <w:lang w:val="en-GB"/>
        </w:rPr>
        <w:t>牛</w:t>
      </w:r>
      <w:r>
        <w:rPr>
          <w:rFonts w:hint="eastAsia" w:ascii="Times New Roman" w:hAnsi="Times New Roman"/>
          <w:color w:val="FF0000"/>
          <w:sz w:val="24"/>
          <w:szCs w:val="22"/>
          <w:lang w:val="en-GB"/>
        </w:rPr>
        <w:t>尿大部分蒸发，少量牛尿由牛舍垫料(主要为牛粪、沙土)吸收，根据《畜禽养殖业污染防治技术规范》(HJ/T81-2001)和《畜禽养殖业污染治理工程技术规范》(HJ497-2009)，本项目采用干清粪工艺每天将养殖棚粪便及时清出，送至</w:t>
      </w:r>
      <w:r>
        <w:rPr>
          <w:rFonts w:hint="eastAsia" w:ascii="Times New Roman" w:hAnsi="Times New Roman"/>
          <w:color w:val="FF0000"/>
          <w:sz w:val="24"/>
          <w:szCs w:val="22"/>
          <w:lang w:val="en-GB" w:eastAsia="zh-CN"/>
        </w:rPr>
        <w:t>积粪场</w:t>
      </w:r>
      <w:r>
        <w:rPr>
          <w:rFonts w:hint="eastAsia" w:ascii="Times New Roman" w:hAnsi="Times New Roman"/>
          <w:color w:val="FF0000"/>
          <w:sz w:val="24"/>
          <w:szCs w:val="22"/>
          <w:lang w:val="en-GB"/>
        </w:rPr>
        <w:t>，能够有效减少恶臭的产生。</w:t>
      </w:r>
    </w:p>
    <w:p>
      <w:pPr>
        <w:pStyle w:val="11"/>
        <w:adjustRightInd w:val="0"/>
        <w:snapToGrid w:val="0"/>
        <w:spacing w:after="0" w:line="540" w:lineRule="exact"/>
        <w:ind w:firstLine="480" w:firstLineChars="200"/>
        <w:rPr>
          <w:rFonts w:ascii="Times New Roman" w:hAnsi="Times New Roman"/>
          <w:b/>
          <w:bCs/>
          <w:sz w:val="24"/>
        </w:rPr>
      </w:pPr>
      <w:r>
        <w:rPr>
          <w:rFonts w:hint="eastAsia" w:ascii="Times New Roman" w:hAnsi="Times New Roman"/>
          <w:color w:val="FF0000"/>
          <w:sz w:val="24"/>
          <w:szCs w:val="22"/>
          <w:lang w:val="en-GB"/>
        </w:rPr>
        <w:t>另外，牛舍垫料每半年清理一次，清理前将牛舍牛只赶至其他牛舍，上层牛粪(约</w:t>
      </w:r>
      <w:r>
        <w:rPr>
          <w:rFonts w:ascii="Times New Roman" w:hAnsi="Times New Roman"/>
          <w:color w:val="FF0000"/>
          <w:sz w:val="24"/>
          <w:szCs w:val="22"/>
          <w:lang w:val="en-GB"/>
        </w:rPr>
        <w:t>10cm</w:t>
      </w:r>
      <w:r>
        <w:rPr>
          <w:rFonts w:hint="eastAsia" w:ascii="Times New Roman" w:hAnsi="Times New Roman"/>
          <w:color w:val="FF0000"/>
          <w:sz w:val="24"/>
          <w:szCs w:val="22"/>
          <w:lang w:val="en-GB"/>
        </w:rPr>
        <w:t>)清理后运</w:t>
      </w:r>
      <w:r>
        <w:rPr>
          <w:rFonts w:hint="eastAsia" w:ascii="Times New Roman" w:hAnsi="Times New Roman"/>
          <w:color w:val="FF0000"/>
          <w:sz w:val="24"/>
          <w:szCs w:val="22"/>
          <w:lang w:val="en-GB" w:eastAsia="zh-CN"/>
        </w:rPr>
        <w:t>积粪场</w:t>
      </w:r>
      <w:r>
        <w:rPr>
          <w:rFonts w:hint="eastAsia" w:ascii="Times New Roman" w:hAnsi="Times New Roman"/>
          <w:color w:val="FF0000"/>
          <w:sz w:val="24"/>
          <w:szCs w:val="22"/>
          <w:lang w:val="en-GB"/>
        </w:rPr>
        <w:t>，下层垫土(约1</w:t>
      </w:r>
      <w:r>
        <w:rPr>
          <w:rFonts w:ascii="Times New Roman" w:hAnsi="Times New Roman"/>
          <w:color w:val="FF0000"/>
          <w:sz w:val="24"/>
          <w:szCs w:val="22"/>
          <w:lang w:val="en-GB"/>
        </w:rPr>
        <w:t>0cm</w:t>
      </w:r>
      <w:r>
        <w:rPr>
          <w:rFonts w:hint="eastAsia" w:ascii="Times New Roman" w:hAnsi="Times New Roman"/>
          <w:color w:val="FF0000"/>
          <w:sz w:val="24"/>
          <w:szCs w:val="22"/>
          <w:lang w:val="en-GB"/>
        </w:rPr>
        <w:t>)在牛舍内消毒晾晒1</w:t>
      </w:r>
      <w:r>
        <w:rPr>
          <w:rFonts w:ascii="Times New Roman" w:hAnsi="Times New Roman"/>
          <w:color w:val="FF0000"/>
          <w:sz w:val="24"/>
          <w:szCs w:val="22"/>
          <w:lang w:val="en-GB"/>
        </w:rPr>
        <w:t>5</w:t>
      </w:r>
      <w:r>
        <w:rPr>
          <w:rFonts w:hint="eastAsia" w:ascii="Times New Roman" w:hAnsi="Times New Roman"/>
          <w:color w:val="FF0000"/>
          <w:sz w:val="24"/>
          <w:szCs w:val="22"/>
          <w:lang w:val="en-GB"/>
        </w:rPr>
        <w:t>天后重复使用并少量补充，清理为轮换作业。</w:t>
      </w:r>
    </w:p>
    <w:p>
      <w:pPr>
        <w:pStyle w:val="11"/>
        <w:spacing w:before="26" w:line="540" w:lineRule="exact"/>
        <w:ind w:right="255"/>
        <w:outlineLvl w:val="2"/>
        <w:rPr>
          <w:rFonts w:ascii="Times New Roman" w:hAnsi="Times New Roman"/>
          <w:b/>
          <w:bCs/>
          <w:sz w:val="24"/>
        </w:rPr>
      </w:pPr>
      <w:r>
        <w:rPr>
          <w:rFonts w:ascii="Times New Roman" w:hAnsi="Times New Roman"/>
          <w:b/>
          <w:bCs/>
          <w:sz w:val="24"/>
        </w:rPr>
        <w:t>2.2.</w:t>
      </w:r>
      <w:r>
        <w:rPr>
          <w:rFonts w:hint="eastAsia" w:ascii="Times New Roman" w:hAnsi="Times New Roman"/>
          <w:b/>
          <w:bCs/>
          <w:sz w:val="24"/>
          <w:lang w:val="en-US" w:eastAsia="zh-CN"/>
        </w:rPr>
        <w:t>4</w:t>
      </w:r>
      <w:r>
        <w:rPr>
          <w:rFonts w:ascii="Times New Roman" w:hAnsi="Times New Roman"/>
          <w:b/>
          <w:bCs/>
          <w:sz w:val="24"/>
        </w:rPr>
        <w:t>饮水方式</w:t>
      </w:r>
    </w:p>
    <w:p>
      <w:pPr>
        <w:pStyle w:val="11"/>
        <w:adjustRightInd w:val="0"/>
        <w:snapToGrid w:val="0"/>
        <w:spacing w:after="0" w:line="540" w:lineRule="exact"/>
        <w:ind w:firstLine="480" w:firstLineChars="200"/>
        <w:rPr>
          <w:rFonts w:ascii="Times New Roman" w:hAnsi="Times New Roman"/>
          <w:sz w:val="24"/>
          <w:szCs w:val="22"/>
          <w:lang w:val="en-GB"/>
        </w:rPr>
      </w:pPr>
      <w:r>
        <w:rPr>
          <w:rFonts w:ascii="Times New Roman" w:hAnsi="Times New Roman"/>
          <w:sz w:val="24"/>
          <w:szCs w:val="22"/>
          <w:lang w:val="en-GB"/>
        </w:rPr>
        <w:t>采用</w:t>
      </w:r>
      <w:r>
        <w:rPr>
          <w:rFonts w:hint="eastAsia" w:ascii="Times New Roman" w:hAnsi="Times New Roman"/>
          <w:sz w:val="24"/>
          <w:szCs w:val="22"/>
          <w:lang w:val="en-GB"/>
        </w:rPr>
        <w:t>牛棚</w:t>
      </w:r>
      <w:r>
        <w:rPr>
          <w:rFonts w:ascii="Times New Roman" w:hAnsi="Times New Roman"/>
          <w:sz w:val="24"/>
          <w:szCs w:val="22"/>
          <w:lang w:val="en-GB"/>
        </w:rPr>
        <w:t>内饮水槽、运动场饮水槽自由饮水方式。</w:t>
      </w:r>
    </w:p>
    <w:p>
      <w:pPr>
        <w:pStyle w:val="11"/>
        <w:adjustRightInd w:val="0"/>
        <w:snapToGrid w:val="0"/>
        <w:spacing w:after="0" w:line="540" w:lineRule="exact"/>
        <w:ind w:firstLine="480" w:firstLineChars="200"/>
        <w:rPr>
          <w:rFonts w:ascii="Times New Roman" w:hAnsi="Times New Roman"/>
          <w:sz w:val="24"/>
          <w:szCs w:val="22"/>
          <w:lang w:val="en-GB"/>
        </w:rPr>
      </w:pPr>
      <w:r>
        <w:rPr>
          <w:rFonts w:ascii="Times New Roman" w:hAnsi="Times New Roman"/>
          <w:sz w:val="24"/>
          <w:szCs w:val="22"/>
          <w:lang w:val="en-GB"/>
        </w:rPr>
        <w:t>自控饮水槽改变了饮水与饲料喂养合槽的传统方式，项目饮水槽为自动补水系统，当水位低于一定界面后，会自动补水至设计高度，快捷方便。且饮水槽与饲料分开，大量的节约了水资源和提高了饲料的利用率。</w:t>
      </w:r>
    </w:p>
    <w:p>
      <w:pPr>
        <w:pStyle w:val="5"/>
        <w:snapToGrid w:val="0"/>
        <w:spacing w:before="120" w:after="120" w:line="540" w:lineRule="exact"/>
        <w:contextualSpacing/>
        <w:outlineLvl w:val="2"/>
        <w:rPr>
          <w:rFonts w:ascii="Times New Roman" w:hAnsi="Times New Roman" w:eastAsia="宋体"/>
          <w:bCs w:val="0"/>
          <w:sz w:val="24"/>
        </w:rPr>
      </w:pPr>
      <w:r>
        <w:rPr>
          <w:rFonts w:ascii="Times New Roman" w:hAnsi="Times New Roman" w:eastAsia="宋体"/>
          <w:bCs w:val="0"/>
          <w:sz w:val="24"/>
        </w:rPr>
        <w:t>2.2.</w:t>
      </w:r>
      <w:r>
        <w:rPr>
          <w:rFonts w:hint="eastAsia" w:ascii="Times New Roman" w:hAnsi="Times New Roman" w:eastAsia="宋体"/>
          <w:bCs w:val="0"/>
          <w:sz w:val="24"/>
          <w:lang w:val="en-US" w:eastAsia="zh-CN"/>
        </w:rPr>
        <w:t>5</w:t>
      </w:r>
      <w:r>
        <w:rPr>
          <w:rFonts w:ascii="Times New Roman" w:hAnsi="Times New Roman" w:eastAsia="宋体"/>
          <w:bCs w:val="0"/>
          <w:sz w:val="24"/>
        </w:rPr>
        <w:t>消毒方式</w:t>
      </w:r>
    </w:p>
    <w:p>
      <w:pPr>
        <w:pStyle w:val="11"/>
        <w:spacing w:line="540" w:lineRule="exact"/>
        <w:ind w:left="198" w:right="317" w:firstLine="480" w:firstLineChars="200"/>
        <w:rPr>
          <w:rFonts w:ascii="Times New Roman" w:hAnsi="Times New Roman"/>
          <w:sz w:val="24"/>
          <w:szCs w:val="22"/>
          <w:lang w:val="en-GB"/>
        </w:rPr>
      </w:pPr>
      <w:r>
        <w:rPr>
          <w:rFonts w:ascii="Times New Roman" w:hAnsi="Times New Roman"/>
          <w:sz w:val="24"/>
          <w:szCs w:val="22"/>
          <w:lang w:val="en-GB"/>
        </w:rPr>
        <w:t>本项目场区内设有消毒室，进场人员先进入消毒室内消毒再进入饲养区，饲养区有围墙，隔绝与外界往来，内设饲料运输和人员流动专用通道、清粪专用通道。</w:t>
      </w:r>
      <w:bookmarkStart w:id="437" w:name="_Toc1920"/>
    </w:p>
    <w:bookmarkEnd w:id="437"/>
    <w:p>
      <w:pPr>
        <w:pStyle w:val="51"/>
        <w:snapToGrid w:val="0"/>
        <w:spacing w:before="0" w:beforeLines="0" w:after="0" w:afterLines="0" w:line="540" w:lineRule="exact"/>
        <w:contextualSpacing/>
        <w:rPr>
          <w:rFonts w:cs="Times New Roman"/>
          <w:bCs w:val="0"/>
          <w:snapToGrid w:val="0"/>
          <w:kern w:val="0"/>
          <w:sz w:val="30"/>
          <w:szCs w:val="30"/>
        </w:rPr>
      </w:pPr>
      <w:bookmarkStart w:id="438" w:name="_Toc1978"/>
      <w:bookmarkStart w:id="439" w:name="_Toc11728"/>
      <w:r>
        <w:rPr>
          <w:rFonts w:hint="eastAsia" w:cs="Times New Roman"/>
          <w:bCs w:val="0"/>
          <w:snapToGrid w:val="0"/>
          <w:kern w:val="0"/>
          <w:sz w:val="30"/>
          <w:szCs w:val="30"/>
        </w:rPr>
        <w:t>2.3</w:t>
      </w:r>
      <w:r>
        <w:rPr>
          <w:rFonts w:cs="Times New Roman"/>
          <w:bCs w:val="0"/>
          <w:snapToGrid w:val="0"/>
          <w:kern w:val="0"/>
          <w:sz w:val="30"/>
          <w:szCs w:val="30"/>
        </w:rPr>
        <w:t>施工期污染因素分析</w:t>
      </w:r>
      <w:bookmarkEnd w:id="438"/>
      <w:bookmarkEnd w:id="439"/>
    </w:p>
    <w:p>
      <w:pPr>
        <w:pStyle w:val="2"/>
        <w:snapToGrid/>
        <w:spacing w:line="540" w:lineRule="exact"/>
        <w:ind w:firstLine="480" w:firstLineChars="200"/>
        <w:jc w:val="both"/>
        <w:rPr>
          <w:rFonts w:ascii="Times New Roman" w:hAnsi="Times New Roman"/>
          <w:sz w:val="24"/>
          <w:szCs w:val="22"/>
        </w:rPr>
      </w:pPr>
      <w:r>
        <w:rPr>
          <w:rFonts w:ascii="Times New Roman" w:hAnsi="Times New Roman"/>
          <w:sz w:val="24"/>
          <w:lang w:val="zh-CN"/>
        </w:rPr>
        <w:t>本项目建设地点位于</w:t>
      </w:r>
      <w:r>
        <w:rPr>
          <w:rFonts w:hint="eastAsia" w:ascii="Times New Roman" w:hAnsi="Times New Roman"/>
          <w:sz w:val="24"/>
          <w:lang w:val="zh-CN"/>
        </w:rPr>
        <w:t>固原市隆德县神林乡神林村</w:t>
      </w:r>
      <w:r>
        <w:rPr>
          <w:rFonts w:ascii="Times New Roman" w:hAnsi="Times New Roman"/>
          <w:bCs/>
          <w:kern w:val="0"/>
          <w:sz w:val="24"/>
          <w:lang w:val="zh-CN"/>
        </w:rPr>
        <w:t>，</w:t>
      </w:r>
      <w:r>
        <w:rPr>
          <w:rFonts w:ascii="Times New Roman" w:hAnsi="Times New Roman"/>
          <w:sz w:val="24"/>
          <w:szCs w:val="22"/>
        </w:rPr>
        <w:t>针对项目实际和当地气候、环境等特点，项目在施工期对环境的主要污染因素有废气和扬尘、废水、噪声、建筑施工垃圾和生态植被破坏等。</w:t>
      </w:r>
    </w:p>
    <w:p>
      <w:pPr>
        <w:pStyle w:val="52"/>
        <w:tabs>
          <w:tab w:val="left" w:pos="284"/>
        </w:tabs>
        <w:snapToGrid w:val="0"/>
        <w:spacing w:after="0" w:afterLines="0" w:line="540" w:lineRule="exact"/>
        <w:contextualSpacing/>
        <w:rPr>
          <w:rFonts w:cs="Times New Roman"/>
          <w:bCs w:val="0"/>
          <w:snapToGrid w:val="0"/>
          <w:kern w:val="0"/>
          <w:sz w:val="28"/>
          <w:szCs w:val="28"/>
        </w:rPr>
      </w:pPr>
      <w:bookmarkStart w:id="440" w:name="_Toc7478"/>
      <w:r>
        <w:rPr>
          <w:rFonts w:cs="Times New Roman"/>
          <w:bCs w:val="0"/>
          <w:snapToGrid w:val="0"/>
          <w:kern w:val="0"/>
          <w:sz w:val="28"/>
          <w:szCs w:val="28"/>
        </w:rPr>
        <w:t>2.3.1施工期废气</w:t>
      </w:r>
      <w:bookmarkEnd w:id="440"/>
    </w:p>
    <w:p>
      <w:pPr>
        <w:pStyle w:val="2"/>
        <w:snapToGrid/>
        <w:spacing w:line="540" w:lineRule="exact"/>
        <w:ind w:firstLine="480" w:firstLineChars="200"/>
        <w:jc w:val="both"/>
        <w:rPr>
          <w:rFonts w:ascii="Times New Roman" w:hAnsi="Times New Roman"/>
          <w:sz w:val="24"/>
          <w:szCs w:val="22"/>
        </w:rPr>
      </w:pPr>
      <w:r>
        <w:rPr>
          <w:rFonts w:ascii="Times New Roman" w:hAnsi="Times New Roman"/>
          <w:sz w:val="24"/>
          <w:szCs w:val="22"/>
        </w:rPr>
        <w:t>施工期间对环境空气影响最大的是扬尘，来源于各种无组织排放源。主要表现在以下几方面：</w:t>
      </w:r>
    </w:p>
    <w:p>
      <w:pPr>
        <w:pStyle w:val="2"/>
        <w:snapToGrid/>
        <w:spacing w:line="540" w:lineRule="exact"/>
        <w:ind w:firstLine="464" w:firstLineChars="200"/>
        <w:jc w:val="both"/>
        <w:rPr>
          <w:rFonts w:ascii="Times New Roman" w:hAnsi="Times New Roman"/>
          <w:spacing w:val="-4"/>
          <w:kern w:val="0"/>
          <w:sz w:val="24"/>
          <w:szCs w:val="22"/>
        </w:rPr>
      </w:pPr>
      <w:r>
        <w:rPr>
          <w:rFonts w:ascii="Times New Roman" w:hAnsi="Times New Roman"/>
          <w:spacing w:val="-4"/>
          <w:kern w:val="0"/>
          <w:sz w:val="24"/>
          <w:szCs w:val="22"/>
        </w:rPr>
        <w:t>①饲草种植区及养殖场土方的挖掘、堆放、清运、回填和场地平整等过程产生的扬尘。</w:t>
      </w:r>
    </w:p>
    <w:p>
      <w:pPr>
        <w:pStyle w:val="2"/>
        <w:snapToGrid/>
        <w:spacing w:line="540" w:lineRule="exact"/>
        <w:ind w:firstLine="480" w:firstLineChars="200"/>
        <w:jc w:val="both"/>
        <w:rPr>
          <w:rFonts w:ascii="Times New Roman" w:hAnsi="Times New Roman"/>
          <w:sz w:val="24"/>
          <w:szCs w:val="22"/>
        </w:rPr>
      </w:pPr>
      <w:r>
        <w:rPr>
          <w:rFonts w:ascii="Times New Roman" w:hAnsi="Times New Roman"/>
          <w:sz w:val="24"/>
          <w:szCs w:val="22"/>
        </w:rPr>
        <w:t>②养殖场建设过程中建筑材料如水泥、砂子以及土方等在其装卸、运输、堆放等过程中，因风力作用而产生的扬尘污染。</w:t>
      </w:r>
    </w:p>
    <w:p>
      <w:pPr>
        <w:pStyle w:val="2"/>
        <w:snapToGrid/>
        <w:spacing w:line="540" w:lineRule="exact"/>
        <w:ind w:firstLine="480" w:firstLineChars="200"/>
        <w:jc w:val="both"/>
        <w:rPr>
          <w:rFonts w:ascii="Times New Roman" w:hAnsi="Times New Roman"/>
          <w:sz w:val="24"/>
          <w:szCs w:val="22"/>
        </w:rPr>
      </w:pPr>
      <w:r>
        <w:rPr>
          <w:rFonts w:ascii="Times New Roman" w:hAnsi="Times New Roman"/>
          <w:sz w:val="24"/>
          <w:szCs w:val="22"/>
        </w:rPr>
        <w:t>③运输车辆往来造成地面扬尘。</w:t>
      </w:r>
    </w:p>
    <w:p>
      <w:pPr>
        <w:pStyle w:val="2"/>
        <w:snapToGrid/>
        <w:spacing w:line="540" w:lineRule="exact"/>
        <w:ind w:firstLine="480" w:firstLineChars="200"/>
        <w:jc w:val="both"/>
        <w:rPr>
          <w:rFonts w:ascii="Times New Roman" w:hAnsi="Times New Roman"/>
          <w:sz w:val="24"/>
          <w:szCs w:val="22"/>
        </w:rPr>
      </w:pPr>
      <w:r>
        <w:rPr>
          <w:rFonts w:ascii="Times New Roman" w:hAnsi="Times New Roman"/>
          <w:sz w:val="24"/>
          <w:szCs w:val="22"/>
        </w:rPr>
        <w:t>④施工垃圾堆放及清运过程中产生扬尘。</w:t>
      </w:r>
    </w:p>
    <w:p>
      <w:pPr>
        <w:pStyle w:val="52"/>
        <w:pageBreakBefore w:val="0"/>
        <w:tabs>
          <w:tab w:val="left" w:pos="284"/>
        </w:tabs>
        <w:kinsoku/>
        <w:wordWrap/>
        <w:overflowPunct/>
        <w:topLinePunct w:val="0"/>
        <w:autoSpaceDE/>
        <w:autoSpaceDN/>
        <w:bidi w:val="0"/>
        <w:snapToGrid w:val="0"/>
        <w:spacing w:after="0" w:afterLines="0" w:line="540" w:lineRule="exact"/>
        <w:contextualSpacing/>
        <w:textAlignment w:val="auto"/>
        <w:rPr>
          <w:rFonts w:cs="Times New Roman"/>
          <w:b w:val="0"/>
          <w:kern w:val="2"/>
          <w:sz w:val="28"/>
          <w:szCs w:val="28"/>
        </w:rPr>
      </w:pPr>
      <w:bookmarkStart w:id="441" w:name="_Toc32756"/>
      <w:r>
        <w:rPr>
          <w:rFonts w:cs="Times New Roman"/>
          <w:bCs w:val="0"/>
          <w:snapToGrid w:val="0"/>
          <w:kern w:val="0"/>
          <w:sz w:val="28"/>
          <w:szCs w:val="28"/>
        </w:rPr>
        <w:t>2.3.2施工期废水</w:t>
      </w:r>
      <w:bookmarkEnd w:id="441"/>
    </w:p>
    <w:p>
      <w:pPr>
        <w:pStyle w:val="68"/>
        <w:pageBreakBefore w:val="0"/>
        <w:kinsoku/>
        <w:wordWrap/>
        <w:overflowPunct/>
        <w:topLinePunct w:val="0"/>
        <w:autoSpaceDE/>
        <w:autoSpaceDN/>
        <w:bidi w:val="0"/>
        <w:snapToGrid w:val="0"/>
        <w:spacing w:line="540" w:lineRule="exact"/>
        <w:ind w:firstLine="480" w:firstLineChars="200"/>
        <w:textAlignment w:val="auto"/>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本项目施工期废项目无生产废水产生，废水主要为施工人员生活污水及施工废水。项目施工期废水主要是进出车辆除泥冲洗废水</w:t>
      </w:r>
      <w:r>
        <w:rPr>
          <w:rFonts w:hint="eastAsia" w:ascii="Times New Roman" w:hAnsi="Times New Roman" w:eastAsia="宋体" w:cs="Times New Roman"/>
          <w:kern w:val="2"/>
          <w:sz w:val="24"/>
          <w:szCs w:val="24"/>
          <w:lang w:val="en-US" w:eastAsia="zh-CN" w:bidi="ar-SA"/>
        </w:rPr>
        <w:t>和</w:t>
      </w:r>
      <w:r>
        <w:rPr>
          <w:rFonts w:ascii="Times New Roman" w:hAnsi="Times New Roman" w:eastAsia="宋体" w:cs="Times New Roman"/>
          <w:kern w:val="2"/>
          <w:sz w:val="24"/>
          <w:szCs w:val="24"/>
          <w:lang w:val="en-US" w:eastAsia="zh-CN" w:bidi="ar-SA"/>
        </w:rPr>
        <w:t>施工人员生活污水。</w:t>
      </w:r>
    </w:p>
    <w:p>
      <w:pPr>
        <w:pStyle w:val="68"/>
        <w:pageBreakBefore w:val="0"/>
        <w:kinsoku/>
        <w:wordWrap/>
        <w:overflowPunct/>
        <w:topLinePunct w:val="0"/>
        <w:autoSpaceDE/>
        <w:autoSpaceDN/>
        <w:bidi w:val="0"/>
        <w:snapToGrid w:val="0"/>
        <w:spacing w:line="540" w:lineRule="exact"/>
        <w:ind w:firstLine="480" w:firstLineChars="200"/>
        <w:textAlignment w:val="auto"/>
        <w:rPr>
          <w:rFonts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⑴</w:t>
      </w:r>
      <w:r>
        <w:rPr>
          <w:rFonts w:ascii="Times New Roman" w:hAnsi="Times New Roman" w:eastAsia="宋体" w:cs="Times New Roman"/>
          <w:kern w:val="2"/>
          <w:sz w:val="24"/>
          <w:szCs w:val="24"/>
          <w:lang w:val="en-US" w:eastAsia="zh-CN" w:bidi="ar-SA"/>
        </w:rPr>
        <w:t>进出车辆除泥冲洗废水</w:t>
      </w:r>
    </w:p>
    <w:p>
      <w:pPr>
        <w:pStyle w:val="68"/>
        <w:pageBreakBefore w:val="0"/>
        <w:kinsoku/>
        <w:wordWrap/>
        <w:overflowPunct/>
        <w:topLinePunct w:val="0"/>
        <w:autoSpaceDE/>
        <w:autoSpaceDN/>
        <w:bidi w:val="0"/>
        <w:snapToGrid w:val="0"/>
        <w:spacing w:line="540" w:lineRule="exact"/>
        <w:ind w:firstLine="480" w:firstLineChars="200"/>
        <w:textAlignment w:val="auto"/>
        <w:rPr>
          <w:rFonts w:ascii="Times New Roman" w:hAnsi="Times New Roman" w:eastAsia="宋体" w:cs="Times New Roman"/>
          <w:kern w:val="2"/>
          <w:sz w:val="24"/>
          <w:szCs w:val="22"/>
          <w:lang w:val="en-US" w:eastAsia="zh-CN" w:bidi="ar-SA"/>
        </w:rPr>
      </w:pPr>
      <w:r>
        <w:rPr>
          <w:rFonts w:ascii="Times New Roman" w:hAnsi="Times New Roman" w:eastAsia="宋体" w:cs="Times New Roman"/>
          <w:kern w:val="2"/>
          <w:sz w:val="24"/>
          <w:szCs w:val="24"/>
          <w:lang w:val="en-US" w:eastAsia="zh-CN" w:bidi="ar-SA"/>
        </w:rPr>
        <w:t>项目使用商品混凝土，无建筑施工废水产生</w:t>
      </w:r>
      <w:r>
        <w:rPr>
          <w:rFonts w:hint="eastAsia" w:ascii="Times New Roman" w:hAnsi="Times New Roman" w:eastAsia="宋体" w:cs="Times New Roman"/>
          <w:kern w:val="2"/>
          <w:sz w:val="24"/>
          <w:szCs w:val="24"/>
          <w:lang w:val="en-US" w:eastAsia="zh-CN" w:bidi="ar-SA"/>
        </w:rPr>
        <w:t>，施工期产</w:t>
      </w:r>
      <w:r>
        <w:rPr>
          <w:rFonts w:hint="eastAsia" w:ascii="Times New Roman" w:hAnsi="Times New Roman" w:eastAsia="宋体" w:cs="Times New Roman"/>
          <w:kern w:val="2"/>
          <w:sz w:val="24"/>
          <w:szCs w:val="22"/>
          <w:lang w:val="en-US" w:eastAsia="zh-CN" w:bidi="ar-SA"/>
        </w:rPr>
        <w:t>生的废水主要为</w:t>
      </w:r>
      <w:r>
        <w:rPr>
          <w:rFonts w:ascii="Times New Roman" w:hAnsi="Times New Roman" w:eastAsia="宋体" w:cs="Times New Roman"/>
          <w:kern w:val="2"/>
          <w:sz w:val="24"/>
          <w:szCs w:val="22"/>
          <w:lang w:val="en-US" w:eastAsia="zh-CN" w:bidi="ar-SA"/>
        </w:rPr>
        <w:t>进出车辆除泥冲洗废水，主要污染物为SS、石油类</w:t>
      </w:r>
      <w:r>
        <w:rPr>
          <w:rFonts w:hint="eastAsia" w:ascii="Times New Roman" w:hAnsi="Times New Roman" w:eastAsia="宋体" w:cs="Times New Roman"/>
          <w:kern w:val="2"/>
          <w:sz w:val="24"/>
          <w:szCs w:val="22"/>
          <w:lang w:val="en-US" w:eastAsia="zh-CN" w:bidi="ar-SA"/>
        </w:rPr>
        <w:t>，设置1座2</w:t>
      </w:r>
      <w:r>
        <w:rPr>
          <w:rFonts w:ascii="Times New Roman" w:hAnsi="Times New Roman" w:eastAsia="宋体" w:cs="Times New Roman"/>
          <w:kern w:val="2"/>
          <w:sz w:val="24"/>
          <w:szCs w:val="22"/>
          <w:lang w:val="en-US" w:eastAsia="zh-CN" w:bidi="ar-SA"/>
        </w:rPr>
        <w:t>m</w:t>
      </w:r>
      <w:r>
        <w:rPr>
          <w:rFonts w:ascii="Times New Roman" w:hAnsi="Times New Roman" w:eastAsia="宋体" w:cs="Times New Roman"/>
          <w:kern w:val="2"/>
          <w:sz w:val="24"/>
          <w:szCs w:val="22"/>
          <w:vertAlign w:val="superscript"/>
          <w:lang w:val="en-US" w:eastAsia="zh-CN" w:bidi="ar-SA"/>
        </w:rPr>
        <w:t>3</w:t>
      </w:r>
      <w:r>
        <w:rPr>
          <w:rFonts w:hint="eastAsia" w:ascii="Times New Roman" w:hAnsi="Times New Roman" w:eastAsia="宋体" w:cs="Times New Roman"/>
          <w:kern w:val="2"/>
          <w:sz w:val="24"/>
          <w:szCs w:val="22"/>
          <w:lang w:val="en-US" w:eastAsia="zh-CN" w:bidi="ar-SA"/>
        </w:rPr>
        <w:t>防渗沉淀池收集后，在施工作业区洒水抑尘，不外排</w:t>
      </w:r>
      <w:r>
        <w:rPr>
          <w:rFonts w:ascii="Times New Roman" w:hAnsi="Times New Roman" w:eastAsia="宋体" w:cs="Times New Roman"/>
          <w:kern w:val="2"/>
          <w:sz w:val="24"/>
          <w:szCs w:val="22"/>
          <w:lang w:val="en-US" w:eastAsia="zh-CN" w:bidi="ar-SA"/>
        </w:rPr>
        <w:t>。</w:t>
      </w:r>
    </w:p>
    <w:p>
      <w:pPr>
        <w:pStyle w:val="68"/>
        <w:pageBreakBefore w:val="0"/>
        <w:kinsoku/>
        <w:wordWrap/>
        <w:overflowPunct/>
        <w:topLinePunct w:val="0"/>
        <w:autoSpaceDE/>
        <w:autoSpaceDN/>
        <w:bidi w:val="0"/>
        <w:snapToGrid w:val="0"/>
        <w:spacing w:line="540" w:lineRule="exact"/>
        <w:ind w:firstLine="480" w:firstLineChars="200"/>
        <w:textAlignment w:val="auto"/>
        <w:rPr>
          <w:rFonts w:ascii="Times New Roman" w:hAnsi="Times New Roman" w:eastAsia="宋体" w:cs="Times New Roman"/>
          <w:kern w:val="2"/>
          <w:sz w:val="24"/>
          <w:szCs w:val="22"/>
          <w:lang w:val="en-US" w:eastAsia="zh-CN" w:bidi="ar-SA"/>
        </w:rPr>
      </w:pPr>
      <w:r>
        <w:rPr>
          <w:rFonts w:hint="eastAsia" w:ascii="Times New Roman" w:hAnsi="Times New Roman" w:eastAsia="宋体" w:cs="Times New Roman"/>
          <w:kern w:val="2"/>
          <w:sz w:val="24"/>
          <w:szCs w:val="22"/>
          <w:lang w:val="en-US" w:eastAsia="zh-CN" w:bidi="ar-SA"/>
        </w:rPr>
        <w:t>⑵</w:t>
      </w:r>
      <w:r>
        <w:rPr>
          <w:rFonts w:ascii="Times New Roman" w:hAnsi="Times New Roman" w:eastAsia="宋体" w:cs="Times New Roman"/>
          <w:kern w:val="2"/>
          <w:sz w:val="24"/>
          <w:szCs w:val="22"/>
          <w:lang w:val="en-US" w:eastAsia="zh-CN" w:bidi="ar-SA"/>
        </w:rPr>
        <w:t>施工人员生活污水</w:t>
      </w:r>
    </w:p>
    <w:p>
      <w:pPr>
        <w:pStyle w:val="11"/>
        <w:spacing w:before="34" w:line="540" w:lineRule="exact"/>
        <w:ind w:right="193" w:firstLine="480" w:firstLineChars="200"/>
        <w:rPr>
          <w:rFonts w:ascii="Times New Roman" w:hAnsi="Times New Roman" w:eastAsia="宋体" w:cs="Times New Roman"/>
          <w:kern w:val="2"/>
          <w:sz w:val="24"/>
          <w:szCs w:val="22"/>
          <w:lang w:val="en-US" w:eastAsia="zh-CN" w:bidi="ar-SA"/>
        </w:rPr>
      </w:pPr>
      <w:r>
        <w:rPr>
          <w:rFonts w:ascii="Times New Roman" w:hAnsi="Times New Roman" w:eastAsia="宋体" w:cs="Times New Roman"/>
          <w:kern w:val="2"/>
          <w:sz w:val="24"/>
          <w:szCs w:val="22"/>
          <w:lang w:val="en-US" w:eastAsia="zh-CN" w:bidi="ar-SA"/>
        </w:rPr>
        <w:t>项目施工高峰期约30人，均来自周边村庄村民，项目施工期6月(施工时间按照180d计)，用水量按50L/人d计，则生活用水量为1.5m</w:t>
      </w:r>
      <w:r>
        <w:rPr>
          <w:rFonts w:ascii="Times New Roman" w:hAnsi="Times New Roman" w:eastAsia="宋体" w:cs="Times New Roman"/>
          <w:kern w:val="2"/>
          <w:sz w:val="24"/>
          <w:szCs w:val="22"/>
          <w:vertAlign w:val="superscript"/>
          <w:lang w:val="en-US" w:eastAsia="zh-CN" w:bidi="ar-SA"/>
        </w:rPr>
        <w:t>3</w:t>
      </w:r>
      <w:r>
        <w:rPr>
          <w:rFonts w:ascii="Times New Roman" w:hAnsi="Times New Roman" w:eastAsia="宋体" w:cs="Times New Roman"/>
          <w:kern w:val="2"/>
          <w:sz w:val="24"/>
          <w:szCs w:val="22"/>
          <w:lang w:val="en-US" w:eastAsia="zh-CN" w:bidi="ar-SA"/>
        </w:rPr>
        <w:t>/d(270m</w:t>
      </w:r>
      <w:r>
        <w:rPr>
          <w:rFonts w:ascii="Times New Roman" w:hAnsi="Times New Roman" w:eastAsia="宋体" w:cs="Times New Roman"/>
          <w:kern w:val="2"/>
          <w:sz w:val="24"/>
          <w:szCs w:val="22"/>
          <w:vertAlign w:val="superscript"/>
          <w:lang w:val="en-US" w:eastAsia="zh-CN" w:bidi="ar-SA"/>
        </w:rPr>
        <w:t>3</w:t>
      </w:r>
      <w:r>
        <w:rPr>
          <w:rFonts w:ascii="Times New Roman" w:hAnsi="Times New Roman" w:eastAsia="宋体" w:cs="Times New Roman"/>
          <w:kern w:val="2"/>
          <w:sz w:val="24"/>
          <w:szCs w:val="22"/>
          <w:lang w:val="en-US" w:eastAsia="zh-CN" w:bidi="ar-SA"/>
        </w:rPr>
        <w:t>)，项目施工场地设</w:t>
      </w:r>
      <w:r>
        <w:rPr>
          <w:rFonts w:hint="eastAsia" w:ascii="Times New Roman" w:hAnsi="Times New Roman" w:eastAsia="宋体" w:cs="Times New Roman"/>
          <w:kern w:val="2"/>
          <w:sz w:val="24"/>
          <w:szCs w:val="22"/>
          <w:lang w:val="en-US" w:eastAsia="zh-CN" w:bidi="ar-SA"/>
        </w:rPr>
        <w:t>防渗</w:t>
      </w:r>
      <w:r>
        <w:rPr>
          <w:rFonts w:ascii="Times New Roman" w:hAnsi="Times New Roman" w:eastAsia="宋体" w:cs="Times New Roman"/>
          <w:kern w:val="2"/>
          <w:sz w:val="24"/>
          <w:szCs w:val="22"/>
          <w:lang w:val="en-US" w:eastAsia="zh-CN" w:bidi="ar-SA"/>
        </w:rPr>
        <w:t>旱厕，定期清掏，用于周边农田施肥，施工人员产生的废水为盥洗水，洒水抑尘</w:t>
      </w:r>
      <w:r>
        <w:rPr>
          <w:rFonts w:hint="eastAsia" w:ascii="Times New Roman" w:hAnsi="Times New Roman" w:eastAsia="宋体" w:cs="Times New Roman"/>
          <w:kern w:val="2"/>
          <w:sz w:val="24"/>
          <w:szCs w:val="22"/>
          <w:lang w:val="en-US" w:eastAsia="zh-CN" w:bidi="ar-SA"/>
        </w:rPr>
        <w:t>。</w:t>
      </w:r>
    </w:p>
    <w:p>
      <w:pPr>
        <w:pStyle w:val="52"/>
        <w:tabs>
          <w:tab w:val="left" w:pos="284"/>
        </w:tabs>
        <w:snapToGrid w:val="0"/>
        <w:spacing w:after="0" w:afterLines="0" w:line="540" w:lineRule="exact"/>
        <w:contextualSpacing/>
        <w:rPr>
          <w:rFonts w:cs="Times New Roman"/>
          <w:bCs w:val="0"/>
          <w:snapToGrid w:val="0"/>
          <w:kern w:val="0"/>
          <w:sz w:val="28"/>
          <w:szCs w:val="28"/>
        </w:rPr>
      </w:pPr>
      <w:bookmarkStart w:id="442" w:name="_Toc32025"/>
      <w:r>
        <w:rPr>
          <w:rFonts w:cs="Times New Roman"/>
          <w:bCs w:val="0"/>
          <w:snapToGrid w:val="0"/>
          <w:kern w:val="0"/>
          <w:sz w:val="28"/>
          <w:szCs w:val="28"/>
        </w:rPr>
        <w:t>2.3.3施工期噪声</w:t>
      </w:r>
      <w:bookmarkEnd w:id="442"/>
    </w:p>
    <w:p>
      <w:pPr>
        <w:pStyle w:val="2"/>
        <w:snapToGrid/>
        <w:spacing w:line="540" w:lineRule="exact"/>
        <w:ind w:firstLine="480" w:firstLineChars="200"/>
        <w:jc w:val="both"/>
        <w:rPr>
          <w:rFonts w:ascii="Times New Roman" w:hAnsi="Times New Roman"/>
          <w:sz w:val="24"/>
          <w:szCs w:val="22"/>
        </w:rPr>
      </w:pPr>
      <w:r>
        <w:rPr>
          <w:rFonts w:ascii="Times New Roman" w:hAnsi="Times New Roman"/>
          <w:sz w:val="24"/>
          <w:szCs w:val="22"/>
        </w:rPr>
        <w:t>根据本项目的建设内容及施工特征，其主要的噪声影响环节为：土石方及基础施工阶段推土机、挖掘机及运输车辆的移动声源影响；设备安装阶段吊车、升降机等产生的噪声影响。施工期各声源源强调查结果见表2.</w:t>
      </w:r>
      <w:r>
        <w:rPr>
          <w:rFonts w:hint="eastAsia" w:ascii="Times New Roman" w:hAnsi="Times New Roman"/>
          <w:sz w:val="24"/>
          <w:szCs w:val="22"/>
        </w:rPr>
        <w:t>3</w:t>
      </w:r>
      <w:r>
        <w:rPr>
          <w:rFonts w:ascii="Times New Roman" w:hAnsi="Times New Roman"/>
          <w:sz w:val="24"/>
          <w:szCs w:val="22"/>
        </w:rPr>
        <w:t>-1。</w:t>
      </w:r>
    </w:p>
    <w:p>
      <w:pPr>
        <w:adjustRightInd w:val="0"/>
        <w:snapToGrid w:val="0"/>
        <w:spacing w:before="120" w:beforeLines="50"/>
        <w:jc w:val="center"/>
        <w:rPr>
          <w:rFonts w:ascii="Times New Roman" w:hAnsi="Times New Roman"/>
          <w:bCs/>
          <w:sz w:val="24"/>
          <w:szCs w:val="20"/>
        </w:rPr>
      </w:pPr>
      <w:r>
        <w:rPr>
          <w:rFonts w:ascii="Times New Roman" w:hAnsi="Times New Roman"/>
          <w:b/>
          <w:sz w:val="24"/>
          <w:szCs w:val="20"/>
        </w:rPr>
        <w:t>表2.</w:t>
      </w:r>
      <w:r>
        <w:rPr>
          <w:rFonts w:hint="eastAsia" w:ascii="Times New Roman" w:hAnsi="Times New Roman"/>
          <w:b/>
          <w:sz w:val="24"/>
          <w:szCs w:val="20"/>
        </w:rPr>
        <w:t>3</w:t>
      </w:r>
      <w:r>
        <w:rPr>
          <w:rFonts w:ascii="Times New Roman" w:hAnsi="Times New Roman"/>
          <w:b/>
          <w:sz w:val="24"/>
          <w:szCs w:val="20"/>
        </w:rPr>
        <w:t>-1    施工中主要施工机械噪声值</w:t>
      </w:r>
    </w:p>
    <w:tbl>
      <w:tblPr>
        <w:tblStyle w:val="29"/>
        <w:tblW w:w="88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64"/>
        <w:gridCol w:w="2080"/>
        <w:gridCol w:w="2267"/>
        <w:gridCol w:w="22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264" w:type="dxa"/>
            <w:tcBorders>
              <w:left w:val="single" w:color="auto" w:sz="12" w:space="0"/>
            </w:tcBorders>
            <w:vAlign w:val="center"/>
          </w:tcPr>
          <w:p>
            <w:pPr>
              <w:adjustRightInd w:val="0"/>
              <w:snapToGrid w:val="0"/>
              <w:jc w:val="center"/>
              <w:rPr>
                <w:rFonts w:ascii="Times New Roman" w:hAnsi="Times New Roman"/>
                <w:b/>
                <w:bCs/>
                <w:szCs w:val="21"/>
              </w:rPr>
            </w:pPr>
            <w:r>
              <w:rPr>
                <w:rFonts w:ascii="Times New Roman" w:hAnsi="Times New Roman"/>
                <w:b/>
                <w:bCs/>
                <w:szCs w:val="21"/>
              </w:rPr>
              <w:t>施工阶段</w:t>
            </w:r>
          </w:p>
        </w:tc>
        <w:tc>
          <w:tcPr>
            <w:tcW w:w="2080" w:type="dxa"/>
            <w:vAlign w:val="center"/>
          </w:tcPr>
          <w:p>
            <w:pPr>
              <w:adjustRightInd w:val="0"/>
              <w:snapToGrid w:val="0"/>
              <w:jc w:val="center"/>
              <w:rPr>
                <w:rFonts w:ascii="Times New Roman" w:hAnsi="Times New Roman"/>
                <w:b/>
                <w:bCs/>
                <w:szCs w:val="21"/>
              </w:rPr>
            </w:pPr>
            <w:r>
              <w:rPr>
                <w:rFonts w:ascii="Times New Roman" w:hAnsi="Times New Roman"/>
                <w:b/>
                <w:bCs/>
                <w:szCs w:val="21"/>
              </w:rPr>
              <w:t>施工机械设备名称</w:t>
            </w:r>
          </w:p>
        </w:tc>
        <w:tc>
          <w:tcPr>
            <w:tcW w:w="2267" w:type="dxa"/>
            <w:tcBorders>
              <w:right w:val="single" w:color="auto" w:sz="12" w:space="0"/>
            </w:tcBorders>
            <w:vAlign w:val="center"/>
          </w:tcPr>
          <w:p>
            <w:pPr>
              <w:adjustRightInd w:val="0"/>
              <w:snapToGrid w:val="0"/>
              <w:jc w:val="center"/>
              <w:rPr>
                <w:rFonts w:hint="eastAsia" w:ascii="Times New Roman" w:hAnsi="Times New Roman" w:eastAsia="宋体"/>
                <w:b/>
                <w:bCs/>
                <w:szCs w:val="21"/>
                <w:lang w:eastAsia="zh-CN"/>
              </w:rPr>
            </w:pPr>
            <w:r>
              <w:rPr>
                <w:rFonts w:hint="eastAsia" w:ascii="Times New Roman" w:hAnsi="Times New Roman"/>
                <w:b/>
                <w:bCs/>
                <w:szCs w:val="21"/>
                <w:lang w:eastAsia="zh-CN"/>
              </w:rPr>
              <w:t>声级（</w:t>
            </w:r>
            <w:r>
              <w:rPr>
                <w:rFonts w:hint="eastAsia" w:ascii="Times New Roman" w:hAnsi="Times New Roman"/>
                <w:b/>
                <w:bCs/>
                <w:szCs w:val="21"/>
                <w:lang w:val="en-US" w:eastAsia="zh-CN"/>
              </w:rPr>
              <w:t>dB(A)</w:t>
            </w:r>
            <w:r>
              <w:rPr>
                <w:rFonts w:hint="eastAsia" w:ascii="Times New Roman" w:hAnsi="Times New Roman"/>
                <w:b/>
                <w:bCs/>
                <w:szCs w:val="21"/>
                <w:lang w:eastAsia="zh-CN"/>
              </w:rPr>
              <w:t>）</w:t>
            </w:r>
          </w:p>
        </w:tc>
        <w:tc>
          <w:tcPr>
            <w:tcW w:w="2267" w:type="dxa"/>
            <w:tcBorders>
              <w:right w:val="single" w:color="auto" w:sz="12" w:space="0"/>
            </w:tcBorders>
            <w:vAlign w:val="center"/>
          </w:tcPr>
          <w:p>
            <w:pPr>
              <w:adjustRightInd w:val="0"/>
              <w:snapToGrid w:val="0"/>
              <w:jc w:val="center"/>
              <w:rPr>
                <w:rFonts w:ascii="Times New Roman" w:hAnsi="Times New Roman" w:eastAsia="宋体" w:cs="Times New Roman"/>
                <w:b/>
                <w:bCs/>
                <w:kern w:val="2"/>
                <w:sz w:val="21"/>
                <w:szCs w:val="21"/>
                <w:lang w:val="en-US" w:eastAsia="zh-CN" w:bidi="ar-SA"/>
              </w:rPr>
            </w:pPr>
            <w:r>
              <w:rPr>
                <w:rFonts w:ascii="Times New Roman" w:hAnsi="Times New Roman"/>
                <w:b/>
                <w:bCs/>
                <w:szCs w:val="21"/>
              </w:rPr>
              <w:t>声源性质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64" w:type="dxa"/>
            <w:vMerge w:val="restart"/>
            <w:tcBorders>
              <w:left w:val="single" w:color="auto" w:sz="12" w:space="0"/>
            </w:tcBorders>
            <w:vAlign w:val="center"/>
          </w:tcPr>
          <w:p>
            <w:pPr>
              <w:adjustRightInd w:val="0"/>
              <w:snapToGrid w:val="0"/>
              <w:jc w:val="center"/>
              <w:rPr>
                <w:rFonts w:ascii="Times New Roman" w:hAnsi="Times New Roman"/>
                <w:szCs w:val="21"/>
              </w:rPr>
            </w:pPr>
            <w:r>
              <w:rPr>
                <w:rFonts w:ascii="Times New Roman" w:hAnsi="Times New Roman"/>
                <w:szCs w:val="21"/>
              </w:rPr>
              <w:t>土石方及基础施工</w:t>
            </w:r>
          </w:p>
          <w:p>
            <w:pPr>
              <w:adjustRightInd w:val="0"/>
              <w:snapToGrid w:val="0"/>
              <w:jc w:val="center"/>
              <w:rPr>
                <w:rFonts w:ascii="Times New Roman" w:hAnsi="Times New Roman"/>
                <w:szCs w:val="21"/>
              </w:rPr>
            </w:pPr>
            <w:r>
              <w:rPr>
                <w:rFonts w:ascii="Times New Roman" w:hAnsi="Times New Roman"/>
                <w:szCs w:val="21"/>
              </w:rPr>
              <w:t>阶段</w:t>
            </w:r>
          </w:p>
        </w:tc>
        <w:tc>
          <w:tcPr>
            <w:tcW w:w="2080" w:type="dxa"/>
            <w:vAlign w:val="center"/>
          </w:tcPr>
          <w:p>
            <w:pPr>
              <w:adjustRightInd w:val="0"/>
              <w:snapToGrid w:val="0"/>
              <w:jc w:val="center"/>
              <w:rPr>
                <w:rFonts w:ascii="Times New Roman" w:hAnsi="Times New Roman"/>
                <w:szCs w:val="21"/>
              </w:rPr>
            </w:pPr>
            <w:r>
              <w:rPr>
                <w:rFonts w:ascii="Times New Roman" w:hAnsi="Times New Roman"/>
                <w:szCs w:val="21"/>
              </w:rPr>
              <w:t>推土机</w:t>
            </w:r>
          </w:p>
        </w:tc>
        <w:tc>
          <w:tcPr>
            <w:tcW w:w="2267" w:type="dxa"/>
            <w:tcBorders>
              <w:right w:val="single" w:color="auto" w:sz="12" w:space="0"/>
            </w:tcBorders>
            <w:vAlign w:val="center"/>
          </w:tcPr>
          <w:p>
            <w:pPr>
              <w:adjustRightInd w:val="0"/>
              <w:spacing w:line="240" w:lineRule="auto"/>
              <w:jc w:val="center"/>
              <w:rPr>
                <w:rFonts w:hint="default" w:ascii="Times New Roman" w:hAnsi="Times New Roman" w:eastAsia="黑体" w:cs="Times New Roman"/>
                <w:b/>
                <w:bCs/>
                <w:kern w:val="2"/>
                <w:sz w:val="21"/>
                <w:szCs w:val="21"/>
                <w:lang w:val="en-US" w:eastAsia="zh-CN" w:bidi="ar-SA"/>
              </w:rPr>
            </w:pPr>
            <w:r>
              <w:rPr>
                <w:rFonts w:hint="default" w:ascii="Times New Roman" w:hAnsi="Times New Roman" w:cs="Times New Roman"/>
                <w:sz w:val="21"/>
                <w:szCs w:val="21"/>
              </w:rPr>
              <w:t>78~96</w:t>
            </w:r>
          </w:p>
        </w:tc>
        <w:tc>
          <w:tcPr>
            <w:tcW w:w="2267" w:type="dxa"/>
            <w:tcBorders>
              <w:right w:val="single" w:color="auto" w:sz="12" w:space="0"/>
            </w:tcBorders>
            <w:vAlign w:val="center"/>
          </w:tcPr>
          <w:p>
            <w:pPr>
              <w:adjustRightInd w:val="0"/>
              <w:snapToGrid w:val="0"/>
              <w:jc w:val="center"/>
              <w:rPr>
                <w:rFonts w:ascii="Times New Roman" w:hAnsi="Times New Roman" w:eastAsia="宋体" w:cs="Times New Roman"/>
                <w:kern w:val="2"/>
                <w:sz w:val="21"/>
                <w:szCs w:val="21"/>
                <w:lang w:val="en-US" w:eastAsia="zh-CN" w:bidi="ar-SA"/>
              </w:rPr>
            </w:pPr>
            <w:r>
              <w:rPr>
                <w:rFonts w:ascii="Times New Roman" w:hAnsi="Times New Roman"/>
                <w:szCs w:val="21"/>
              </w:rPr>
              <w:t>间歇性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64" w:type="dxa"/>
            <w:vMerge w:val="continue"/>
            <w:tcBorders>
              <w:left w:val="single" w:color="auto" w:sz="12" w:space="0"/>
            </w:tcBorders>
            <w:vAlign w:val="center"/>
          </w:tcPr>
          <w:p>
            <w:pPr>
              <w:adjustRightInd w:val="0"/>
              <w:snapToGrid w:val="0"/>
              <w:jc w:val="center"/>
              <w:rPr>
                <w:rFonts w:ascii="Times New Roman" w:hAnsi="Times New Roman"/>
                <w:szCs w:val="21"/>
              </w:rPr>
            </w:pPr>
          </w:p>
        </w:tc>
        <w:tc>
          <w:tcPr>
            <w:tcW w:w="2080" w:type="dxa"/>
            <w:vAlign w:val="center"/>
          </w:tcPr>
          <w:p>
            <w:pPr>
              <w:adjustRightInd w:val="0"/>
              <w:snapToGrid w:val="0"/>
              <w:jc w:val="center"/>
              <w:rPr>
                <w:rFonts w:ascii="Times New Roman" w:hAnsi="Times New Roman"/>
                <w:szCs w:val="21"/>
              </w:rPr>
            </w:pPr>
            <w:r>
              <w:rPr>
                <w:rFonts w:ascii="Times New Roman" w:hAnsi="Times New Roman"/>
                <w:szCs w:val="21"/>
              </w:rPr>
              <w:t>挖掘机</w:t>
            </w:r>
          </w:p>
        </w:tc>
        <w:tc>
          <w:tcPr>
            <w:tcW w:w="2267" w:type="dxa"/>
            <w:tcBorders>
              <w:right w:val="single" w:color="auto" w:sz="12" w:space="0"/>
            </w:tcBorders>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85~95</w:t>
            </w:r>
          </w:p>
        </w:tc>
        <w:tc>
          <w:tcPr>
            <w:tcW w:w="2267" w:type="dxa"/>
            <w:tcBorders>
              <w:right w:val="single" w:color="auto" w:sz="12" w:space="0"/>
            </w:tcBorders>
            <w:vAlign w:val="center"/>
          </w:tcPr>
          <w:p>
            <w:pPr>
              <w:adjustRightInd w:val="0"/>
              <w:snapToGrid w:val="0"/>
              <w:jc w:val="center"/>
              <w:rPr>
                <w:rFonts w:ascii="Times New Roman" w:hAnsi="Times New Roman" w:eastAsia="宋体" w:cs="Times New Roman"/>
                <w:kern w:val="2"/>
                <w:sz w:val="21"/>
                <w:szCs w:val="21"/>
                <w:lang w:val="en-US" w:eastAsia="zh-CN" w:bidi="ar-SA"/>
              </w:rPr>
            </w:pPr>
            <w:r>
              <w:rPr>
                <w:rFonts w:ascii="Times New Roman" w:hAnsi="Times New Roman"/>
                <w:szCs w:val="21"/>
              </w:rPr>
              <w:t>间歇性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64" w:type="dxa"/>
            <w:vMerge w:val="continue"/>
            <w:tcBorders>
              <w:left w:val="single" w:color="auto" w:sz="12" w:space="0"/>
            </w:tcBorders>
            <w:vAlign w:val="center"/>
          </w:tcPr>
          <w:p>
            <w:pPr>
              <w:adjustRightInd w:val="0"/>
              <w:snapToGrid w:val="0"/>
              <w:jc w:val="center"/>
              <w:rPr>
                <w:rFonts w:ascii="Times New Roman" w:hAnsi="Times New Roman"/>
                <w:szCs w:val="21"/>
              </w:rPr>
            </w:pPr>
          </w:p>
        </w:tc>
        <w:tc>
          <w:tcPr>
            <w:tcW w:w="2080" w:type="dxa"/>
            <w:vAlign w:val="center"/>
          </w:tcPr>
          <w:p>
            <w:pPr>
              <w:adjustRightInd w:val="0"/>
              <w:snapToGrid w:val="0"/>
              <w:jc w:val="center"/>
              <w:rPr>
                <w:rFonts w:ascii="Times New Roman" w:hAnsi="Times New Roman"/>
                <w:szCs w:val="21"/>
              </w:rPr>
            </w:pPr>
            <w:r>
              <w:rPr>
                <w:rFonts w:ascii="Times New Roman" w:hAnsi="Times New Roman"/>
                <w:szCs w:val="21"/>
              </w:rPr>
              <w:t>装载机</w:t>
            </w:r>
          </w:p>
        </w:tc>
        <w:tc>
          <w:tcPr>
            <w:tcW w:w="2267" w:type="dxa"/>
            <w:tcBorders>
              <w:right w:val="single" w:color="auto" w:sz="12" w:space="0"/>
            </w:tcBorders>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80~90</w:t>
            </w:r>
          </w:p>
        </w:tc>
        <w:tc>
          <w:tcPr>
            <w:tcW w:w="2267" w:type="dxa"/>
            <w:tcBorders>
              <w:right w:val="single" w:color="auto" w:sz="12" w:space="0"/>
            </w:tcBorders>
            <w:vAlign w:val="center"/>
          </w:tcPr>
          <w:p>
            <w:pPr>
              <w:adjustRightInd w:val="0"/>
              <w:snapToGrid w:val="0"/>
              <w:jc w:val="center"/>
              <w:rPr>
                <w:rFonts w:ascii="Times New Roman" w:hAnsi="Times New Roman" w:eastAsia="宋体" w:cs="Times New Roman"/>
                <w:kern w:val="2"/>
                <w:sz w:val="21"/>
                <w:szCs w:val="21"/>
                <w:lang w:val="en-US" w:eastAsia="zh-CN" w:bidi="ar-SA"/>
              </w:rPr>
            </w:pPr>
            <w:r>
              <w:rPr>
                <w:rFonts w:ascii="Times New Roman" w:hAnsi="Times New Roman"/>
                <w:szCs w:val="21"/>
              </w:rPr>
              <w:t>间歇性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64" w:type="dxa"/>
            <w:vMerge w:val="continue"/>
            <w:tcBorders>
              <w:left w:val="single" w:color="auto" w:sz="12" w:space="0"/>
            </w:tcBorders>
            <w:vAlign w:val="center"/>
          </w:tcPr>
          <w:p>
            <w:pPr>
              <w:adjustRightInd w:val="0"/>
              <w:snapToGrid w:val="0"/>
              <w:jc w:val="center"/>
              <w:rPr>
                <w:rFonts w:ascii="Times New Roman" w:hAnsi="Times New Roman"/>
                <w:szCs w:val="21"/>
              </w:rPr>
            </w:pPr>
          </w:p>
        </w:tc>
        <w:tc>
          <w:tcPr>
            <w:tcW w:w="2080" w:type="dxa"/>
            <w:vAlign w:val="center"/>
          </w:tcPr>
          <w:p>
            <w:pPr>
              <w:adjustRightInd w:val="0"/>
              <w:snapToGrid w:val="0"/>
              <w:jc w:val="center"/>
              <w:rPr>
                <w:rFonts w:ascii="Times New Roman" w:hAnsi="Times New Roman"/>
                <w:szCs w:val="21"/>
              </w:rPr>
            </w:pPr>
            <w:r>
              <w:rPr>
                <w:rFonts w:ascii="Times New Roman" w:hAnsi="Times New Roman"/>
                <w:szCs w:val="21"/>
              </w:rPr>
              <w:t>各种运输车辆</w:t>
            </w:r>
          </w:p>
        </w:tc>
        <w:tc>
          <w:tcPr>
            <w:tcW w:w="2267" w:type="dxa"/>
            <w:tcBorders>
              <w:right w:val="single" w:color="auto" w:sz="12" w:space="0"/>
            </w:tcBorders>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70~80</w:t>
            </w:r>
          </w:p>
        </w:tc>
        <w:tc>
          <w:tcPr>
            <w:tcW w:w="2267" w:type="dxa"/>
            <w:tcBorders>
              <w:right w:val="single" w:color="auto" w:sz="12" w:space="0"/>
            </w:tcBorders>
            <w:vAlign w:val="center"/>
          </w:tcPr>
          <w:p>
            <w:pPr>
              <w:adjustRightInd w:val="0"/>
              <w:snapToGrid w:val="0"/>
              <w:jc w:val="center"/>
              <w:rPr>
                <w:rFonts w:ascii="Times New Roman" w:hAnsi="Times New Roman" w:eastAsia="宋体" w:cs="Times New Roman"/>
                <w:kern w:val="2"/>
                <w:sz w:val="21"/>
                <w:szCs w:val="21"/>
                <w:lang w:val="en-US" w:eastAsia="zh-CN" w:bidi="ar-SA"/>
              </w:rPr>
            </w:pPr>
            <w:r>
              <w:rPr>
                <w:rFonts w:ascii="Times New Roman" w:hAnsi="Times New Roman"/>
                <w:szCs w:val="21"/>
              </w:rPr>
              <w:t>间歇性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64" w:type="dxa"/>
            <w:vMerge w:val="restart"/>
            <w:tcBorders>
              <w:left w:val="single" w:color="auto" w:sz="12" w:space="0"/>
            </w:tcBorders>
            <w:vAlign w:val="center"/>
          </w:tcPr>
          <w:p>
            <w:pPr>
              <w:adjustRightInd w:val="0"/>
              <w:snapToGrid w:val="0"/>
              <w:jc w:val="center"/>
              <w:rPr>
                <w:rFonts w:ascii="Times New Roman" w:hAnsi="Times New Roman"/>
                <w:szCs w:val="21"/>
              </w:rPr>
            </w:pPr>
            <w:r>
              <w:rPr>
                <w:rFonts w:ascii="Times New Roman" w:hAnsi="Times New Roman"/>
                <w:szCs w:val="21"/>
              </w:rPr>
              <w:t>设备安装阶段</w:t>
            </w:r>
          </w:p>
        </w:tc>
        <w:tc>
          <w:tcPr>
            <w:tcW w:w="2080" w:type="dxa"/>
            <w:vAlign w:val="center"/>
          </w:tcPr>
          <w:p>
            <w:pPr>
              <w:adjustRightInd w:val="0"/>
              <w:snapToGrid w:val="0"/>
              <w:jc w:val="center"/>
              <w:rPr>
                <w:rFonts w:ascii="Times New Roman" w:hAnsi="Times New Roman"/>
                <w:szCs w:val="21"/>
              </w:rPr>
            </w:pPr>
            <w:r>
              <w:rPr>
                <w:rFonts w:ascii="Times New Roman" w:hAnsi="Times New Roman"/>
                <w:szCs w:val="21"/>
              </w:rPr>
              <w:t>吊车</w:t>
            </w:r>
          </w:p>
        </w:tc>
        <w:tc>
          <w:tcPr>
            <w:tcW w:w="2267" w:type="dxa"/>
            <w:tcBorders>
              <w:right w:val="single" w:color="auto" w:sz="12" w:space="0"/>
            </w:tcBorders>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70~80</w:t>
            </w:r>
          </w:p>
        </w:tc>
        <w:tc>
          <w:tcPr>
            <w:tcW w:w="2267" w:type="dxa"/>
            <w:tcBorders>
              <w:right w:val="single" w:color="auto" w:sz="12" w:space="0"/>
            </w:tcBorders>
            <w:vAlign w:val="center"/>
          </w:tcPr>
          <w:p>
            <w:pPr>
              <w:adjustRightInd w:val="0"/>
              <w:snapToGrid w:val="0"/>
              <w:jc w:val="center"/>
              <w:rPr>
                <w:rFonts w:ascii="Times New Roman" w:hAnsi="Times New Roman" w:eastAsia="宋体" w:cs="Times New Roman"/>
                <w:kern w:val="2"/>
                <w:sz w:val="21"/>
                <w:szCs w:val="21"/>
                <w:lang w:val="en-US" w:eastAsia="zh-CN" w:bidi="ar-SA"/>
              </w:rPr>
            </w:pPr>
            <w:r>
              <w:rPr>
                <w:rFonts w:ascii="Times New Roman" w:hAnsi="Times New Roman"/>
                <w:szCs w:val="21"/>
              </w:rPr>
              <w:t>间歇性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2264" w:type="dxa"/>
            <w:vMerge w:val="continue"/>
            <w:tcBorders>
              <w:left w:val="single" w:color="auto" w:sz="12" w:space="0"/>
            </w:tcBorders>
            <w:vAlign w:val="center"/>
          </w:tcPr>
          <w:p>
            <w:pPr>
              <w:adjustRightInd w:val="0"/>
              <w:snapToGrid w:val="0"/>
              <w:jc w:val="center"/>
              <w:rPr>
                <w:rFonts w:ascii="Times New Roman" w:hAnsi="Times New Roman"/>
                <w:szCs w:val="21"/>
              </w:rPr>
            </w:pPr>
          </w:p>
        </w:tc>
        <w:tc>
          <w:tcPr>
            <w:tcW w:w="2080" w:type="dxa"/>
            <w:vAlign w:val="center"/>
          </w:tcPr>
          <w:p>
            <w:pPr>
              <w:adjustRightInd w:val="0"/>
              <w:snapToGrid w:val="0"/>
              <w:jc w:val="center"/>
              <w:rPr>
                <w:rFonts w:ascii="Times New Roman" w:hAnsi="Times New Roman"/>
                <w:szCs w:val="21"/>
              </w:rPr>
            </w:pPr>
            <w:r>
              <w:rPr>
                <w:rFonts w:ascii="Times New Roman" w:hAnsi="Times New Roman"/>
                <w:szCs w:val="21"/>
              </w:rPr>
              <w:t>升降机</w:t>
            </w:r>
          </w:p>
        </w:tc>
        <w:tc>
          <w:tcPr>
            <w:tcW w:w="2267" w:type="dxa"/>
            <w:tcBorders>
              <w:right w:val="single" w:color="auto" w:sz="12" w:space="0"/>
            </w:tcBorders>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70~80</w:t>
            </w:r>
          </w:p>
        </w:tc>
        <w:tc>
          <w:tcPr>
            <w:tcW w:w="2267" w:type="dxa"/>
            <w:tcBorders>
              <w:right w:val="single" w:color="auto" w:sz="12" w:space="0"/>
            </w:tcBorders>
            <w:vAlign w:val="center"/>
          </w:tcPr>
          <w:p>
            <w:pPr>
              <w:adjustRightInd w:val="0"/>
              <w:snapToGrid w:val="0"/>
              <w:jc w:val="center"/>
              <w:rPr>
                <w:rFonts w:ascii="Times New Roman" w:hAnsi="Times New Roman" w:eastAsia="宋体" w:cs="Times New Roman"/>
                <w:kern w:val="2"/>
                <w:sz w:val="21"/>
                <w:szCs w:val="21"/>
                <w:lang w:val="en-US" w:eastAsia="zh-CN" w:bidi="ar-SA"/>
              </w:rPr>
            </w:pPr>
            <w:r>
              <w:rPr>
                <w:rFonts w:ascii="Times New Roman" w:hAnsi="Times New Roman"/>
                <w:szCs w:val="21"/>
              </w:rPr>
              <w:t>间歇性</w:t>
            </w:r>
          </w:p>
        </w:tc>
      </w:tr>
    </w:tbl>
    <w:p>
      <w:pPr>
        <w:pStyle w:val="52"/>
        <w:pageBreakBefore w:val="0"/>
        <w:tabs>
          <w:tab w:val="left" w:pos="284"/>
        </w:tabs>
        <w:kinsoku/>
        <w:wordWrap/>
        <w:overflowPunct/>
        <w:topLinePunct w:val="0"/>
        <w:autoSpaceDE/>
        <w:autoSpaceDN/>
        <w:bidi w:val="0"/>
        <w:snapToGrid w:val="0"/>
        <w:spacing w:before="0" w:after="0" w:afterLines="0" w:line="540" w:lineRule="exact"/>
        <w:contextualSpacing/>
        <w:textAlignment w:val="auto"/>
        <w:rPr>
          <w:rFonts w:cs="Times New Roman"/>
          <w:bCs w:val="0"/>
          <w:snapToGrid w:val="0"/>
          <w:kern w:val="0"/>
          <w:sz w:val="28"/>
          <w:szCs w:val="28"/>
        </w:rPr>
      </w:pPr>
      <w:bookmarkStart w:id="443" w:name="_Toc11518"/>
      <w:r>
        <w:rPr>
          <w:rFonts w:cs="Times New Roman"/>
          <w:bCs w:val="0"/>
          <w:snapToGrid w:val="0"/>
          <w:kern w:val="0"/>
          <w:sz w:val="28"/>
          <w:szCs w:val="28"/>
        </w:rPr>
        <w:t>2.3.4施工期固体废物</w:t>
      </w:r>
      <w:bookmarkEnd w:id="443"/>
    </w:p>
    <w:p>
      <w:pPr>
        <w:pStyle w:val="11"/>
        <w:pageBreakBefore w:val="0"/>
        <w:kinsoku/>
        <w:wordWrap/>
        <w:overflowPunct/>
        <w:topLinePunct w:val="0"/>
        <w:autoSpaceDE/>
        <w:autoSpaceDN/>
        <w:bidi w:val="0"/>
        <w:adjustRightInd w:val="0"/>
        <w:snapToGrid w:val="0"/>
        <w:spacing w:after="0" w:line="540" w:lineRule="exact"/>
        <w:ind w:firstLine="480" w:firstLineChars="200"/>
        <w:textAlignment w:val="auto"/>
        <w:rPr>
          <w:rFonts w:hint="eastAsia" w:ascii="Times New Roman" w:hAnsi="Times New Roman"/>
          <w:sz w:val="24"/>
          <w:szCs w:val="22"/>
        </w:rPr>
      </w:pPr>
      <w:r>
        <w:rPr>
          <w:rFonts w:hint="eastAsia" w:ascii="Times New Roman" w:hAnsi="Times New Roman"/>
          <w:sz w:val="24"/>
          <w:szCs w:val="22"/>
        </w:rPr>
        <w:t>项目施工过程中挖方量较小，全部用于周边土地平整及道路铺设，无弃方产生，因此，项目施工期产生的固体废物主要为建筑垃圾和施工人员生活垃圾。</w:t>
      </w:r>
    </w:p>
    <w:p>
      <w:pPr>
        <w:pStyle w:val="11"/>
        <w:pageBreakBefore w:val="0"/>
        <w:kinsoku/>
        <w:wordWrap/>
        <w:overflowPunct/>
        <w:topLinePunct w:val="0"/>
        <w:autoSpaceDE/>
        <w:autoSpaceDN/>
        <w:bidi w:val="0"/>
        <w:adjustRightInd w:val="0"/>
        <w:snapToGrid w:val="0"/>
        <w:spacing w:after="0" w:line="540" w:lineRule="exact"/>
        <w:ind w:firstLine="480" w:firstLineChars="200"/>
        <w:textAlignment w:val="auto"/>
        <w:rPr>
          <w:rFonts w:hint="eastAsia" w:ascii="Times New Roman" w:hAnsi="Times New Roman"/>
          <w:sz w:val="24"/>
          <w:szCs w:val="22"/>
        </w:rPr>
      </w:pPr>
      <w:r>
        <w:rPr>
          <w:rFonts w:hint="eastAsia" w:ascii="Times New Roman" w:hAnsi="Times New Roman"/>
          <w:sz w:val="24"/>
          <w:szCs w:val="22"/>
        </w:rPr>
        <w:t>⑴建筑垃圾</w:t>
      </w:r>
    </w:p>
    <w:p>
      <w:pPr>
        <w:pStyle w:val="11"/>
        <w:pageBreakBefore w:val="0"/>
        <w:kinsoku/>
        <w:wordWrap/>
        <w:overflowPunct/>
        <w:topLinePunct w:val="0"/>
        <w:autoSpaceDE/>
        <w:autoSpaceDN/>
        <w:bidi w:val="0"/>
        <w:adjustRightInd w:val="0"/>
        <w:snapToGrid w:val="0"/>
        <w:spacing w:after="0" w:line="540" w:lineRule="exact"/>
        <w:ind w:firstLine="480" w:firstLineChars="200"/>
        <w:textAlignment w:val="auto"/>
        <w:rPr>
          <w:rFonts w:hint="eastAsia" w:ascii="Times New Roman" w:hAnsi="Times New Roman"/>
          <w:sz w:val="24"/>
          <w:szCs w:val="22"/>
        </w:rPr>
      </w:pPr>
      <w:r>
        <w:rPr>
          <w:rFonts w:hint="eastAsia" w:ascii="Times New Roman" w:hAnsi="Times New Roman"/>
          <w:sz w:val="24"/>
          <w:szCs w:val="22"/>
        </w:rPr>
        <w:t>项目建筑垃圾产生量约53t，集中收集后及时清运至隆德县城建部门指定地点处置。</w:t>
      </w:r>
    </w:p>
    <w:p>
      <w:pPr>
        <w:pStyle w:val="11"/>
        <w:pageBreakBefore w:val="0"/>
        <w:kinsoku/>
        <w:wordWrap/>
        <w:overflowPunct/>
        <w:topLinePunct w:val="0"/>
        <w:autoSpaceDE/>
        <w:autoSpaceDN/>
        <w:bidi w:val="0"/>
        <w:adjustRightInd w:val="0"/>
        <w:snapToGrid w:val="0"/>
        <w:spacing w:after="0" w:line="540" w:lineRule="exact"/>
        <w:ind w:firstLine="480" w:firstLineChars="200"/>
        <w:textAlignment w:val="auto"/>
        <w:rPr>
          <w:rFonts w:hint="eastAsia" w:ascii="Times New Roman" w:hAnsi="Times New Roman"/>
          <w:sz w:val="24"/>
          <w:szCs w:val="22"/>
        </w:rPr>
      </w:pPr>
      <w:r>
        <w:rPr>
          <w:rFonts w:hint="eastAsia" w:ascii="Times New Roman" w:hAnsi="Times New Roman"/>
          <w:sz w:val="24"/>
          <w:szCs w:val="22"/>
        </w:rPr>
        <w:t>⑵施工人员生活垃圾</w:t>
      </w:r>
    </w:p>
    <w:p>
      <w:pPr>
        <w:pStyle w:val="11"/>
        <w:pageBreakBefore w:val="0"/>
        <w:kinsoku/>
        <w:wordWrap/>
        <w:overflowPunct/>
        <w:topLinePunct w:val="0"/>
        <w:autoSpaceDE/>
        <w:autoSpaceDN/>
        <w:bidi w:val="0"/>
        <w:adjustRightInd w:val="0"/>
        <w:snapToGrid w:val="0"/>
        <w:spacing w:after="0" w:line="540" w:lineRule="exact"/>
        <w:ind w:firstLine="480" w:firstLineChars="200"/>
        <w:textAlignment w:val="auto"/>
        <w:rPr>
          <w:rFonts w:ascii="Times New Roman" w:hAnsi="Times New Roman"/>
          <w:sz w:val="24"/>
          <w:szCs w:val="22"/>
        </w:rPr>
      </w:pPr>
      <w:r>
        <w:rPr>
          <w:rFonts w:hint="eastAsia" w:ascii="Times New Roman" w:hAnsi="Times New Roman"/>
          <w:sz w:val="24"/>
          <w:szCs w:val="22"/>
        </w:rPr>
        <w:t>施工高峰期施工人员约为30人，按每人每天生活垃圾产生量0.5kg计，则生活垃圾产生量为15kg/d，施工期生活垃圾产生量共约2.7t，集中收集后及时清运至沙塘镇农村生活垃圾收集点处置。</w:t>
      </w:r>
    </w:p>
    <w:p>
      <w:pPr>
        <w:pStyle w:val="52"/>
        <w:pageBreakBefore w:val="0"/>
        <w:tabs>
          <w:tab w:val="left" w:pos="284"/>
        </w:tabs>
        <w:kinsoku/>
        <w:wordWrap/>
        <w:overflowPunct/>
        <w:topLinePunct w:val="0"/>
        <w:autoSpaceDE/>
        <w:autoSpaceDN/>
        <w:bidi w:val="0"/>
        <w:snapToGrid w:val="0"/>
        <w:spacing w:before="0" w:after="0" w:afterLines="0" w:line="540" w:lineRule="exact"/>
        <w:contextualSpacing/>
        <w:textAlignment w:val="auto"/>
        <w:rPr>
          <w:rFonts w:cs="Times New Roman"/>
          <w:bCs w:val="0"/>
          <w:snapToGrid w:val="0"/>
          <w:kern w:val="0"/>
          <w:sz w:val="28"/>
          <w:szCs w:val="28"/>
        </w:rPr>
      </w:pPr>
      <w:bookmarkStart w:id="444" w:name="_Toc8454"/>
      <w:r>
        <w:rPr>
          <w:rFonts w:cs="Times New Roman"/>
          <w:bCs w:val="0"/>
          <w:snapToGrid w:val="0"/>
          <w:kern w:val="0"/>
          <w:sz w:val="28"/>
          <w:szCs w:val="28"/>
        </w:rPr>
        <w:t>2.3.5生态环境</w:t>
      </w:r>
      <w:bookmarkEnd w:id="444"/>
    </w:p>
    <w:p>
      <w:pPr>
        <w:pStyle w:val="11"/>
        <w:adjustRightInd w:val="0"/>
        <w:snapToGrid w:val="0"/>
        <w:spacing w:after="0" w:line="540" w:lineRule="exact"/>
        <w:ind w:firstLine="480" w:firstLineChars="200"/>
        <w:rPr>
          <w:rFonts w:ascii="Times New Roman" w:hAnsi="Times New Roman"/>
          <w:sz w:val="24"/>
          <w:szCs w:val="22"/>
        </w:rPr>
      </w:pPr>
      <w:r>
        <w:rPr>
          <w:rFonts w:ascii="Times New Roman" w:hAnsi="Times New Roman"/>
          <w:sz w:val="24"/>
          <w:szCs w:val="22"/>
        </w:rPr>
        <w:t>本项目建设占地对周围动植物生态环境有一定影响，主要是在施工过程中的开挖、回填将对地表产生扰动，受扰动的裸露地表易发生水土流失。</w:t>
      </w:r>
    </w:p>
    <w:p>
      <w:pPr>
        <w:pStyle w:val="11"/>
        <w:adjustRightInd w:val="0"/>
        <w:snapToGrid w:val="0"/>
        <w:spacing w:after="0" w:line="540" w:lineRule="exact"/>
        <w:ind w:firstLine="480" w:firstLineChars="200"/>
        <w:rPr>
          <w:rFonts w:ascii="Times New Roman" w:hAnsi="Times New Roman"/>
          <w:color w:val="FF0000"/>
          <w:sz w:val="24"/>
          <w:szCs w:val="22"/>
        </w:rPr>
      </w:pPr>
      <w:r>
        <w:rPr>
          <w:rFonts w:hint="eastAsia" w:ascii="Times New Roman" w:hAnsi="Times New Roman"/>
          <w:color w:val="FF0000"/>
          <w:sz w:val="24"/>
          <w:szCs w:val="22"/>
          <w:lang w:val="en-US" w:eastAsia="zh-CN"/>
        </w:rPr>
        <w:t>根据</w:t>
      </w:r>
      <w:r>
        <w:rPr>
          <w:rFonts w:hint="eastAsia" w:ascii="Times New Roman" w:hAnsi="Times New Roman"/>
          <w:color w:val="FF0000"/>
          <w:sz w:val="24"/>
          <w:szCs w:val="22"/>
          <w:lang w:val="zh-CN"/>
        </w:rPr>
        <w:t>隆德县神林乡人民政府的用地批复（见附件），项目用地类型依次为建设用地（其中养殖棚占地面积</w:t>
      </w:r>
      <w:r>
        <w:rPr>
          <w:rFonts w:hint="eastAsia" w:ascii="Times New Roman" w:hAnsi="Times New Roman"/>
          <w:color w:val="FF0000"/>
          <w:sz w:val="24"/>
          <w:szCs w:val="22"/>
          <w:lang w:val="en-US" w:eastAsia="zh-CN"/>
        </w:rPr>
        <w:t>23.65亩，积粪场占地面积5.75亩</w:t>
      </w:r>
      <w:r>
        <w:rPr>
          <w:rFonts w:hint="eastAsia" w:ascii="Times New Roman" w:hAnsi="Times New Roman"/>
          <w:color w:val="FF0000"/>
          <w:sz w:val="24"/>
          <w:szCs w:val="22"/>
          <w:lang w:val="zh-CN"/>
        </w:rPr>
        <w:t>），设施农用地（</w:t>
      </w:r>
      <w:r>
        <w:rPr>
          <w:rFonts w:hint="eastAsia" w:ascii="Times New Roman" w:hAnsi="Times New Roman"/>
          <w:color w:val="FF0000"/>
          <w:sz w:val="24"/>
          <w:szCs w:val="22"/>
          <w:lang w:val="en-US" w:eastAsia="zh-CN"/>
        </w:rPr>
        <w:t>青贮池，使用期限5年</w:t>
      </w:r>
      <w:r>
        <w:rPr>
          <w:rFonts w:hint="eastAsia" w:ascii="Times New Roman" w:hAnsi="Times New Roman"/>
          <w:color w:val="FF0000"/>
          <w:sz w:val="24"/>
          <w:szCs w:val="22"/>
          <w:lang w:val="zh-CN"/>
        </w:rPr>
        <w:t>）。</w:t>
      </w:r>
      <w:r>
        <w:rPr>
          <w:rFonts w:hint="eastAsia" w:ascii="Times New Roman" w:hAnsi="Times New Roman"/>
          <w:color w:val="FF0000"/>
          <w:sz w:val="24"/>
          <w:szCs w:val="22"/>
        </w:rPr>
        <w:t>项目建设期间虽然由于土地使用功能发生变化，施工过程中占用的耕地、草地和其他农用地的植被都被去除，表面植被遭到短期破坏。但是随着工程建设的完成，除被永久性占用外，部分地段植被通过绿化措施可以得到恢复。在严格限定施工用地范围、落实各项污染防治措施和生态恢复措施的情况下，项目施工期对区域生态环境影响较小。</w:t>
      </w:r>
    </w:p>
    <w:p>
      <w:pPr>
        <w:pStyle w:val="11"/>
        <w:adjustRightInd w:val="0"/>
        <w:snapToGrid w:val="0"/>
        <w:spacing w:after="0" w:line="540" w:lineRule="exact"/>
        <w:ind w:firstLine="464" w:firstLineChars="200"/>
        <w:rPr>
          <w:rFonts w:ascii="Times New Roman" w:hAnsi="Times New Roman"/>
          <w:spacing w:val="-4"/>
          <w:sz w:val="24"/>
          <w:szCs w:val="22"/>
        </w:rPr>
      </w:pPr>
      <w:r>
        <w:rPr>
          <w:rFonts w:ascii="Times New Roman" w:hAnsi="Times New Roman"/>
          <w:spacing w:val="-4"/>
          <w:sz w:val="24"/>
          <w:szCs w:val="22"/>
        </w:rPr>
        <w:t>项目区域范围内野生动物品种、数量均很少，主要是一些常见种类，兽类有野兔和鼠类，爬行类主要有沙蜥；鸟类主要有麻雀、喜鹊等常见种，没有国家级保护动物及珍稀濒危保护动物。项目施工影响范围较小，项目施工期不会对区域内的野生动物产生较大影响。</w:t>
      </w:r>
    </w:p>
    <w:p>
      <w:pPr>
        <w:pStyle w:val="51"/>
        <w:keepNext/>
        <w:keepLines/>
        <w:pageBreakBefore w:val="0"/>
        <w:kinsoku/>
        <w:wordWrap/>
        <w:overflowPunct/>
        <w:topLinePunct w:val="0"/>
        <w:autoSpaceDE/>
        <w:autoSpaceDN/>
        <w:bidi w:val="0"/>
        <w:adjustRightInd/>
        <w:snapToGrid w:val="0"/>
        <w:spacing w:before="0" w:beforeLines="0" w:after="0" w:afterLines="0" w:line="540" w:lineRule="exact"/>
        <w:contextualSpacing/>
        <w:textAlignment w:val="auto"/>
        <w:rPr>
          <w:rFonts w:cs="Times New Roman"/>
          <w:bCs w:val="0"/>
          <w:snapToGrid w:val="0"/>
          <w:kern w:val="0"/>
          <w:sz w:val="30"/>
          <w:szCs w:val="30"/>
        </w:rPr>
      </w:pPr>
      <w:bookmarkStart w:id="445" w:name="_Toc13399"/>
      <w:bookmarkStart w:id="446" w:name="_Toc3253"/>
      <w:bookmarkStart w:id="447" w:name="_Toc10545"/>
      <w:r>
        <w:rPr>
          <w:rFonts w:cs="Times New Roman"/>
          <w:bCs w:val="0"/>
          <w:snapToGrid w:val="0"/>
          <w:kern w:val="0"/>
          <w:sz w:val="30"/>
          <w:szCs w:val="30"/>
        </w:rPr>
        <w:t>2.</w:t>
      </w:r>
      <w:r>
        <w:rPr>
          <w:rFonts w:hint="eastAsia" w:cs="Times New Roman"/>
          <w:bCs w:val="0"/>
          <w:snapToGrid w:val="0"/>
          <w:kern w:val="0"/>
          <w:sz w:val="30"/>
          <w:szCs w:val="30"/>
        </w:rPr>
        <w:t>4</w:t>
      </w:r>
      <w:r>
        <w:rPr>
          <w:rFonts w:cs="Times New Roman"/>
          <w:bCs w:val="0"/>
          <w:snapToGrid w:val="0"/>
          <w:kern w:val="0"/>
          <w:sz w:val="30"/>
          <w:szCs w:val="30"/>
        </w:rPr>
        <w:t>运营期污染因素分析</w:t>
      </w:r>
      <w:bookmarkEnd w:id="445"/>
      <w:bookmarkEnd w:id="446"/>
      <w:bookmarkEnd w:id="447"/>
    </w:p>
    <w:p>
      <w:pPr>
        <w:pStyle w:val="52"/>
        <w:keepNext/>
        <w:keepLines/>
        <w:pageBreakBefore w:val="0"/>
        <w:tabs>
          <w:tab w:val="left" w:pos="284"/>
        </w:tabs>
        <w:kinsoku/>
        <w:wordWrap/>
        <w:overflowPunct/>
        <w:topLinePunct w:val="0"/>
        <w:autoSpaceDE/>
        <w:autoSpaceDN/>
        <w:bidi w:val="0"/>
        <w:adjustRightInd/>
        <w:snapToGrid w:val="0"/>
        <w:spacing w:before="0" w:after="0" w:afterLines="0" w:line="540" w:lineRule="exact"/>
        <w:contextualSpacing/>
        <w:textAlignment w:val="auto"/>
        <w:rPr>
          <w:rFonts w:cs="Times New Roman"/>
          <w:bCs w:val="0"/>
          <w:snapToGrid w:val="0"/>
          <w:kern w:val="0"/>
          <w:sz w:val="28"/>
          <w:szCs w:val="28"/>
        </w:rPr>
      </w:pPr>
      <w:bookmarkStart w:id="448" w:name="_Toc14720"/>
      <w:r>
        <w:rPr>
          <w:rFonts w:cs="Times New Roman"/>
          <w:bCs w:val="0"/>
          <w:snapToGrid w:val="0"/>
          <w:kern w:val="0"/>
          <w:sz w:val="28"/>
          <w:szCs w:val="28"/>
        </w:rPr>
        <w:t>2.</w:t>
      </w:r>
      <w:r>
        <w:rPr>
          <w:rFonts w:hint="eastAsia" w:cs="Times New Roman"/>
          <w:bCs w:val="0"/>
          <w:snapToGrid w:val="0"/>
          <w:kern w:val="0"/>
          <w:sz w:val="28"/>
          <w:szCs w:val="28"/>
        </w:rPr>
        <w:t>4</w:t>
      </w:r>
      <w:r>
        <w:rPr>
          <w:rFonts w:cs="Times New Roman"/>
          <w:bCs w:val="0"/>
          <w:snapToGrid w:val="0"/>
          <w:kern w:val="0"/>
          <w:sz w:val="28"/>
          <w:szCs w:val="28"/>
        </w:rPr>
        <w:t>.1废气</w:t>
      </w:r>
      <w:bookmarkEnd w:id="448"/>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本项目运营期废气主要为牛棚</w:t>
      </w:r>
      <w:r>
        <w:rPr>
          <w:rFonts w:hint="eastAsia" w:ascii="Times New Roman" w:hAnsi="Times New Roman"/>
          <w:sz w:val="24"/>
        </w:rPr>
        <w:t>及</w:t>
      </w:r>
      <w:r>
        <w:rPr>
          <w:rFonts w:hint="eastAsia" w:ascii="Times New Roman" w:hAnsi="Times New Roman"/>
          <w:sz w:val="24"/>
          <w:lang w:eastAsia="zh-CN"/>
        </w:rPr>
        <w:t>积粪场</w:t>
      </w:r>
      <w:r>
        <w:rPr>
          <w:rFonts w:ascii="Times New Roman" w:hAnsi="Times New Roman"/>
          <w:sz w:val="24"/>
        </w:rPr>
        <w:t>产生的恶臭</w:t>
      </w:r>
      <w:r>
        <w:rPr>
          <w:rFonts w:ascii="Times New Roman" w:hAnsi="Times New Roman"/>
        </w:rPr>
        <w:t>、</w:t>
      </w:r>
      <w:r>
        <w:rPr>
          <w:rFonts w:ascii="Times New Roman" w:hAnsi="Times New Roman"/>
          <w:sz w:val="24"/>
        </w:rPr>
        <w:t>粉碎机产生的粉尘。</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养殖场恶臭的主要来源是</w:t>
      </w:r>
      <w:r>
        <w:rPr>
          <w:rFonts w:hint="eastAsia"/>
          <w:color w:val="auto"/>
          <w:sz w:val="24"/>
          <w:lang w:eastAsia="zh-CN"/>
        </w:rPr>
        <w:t>牛棚</w:t>
      </w:r>
      <w:r>
        <w:rPr>
          <w:rFonts w:ascii="Times New Roman" w:hAnsi="Times New Roman"/>
          <w:color w:val="auto"/>
          <w:sz w:val="24"/>
        </w:rPr>
        <w:t>以及</w:t>
      </w:r>
      <w:r>
        <w:rPr>
          <w:rFonts w:hint="eastAsia" w:ascii="Times New Roman" w:hAnsi="Times New Roman"/>
          <w:color w:val="auto"/>
          <w:sz w:val="24"/>
          <w:lang w:eastAsia="zh-CN"/>
        </w:rPr>
        <w:t>积粪场</w:t>
      </w:r>
      <w:r>
        <w:rPr>
          <w:rFonts w:ascii="Times New Roman" w:hAnsi="Times New Roman"/>
          <w:color w:val="auto"/>
          <w:sz w:val="24"/>
        </w:rPr>
        <w:t>地牲畜粪便出体外之后的腐败分解</w:t>
      </w:r>
      <w:r>
        <w:rPr>
          <w:rFonts w:ascii="Times New Roman" w:hAnsi="Times New Roman"/>
          <w:sz w:val="24"/>
        </w:rPr>
        <w:t>，属于无组织排放。粪便会产生NH</w:t>
      </w:r>
      <w:r>
        <w:rPr>
          <w:rFonts w:ascii="Times New Roman" w:hAnsi="Times New Roman"/>
          <w:sz w:val="24"/>
          <w:vertAlign w:val="subscript"/>
        </w:rPr>
        <w:t>3</w:t>
      </w:r>
      <w:r>
        <w:rPr>
          <w:rFonts w:ascii="Times New Roman" w:hAnsi="Times New Roman"/>
          <w:sz w:val="24"/>
        </w:rPr>
        <w:t>、H</w:t>
      </w:r>
      <w:r>
        <w:rPr>
          <w:rFonts w:ascii="Times New Roman" w:hAnsi="Times New Roman"/>
          <w:sz w:val="24"/>
          <w:vertAlign w:val="subscript"/>
        </w:rPr>
        <w:t>2</w:t>
      </w:r>
      <w:r>
        <w:rPr>
          <w:rFonts w:ascii="Times New Roman" w:hAnsi="Times New Roman"/>
          <w:sz w:val="24"/>
        </w:rPr>
        <w:t>S等恶臭有害气体，若未及时清除或清除后不能及时处理，将会使臭味成倍增加，并会孳生大量蚊蝇，影响环境卫生。本项目对牛棚及运动场的牛粪，采用干清粪方式及时进行清理，定期消毒，喷洒除臭剂（生石灰）等；</w:t>
      </w:r>
      <w:r>
        <w:rPr>
          <w:rFonts w:hint="eastAsia" w:ascii="Times New Roman" w:hAnsi="Times New Roman"/>
          <w:sz w:val="24"/>
        </w:rPr>
        <w:t>积</w:t>
      </w:r>
      <w:r>
        <w:rPr>
          <w:rFonts w:ascii="Times New Roman" w:hAnsi="Times New Roman"/>
          <w:sz w:val="24"/>
        </w:rPr>
        <w:t>粪区加强过程控制和清运管理，减少牛粪堆存，定期消毒等</w:t>
      </w:r>
      <w:r>
        <w:rPr>
          <w:rFonts w:hint="eastAsia" w:ascii="Times New Roman" w:hAnsi="Times New Roman"/>
          <w:sz w:val="24"/>
          <w:lang w:eastAsia="zh-CN"/>
        </w:rPr>
        <w:t>，</w:t>
      </w:r>
      <w:r>
        <w:rPr>
          <w:rFonts w:ascii="Times New Roman" w:hAnsi="Times New Roman"/>
          <w:sz w:val="24"/>
        </w:rPr>
        <w:t>加入对粪污有降解除臭的特定微生物菌；</w:t>
      </w:r>
      <w:r>
        <w:rPr>
          <w:rFonts w:hint="eastAsia" w:ascii="Times New Roman" w:hAnsi="Times New Roman"/>
          <w:sz w:val="24"/>
          <w:lang w:eastAsia="zh-CN"/>
        </w:rPr>
        <w:t>积粪区</w:t>
      </w:r>
      <w:r>
        <w:rPr>
          <w:rFonts w:ascii="Times New Roman" w:hAnsi="Times New Roman"/>
          <w:sz w:val="24"/>
        </w:rPr>
        <w:t>各类池体加盖封闭，加强周边绿化、喷洒除臭剂；饲养过程需科学管理、调配饲料等措施治理恶臭。</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rPr>
        <w:t>⑴</w:t>
      </w:r>
      <w:r>
        <w:rPr>
          <w:rFonts w:ascii="Times New Roman" w:hAnsi="Times New Roman"/>
          <w:sz w:val="24"/>
          <w:szCs w:val="22"/>
        </w:rPr>
        <w:t>牛棚恶臭</w:t>
      </w:r>
    </w:p>
    <w:p>
      <w:pPr>
        <w:pStyle w:val="2"/>
        <w:adjustRightInd w:val="0"/>
        <w:spacing w:line="540" w:lineRule="exact"/>
        <w:ind w:firstLine="480" w:firstLineChars="200"/>
        <w:jc w:val="both"/>
        <w:rPr>
          <w:rFonts w:ascii="Times New Roman" w:hAnsi="Times New Roman"/>
          <w:sz w:val="24"/>
          <w:szCs w:val="22"/>
        </w:rPr>
      </w:pPr>
      <w:r>
        <w:rPr>
          <w:rFonts w:hint="eastAsia" w:ascii="Times New Roman" w:hAnsi="Times New Roman"/>
          <w:sz w:val="24"/>
          <w:szCs w:val="22"/>
        </w:rPr>
        <w:t>牛棚</w:t>
      </w:r>
      <w:r>
        <w:rPr>
          <w:rFonts w:ascii="Times New Roman" w:hAnsi="Times New Roman"/>
          <w:sz w:val="24"/>
          <w:szCs w:val="22"/>
        </w:rPr>
        <w:t>恶臭的主要来源是牛排出的新鲜粪便、尿液、消化道排出的气体等。根据《中国畜禽粪产生量估算及环境效应》（中国环境科学，2006,26（5）：614~617）</w:t>
      </w:r>
      <w:r>
        <w:rPr>
          <w:rFonts w:hint="eastAsia" w:ascii="Times New Roman" w:hAnsi="Times New Roman"/>
          <w:sz w:val="24"/>
          <w:szCs w:val="22"/>
        </w:rPr>
        <w:t>，</w:t>
      </w:r>
      <w:r>
        <w:rPr>
          <w:rFonts w:ascii="Times New Roman" w:hAnsi="Times New Roman"/>
          <w:sz w:val="24"/>
          <w:szCs w:val="22"/>
        </w:rPr>
        <w:t>牛粪中含氮量约0.351%、含硫量约0.596‰，NH</w:t>
      </w:r>
      <w:r>
        <w:rPr>
          <w:rFonts w:ascii="Times New Roman" w:hAnsi="Times New Roman"/>
          <w:sz w:val="24"/>
          <w:szCs w:val="22"/>
          <w:vertAlign w:val="subscript"/>
        </w:rPr>
        <w:t>3</w:t>
      </w:r>
      <w:r>
        <w:rPr>
          <w:rFonts w:ascii="Times New Roman" w:hAnsi="Times New Roman"/>
          <w:sz w:val="24"/>
          <w:szCs w:val="22"/>
        </w:rPr>
        <w:t>、H</w:t>
      </w:r>
      <w:r>
        <w:rPr>
          <w:rFonts w:ascii="Times New Roman" w:hAnsi="Times New Roman"/>
          <w:sz w:val="24"/>
          <w:szCs w:val="22"/>
          <w:vertAlign w:val="subscript"/>
        </w:rPr>
        <w:t>2</w:t>
      </w:r>
      <w:r>
        <w:rPr>
          <w:rFonts w:ascii="Times New Roman" w:hAnsi="Times New Roman"/>
          <w:sz w:val="24"/>
          <w:szCs w:val="22"/>
        </w:rPr>
        <w:t>S 产污系数分别为0.025g/kg（粪便）、0.0019g/kg（粪便）。</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根据《第二次全国污染源普查畜禽养殖业产排污系数手册》，西北地区肉牛粪便产生量为</w:t>
      </w:r>
      <w:r>
        <w:rPr>
          <w:rFonts w:hint="eastAsia" w:ascii="Times New Roman" w:hAnsi="Times New Roman"/>
          <w:sz w:val="24"/>
          <w:szCs w:val="22"/>
        </w:rPr>
        <w:t>10.88</w:t>
      </w:r>
      <w:r>
        <w:rPr>
          <w:rFonts w:ascii="Times New Roman" w:hAnsi="Times New Roman"/>
          <w:sz w:val="24"/>
          <w:szCs w:val="22"/>
        </w:rPr>
        <w:t>kg/d.头，本项目肉牛存栏量为</w:t>
      </w:r>
      <w:r>
        <w:rPr>
          <w:rFonts w:hint="eastAsia" w:ascii="Times New Roman" w:hAnsi="Times New Roman"/>
          <w:sz w:val="24"/>
          <w:szCs w:val="22"/>
        </w:rPr>
        <w:t>1000</w:t>
      </w:r>
      <w:r>
        <w:rPr>
          <w:rFonts w:ascii="Times New Roman" w:hAnsi="Times New Roman"/>
          <w:sz w:val="24"/>
          <w:szCs w:val="22"/>
        </w:rPr>
        <w:t>头，牛粪产生量为</w:t>
      </w:r>
      <w:r>
        <w:rPr>
          <w:rFonts w:hint="eastAsia" w:ascii="Times New Roman" w:hAnsi="Times New Roman"/>
          <w:sz w:val="24"/>
          <w:szCs w:val="22"/>
        </w:rPr>
        <w:t>10.88</w:t>
      </w:r>
      <w:r>
        <w:rPr>
          <w:rFonts w:ascii="Times New Roman" w:hAnsi="Times New Roman"/>
          <w:sz w:val="24"/>
          <w:szCs w:val="22"/>
        </w:rPr>
        <w:t>t/d（</w:t>
      </w:r>
      <w:r>
        <w:rPr>
          <w:rFonts w:hint="eastAsia" w:ascii="Times New Roman" w:hAnsi="Times New Roman"/>
          <w:sz w:val="24"/>
          <w:szCs w:val="22"/>
        </w:rPr>
        <w:t>3971.2</w:t>
      </w:r>
      <w:r>
        <w:rPr>
          <w:rFonts w:ascii="Times New Roman" w:hAnsi="Times New Roman"/>
          <w:sz w:val="24"/>
          <w:szCs w:val="22"/>
        </w:rPr>
        <w:t>t/a）。则本项目牛舍恶臭污染物产生源强为NH</w:t>
      </w:r>
      <w:r>
        <w:rPr>
          <w:rFonts w:ascii="Times New Roman" w:hAnsi="Times New Roman"/>
          <w:sz w:val="24"/>
          <w:szCs w:val="22"/>
          <w:vertAlign w:val="subscript"/>
        </w:rPr>
        <w:t>3</w:t>
      </w:r>
      <w:r>
        <w:rPr>
          <w:rFonts w:ascii="Times New Roman" w:hAnsi="Times New Roman"/>
          <w:sz w:val="24"/>
          <w:szCs w:val="22"/>
        </w:rPr>
        <w:t>：</w:t>
      </w:r>
      <w:r>
        <w:rPr>
          <w:rFonts w:hint="eastAsia" w:ascii="Times New Roman" w:hAnsi="Times New Roman"/>
          <w:sz w:val="24"/>
          <w:szCs w:val="22"/>
        </w:rPr>
        <w:t>0.013</w:t>
      </w:r>
      <w:r>
        <w:rPr>
          <w:rFonts w:ascii="Times New Roman" w:hAnsi="Times New Roman"/>
          <w:sz w:val="24"/>
          <w:szCs w:val="22"/>
        </w:rPr>
        <w:t>kg/h（</w:t>
      </w:r>
      <w:r>
        <w:rPr>
          <w:rFonts w:hint="eastAsia" w:ascii="Times New Roman" w:hAnsi="Times New Roman"/>
          <w:sz w:val="24"/>
          <w:szCs w:val="22"/>
        </w:rPr>
        <w:t>0.099</w:t>
      </w:r>
      <w:r>
        <w:rPr>
          <w:rFonts w:ascii="Times New Roman" w:hAnsi="Times New Roman"/>
          <w:sz w:val="24"/>
          <w:szCs w:val="22"/>
        </w:rPr>
        <w:t>t/a），H</w:t>
      </w:r>
      <w:r>
        <w:rPr>
          <w:rFonts w:ascii="Times New Roman" w:hAnsi="Times New Roman"/>
          <w:sz w:val="24"/>
          <w:szCs w:val="22"/>
          <w:vertAlign w:val="subscript"/>
        </w:rPr>
        <w:t>2</w:t>
      </w:r>
      <w:r>
        <w:rPr>
          <w:rFonts w:ascii="Times New Roman" w:hAnsi="Times New Roman"/>
          <w:sz w:val="24"/>
          <w:szCs w:val="22"/>
        </w:rPr>
        <w:t>S：</w:t>
      </w:r>
      <w:r>
        <w:rPr>
          <w:rFonts w:hint="eastAsia" w:ascii="Times New Roman" w:hAnsi="Times New Roman"/>
          <w:sz w:val="24"/>
          <w:szCs w:val="22"/>
        </w:rPr>
        <w:t>0.00086</w:t>
      </w:r>
      <w:r>
        <w:rPr>
          <w:rFonts w:ascii="Times New Roman" w:hAnsi="Times New Roman"/>
          <w:sz w:val="24"/>
          <w:szCs w:val="22"/>
        </w:rPr>
        <w:t>kg/h（</w:t>
      </w:r>
      <w:r>
        <w:rPr>
          <w:rFonts w:hint="eastAsia" w:ascii="Times New Roman" w:hAnsi="Times New Roman"/>
          <w:sz w:val="24"/>
          <w:szCs w:val="22"/>
        </w:rPr>
        <w:t>0.0075</w:t>
      </w:r>
      <w:r>
        <w:rPr>
          <w:rFonts w:ascii="Times New Roman" w:hAnsi="Times New Roman"/>
          <w:sz w:val="24"/>
          <w:szCs w:val="22"/>
        </w:rPr>
        <w:t>t/a）。</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本项目拟在日粮中添加沙皂素等除臭剂，并科学合理调控饲粮，同时加强牛场环境综合管理，对牛舍、</w:t>
      </w:r>
      <w:r>
        <w:rPr>
          <w:rFonts w:hint="eastAsia" w:ascii="Times New Roman" w:hAnsi="Times New Roman"/>
          <w:sz w:val="24"/>
          <w:szCs w:val="22"/>
          <w:lang w:eastAsia="zh-CN"/>
        </w:rPr>
        <w:t>积</w:t>
      </w:r>
      <w:r>
        <w:rPr>
          <w:rFonts w:ascii="Times New Roman" w:hAnsi="Times New Roman"/>
          <w:sz w:val="24"/>
          <w:szCs w:val="22"/>
        </w:rPr>
        <w:t>粪场定期喷洒除臭剂，牛舍每天定时清理牛粪，减少恶臭污染物的蓄积，</w:t>
      </w:r>
      <w:r>
        <w:rPr>
          <w:rFonts w:hint="eastAsia" w:ascii="Times New Roman" w:hAnsi="Times New Roman"/>
          <w:sz w:val="24"/>
          <w:szCs w:val="22"/>
        </w:rPr>
        <w:t>经</w:t>
      </w:r>
      <w:r>
        <w:rPr>
          <w:rFonts w:ascii="Times New Roman" w:hAnsi="Times New Roman"/>
          <w:sz w:val="24"/>
          <w:szCs w:val="22"/>
        </w:rPr>
        <w:t>过上述综合措施处理后，恶臭污染去除效率可达到70%以上。因此，得出本项目恶臭污染物排放源强分别为NH</w:t>
      </w:r>
      <w:r>
        <w:rPr>
          <w:rFonts w:ascii="Times New Roman" w:hAnsi="Times New Roman"/>
          <w:sz w:val="24"/>
          <w:szCs w:val="22"/>
          <w:vertAlign w:val="subscript"/>
        </w:rPr>
        <w:t>3</w:t>
      </w:r>
      <w:r>
        <w:rPr>
          <w:rFonts w:ascii="Times New Roman" w:hAnsi="Times New Roman"/>
          <w:sz w:val="24"/>
          <w:szCs w:val="22"/>
        </w:rPr>
        <w:t>：</w:t>
      </w:r>
      <w:r>
        <w:rPr>
          <w:rFonts w:hint="eastAsia" w:ascii="Times New Roman" w:hAnsi="Times New Roman"/>
          <w:sz w:val="24"/>
          <w:szCs w:val="22"/>
        </w:rPr>
        <w:t>0.0297</w:t>
      </w:r>
      <w:r>
        <w:rPr>
          <w:rFonts w:ascii="Times New Roman" w:hAnsi="Times New Roman"/>
          <w:sz w:val="24"/>
          <w:szCs w:val="22"/>
        </w:rPr>
        <w:t>t/a（</w:t>
      </w:r>
      <w:r>
        <w:rPr>
          <w:rFonts w:hint="eastAsia" w:ascii="Times New Roman" w:hAnsi="Times New Roman"/>
          <w:sz w:val="24"/>
          <w:szCs w:val="22"/>
        </w:rPr>
        <w:t>0.0039</w:t>
      </w:r>
      <w:r>
        <w:rPr>
          <w:rFonts w:ascii="Times New Roman" w:hAnsi="Times New Roman"/>
          <w:sz w:val="24"/>
          <w:szCs w:val="22"/>
        </w:rPr>
        <w:t>kg/h），H</w:t>
      </w:r>
      <w:r>
        <w:rPr>
          <w:rFonts w:ascii="Times New Roman" w:hAnsi="Times New Roman"/>
          <w:sz w:val="24"/>
          <w:szCs w:val="22"/>
          <w:vertAlign w:val="subscript"/>
        </w:rPr>
        <w:t>2</w:t>
      </w:r>
      <w:r>
        <w:rPr>
          <w:rFonts w:ascii="Times New Roman" w:hAnsi="Times New Roman"/>
          <w:sz w:val="24"/>
          <w:szCs w:val="22"/>
        </w:rPr>
        <w:t>S：</w:t>
      </w:r>
      <w:r>
        <w:rPr>
          <w:rFonts w:hint="eastAsia" w:ascii="Times New Roman" w:hAnsi="Times New Roman"/>
          <w:sz w:val="24"/>
          <w:szCs w:val="22"/>
        </w:rPr>
        <w:t>0.0023t/a</w:t>
      </w:r>
      <w:r>
        <w:rPr>
          <w:rFonts w:ascii="Times New Roman" w:hAnsi="Times New Roman"/>
          <w:sz w:val="24"/>
          <w:szCs w:val="22"/>
        </w:rPr>
        <w:t>（</w:t>
      </w:r>
      <w:r>
        <w:rPr>
          <w:rFonts w:hint="eastAsia" w:ascii="Times New Roman" w:hAnsi="Times New Roman"/>
          <w:sz w:val="24"/>
          <w:szCs w:val="22"/>
        </w:rPr>
        <w:t>0.000258kg/h</w:t>
      </w:r>
      <w:r>
        <w:rPr>
          <w:rFonts w:ascii="Times New Roman" w:hAnsi="Times New Roman"/>
          <w:sz w:val="24"/>
          <w:szCs w:val="22"/>
        </w:rPr>
        <w:t>），排放方式为无组织排放的面源。</w:t>
      </w:r>
    </w:p>
    <w:p>
      <w:pPr>
        <w:adjustRightInd w:val="0"/>
        <w:snapToGrid w:val="0"/>
        <w:spacing w:line="540" w:lineRule="exact"/>
        <w:ind w:firstLine="480" w:firstLineChars="200"/>
        <w:rPr>
          <w:rFonts w:ascii="Times New Roman" w:hAnsi="Times New Roman"/>
        </w:rPr>
      </w:pPr>
      <w:r>
        <w:rPr>
          <w:rFonts w:ascii="Times New Roman" w:hAnsi="Times New Roman"/>
          <w:bCs/>
          <w:sz w:val="24"/>
        </w:rPr>
        <w:t>本项目牛舍恶臭气体产生排放情况见下表：</w:t>
      </w:r>
    </w:p>
    <w:p>
      <w:pPr>
        <w:spacing w:before="120" w:beforeLines="50"/>
        <w:ind w:firstLine="481" w:firstLineChars="200"/>
        <w:rPr>
          <w:rFonts w:ascii="Times New Roman" w:hAnsi="Times New Roman"/>
          <w:sz w:val="24"/>
        </w:rPr>
      </w:pPr>
      <w:r>
        <w:rPr>
          <w:rFonts w:ascii="Times New Roman" w:hAnsi="Times New Roman"/>
          <w:b/>
          <w:bCs/>
          <w:sz w:val="24"/>
        </w:rPr>
        <w:t>表2.</w:t>
      </w:r>
      <w:r>
        <w:rPr>
          <w:rFonts w:hint="eastAsia" w:ascii="Times New Roman" w:hAnsi="Times New Roman"/>
          <w:b/>
          <w:bCs/>
          <w:sz w:val="24"/>
        </w:rPr>
        <w:t>4-1</w:t>
      </w:r>
      <w:r>
        <w:rPr>
          <w:rFonts w:ascii="Times New Roman" w:hAnsi="Times New Roman"/>
          <w:b/>
          <w:bCs/>
          <w:sz w:val="24"/>
        </w:rPr>
        <w:t xml:space="preserve">               牛</w:t>
      </w:r>
      <w:r>
        <w:rPr>
          <w:rFonts w:hint="eastAsia" w:ascii="Times New Roman" w:hAnsi="Times New Roman"/>
          <w:b/>
          <w:bCs/>
          <w:sz w:val="24"/>
        </w:rPr>
        <w:t>棚</w:t>
      </w:r>
      <w:r>
        <w:rPr>
          <w:rFonts w:ascii="Times New Roman" w:hAnsi="Times New Roman"/>
          <w:b/>
          <w:bCs/>
          <w:sz w:val="24"/>
        </w:rPr>
        <w:t>恶臭气体产生排放情况一览表</w:t>
      </w:r>
    </w:p>
    <w:tbl>
      <w:tblPr>
        <w:tblStyle w:val="29"/>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54"/>
        <w:gridCol w:w="1203"/>
        <w:gridCol w:w="843"/>
        <w:gridCol w:w="1314"/>
        <w:gridCol w:w="1522"/>
        <w:gridCol w:w="1397"/>
        <w:gridCol w:w="163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9" w:type="dxa"/>
            <w:vMerge w:val="restart"/>
            <w:tcMar>
              <w:top w:w="15" w:type="dxa"/>
              <w:left w:w="15" w:type="dxa"/>
              <w:right w:w="15" w:type="dxa"/>
            </w:tcMar>
            <w:vAlign w:val="center"/>
          </w:tcPr>
          <w:p>
            <w:pPr>
              <w:widowControl/>
              <w:jc w:val="center"/>
              <w:textAlignment w:val="center"/>
              <w:rPr>
                <w:rFonts w:ascii="Times New Roman" w:hAnsi="Times New Roman"/>
                <w:b/>
                <w:bCs/>
                <w:szCs w:val="21"/>
              </w:rPr>
            </w:pPr>
            <w:r>
              <w:rPr>
                <w:rFonts w:ascii="Times New Roman" w:hAnsi="Times New Roman"/>
                <w:b/>
                <w:bCs/>
                <w:kern w:val="0"/>
                <w:szCs w:val="21"/>
              </w:rPr>
              <w:t>名称</w:t>
            </w:r>
          </w:p>
        </w:tc>
        <w:tc>
          <w:tcPr>
            <w:tcW w:w="1240" w:type="dxa"/>
            <w:vMerge w:val="restart"/>
            <w:tcMar>
              <w:top w:w="15" w:type="dxa"/>
              <w:left w:w="15" w:type="dxa"/>
              <w:right w:w="15" w:type="dxa"/>
            </w:tcMar>
            <w:vAlign w:val="center"/>
          </w:tcPr>
          <w:p>
            <w:pPr>
              <w:widowControl/>
              <w:jc w:val="center"/>
              <w:textAlignment w:val="center"/>
              <w:rPr>
                <w:rFonts w:ascii="Times New Roman" w:hAnsi="Times New Roman"/>
                <w:b/>
                <w:bCs/>
                <w:szCs w:val="21"/>
              </w:rPr>
            </w:pPr>
            <w:r>
              <w:rPr>
                <w:rFonts w:ascii="Times New Roman" w:hAnsi="Times New Roman"/>
                <w:b/>
                <w:bCs/>
                <w:kern w:val="0"/>
                <w:szCs w:val="21"/>
              </w:rPr>
              <w:t>牛粪产生</w:t>
            </w:r>
            <w:r>
              <w:rPr>
                <w:rFonts w:hint="eastAsia" w:ascii="Times New Roman" w:hAnsi="Times New Roman"/>
                <w:b/>
                <w:bCs/>
                <w:kern w:val="0"/>
                <w:szCs w:val="21"/>
              </w:rPr>
              <w:t>量</w:t>
            </w:r>
          </w:p>
        </w:tc>
        <w:tc>
          <w:tcPr>
            <w:tcW w:w="869" w:type="dxa"/>
            <w:vMerge w:val="restart"/>
            <w:tcMar>
              <w:top w:w="15" w:type="dxa"/>
              <w:left w:w="15" w:type="dxa"/>
              <w:right w:w="15" w:type="dxa"/>
            </w:tcMar>
            <w:vAlign w:val="center"/>
          </w:tcPr>
          <w:p>
            <w:pPr>
              <w:widowControl/>
              <w:jc w:val="center"/>
              <w:textAlignment w:val="center"/>
              <w:rPr>
                <w:rFonts w:ascii="Times New Roman" w:hAnsi="Times New Roman"/>
                <w:b/>
                <w:bCs/>
                <w:szCs w:val="21"/>
              </w:rPr>
            </w:pPr>
            <w:r>
              <w:rPr>
                <w:rFonts w:ascii="Times New Roman" w:hAnsi="Times New Roman"/>
                <w:b/>
                <w:bCs/>
                <w:kern w:val="0"/>
                <w:szCs w:val="21"/>
              </w:rPr>
              <w:t>污染物名称</w:t>
            </w:r>
          </w:p>
        </w:tc>
        <w:tc>
          <w:tcPr>
            <w:tcW w:w="2925" w:type="dxa"/>
            <w:gridSpan w:val="2"/>
            <w:tcBorders>
              <w:bottom w:val="single" w:color="auto" w:sz="4" w:space="0"/>
            </w:tcBorders>
            <w:tcMar>
              <w:top w:w="15" w:type="dxa"/>
              <w:left w:w="15" w:type="dxa"/>
              <w:right w:w="15" w:type="dxa"/>
            </w:tcMar>
            <w:vAlign w:val="center"/>
          </w:tcPr>
          <w:p>
            <w:pPr>
              <w:widowControl/>
              <w:jc w:val="center"/>
              <w:textAlignment w:val="center"/>
              <w:rPr>
                <w:rFonts w:ascii="Times New Roman" w:hAnsi="Times New Roman"/>
                <w:b/>
                <w:bCs/>
                <w:szCs w:val="21"/>
              </w:rPr>
            </w:pPr>
            <w:r>
              <w:rPr>
                <w:rFonts w:ascii="Times New Roman" w:hAnsi="Times New Roman"/>
                <w:b/>
                <w:bCs/>
                <w:kern w:val="0"/>
                <w:szCs w:val="21"/>
              </w:rPr>
              <w:t>产生</w:t>
            </w:r>
            <w:r>
              <w:rPr>
                <w:rFonts w:hint="eastAsia" w:ascii="Times New Roman" w:hAnsi="Times New Roman"/>
                <w:b/>
                <w:bCs/>
                <w:kern w:val="0"/>
                <w:szCs w:val="21"/>
              </w:rPr>
              <w:t>情况</w:t>
            </w:r>
          </w:p>
        </w:tc>
        <w:tc>
          <w:tcPr>
            <w:tcW w:w="3131" w:type="dxa"/>
            <w:gridSpan w:val="2"/>
            <w:tcBorders>
              <w:bottom w:val="single" w:color="auto" w:sz="4" w:space="0"/>
            </w:tcBorders>
            <w:tcMar>
              <w:top w:w="15" w:type="dxa"/>
              <w:left w:w="15" w:type="dxa"/>
              <w:right w:w="15" w:type="dxa"/>
            </w:tcMar>
            <w:vAlign w:val="center"/>
          </w:tcPr>
          <w:p>
            <w:pPr>
              <w:widowControl/>
              <w:jc w:val="center"/>
              <w:textAlignment w:val="center"/>
              <w:rPr>
                <w:rFonts w:ascii="Times New Roman" w:hAnsi="Times New Roman"/>
                <w:b/>
                <w:bCs/>
                <w:szCs w:val="21"/>
              </w:rPr>
            </w:pPr>
            <w:r>
              <w:rPr>
                <w:rFonts w:ascii="Times New Roman" w:hAnsi="Times New Roman"/>
                <w:b/>
                <w:bCs/>
                <w:kern w:val="0"/>
                <w:szCs w:val="21"/>
              </w:rPr>
              <w:t>排放</w:t>
            </w:r>
            <w:r>
              <w:rPr>
                <w:rFonts w:hint="eastAsia" w:ascii="Times New Roman" w:hAnsi="Times New Roman"/>
                <w:b/>
                <w:bCs/>
                <w:kern w:val="0"/>
                <w:szCs w:val="21"/>
              </w:rPr>
              <w:t>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9" w:type="dxa"/>
            <w:vMerge w:val="continue"/>
            <w:tcMar>
              <w:top w:w="15" w:type="dxa"/>
              <w:left w:w="15" w:type="dxa"/>
              <w:right w:w="15" w:type="dxa"/>
            </w:tcMar>
            <w:vAlign w:val="center"/>
          </w:tcPr>
          <w:p>
            <w:pPr>
              <w:widowControl/>
              <w:jc w:val="center"/>
              <w:textAlignment w:val="center"/>
              <w:rPr>
                <w:rFonts w:ascii="Times New Roman" w:hAnsi="Times New Roman"/>
                <w:b/>
                <w:bCs/>
                <w:kern w:val="0"/>
                <w:szCs w:val="21"/>
              </w:rPr>
            </w:pPr>
          </w:p>
        </w:tc>
        <w:tc>
          <w:tcPr>
            <w:tcW w:w="1240" w:type="dxa"/>
            <w:vMerge w:val="continue"/>
            <w:tcMar>
              <w:top w:w="15" w:type="dxa"/>
              <w:left w:w="15" w:type="dxa"/>
              <w:right w:w="15" w:type="dxa"/>
            </w:tcMar>
            <w:vAlign w:val="center"/>
          </w:tcPr>
          <w:p>
            <w:pPr>
              <w:widowControl/>
              <w:jc w:val="center"/>
              <w:textAlignment w:val="center"/>
              <w:rPr>
                <w:rFonts w:ascii="Times New Roman" w:hAnsi="Times New Roman"/>
                <w:b/>
                <w:bCs/>
                <w:kern w:val="0"/>
                <w:szCs w:val="21"/>
              </w:rPr>
            </w:pPr>
          </w:p>
        </w:tc>
        <w:tc>
          <w:tcPr>
            <w:tcW w:w="869" w:type="dxa"/>
            <w:vMerge w:val="continue"/>
            <w:tcMar>
              <w:top w:w="15" w:type="dxa"/>
              <w:left w:w="15" w:type="dxa"/>
              <w:right w:w="15" w:type="dxa"/>
            </w:tcMar>
            <w:vAlign w:val="center"/>
          </w:tcPr>
          <w:p>
            <w:pPr>
              <w:widowControl/>
              <w:jc w:val="center"/>
              <w:textAlignment w:val="center"/>
              <w:rPr>
                <w:rFonts w:ascii="Times New Roman" w:hAnsi="Times New Roman"/>
                <w:b/>
                <w:bCs/>
                <w:kern w:val="0"/>
                <w:szCs w:val="21"/>
              </w:rPr>
            </w:pPr>
          </w:p>
        </w:tc>
        <w:tc>
          <w:tcPr>
            <w:tcW w:w="1355" w:type="dxa"/>
            <w:tcBorders>
              <w:top w:val="single" w:color="auto" w:sz="4" w:space="0"/>
              <w:right w:val="single" w:color="auto" w:sz="4" w:space="0"/>
            </w:tcBorders>
            <w:tcMar>
              <w:top w:w="15" w:type="dxa"/>
              <w:left w:w="15" w:type="dxa"/>
              <w:right w:w="15" w:type="dxa"/>
            </w:tcMar>
            <w:vAlign w:val="center"/>
          </w:tcPr>
          <w:p>
            <w:pPr>
              <w:widowControl/>
              <w:jc w:val="center"/>
              <w:textAlignment w:val="center"/>
              <w:rPr>
                <w:rFonts w:ascii="Times New Roman" w:hAnsi="Times New Roman"/>
                <w:b/>
                <w:bCs/>
                <w:kern w:val="0"/>
                <w:szCs w:val="21"/>
              </w:rPr>
            </w:pPr>
            <w:r>
              <w:rPr>
                <w:rFonts w:hint="eastAsia" w:ascii="Times New Roman" w:hAnsi="Times New Roman"/>
                <w:b/>
                <w:bCs/>
                <w:kern w:val="0"/>
                <w:szCs w:val="21"/>
              </w:rPr>
              <w:t>产生量</w:t>
            </w:r>
            <w:r>
              <w:rPr>
                <w:rFonts w:ascii="Times New Roman" w:hAnsi="Times New Roman"/>
                <w:b/>
                <w:bCs/>
                <w:kern w:val="0"/>
                <w:szCs w:val="21"/>
              </w:rPr>
              <w:t>t/a</w:t>
            </w:r>
          </w:p>
        </w:tc>
        <w:tc>
          <w:tcPr>
            <w:tcW w:w="1570" w:type="dxa"/>
            <w:tcBorders>
              <w:top w:val="single" w:color="auto" w:sz="4" w:space="0"/>
              <w:left w:val="single" w:color="auto" w:sz="4" w:space="0"/>
            </w:tcBorders>
            <w:tcMar>
              <w:top w:w="15" w:type="dxa"/>
              <w:left w:w="15" w:type="dxa"/>
              <w:right w:w="15" w:type="dxa"/>
            </w:tcMar>
            <w:vAlign w:val="center"/>
          </w:tcPr>
          <w:p>
            <w:pPr>
              <w:widowControl/>
              <w:jc w:val="center"/>
              <w:textAlignment w:val="center"/>
              <w:rPr>
                <w:rFonts w:ascii="Times New Roman" w:hAnsi="Times New Roman"/>
                <w:b/>
                <w:bCs/>
                <w:kern w:val="0"/>
                <w:szCs w:val="21"/>
              </w:rPr>
            </w:pPr>
            <w:r>
              <w:rPr>
                <w:rFonts w:hint="eastAsia" w:ascii="Times New Roman" w:hAnsi="Times New Roman"/>
                <w:b/>
                <w:bCs/>
                <w:kern w:val="0"/>
                <w:szCs w:val="21"/>
              </w:rPr>
              <w:t>产生速率kg/h</w:t>
            </w:r>
          </w:p>
        </w:tc>
        <w:tc>
          <w:tcPr>
            <w:tcW w:w="1441" w:type="dxa"/>
            <w:tcBorders>
              <w:top w:val="single" w:color="auto" w:sz="4" w:space="0"/>
              <w:right w:val="single" w:color="auto" w:sz="4" w:space="0"/>
            </w:tcBorders>
            <w:tcMar>
              <w:top w:w="15" w:type="dxa"/>
              <w:left w:w="15" w:type="dxa"/>
              <w:right w:w="15" w:type="dxa"/>
            </w:tcMar>
            <w:vAlign w:val="center"/>
          </w:tcPr>
          <w:p>
            <w:pPr>
              <w:widowControl/>
              <w:jc w:val="center"/>
              <w:textAlignment w:val="center"/>
              <w:rPr>
                <w:rFonts w:ascii="Times New Roman" w:hAnsi="Times New Roman"/>
                <w:b/>
                <w:bCs/>
                <w:kern w:val="0"/>
                <w:szCs w:val="21"/>
              </w:rPr>
            </w:pPr>
            <w:r>
              <w:rPr>
                <w:rFonts w:hint="eastAsia" w:ascii="Times New Roman" w:hAnsi="Times New Roman"/>
                <w:b/>
                <w:bCs/>
                <w:kern w:val="0"/>
                <w:szCs w:val="21"/>
              </w:rPr>
              <w:t>排放量</w:t>
            </w:r>
            <w:r>
              <w:rPr>
                <w:rFonts w:ascii="Times New Roman" w:hAnsi="Times New Roman"/>
                <w:b/>
                <w:bCs/>
                <w:kern w:val="0"/>
                <w:szCs w:val="21"/>
              </w:rPr>
              <w:t>t/a</w:t>
            </w:r>
          </w:p>
        </w:tc>
        <w:tc>
          <w:tcPr>
            <w:tcW w:w="1690" w:type="dxa"/>
            <w:tcBorders>
              <w:top w:val="single" w:color="auto" w:sz="4" w:space="0"/>
              <w:left w:val="single" w:color="auto" w:sz="4" w:space="0"/>
            </w:tcBorders>
            <w:tcMar>
              <w:top w:w="15" w:type="dxa"/>
              <w:left w:w="15" w:type="dxa"/>
              <w:right w:w="15" w:type="dxa"/>
            </w:tcMar>
            <w:vAlign w:val="center"/>
          </w:tcPr>
          <w:p>
            <w:pPr>
              <w:widowControl/>
              <w:jc w:val="center"/>
              <w:textAlignment w:val="center"/>
              <w:rPr>
                <w:rFonts w:ascii="Times New Roman" w:hAnsi="Times New Roman"/>
                <w:b/>
                <w:bCs/>
                <w:kern w:val="0"/>
                <w:szCs w:val="21"/>
              </w:rPr>
            </w:pPr>
            <w:r>
              <w:rPr>
                <w:rFonts w:hint="eastAsia" w:ascii="Times New Roman" w:hAnsi="Times New Roman"/>
                <w:b/>
                <w:bCs/>
                <w:kern w:val="0"/>
                <w:szCs w:val="21"/>
              </w:rPr>
              <w:t>排放速率kg/h</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9" w:type="dxa"/>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rPr>
              <w:t>牛</w:t>
            </w:r>
            <w:r>
              <w:rPr>
                <w:rFonts w:hint="eastAsia" w:ascii="Times New Roman" w:hAnsi="Times New Roman"/>
                <w:kern w:val="0"/>
                <w:szCs w:val="21"/>
              </w:rPr>
              <w:t>棚</w:t>
            </w:r>
            <w:r>
              <w:rPr>
                <w:rFonts w:ascii="Times New Roman" w:hAnsi="Times New Roman"/>
                <w:kern w:val="0"/>
                <w:szCs w:val="21"/>
              </w:rPr>
              <w:t>恶臭（</w:t>
            </w:r>
            <w:r>
              <w:rPr>
                <w:rFonts w:ascii="Times New Roman" w:hAnsi="Times New Roman"/>
              </w:rPr>
              <w:t>A1</w:t>
            </w:r>
            <w:r>
              <w:rPr>
                <w:rStyle w:val="53"/>
                <w:rFonts w:hint="default" w:ascii="Times New Roman" w:hAnsi="Times New Roman" w:cs="Times New Roman"/>
                <w:b w:val="0"/>
                <w:color w:val="auto"/>
              </w:rPr>
              <w:t>）</w:t>
            </w:r>
          </w:p>
        </w:tc>
        <w:tc>
          <w:tcPr>
            <w:tcW w:w="1240" w:type="dxa"/>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hint="eastAsia" w:ascii="Times New Roman" w:hAnsi="Times New Roman"/>
                <w:sz w:val="24"/>
              </w:rPr>
              <w:t>3971.2</w:t>
            </w:r>
            <w:r>
              <w:rPr>
                <w:rFonts w:hint="eastAsia" w:ascii="Times New Roman" w:hAnsi="Times New Roman"/>
                <w:kern w:val="0"/>
                <w:szCs w:val="21"/>
              </w:rPr>
              <w:t>t/a</w:t>
            </w:r>
          </w:p>
        </w:tc>
        <w:tc>
          <w:tcPr>
            <w:tcW w:w="869" w:type="dxa"/>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rPr>
              <w:t>NH</w:t>
            </w:r>
            <w:r>
              <w:rPr>
                <w:rStyle w:val="54"/>
                <w:rFonts w:hint="default" w:ascii="Times New Roman" w:hAnsi="Times New Roman" w:cs="Times New Roman"/>
                <w:color w:val="auto"/>
                <w:vertAlign w:val="subscript"/>
              </w:rPr>
              <w:t>3</w:t>
            </w:r>
          </w:p>
        </w:tc>
        <w:tc>
          <w:tcPr>
            <w:tcW w:w="1355" w:type="dxa"/>
            <w:tcBorders>
              <w:right w:val="single" w:color="auto" w:sz="4" w:space="0"/>
            </w:tcBorders>
            <w:tcMar>
              <w:top w:w="15" w:type="dxa"/>
              <w:left w:w="15" w:type="dxa"/>
              <w:right w:w="15" w:type="dxa"/>
            </w:tcMar>
            <w:vAlign w:val="center"/>
          </w:tcPr>
          <w:p>
            <w:pPr>
              <w:widowControl/>
              <w:jc w:val="center"/>
              <w:textAlignment w:val="center"/>
              <w:rPr>
                <w:rFonts w:ascii="Times New Roman" w:hAnsi="Times New Roman"/>
                <w:szCs w:val="21"/>
              </w:rPr>
            </w:pPr>
            <w:r>
              <w:rPr>
                <w:rFonts w:hint="eastAsia" w:ascii="Times New Roman" w:hAnsi="Times New Roman"/>
                <w:szCs w:val="21"/>
              </w:rPr>
              <w:t>0.099</w:t>
            </w:r>
          </w:p>
        </w:tc>
        <w:tc>
          <w:tcPr>
            <w:tcW w:w="1570" w:type="dxa"/>
            <w:tcBorders>
              <w:left w:val="single" w:color="auto" w:sz="4" w:space="0"/>
            </w:tcBorders>
            <w:tcMar>
              <w:top w:w="15" w:type="dxa"/>
              <w:left w:w="15" w:type="dxa"/>
              <w:right w:w="15" w:type="dxa"/>
            </w:tcMar>
            <w:vAlign w:val="center"/>
          </w:tcPr>
          <w:p>
            <w:pPr>
              <w:widowControl/>
              <w:jc w:val="center"/>
              <w:textAlignment w:val="center"/>
              <w:rPr>
                <w:rFonts w:ascii="Times New Roman" w:hAnsi="Times New Roman"/>
                <w:kern w:val="0"/>
                <w:szCs w:val="21"/>
              </w:rPr>
            </w:pPr>
            <w:r>
              <w:rPr>
                <w:rFonts w:hint="eastAsia" w:ascii="Times New Roman" w:hAnsi="Times New Roman"/>
                <w:kern w:val="0"/>
                <w:szCs w:val="21"/>
              </w:rPr>
              <w:t>0.013</w:t>
            </w:r>
          </w:p>
        </w:tc>
        <w:tc>
          <w:tcPr>
            <w:tcW w:w="1441" w:type="dxa"/>
            <w:tcBorders>
              <w:right w:val="single" w:color="auto" w:sz="4" w:space="0"/>
            </w:tcBorders>
            <w:tcMar>
              <w:top w:w="15" w:type="dxa"/>
              <w:left w:w="15" w:type="dxa"/>
              <w:right w:w="15" w:type="dxa"/>
            </w:tcMar>
            <w:vAlign w:val="center"/>
          </w:tcPr>
          <w:p>
            <w:pPr>
              <w:widowControl/>
              <w:jc w:val="center"/>
              <w:textAlignment w:val="center"/>
              <w:rPr>
                <w:rFonts w:ascii="Times New Roman" w:hAnsi="Times New Roman"/>
                <w:szCs w:val="21"/>
              </w:rPr>
            </w:pPr>
            <w:r>
              <w:rPr>
                <w:rFonts w:hint="eastAsia" w:ascii="Times New Roman" w:hAnsi="Times New Roman"/>
                <w:szCs w:val="21"/>
              </w:rPr>
              <w:t>0.0297</w:t>
            </w:r>
          </w:p>
        </w:tc>
        <w:tc>
          <w:tcPr>
            <w:tcW w:w="1690" w:type="dxa"/>
            <w:tcBorders>
              <w:left w:val="single" w:color="auto" w:sz="4" w:space="0"/>
            </w:tcBorders>
            <w:tcMar>
              <w:top w:w="15" w:type="dxa"/>
              <w:left w:w="15" w:type="dxa"/>
              <w:right w:w="15" w:type="dxa"/>
            </w:tcMar>
            <w:vAlign w:val="center"/>
          </w:tcPr>
          <w:p>
            <w:pPr>
              <w:widowControl/>
              <w:jc w:val="center"/>
              <w:textAlignment w:val="center"/>
              <w:rPr>
                <w:rFonts w:ascii="Times New Roman" w:hAnsi="Times New Roman"/>
                <w:kern w:val="0"/>
                <w:szCs w:val="21"/>
              </w:rPr>
            </w:pPr>
            <w:r>
              <w:rPr>
                <w:rFonts w:hint="eastAsia" w:ascii="Times New Roman" w:hAnsi="Times New Roman"/>
                <w:kern w:val="0"/>
                <w:szCs w:val="21"/>
              </w:rPr>
              <w:t>0.0039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9" w:type="dxa"/>
            <w:vMerge w:val="continue"/>
            <w:tcMar>
              <w:top w:w="15" w:type="dxa"/>
              <w:left w:w="15" w:type="dxa"/>
              <w:right w:w="15" w:type="dxa"/>
            </w:tcMar>
            <w:vAlign w:val="center"/>
          </w:tcPr>
          <w:p>
            <w:pPr>
              <w:widowControl/>
              <w:jc w:val="center"/>
              <w:rPr>
                <w:rFonts w:ascii="Times New Roman" w:hAnsi="Times New Roman"/>
                <w:szCs w:val="21"/>
              </w:rPr>
            </w:pPr>
          </w:p>
        </w:tc>
        <w:tc>
          <w:tcPr>
            <w:tcW w:w="1240" w:type="dxa"/>
            <w:vMerge w:val="continue"/>
            <w:tcMar>
              <w:top w:w="15" w:type="dxa"/>
              <w:left w:w="15" w:type="dxa"/>
              <w:right w:w="15" w:type="dxa"/>
            </w:tcMar>
            <w:vAlign w:val="center"/>
          </w:tcPr>
          <w:p>
            <w:pPr>
              <w:widowControl/>
              <w:jc w:val="center"/>
              <w:rPr>
                <w:rFonts w:ascii="Times New Roman" w:hAnsi="Times New Roman"/>
                <w:szCs w:val="21"/>
              </w:rPr>
            </w:pPr>
          </w:p>
        </w:tc>
        <w:tc>
          <w:tcPr>
            <w:tcW w:w="869" w:type="dxa"/>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rPr>
              <w:t>H</w:t>
            </w:r>
            <w:r>
              <w:rPr>
                <w:rStyle w:val="54"/>
                <w:rFonts w:hint="default" w:ascii="Times New Roman" w:hAnsi="Times New Roman" w:cs="Times New Roman"/>
                <w:color w:val="auto"/>
                <w:vertAlign w:val="subscript"/>
              </w:rPr>
              <w:t>2</w:t>
            </w:r>
            <w:r>
              <w:rPr>
                <w:rFonts w:ascii="Times New Roman" w:hAnsi="Times New Roman"/>
              </w:rPr>
              <w:t>S</w:t>
            </w:r>
          </w:p>
        </w:tc>
        <w:tc>
          <w:tcPr>
            <w:tcW w:w="1355" w:type="dxa"/>
            <w:tcBorders>
              <w:right w:val="single" w:color="auto" w:sz="4" w:space="0"/>
            </w:tcBorders>
            <w:tcMar>
              <w:top w:w="15" w:type="dxa"/>
              <w:left w:w="15" w:type="dxa"/>
              <w:right w:w="15" w:type="dxa"/>
            </w:tcMar>
            <w:vAlign w:val="center"/>
          </w:tcPr>
          <w:p>
            <w:pPr>
              <w:widowControl/>
              <w:jc w:val="center"/>
              <w:textAlignment w:val="center"/>
              <w:rPr>
                <w:rFonts w:ascii="Times New Roman" w:hAnsi="Times New Roman"/>
                <w:szCs w:val="21"/>
              </w:rPr>
            </w:pPr>
            <w:r>
              <w:rPr>
                <w:rFonts w:hint="eastAsia" w:ascii="Times New Roman" w:hAnsi="Times New Roman"/>
                <w:szCs w:val="21"/>
              </w:rPr>
              <w:t>0.0075</w:t>
            </w:r>
          </w:p>
        </w:tc>
        <w:tc>
          <w:tcPr>
            <w:tcW w:w="1570" w:type="dxa"/>
            <w:tcBorders>
              <w:left w:val="single" w:color="auto" w:sz="4" w:space="0"/>
            </w:tcBorders>
            <w:tcMar>
              <w:top w:w="15" w:type="dxa"/>
              <w:left w:w="15" w:type="dxa"/>
              <w:right w:w="15" w:type="dxa"/>
            </w:tcMar>
            <w:vAlign w:val="center"/>
          </w:tcPr>
          <w:p>
            <w:pPr>
              <w:widowControl/>
              <w:jc w:val="center"/>
              <w:textAlignment w:val="center"/>
              <w:rPr>
                <w:rFonts w:ascii="Times New Roman" w:hAnsi="Times New Roman"/>
                <w:kern w:val="0"/>
                <w:szCs w:val="21"/>
              </w:rPr>
            </w:pPr>
            <w:r>
              <w:rPr>
                <w:rFonts w:hint="eastAsia" w:ascii="Times New Roman" w:hAnsi="Times New Roman"/>
                <w:kern w:val="0"/>
                <w:szCs w:val="21"/>
              </w:rPr>
              <w:t>0.00086</w:t>
            </w:r>
          </w:p>
        </w:tc>
        <w:tc>
          <w:tcPr>
            <w:tcW w:w="1441" w:type="dxa"/>
            <w:tcBorders>
              <w:right w:val="single" w:color="auto" w:sz="4" w:space="0"/>
            </w:tcBorders>
            <w:tcMar>
              <w:top w:w="15" w:type="dxa"/>
              <w:left w:w="15" w:type="dxa"/>
              <w:right w:w="15" w:type="dxa"/>
            </w:tcMar>
            <w:vAlign w:val="center"/>
          </w:tcPr>
          <w:p>
            <w:pPr>
              <w:widowControl/>
              <w:jc w:val="center"/>
              <w:textAlignment w:val="center"/>
              <w:rPr>
                <w:rFonts w:ascii="Times New Roman" w:hAnsi="Times New Roman"/>
                <w:szCs w:val="21"/>
              </w:rPr>
            </w:pPr>
            <w:r>
              <w:rPr>
                <w:rFonts w:hint="eastAsia" w:ascii="Times New Roman" w:hAnsi="Times New Roman"/>
                <w:szCs w:val="21"/>
              </w:rPr>
              <w:t>0.0023</w:t>
            </w:r>
          </w:p>
        </w:tc>
        <w:tc>
          <w:tcPr>
            <w:tcW w:w="1690" w:type="dxa"/>
            <w:tcBorders>
              <w:left w:val="single" w:color="auto" w:sz="4" w:space="0"/>
            </w:tcBorders>
            <w:tcMar>
              <w:top w:w="15" w:type="dxa"/>
              <w:left w:w="15" w:type="dxa"/>
              <w:right w:w="15" w:type="dxa"/>
            </w:tcMar>
            <w:vAlign w:val="center"/>
          </w:tcPr>
          <w:p>
            <w:pPr>
              <w:widowControl/>
              <w:jc w:val="center"/>
              <w:textAlignment w:val="center"/>
              <w:rPr>
                <w:rFonts w:ascii="Times New Roman" w:hAnsi="Times New Roman"/>
                <w:kern w:val="0"/>
                <w:szCs w:val="21"/>
              </w:rPr>
            </w:pPr>
            <w:r>
              <w:rPr>
                <w:rFonts w:hint="eastAsia" w:ascii="Times New Roman" w:hAnsi="Times New Roman"/>
                <w:kern w:val="0"/>
                <w:szCs w:val="21"/>
              </w:rPr>
              <w:t>0.0003</w:t>
            </w:r>
          </w:p>
        </w:tc>
      </w:tr>
    </w:tbl>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⑵</w:t>
      </w:r>
      <w:r>
        <w:rPr>
          <w:rFonts w:hint="eastAsia" w:ascii="Times New Roman" w:hAnsi="Times New Roman"/>
          <w:bCs/>
          <w:sz w:val="24"/>
        </w:rPr>
        <w:t>积粪场</w:t>
      </w:r>
      <w:r>
        <w:rPr>
          <w:rFonts w:ascii="Times New Roman" w:hAnsi="Times New Roman"/>
          <w:bCs/>
          <w:sz w:val="24"/>
        </w:rPr>
        <w:t>恶臭</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本项目拟建设1座</w:t>
      </w:r>
      <w:r>
        <w:rPr>
          <w:rFonts w:hint="eastAsia" w:ascii="Times New Roman" w:hAnsi="Times New Roman"/>
          <w:sz w:val="24"/>
          <w:szCs w:val="22"/>
        </w:rPr>
        <w:t>525</w:t>
      </w:r>
      <w:r>
        <w:rPr>
          <w:rFonts w:ascii="Times New Roman" w:hAnsi="Times New Roman"/>
          <w:sz w:val="24"/>
          <w:szCs w:val="22"/>
        </w:rPr>
        <w:t>m</w:t>
      </w:r>
      <w:r>
        <w:rPr>
          <w:rFonts w:ascii="Times New Roman" w:hAnsi="Times New Roman"/>
          <w:sz w:val="24"/>
          <w:szCs w:val="22"/>
          <w:vertAlign w:val="superscript"/>
        </w:rPr>
        <w:t>2</w:t>
      </w:r>
      <w:r>
        <w:rPr>
          <w:rFonts w:ascii="Times New Roman" w:hAnsi="Times New Roman"/>
          <w:sz w:val="24"/>
          <w:szCs w:val="22"/>
        </w:rPr>
        <w:t xml:space="preserve"> </w:t>
      </w:r>
      <w:r>
        <w:rPr>
          <w:rFonts w:hint="eastAsia" w:ascii="Times New Roman" w:hAnsi="Times New Roman"/>
          <w:sz w:val="24"/>
          <w:szCs w:val="22"/>
          <w:lang w:eastAsia="zh-CN"/>
        </w:rPr>
        <w:t>积</w:t>
      </w:r>
      <w:r>
        <w:rPr>
          <w:rFonts w:ascii="Times New Roman" w:hAnsi="Times New Roman"/>
          <w:sz w:val="24"/>
          <w:szCs w:val="22"/>
        </w:rPr>
        <w:t>粪场（采取防渗、防漏、防雨顶棚措施），</w:t>
      </w:r>
      <w:r>
        <w:rPr>
          <w:rFonts w:hint="eastAsia" w:ascii="Times New Roman" w:hAnsi="Times New Roman"/>
          <w:sz w:val="24"/>
          <w:szCs w:val="22"/>
        </w:rPr>
        <w:t>积</w:t>
      </w:r>
      <w:r>
        <w:rPr>
          <w:rFonts w:ascii="Times New Roman" w:hAnsi="Times New Roman"/>
          <w:sz w:val="24"/>
          <w:szCs w:val="22"/>
        </w:rPr>
        <w:t>粪场恶臭产生强度与堆场管理方式等有关。根据《中国畜禽粪便产生量估算及环境效应》（中国环境科学，2006，26（5）614～617），牛粪中总固体量约 15%，牛粪中含氮量0.3</w:t>
      </w:r>
      <w:r>
        <w:rPr>
          <w:rFonts w:hint="eastAsia" w:ascii="Times New Roman" w:hAnsi="Times New Roman"/>
          <w:sz w:val="24"/>
          <w:szCs w:val="22"/>
        </w:rPr>
        <w:t>51</w:t>
      </w:r>
      <w:r>
        <w:rPr>
          <w:rFonts w:ascii="Times New Roman" w:hAnsi="Times New Roman"/>
          <w:sz w:val="24"/>
          <w:szCs w:val="22"/>
        </w:rPr>
        <w:t>%， 含硫量0.596 ‰，本项目</w:t>
      </w:r>
      <w:r>
        <w:rPr>
          <w:rFonts w:hint="eastAsia" w:ascii="Times New Roman" w:hAnsi="Times New Roman"/>
          <w:sz w:val="24"/>
          <w:szCs w:val="22"/>
        </w:rPr>
        <w:t>积</w:t>
      </w:r>
      <w:r>
        <w:rPr>
          <w:rFonts w:ascii="Times New Roman" w:hAnsi="Times New Roman"/>
          <w:sz w:val="24"/>
          <w:szCs w:val="22"/>
        </w:rPr>
        <w:t>粪场堆粪量为</w:t>
      </w:r>
      <w:r>
        <w:rPr>
          <w:rFonts w:hint="eastAsia" w:ascii="Times New Roman" w:hAnsi="Times New Roman"/>
          <w:sz w:val="24"/>
        </w:rPr>
        <w:t>3971.2</w:t>
      </w:r>
      <w:r>
        <w:rPr>
          <w:rFonts w:ascii="Times New Roman" w:hAnsi="Times New Roman"/>
          <w:sz w:val="24"/>
          <w:szCs w:val="22"/>
        </w:rPr>
        <w:t>t/a，则本项目牛粪中含氮量为</w:t>
      </w:r>
      <w:r>
        <w:rPr>
          <w:rFonts w:hint="eastAsia" w:ascii="Times New Roman" w:hAnsi="Times New Roman"/>
          <w:sz w:val="24"/>
          <w:szCs w:val="22"/>
        </w:rPr>
        <w:t>1.8</w:t>
      </w:r>
      <w:r>
        <w:rPr>
          <w:rFonts w:ascii="Times New Roman" w:hAnsi="Times New Roman"/>
          <w:sz w:val="24"/>
          <w:szCs w:val="22"/>
        </w:rPr>
        <w:t>t/a，含硫量</w:t>
      </w:r>
      <w:r>
        <w:rPr>
          <w:rFonts w:hint="eastAsia" w:ascii="Times New Roman" w:hAnsi="Times New Roman"/>
          <w:sz w:val="24"/>
          <w:szCs w:val="22"/>
        </w:rPr>
        <w:t>0.35</w:t>
      </w:r>
      <w:r>
        <w:rPr>
          <w:rFonts w:ascii="Times New Roman" w:hAnsi="Times New Roman"/>
          <w:sz w:val="24"/>
          <w:szCs w:val="22"/>
        </w:rPr>
        <w:t>t/a。根据《日粮不同种类的饲草料对荷斯坦青年母牛粪尿中总氮、氨态氮和粪中 NH</w:t>
      </w:r>
      <w:r>
        <w:rPr>
          <w:rFonts w:ascii="Times New Roman" w:hAnsi="Times New Roman"/>
          <w:sz w:val="24"/>
          <w:szCs w:val="22"/>
          <w:vertAlign w:val="subscript"/>
        </w:rPr>
        <w:t>3</w:t>
      </w:r>
      <w:r>
        <w:rPr>
          <w:rFonts w:ascii="Times New Roman" w:hAnsi="Times New Roman"/>
          <w:sz w:val="24"/>
          <w:szCs w:val="22"/>
        </w:rPr>
        <w:t>、H</w:t>
      </w:r>
      <w:r>
        <w:rPr>
          <w:rFonts w:ascii="Times New Roman" w:hAnsi="Times New Roman"/>
          <w:sz w:val="24"/>
          <w:szCs w:val="22"/>
          <w:vertAlign w:val="subscript"/>
        </w:rPr>
        <w:t>2</w:t>
      </w:r>
      <w:r>
        <w:rPr>
          <w:rFonts w:ascii="Times New Roman" w:hAnsi="Times New Roman"/>
          <w:sz w:val="24"/>
          <w:szCs w:val="22"/>
        </w:rPr>
        <w:t>S 散发量的影响》，在饲料配方合理，</w:t>
      </w:r>
      <w:r>
        <w:rPr>
          <w:rFonts w:hint="eastAsia" w:ascii="Times New Roman" w:hAnsi="Times New Roman"/>
          <w:sz w:val="24"/>
          <w:szCs w:val="22"/>
        </w:rPr>
        <w:t>积</w:t>
      </w:r>
      <w:r>
        <w:rPr>
          <w:rFonts w:ascii="Times New Roman" w:hAnsi="Times New Roman"/>
          <w:sz w:val="24"/>
          <w:szCs w:val="22"/>
        </w:rPr>
        <w:t>粪场管理得当的前提下，总氮转化成NH</w:t>
      </w:r>
      <w:r>
        <w:rPr>
          <w:rFonts w:ascii="Times New Roman" w:hAnsi="Times New Roman"/>
          <w:sz w:val="24"/>
          <w:szCs w:val="22"/>
          <w:vertAlign w:val="subscript"/>
        </w:rPr>
        <w:t>3</w:t>
      </w:r>
      <w:r>
        <w:rPr>
          <w:rFonts w:ascii="Times New Roman" w:hAnsi="Times New Roman"/>
          <w:sz w:val="24"/>
          <w:szCs w:val="22"/>
        </w:rPr>
        <w:t>转化率取5%，总硫转化成H</w:t>
      </w:r>
      <w:r>
        <w:rPr>
          <w:rFonts w:ascii="Times New Roman" w:hAnsi="Times New Roman"/>
          <w:sz w:val="24"/>
          <w:szCs w:val="22"/>
          <w:vertAlign w:val="subscript"/>
        </w:rPr>
        <w:t>2</w:t>
      </w:r>
      <w:r>
        <w:rPr>
          <w:rFonts w:ascii="Times New Roman" w:hAnsi="Times New Roman"/>
          <w:sz w:val="24"/>
          <w:szCs w:val="22"/>
        </w:rPr>
        <w:t>S转化率取5%，则</w:t>
      </w:r>
      <w:r>
        <w:rPr>
          <w:rFonts w:hint="eastAsia" w:ascii="Times New Roman" w:hAnsi="Times New Roman"/>
          <w:sz w:val="24"/>
          <w:szCs w:val="22"/>
        </w:rPr>
        <w:t>积</w:t>
      </w:r>
      <w:r>
        <w:rPr>
          <w:rFonts w:ascii="Times New Roman" w:hAnsi="Times New Roman"/>
          <w:sz w:val="24"/>
          <w:szCs w:val="22"/>
        </w:rPr>
        <w:t>粪场恶臭污染物产生源强分别为 NH</w:t>
      </w:r>
      <w:r>
        <w:rPr>
          <w:rFonts w:ascii="Times New Roman" w:hAnsi="Times New Roman"/>
          <w:sz w:val="24"/>
          <w:szCs w:val="22"/>
          <w:vertAlign w:val="subscript"/>
        </w:rPr>
        <w:t>3</w:t>
      </w:r>
      <w:r>
        <w:rPr>
          <w:rFonts w:ascii="Times New Roman" w:hAnsi="Times New Roman"/>
          <w:sz w:val="24"/>
          <w:szCs w:val="22"/>
        </w:rPr>
        <w:t>：</w:t>
      </w:r>
      <w:r>
        <w:rPr>
          <w:rFonts w:hint="eastAsia" w:ascii="Times New Roman" w:hAnsi="Times New Roman"/>
          <w:sz w:val="24"/>
          <w:szCs w:val="22"/>
        </w:rPr>
        <w:t>0.09</w:t>
      </w:r>
      <w:r>
        <w:rPr>
          <w:rFonts w:ascii="Times New Roman" w:hAnsi="Times New Roman"/>
          <w:sz w:val="24"/>
          <w:szCs w:val="22"/>
        </w:rPr>
        <w:t>t/a（</w:t>
      </w:r>
      <w:r>
        <w:rPr>
          <w:rFonts w:hint="eastAsia" w:ascii="Times New Roman" w:hAnsi="Times New Roman"/>
          <w:sz w:val="24"/>
          <w:szCs w:val="22"/>
        </w:rPr>
        <w:t>0.0103</w:t>
      </w:r>
      <w:r>
        <w:rPr>
          <w:rFonts w:ascii="Times New Roman" w:hAnsi="Times New Roman"/>
          <w:sz w:val="24"/>
          <w:szCs w:val="22"/>
        </w:rPr>
        <w:t>kg/h），H</w:t>
      </w:r>
      <w:r>
        <w:rPr>
          <w:rFonts w:ascii="Times New Roman" w:hAnsi="Times New Roman"/>
          <w:sz w:val="24"/>
          <w:szCs w:val="22"/>
          <w:vertAlign w:val="subscript"/>
        </w:rPr>
        <w:t>2</w:t>
      </w:r>
      <w:r>
        <w:rPr>
          <w:rFonts w:ascii="Times New Roman" w:hAnsi="Times New Roman"/>
          <w:sz w:val="24"/>
          <w:szCs w:val="22"/>
        </w:rPr>
        <w:t>S：</w:t>
      </w:r>
      <w:r>
        <w:rPr>
          <w:rFonts w:hint="eastAsia" w:ascii="Times New Roman" w:hAnsi="Times New Roman"/>
          <w:sz w:val="24"/>
          <w:szCs w:val="22"/>
        </w:rPr>
        <w:t>0.0175</w:t>
      </w:r>
      <w:r>
        <w:rPr>
          <w:rFonts w:ascii="Times New Roman" w:hAnsi="Times New Roman"/>
          <w:sz w:val="24"/>
          <w:szCs w:val="22"/>
        </w:rPr>
        <w:t>t/a（</w:t>
      </w:r>
      <w:r>
        <w:rPr>
          <w:rFonts w:hint="eastAsia" w:ascii="Times New Roman" w:hAnsi="Times New Roman"/>
          <w:sz w:val="24"/>
          <w:szCs w:val="22"/>
        </w:rPr>
        <w:t>0.002</w:t>
      </w:r>
      <w:r>
        <w:rPr>
          <w:rFonts w:ascii="Times New Roman" w:hAnsi="Times New Roman"/>
          <w:sz w:val="24"/>
          <w:szCs w:val="22"/>
        </w:rPr>
        <w:t>kg/h）。同时加强</w:t>
      </w:r>
      <w:r>
        <w:rPr>
          <w:rFonts w:hint="eastAsia" w:ascii="Times New Roman" w:hAnsi="Times New Roman"/>
          <w:sz w:val="24"/>
          <w:szCs w:val="22"/>
          <w:lang w:eastAsia="zh-CN"/>
        </w:rPr>
        <w:t>积粪场</w:t>
      </w:r>
      <w:r>
        <w:rPr>
          <w:rFonts w:ascii="Times New Roman" w:hAnsi="Times New Roman"/>
          <w:sz w:val="24"/>
          <w:szCs w:val="22"/>
        </w:rPr>
        <w:t>环境综合管理，对</w:t>
      </w:r>
      <w:r>
        <w:rPr>
          <w:rFonts w:hint="eastAsia" w:ascii="Times New Roman" w:hAnsi="Times New Roman"/>
          <w:sz w:val="24"/>
          <w:szCs w:val="22"/>
          <w:lang w:eastAsia="zh-CN"/>
        </w:rPr>
        <w:t>积粪场</w:t>
      </w:r>
      <w:r>
        <w:rPr>
          <w:rFonts w:ascii="Times New Roman" w:hAnsi="Times New Roman"/>
          <w:sz w:val="24"/>
          <w:szCs w:val="22"/>
        </w:rPr>
        <w:t>定期喷洒除臭剂，经过上述综合措施处理后，恶臭污染去除效率可达到</w:t>
      </w:r>
      <w:r>
        <w:rPr>
          <w:rFonts w:hint="eastAsia" w:ascii="Times New Roman" w:hAnsi="Times New Roman"/>
          <w:sz w:val="24"/>
          <w:szCs w:val="22"/>
        </w:rPr>
        <w:t>9</w:t>
      </w:r>
      <w:r>
        <w:rPr>
          <w:rFonts w:ascii="Times New Roman" w:hAnsi="Times New Roman"/>
          <w:sz w:val="24"/>
          <w:szCs w:val="22"/>
        </w:rPr>
        <w:t>0%以上。因此，得出本项目</w:t>
      </w:r>
      <w:r>
        <w:rPr>
          <w:rFonts w:hint="eastAsia" w:ascii="Times New Roman" w:hAnsi="Times New Roman"/>
          <w:sz w:val="24"/>
          <w:szCs w:val="22"/>
          <w:lang w:eastAsia="zh-CN"/>
        </w:rPr>
        <w:t>积粪场</w:t>
      </w:r>
      <w:r>
        <w:rPr>
          <w:rFonts w:ascii="Times New Roman" w:hAnsi="Times New Roman"/>
          <w:sz w:val="24"/>
          <w:szCs w:val="22"/>
        </w:rPr>
        <w:t>恶臭污染物产生总源强分别为NH</w:t>
      </w:r>
      <w:r>
        <w:rPr>
          <w:rFonts w:ascii="Times New Roman" w:hAnsi="Times New Roman"/>
          <w:sz w:val="24"/>
          <w:szCs w:val="22"/>
          <w:vertAlign w:val="subscript"/>
        </w:rPr>
        <w:t>3</w:t>
      </w:r>
      <w:r>
        <w:rPr>
          <w:rFonts w:ascii="Times New Roman" w:hAnsi="Times New Roman"/>
          <w:sz w:val="24"/>
          <w:szCs w:val="22"/>
        </w:rPr>
        <w:t>：</w:t>
      </w:r>
      <w:r>
        <w:rPr>
          <w:rFonts w:hint="eastAsia" w:ascii="Times New Roman" w:hAnsi="Times New Roman"/>
          <w:sz w:val="24"/>
          <w:szCs w:val="22"/>
        </w:rPr>
        <w:t>0.009t</w:t>
      </w:r>
      <w:r>
        <w:rPr>
          <w:rFonts w:ascii="Times New Roman" w:hAnsi="Times New Roman"/>
          <w:sz w:val="24"/>
          <w:szCs w:val="22"/>
        </w:rPr>
        <w:t>/a（</w:t>
      </w:r>
      <w:r>
        <w:rPr>
          <w:rFonts w:hint="eastAsia" w:ascii="Times New Roman" w:hAnsi="Times New Roman"/>
          <w:sz w:val="24"/>
          <w:szCs w:val="22"/>
        </w:rPr>
        <w:t>0.00103</w:t>
      </w:r>
      <w:r>
        <w:rPr>
          <w:rFonts w:ascii="Times New Roman" w:hAnsi="Times New Roman"/>
          <w:sz w:val="24"/>
          <w:szCs w:val="22"/>
        </w:rPr>
        <w:t>kg/h），H</w:t>
      </w:r>
      <w:r>
        <w:rPr>
          <w:rFonts w:ascii="Times New Roman" w:hAnsi="Times New Roman"/>
          <w:sz w:val="24"/>
          <w:szCs w:val="22"/>
          <w:vertAlign w:val="subscript"/>
        </w:rPr>
        <w:t>2</w:t>
      </w:r>
      <w:r>
        <w:rPr>
          <w:rFonts w:ascii="Times New Roman" w:hAnsi="Times New Roman"/>
          <w:sz w:val="24"/>
          <w:szCs w:val="22"/>
        </w:rPr>
        <w:t>S：</w:t>
      </w:r>
      <w:r>
        <w:rPr>
          <w:rFonts w:hint="eastAsia" w:ascii="Times New Roman" w:hAnsi="Times New Roman"/>
          <w:sz w:val="24"/>
          <w:szCs w:val="22"/>
        </w:rPr>
        <w:t>0.0018</w:t>
      </w:r>
      <w:r>
        <w:rPr>
          <w:rFonts w:ascii="Times New Roman" w:hAnsi="Times New Roman"/>
          <w:sz w:val="24"/>
          <w:szCs w:val="22"/>
        </w:rPr>
        <w:t>t/a（</w:t>
      </w:r>
      <w:r>
        <w:rPr>
          <w:rFonts w:hint="eastAsia" w:ascii="Times New Roman" w:hAnsi="Times New Roman"/>
          <w:sz w:val="24"/>
          <w:szCs w:val="22"/>
        </w:rPr>
        <w:t>0.0002</w:t>
      </w:r>
      <w:r>
        <w:rPr>
          <w:rFonts w:ascii="Times New Roman" w:hAnsi="Times New Roman"/>
          <w:sz w:val="24"/>
          <w:szCs w:val="22"/>
        </w:rPr>
        <w:t>kg/h），排放方式为无组织排放的面源。</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本项目</w:t>
      </w:r>
      <w:r>
        <w:rPr>
          <w:rFonts w:hint="eastAsia" w:ascii="Times New Roman" w:hAnsi="Times New Roman"/>
          <w:bCs/>
          <w:sz w:val="24"/>
        </w:rPr>
        <w:t>积粪场</w:t>
      </w:r>
      <w:r>
        <w:rPr>
          <w:rFonts w:ascii="Times New Roman" w:hAnsi="Times New Roman"/>
          <w:bCs/>
          <w:sz w:val="24"/>
        </w:rPr>
        <w:t>恶臭气体产生排放情况见下表：</w:t>
      </w:r>
    </w:p>
    <w:p>
      <w:pPr>
        <w:ind w:firstLine="722" w:firstLineChars="300"/>
        <w:jc w:val="left"/>
        <w:rPr>
          <w:rFonts w:ascii="Times New Roman" w:hAnsi="Times New Roman"/>
          <w:b/>
          <w:bCs/>
          <w:sz w:val="24"/>
        </w:rPr>
      </w:pPr>
      <w:r>
        <w:rPr>
          <w:rFonts w:ascii="Times New Roman" w:hAnsi="Times New Roman"/>
          <w:b/>
          <w:bCs/>
          <w:sz w:val="24"/>
        </w:rPr>
        <w:t>表2.</w:t>
      </w:r>
      <w:r>
        <w:rPr>
          <w:rFonts w:hint="eastAsia" w:ascii="Times New Roman" w:hAnsi="Times New Roman"/>
          <w:b/>
          <w:bCs/>
          <w:sz w:val="24"/>
        </w:rPr>
        <w:t>4</w:t>
      </w:r>
      <w:r>
        <w:rPr>
          <w:rFonts w:ascii="Times New Roman" w:hAnsi="Times New Roman"/>
          <w:b/>
          <w:bCs/>
          <w:sz w:val="24"/>
        </w:rPr>
        <w:t>-</w:t>
      </w:r>
      <w:r>
        <w:rPr>
          <w:rFonts w:hint="eastAsia" w:ascii="Times New Roman" w:hAnsi="Times New Roman"/>
          <w:b/>
          <w:bCs/>
          <w:sz w:val="24"/>
        </w:rPr>
        <w:t>2</w:t>
      </w:r>
      <w:r>
        <w:rPr>
          <w:rFonts w:ascii="Times New Roman" w:hAnsi="Times New Roman"/>
          <w:b/>
          <w:bCs/>
          <w:sz w:val="24"/>
        </w:rPr>
        <w:t xml:space="preserve">             </w:t>
      </w:r>
      <w:r>
        <w:rPr>
          <w:rFonts w:hint="eastAsia" w:ascii="Times New Roman" w:hAnsi="Times New Roman"/>
          <w:b/>
          <w:bCs/>
          <w:sz w:val="24"/>
        </w:rPr>
        <w:t>积粪场</w:t>
      </w:r>
      <w:r>
        <w:rPr>
          <w:rFonts w:ascii="Times New Roman" w:hAnsi="Times New Roman"/>
          <w:b/>
          <w:bCs/>
          <w:sz w:val="24"/>
        </w:rPr>
        <w:t>气体产生排放情况一览表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02"/>
        <w:gridCol w:w="1251"/>
        <w:gridCol w:w="898"/>
        <w:gridCol w:w="1362"/>
        <w:gridCol w:w="1536"/>
        <w:gridCol w:w="1217"/>
        <w:gridCol w:w="16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3" w:type="dxa"/>
            <w:vMerge w:val="restart"/>
            <w:tcMar>
              <w:top w:w="0" w:type="dxa"/>
              <w:left w:w="0" w:type="dxa"/>
              <w:bottom w:w="0" w:type="dxa"/>
              <w:right w:w="0" w:type="dxa"/>
            </w:tcMar>
            <w:vAlign w:val="center"/>
          </w:tcPr>
          <w:p>
            <w:pPr>
              <w:widowControl/>
              <w:jc w:val="center"/>
              <w:rPr>
                <w:rFonts w:ascii="Times New Roman" w:hAnsi="Times New Roman"/>
                <w:b/>
                <w:szCs w:val="21"/>
              </w:rPr>
            </w:pPr>
            <w:r>
              <w:rPr>
                <w:rFonts w:ascii="Times New Roman" w:hAnsi="Times New Roman"/>
                <w:b/>
                <w:szCs w:val="21"/>
              </w:rPr>
              <w:t>名称</w:t>
            </w:r>
          </w:p>
        </w:tc>
        <w:tc>
          <w:tcPr>
            <w:tcW w:w="1221" w:type="dxa"/>
            <w:vMerge w:val="restart"/>
            <w:vAlign w:val="center"/>
          </w:tcPr>
          <w:p>
            <w:pPr>
              <w:widowControl/>
              <w:adjustRightInd w:val="0"/>
              <w:snapToGrid w:val="0"/>
              <w:ind w:left="-105" w:leftChars="-50" w:right="-105" w:rightChars="-50"/>
              <w:jc w:val="center"/>
              <w:rPr>
                <w:rFonts w:ascii="Times New Roman" w:hAnsi="Times New Roman"/>
                <w:b/>
                <w:szCs w:val="21"/>
              </w:rPr>
            </w:pPr>
            <w:r>
              <w:rPr>
                <w:rFonts w:ascii="Times New Roman" w:hAnsi="Times New Roman"/>
                <w:b/>
                <w:szCs w:val="21"/>
              </w:rPr>
              <w:t>牛粪产生</w:t>
            </w:r>
            <w:r>
              <w:rPr>
                <w:rFonts w:hint="eastAsia" w:ascii="Times New Roman" w:hAnsi="Times New Roman"/>
                <w:b/>
                <w:szCs w:val="21"/>
              </w:rPr>
              <w:t>量</w:t>
            </w:r>
          </w:p>
        </w:tc>
        <w:tc>
          <w:tcPr>
            <w:tcW w:w="877" w:type="dxa"/>
            <w:vMerge w:val="restart"/>
            <w:vAlign w:val="center"/>
          </w:tcPr>
          <w:p>
            <w:pPr>
              <w:widowControl/>
              <w:jc w:val="center"/>
              <w:rPr>
                <w:rFonts w:ascii="Times New Roman" w:hAnsi="Times New Roman"/>
                <w:b/>
                <w:szCs w:val="21"/>
              </w:rPr>
            </w:pPr>
            <w:r>
              <w:rPr>
                <w:rFonts w:ascii="Times New Roman" w:hAnsi="Times New Roman"/>
                <w:b/>
                <w:szCs w:val="21"/>
              </w:rPr>
              <w:t>污染物名称</w:t>
            </w:r>
          </w:p>
        </w:tc>
        <w:tc>
          <w:tcPr>
            <w:tcW w:w="2829" w:type="dxa"/>
            <w:gridSpan w:val="2"/>
            <w:vAlign w:val="center"/>
          </w:tcPr>
          <w:p>
            <w:pPr>
              <w:widowControl/>
              <w:jc w:val="center"/>
              <w:rPr>
                <w:rFonts w:ascii="Times New Roman" w:hAnsi="Times New Roman"/>
                <w:b/>
                <w:szCs w:val="21"/>
              </w:rPr>
            </w:pPr>
            <w:r>
              <w:rPr>
                <w:rFonts w:ascii="Times New Roman" w:hAnsi="Times New Roman"/>
                <w:b/>
                <w:szCs w:val="21"/>
              </w:rPr>
              <w:t>产生量</w:t>
            </w:r>
          </w:p>
        </w:tc>
        <w:tc>
          <w:tcPr>
            <w:tcW w:w="2755" w:type="dxa"/>
            <w:gridSpan w:val="2"/>
            <w:vAlign w:val="center"/>
          </w:tcPr>
          <w:p>
            <w:pPr>
              <w:widowControl/>
              <w:jc w:val="center"/>
              <w:rPr>
                <w:rFonts w:ascii="Times New Roman" w:hAnsi="Times New Roman"/>
                <w:b/>
                <w:szCs w:val="21"/>
              </w:rPr>
            </w:pPr>
            <w:r>
              <w:rPr>
                <w:rFonts w:ascii="Times New Roman" w:hAnsi="Times New Roman"/>
                <w:b/>
                <w:szCs w:val="21"/>
              </w:rPr>
              <w:t>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3" w:type="dxa"/>
            <w:vMerge w:val="continue"/>
            <w:tcMar>
              <w:top w:w="0" w:type="dxa"/>
              <w:left w:w="0" w:type="dxa"/>
              <w:bottom w:w="0" w:type="dxa"/>
              <w:right w:w="0" w:type="dxa"/>
            </w:tcMar>
            <w:vAlign w:val="center"/>
          </w:tcPr>
          <w:p>
            <w:pPr>
              <w:widowControl/>
              <w:jc w:val="center"/>
              <w:rPr>
                <w:rFonts w:ascii="Times New Roman" w:hAnsi="Times New Roman"/>
                <w:b/>
                <w:szCs w:val="21"/>
              </w:rPr>
            </w:pPr>
          </w:p>
        </w:tc>
        <w:tc>
          <w:tcPr>
            <w:tcW w:w="1221" w:type="dxa"/>
            <w:vMerge w:val="continue"/>
            <w:vAlign w:val="center"/>
          </w:tcPr>
          <w:p>
            <w:pPr>
              <w:widowControl/>
              <w:adjustRightInd w:val="0"/>
              <w:snapToGrid w:val="0"/>
              <w:ind w:left="-105" w:leftChars="-50" w:right="-105" w:rightChars="-50"/>
              <w:jc w:val="center"/>
              <w:rPr>
                <w:rFonts w:ascii="Times New Roman" w:hAnsi="Times New Roman"/>
                <w:b/>
                <w:szCs w:val="21"/>
              </w:rPr>
            </w:pPr>
          </w:p>
        </w:tc>
        <w:tc>
          <w:tcPr>
            <w:tcW w:w="877" w:type="dxa"/>
            <w:vMerge w:val="continue"/>
            <w:vAlign w:val="center"/>
          </w:tcPr>
          <w:p>
            <w:pPr>
              <w:widowControl/>
              <w:jc w:val="center"/>
              <w:rPr>
                <w:rFonts w:ascii="Times New Roman" w:hAnsi="Times New Roman"/>
                <w:b/>
                <w:szCs w:val="21"/>
              </w:rPr>
            </w:pPr>
          </w:p>
        </w:tc>
        <w:tc>
          <w:tcPr>
            <w:tcW w:w="1330" w:type="dxa"/>
            <w:vAlign w:val="center"/>
          </w:tcPr>
          <w:p>
            <w:pPr>
              <w:widowControl/>
              <w:jc w:val="center"/>
              <w:textAlignment w:val="center"/>
              <w:rPr>
                <w:rFonts w:ascii="Times New Roman" w:hAnsi="Times New Roman"/>
                <w:b/>
                <w:szCs w:val="21"/>
              </w:rPr>
            </w:pPr>
            <w:r>
              <w:rPr>
                <w:rFonts w:hint="eastAsia" w:ascii="Times New Roman" w:hAnsi="Times New Roman"/>
                <w:b/>
                <w:kern w:val="0"/>
                <w:szCs w:val="21"/>
              </w:rPr>
              <w:t>产生量</w:t>
            </w:r>
            <w:r>
              <w:rPr>
                <w:rFonts w:ascii="Times New Roman" w:hAnsi="Times New Roman"/>
                <w:b/>
                <w:kern w:val="0"/>
                <w:szCs w:val="21"/>
              </w:rPr>
              <w:t>t/a</w:t>
            </w:r>
          </w:p>
        </w:tc>
        <w:tc>
          <w:tcPr>
            <w:tcW w:w="1499" w:type="dxa"/>
            <w:vAlign w:val="center"/>
          </w:tcPr>
          <w:p>
            <w:pPr>
              <w:widowControl/>
              <w:jc w:val="center"/>
              <w:textAlignment w:val="center"/>
              <w:rPr>
                <w:rFonts w:ascii="Times New Roman" w:hAnsi="Times New Roman"/>
                <w:b/>
                <w:szCs w:val="21"/>
              </w:rPr>
            </w:pPr>
            <w:r>
              <w:rPr>
                <w:rFonts w:hint="eastAsia" w:ascii="Times New Roman" w:hAnsi="Times New Roman"/>
                <w:b/>
                <w:kern w:val="0"/>
                <w:szCs w:val="21"/>
              </w:rPr>
              <w:t>产生速率kg/h</w:t>
            </w:r>
          </w:p>
        </w:tc>
        <w:tc>
          <w:tcPr>
            <w:tcW w:w="1188" w:type="dxa"/>
            <w:vAlign w:val="center"/>
          </w:tcPr>
          <w:p>
            <w:pPr>
              <w:widowControl/>
              <w:jc w:val="center"/>
              <w:textAlignment w:val="center"/>
              <w:rPr>
                <w:rFonts w:ascii="Times New Roman" w:hAnsi="Times New Roman"/>
                <w:b/>
                <w:szCs w:val="21"/>
              </w:rPr>
            </w:pPr>
            <w:r>
              <w:rPr>
                <w:rFonts w:hint="eastAsia" w:ascii="Times New Roman" w:hAnsi="Times New Roman"/>
                <w:b/>
                <w:kern w:val="0"/>
                <w:szCs w:val="21"/>
              </w:rPr>
              <w:t>排放量</w:t>
            </w:r>
            <w:r>
              <w:rPr>
                <w:rFonts w:ascii="Times New Roman" w:hAnsi="Times New Roman"/>
                <w:b/>
                <w:kern w:val="0"/>
                <w:szCs w:val="21"/>
              </w:rPr>
              <w:t>t/a</w:t>
            </w:r>
          </w:p>
        </w:tc>
        <w:tc>
          <w:tcPr>
            <w:tcW w:w="1567" w:type="dxa"/>
            <w:vAlign w:val="center"/>
          </w:tcPr>
          <w:p>
            <w:pPr>
              <w:widowControl/>
              <w:jc w:val="center"/>
              <w:textAlignment w:val="center"/>
              <w:rPr>
                <w:rFonts w:ascii="Times New Roman" w:hAnsi="Times New Roman"/>
                <w:b/>
                <w:szCs w:val="21"/>
              </w:rPr>
            </w:pPr>
            <w:r>
              <w:rPr>
                <w:rFonts w:hint="eastAsia" w:ascii="Times New Roman" w:hAnsi="Times New Roman"/>
                <w:b/>
                <w:kern w:val="0"/>
                <w:szCs w:val="21"/>
              </w:rPr>
              <w:t>排放速率kg/h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3" w:type="dxa"/>
            <w:vMerge w:val="restart"/>
            <w:tcMar>
              <w:top w:w="0" w:type="dxa"/>
              <w:left w:w="0" w:type="dxa"/>
              <w:bottom w:w="0" w:type="dxa"/>
              <w:right w:w="0" w:type="dxa"/>
            </w:tcMar>
            <w:vAlign w:val="center"/>
          </w:tcPr>
          <w:p>
            <w:pPr>
              <w:widowControl/>
              <w:jc w:val="center"/>
              <w:rPr>
                <w:rFonts w:ascii="Times New Roman" w:hAnsi="Times New Roman"/>
                <w:bCs/>
                <w:szCs w:val="21"/>
              </w:rPr>
            </w:pPr>
            <w:r>
              <w:rPr>
                <w:rFonts w:hint="eastAsia" w:ascii="Times New Roman" w:hAnsi="Times New Roman"/>
                <w:bCs/>
                <w:szCs w:val="21"/>
              </w:rPr>
              <w:t>积粪场</w:t>
            </w:r>
            <w:r>
              <w:rPr>
                <w:rFonts w:ascii="Times New Roman" w:hAnsi="Times New Roman"/>
                <w:bCs/>
                <w:szCs w:val="21"/>
              </w:rPr>
              <w:t>恶臭（A2）</w:t>
            </w:r>
          </w:p>
        </w:tc>
        <w:tc>
          <w:tcPr>
            <w:tcW w:w="1221" w:type="dxa"/>
            <w:vMerge w:val="restart"/>
            <w:vAlign w:val="center"/>
          </w:tcPr>
          <w:p>
            <w:pPr>
              <w:widowControl/>
              <w:adjustRightInd w:val="0"/>
              <w:snapToGrid w:val="0"/>
              <w:ind w:left="-105" w:leftChars="-50" w:right="-105" w:rightChars="-50"/>
              <w:jc w:val="center"/>
              <w:rPr>
                <w:rFonts w:ascii="Times New Roman" w:hAnsi="Times New Roman"/>
                <w:bCs/>
                <w:szCs w:val="21"/>
              </w:rPr>
            </w:pPr>
            <w:r>
              <w:rPr>
                <w:rFonts w:hint="eastAsia" w:ascii="Times New Roman" w:hAnsi="Times New Roman"/>
                <w:bCs/>
                <w:kern w:val="0"/>
                <w:szCs w:val="21"/>
              </w:rPr>
              <w:t>3917.2t/a</w:t>
            </w:r>
          </w:p>
        </w:tc>
        <w:tc>
          <w:tcPr>
            <w:tcW w:w="877" w:type="dxa"/>
            <w:vAlign w:val="center"/>
          </w:tcPr>
          <w:p>
            <w:pPr>
              <w:widowControl/>
              <w:jc w:val="center"/>
              <w:rPr>
                <w:rFonts w:ascii="Times New Roman" w:hAnsi="Times New Roman"/>
                <w:bCs/>
                <w:szCs w:val="21"/>
              </w:rPr>
            </w:pPr>
            <w:r>
              <w:rPr>
                <w:rFonts w:ascii="Times New Roman" w:hAnsi="Times New Roman"/>
                <w:bCs/>
                <w:szCs w:val="21"/>
              </w:rPr>
              <w:t>NH</w:t>
            </w:r>
            <w:r>
              <w:rPr>
                <w:rFonts w:ascii="Times New Roman" w:hAnsi="Times New Roman"/>
                <w:bCs/>
                <w:szCs w:val="21"/>
                <w:vertAlign w:val="subscript"/>
              </w:rPr>
              <w:t>3</w:t>
            </w:r>
          </w:p>
        </w:tc>
        <w:tc>
          <w:tcPr>
            <w:tcW w:w="1330" w:type="dxa"/>
            <w:vAlign w:val="center"/>
          </w:tcPr>
          <w:p>
            <w:pPr>
              <w:widowControl/>
              <w:jc w:val="center"/>
              <w:rPr>
                <w:rFonts w:ascii="Times New Roman" w:hAnsi="Times New Roman"/>
                <w:bCs/>
                <w:szCs w:val="21"/>
              </w:rPr>
            </w:pPr>
            <w:r>
              <w:rPr>
                <w:rFonts w:hint="eastAsia" w:ascii="Times New Roman" w:hAnsi="Times New Roman"/>
                <w:bCs/>
                <w:szCs w:val="21"/>
              </w:rPr>
              <w:t>0.09</w:t>
            </w:r>
          </w:p>
        </w:tc>
        <w:tc>
          <w:tcPr>
            <w:tcW w:w="1499" w:type="dxa"/>
            <w:vAlign w:val="center"/>
          </w:tcPr>
          <w:p>
            <w:pPr>
              <w:widowControl/>
              <w:jc w:val="center"/>
              <w:rPr>
                <w:rFonts w:ascii="Times New Roman" w:hAnsi="Times New Roman"/>
                <w:bCs/>
                <w:szCs w:val="21"/>
              </w:rPr>
            </w:pPr>
            <w:r>
              <w:rPr>
                <w:rFonts w:hint="eastAsia" w:ascii="Times New Roman" w:hAnsi="Times New Roman"/>
                <w:bCs/>
                <w:szCs w:val="21"/>
              </w:rPr>
              <w:t>0.0103</w:t>
            </w:r>
          </w:p>
        </w:tc>
        <w:tc>
          <w:tcPr>
            <w:tcW w:w="1188" w:type="dxa"/>
            <w:vAlign w:val="center"/>
          </w:tcPr>
          <w:p>
            <w:pPr>
              <w:widowControl/>
              <w:jc w:val="center"/>
              <w:rPr>
                <w:rFonts w:ascii="Times New Roman" w:hAnsi="Times New Roman"/>
                <w:bCs/>
                <w:szCs w:val="21"/>
              </w:rPr>
            </w:pPr>
            <w:r>
              <w:rPr>
                <w:rFonts w:hint="eastAsia" w:ascii="Times New Roman" w:hAnsi="Times New Roman"/>
                <w:bCs/>
                <w:szCs w:val="21"/>
              </w:rPr>
              <w:t>0.009</w:t>
            </w:r>
          </w:p>
        </w:tc>
        <w:tc>
          <w:tcPr>
            <w:tcW w:w="1567" w:type="dxa"/>
            <w:vAlign w:val="center"/>
          </w:tcPr>
          <w:p>
            <w:pPr>
              <w:widowControl/>
              <w:jc w:val="center"/>
              <w:rPr>
                <w:rFonts w:ascii="Times New Roman" w:hAnsi="Times New Roman"/>
                <w:bCs/>
                <w:szCs w:val="21"/>
              </w:rPr>
            </w:pPr>
            <w:r>
              <w:rPr>
                <w:rFonts w:hint="eastAsia" w:ascii="Times New Roman" w:hAnsi="Times New Roman"/>
                <w:bCs/>
                <w:szCs w:val="21"/>
              </w:rPr>
              <w:t>0.0010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3" w:type="dxa"/>
            <w:vMerge w:val="continue"/>
            <w:tcMar>
              <w:top w:w="0" w:type="dxa"/>
              <w:left w:w="0" w:type="dxa"/>
              <w:bottom w:w="0" w:type="dxa"/>
              <w:right w:w="0" w:type="dxa"/>
            </w:tcMar>
            <w:vAlign w:val="center"/>
          </w:tcPr>
          <w:p>
            <w:pPr>
              <w:widowControl/>
              <w:jc w:val="center"/>
              <w:rPr>
                <w:rFonts w:ascii="Times New Roman" w:hAnsi="Times New Roman"/>
                <w:bCs/>
                <w:szCs w:val="21"/>
              </w:rPr>
            </w:pPr>
          </w:p>
        </w:tc>
        <w:tc>
          <w:tcPr>
            <w:tcW w:w="1221" w:type="dxa"/>
            <w:vMerge w:val="continue"/>
            <w:vAlign w:val="center"/>
          </w:tcPr>
          <w:p>
            <w:pPr>
              <w:widowControl/>
              <w:jc w:val="center"/>
              <w:rPr>
                <w:rFonts w:ascii="Times New Roman" w:hAnsi="Times New Roman"/>
                <w:bCs/>
                <w:szCs w:val="21"/>
              </w:rPr>
            </w:pPr>
          </w:p>
        </w:tc>
        <w:tc>
          <w:tcPr>
            <w:tcW w:w="877" w:type="dxa"/>
            <w:vAlign w:val="center"/>
          </w:tcPr>
          <w:p>
            <w:pPr>
              <w:widowControl/>
              <w:jc w:val="center"/>
              <w:rPr>
                <w:rFonts w:ascii="Times New Roman" w:hAnsi="Times New Roman"/>
                <w:bCs/>
                <w:szCs w:val="21"/>
              </w:rPr>
            </w:pPr>
            <w:r>
              <w:rPr>
                <w:rFonts w:ascii="Times New Roman" w:hAnsi="Times New Roman"/>
                <w:bCs/>
                <w:szCs w:val="21"/>
              </w:rPr>
              <w:t>H</w:t>
            </w:r>
            <w:r>
              <w:rPr>
                <w:rFonts w:ascii="Times New Roman" w:hAnsi="Times New Roman"/>
                <w:bCs/>
                <w:szCs w:val="21"/>
                <w:vertAlign w:val="subscript"/>
              </w:rPr>
              <w:t>2</w:t>
            </w:r>
            <w:r>
              <w:rPr>
                <w:rFonts w:ascii="Times New Roman" w:hAnsi="Times New Roman"/>
                <w:bCs/>
                <w:szCs w:val="21"/>
              </w:rPr>
              <w:t>S</w:t>
            </w:r>
          </w:p>
        </w:tc>
        <w:tc>
          <w:tcPr>
            <w:tcW w:w="1330" w:type="dxa"/>
            <w:vAlign w:val="center"/>
          </w:tcPr>
          <w:p>
            <w:pPr>
              <w:widowControl/>
              <w:jc w:val="center"/>
              <w:rPr>
                <w:rFonts w:ascii="Times New Roman" w:hAnsi="Times New Roman"/>
                <w:bCs/>
                <w:szCs w:val="21"/>
              </w:rPr>
            </w:pPr>
            <w:r>
              <w:rPr>
                <w:rFonts w:hint="eastAsia" w:ascii="Times New Roman" w:hAnsi="Times New Roman"/>
                <w:bCs/>
                <w:szCs w:val="21"/>
              </w:rPr>
              <w:t>0.0175</w:t>
            </w:r>
          </w:p>
        </w:tc>
        <w:tc>
          <w:tcPr>
            <w:tcW w:w="1499" w:type="dxa"/>
            <w:vAlign w:val="center"/>
          </w:tcPr>
          <w:p>
            <w:pPr>
              <w:widowControl/>
              <w:jc w:val="center"/>
              <w:rPr>
                <w:rFonts w:ascii="Times New Roman" w:hAnsi="Times New Roman"/>
                <w:bCs/>
                <w:szCs w:val="21"/>
              </w:rPr>
            </w:pPr>
            <w:r>
              <w:rPr>
                <w:rFonts w:hint="eastAsia" w:ascii="Times New Roman" w:hAnsi="Times New Roman"/>
                <w:bCs/>
                <w:szCs w:val="21"/>
              </w:rPr>
              <w:t>0.002</w:t>
            </w:r>
          </w:p>
        </w:tc>
        <w:tc>
          <w:tcPr>
            <w:tcW w:w="1188" w:type="dxa"/>
            <w:vAlign w:val="center"/>
          </w:tcPr>
          <w:p>
            <w:pPr>
              <w:widowControl/>
              <w:jc w:val="center"/>
              <w:rPr>
                <w:rFonts w:ascii="Times New Roman" w:hAnsi="Times New Roman"/>
                <w:bCs/>
                <w:szCs w:val="21"/>
              </w:rPr>
            </w:pPr>
            <w:r>
              <w:rPr>
                <w:rFonts w:hint="eastAsia" w:ascii="Times New Roman" w:hAnsi="Times New Roman"/>
                <w:bCs/>
                <w:szCs w:val="21"/>
              </w:rPr>
              <w:t>0.0018</w:t>
            </w:r>
          </w:p>
        </w:tc>
        <w:tc>
          <w:tcPr>
            <w:tcW w:w="1567" w:type="dxa"/>
            <w:vAlign w:val="center"/>
          </w:tcPr>
          <w:p>
            <w:pPr>
              <w:widowControl/>
              <w:jc w:val="center"/>
              <w:rPr>
                <w:rFonts w:ascii="Times New Roman" w:hAnsi="Times New Roman"/>
                <w:bCs/>
                <w:szCs w:val="21"/>
              </w:rPr>
            </w:pPr>
            <w:r>
              <w:rPr>
                <w:rFonts w:hint="eastAsia" w:ascii="Times New Roman" w:hAnsi="Times New Roman"/>
                <w:bCs/>
                <w:szCs w:val="21"/>
              </w:rPr>
              <w:t>0.0002</w:t>
            </w:r>
          </w:p>
        </w:tc>
      </w:tr>
    </w:tbl>
    <w:p>
      <w:pPr>
        <w:adjustRightInd w:val="0"/>
        <w:snapToGrid w:val="0"/>
        <w:spacing w:line="540" w:lineRule="exact"/>
        <w:ind w:firstLine="472" w:firstLineChars="197"/>
        <w:rPr>
          <w:rFonts w:ascii="Times New Roman" w:hAnsi="Times New Roman"/>
          <w:sz w:val="24"/>
          <w:szCs w:val="22"/>
        </w:rPr>
      </w:pPr>
      <w:r>
        <w:rPr>
          <w:rFonts w:hint="eastAsia" w:ascii="Times New Roman" w:hAnsi="Times New Roman"/>
          <w:sz w:val="24"/>
          <w:szCs w:val="22"/>
        </w:rPr>
        <w:fldChar w:fldCharType="begin"/>
      </w:r>
      <w:r>
        <w:rPr>
          <w:rFonts w:hint="eastAsia" w:ascii="Times New Roman" w:hAnsi="Times New Roman"/>
          <w:sz w:val="24"/>
          <w:szCs w:val="22"/>
        </w:rPr>
        <w:instrText xml:space="preserve"> = 3 \* GB2 \* MERGEFORMAT </w:instrText>
      </w:r>
      <w:r>
        <w:rPr>
          <w:rFonts w:hint="eastAsia" w:ascii="Times New Roman" w:hAnsi="Times New Roman"/>
          <w:sz w:val="24"/>
          <w:szCs w:val="22"/>
        </w:rPr>
        <w:fldChar w:fldCharType="separate"/>
      </w:r>
      <w:r>
        <w:rPr>
          <w:rFonts w:ascii="Times New Roman" w:hAnsi="Times New Roman"/>
        </w:rPr>
        <w:t>⑶</w:t>
      </w:r>
      <w:r>
        <w:rPr>
          <w:rFonts w:hint="eastAsia" w:ascii="Times New Roman" w:hAnsi="Times New Roman"/>
          <w:sz w:val="24"/>
          <w:szCs w:val="22"/>
        </w:rPr>
        <w:fldChar w:fldCharType="end"/>
      </w:r>
      <w:r>
        <w:rPr>
          <w:rFonts w:ascii="Times New Roman" w:hAnsi="Times New Roman"/>
          <w:sz w:val="24"/>
          <w:szCs w:val="22"/>
        </w:rPr>
        <w:t>饲料加工粉尘</w:t>
      </w:r>
    </w:p>
    <w:p>
      <w:pPr>
        <w:adjustRightInd w:val="0"/>
        <w:snapToGrid w:val="0"/>
        <w:spacing w:line="540" w:lineRule="exact"/>
        <w:ind w:firstLine="480" w:firstLineChars="200"/>
        <w:rPr>
          <w:rFonts w:ascii="Times New Roman" w:hAnsi="Times New Roman"/>
          <w:bCs/>
          <w:color w:val="FF0000"/>
        </w:rPr>
      </w:pPr>
      <w:r>
        <w:rPr>
          <w:rFonts w:ascii="Times New Roman" w:hAnsi="Times New Roman"/>
          <w:bCs/>
          <w:sz w:val="24"/>
        </w:rPr>
        <w:t>本项目</w:t>
      </w:r>
      <w:r>
        <w:rPr>
          <w:rStyle w:val="55"/>
          <w:rFonts w:ascii="Times New Roman" w:hAnsi="Times New Roman"/>
          <w:color w:val="auto"/>
        </w:rPr>
        <w:t>玉米秸秆、青贮、苜蓿、稻草等全部经粉碎机粉碎</w:t>
      </w:r>
      <w:r>
        <w:rPr>
          <w:rFonts w:ascii="Times New Roman" w:hAnsi="Times New Roman"/>
          <w:bCs/>
          <w:sz w:val="24"/>
        </w:rPr>
        <w:t>过程会产生一定量的粉尘</w:t>
      </w:r>
      <w:r>
        <w:rPr>
          <w:rFonts w:ascii="Times New Roman" w:hAnsi="Times New Roman"/>
          <w:sz w:val="24"/>
          <w:szCs w:val="22"/>
        </w:rPr>
        <w:t>。</w:t>
      </w:r>
      <w:r>
        <w:rPr>
          <w:rStyle w:val="55"/>
          <w:rFonts w:ascii="Times New Roman" w:hAnsi="Times New Roman"/>
          <w:color w:val="auto"/>
        </w:rPr>
        <w:t>粗饲料消耗量为</w:t>
      </w:r>
      <w:r>
        <w:rPr>
          <w:rStyle w:val="55"/>
          <w:rFonts w:hint="eastAsia" w:ascii="Times New Roman" w:hAnsi="Times New Roman"/>
          <w:color w:val="auto"/>
        </w:rPr>
        <w:t>1733.75</w:t>
      </w:r>
      <w:r>
        <w:rPr>
          <w:rStyle w:val="55"/>
          <w:rFonts w:ascii="Times New Roman" w:hAnsi="Times New Roman"/>
          <w:color w:val="auto"/>
        </w:rPr>
        <w:t>t/a，</w:t>
      </w:r>
      <w:r>
        <w:rPr>
          <w:rStyle w:val="55"/>
          <w:rFonts w:ascii="Times New Roman" w:hAnsi="Times New Roman"/>
          <w:color w:val="FF0000"/>
        </w:rPr>
        <w:t>本项目饲料加工时间为</w:t>
      </w:r>
      <w:r>
        <w:rPr>
          <w:rStyle w:val="55"/>
          <w:rFonts w:hint="eastAsia" w:ascii="Times New Roman" w:hAnsi="Times New Roman"/>
          <w:color w:val="FF0000"/>
          <w:lang w:val="en-US" w:eastAsia="zh-CN"/>
        </w:rPr>
        <w:t>2</w:t>
      </w:r>
      <w:r>
        <w:rPr>
          <w:rStyle w:val="55"/>
          <w:rFonts w:ascii="Times New Roman" w:hAnsi="Times New Roman"/>
          <w:color w:val="FF0000"/>
        </w:rPr>
        <w:t>h/d。根据</w:t>
      </w:r>
      <w:r>
        <w:rPr>
          <w:rStyle w:val="55"/>
          <w:rFonts w:hint="eastAsia" w:ascii="Times New Roman" w:hAnsi="Times New Roman"/>
          <w:color w:val="FF0000"/>
        </w:rPr>
        <w:t>生态环境部2021年6月11日印发的《排放源统计调查产排污核算方法和系数手册》(公告 2021年 第24号)中132饲料加工行业系数手册，饲料加工行业粉尘产污系数见表</w:t>
      </w:r>
      <w:r>
        <w:rPr>
          <w:rFonts w:ascii="Times New Roman" w:hAnsi="Times New Roman"/>
          <w:color w:val="FF0000"/>
          <w:sz w:val="24"/>
          <w:szCs w:val="22"/>
        </w:rPr>
        <w:t>2.</w:t>
      </w:r>
      <w:r>
        <w:rPr>
          <w:rFonts w:hint="eastAsia" w:ascii="Times New Roman" w:hAnsi="Times New Roman"/>
          <w:color w:val="FF0000"/>
          <w:sz w:val="24"/>
          <w:szCs w:val="22"/>
        </w:rPr>
        <w:t>4-3</w:t>
      </w:r>
      <w:r>
        <w:rPr>
          <w:rFonts w:ascii="Times New Roman" w:hAnsi="Times New Roman"/>
          <w:color w:val="FF0000"/>
          <w:sz w:val="24"/>
          <w:szCs w:val="22"/>
        </w:rPr>
        <w:t>。</w:t>
      </w:r>
    </w:p>
    <w:p>
      <w:pPr>
        <w:spacing w:before="120" w:beforeLines="50"/>
        <w:ind w:firstLine="602" w:firstLineChars="250"/>
        <w:rPr>
          <w:rFonts w:ascii="Times New Roman" w:hAnsi="Times New Roman"/>
          <w:b/>
          <w:bCs/>
          <w:color w:val="FF0000"/>
          <w:sz w:val="24"/>
        </w:rPr>
      </w:pPr>
      <w:r>
        <w:rPr>
          <w:rFonts w:ascii="Times New Roman" w:hAnsi="Times New Roman"/>
          <w:b/>
          <w:bCs/>
          <w:color w:val="FF0000"/>
          <w:sz w:val="24"/>
        </w:rPr>
        <w:t>表2</w:t>
      </w:r>
      <w:r>
        <w:rPr>
          <w:rFonts w:hint="eastAsia" w:ascii="Times New Roman" w:hAnsi="Times New Roman"/>
          <w:b/>
          <w:bCs/>
          <w:color w:val="FF0000"/>
          <w:sz w:val="24"/>
        </w:rPr>
        <w:t>.4-3</w:t>
      </w:r>
      <w:r>
        <w:rPr>
          <w:rFonts w:ascii="Times New Roman" w:hAnsi="Times New Roman"/>
          <w:b/>
          <w:bCs/>
          <w:color w:val="FF0000"/>
          <w:sz w:val="24"/>
        </w:rPr>
        <w:t xml:space="preserve">    </w:t>
      </w:r>
      <w:r>
        <w:rPr>
          <w:rFonts w:hint="eastAsia" w:ascii="Times New Roman" w:hAnsi="Times New Roman"/>
          <w:b/>
          <w:bCs/>
          <w:color w:val="FF0000"/>
          <w:sz w:val="24"/>
        </w:rPr>
        <w:t xml:space="preserve">   </w:t>
      </w:r>
      <w:r>
        <w:rPr>
          <w:rFonts w:ascii="Times New Roman" w:hAnsi="Times New Roman"/>
          <w:b/>
          <w:bCs/>
          <w:color w:val="FF0000"/>
          <w:sz w:val="24"/>
        </w:rPr>
        <w:t xml:space="preserve">       饲料加工行业产排污系数一览表</w:t>
      </w:r>
    </w:p>
    <w:tbl>
      <w:tblPr>
        <w:tblStyle w:val="29"/>
        <w:tblW w:w="907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38"/>
        <w:gridCol w:w="1558"/>
        <w:gridCol w:w="1195"/>
        <w:gridCol w:w="1478"/>
        <w:gridCol w:w="443"/>
        <w:gridCol w:w="853"/>
        <w:gridCol w:w="1273"/>
        <w:gridCol w:w="11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1138" w:type="dxa"/>
            <w:tcBorders>
              <w:tl2br w:val="nil"/>
              <w:tr2bl w:val="nil"/>
            </w:tcBorders>
            <w:vAlign w:val="center"/>
          </w:tcPr>
          <w:p>
            <w:pPr>
              <w:adjustRightInd w:val="0"/>
              <w:spacing w:line="300" w:lineRule="exact"/>
              <w:jc w:val="center"/>
              <w:rPr>
                <w:rFonts w:hint="default" w:ascii="Times New Roman" w:hAnsi="Times New Roman" w:eastAsia="宋体" w:cs="Times New Roman"/>
                <w:b/>
                <w:bCs/>
                <w:color w:val="FF0000"/>
                <w:kern w:val="0"/>
                <w:sz w:val="21"/>
                <w:szCs w:val="21"/>
              </w:rPr>
            </w:pPr>
            <w:r>
              <w:rPr>
                <w:rFonts w:hint="default" w:ascii="Times New Roman" w:hAnsi="Times New Roman" w:eastAsia="宋体" w:cs="Times New Roman"/>
                <w:b/>
                <w:bCs/>
                <w:color w:val="FF0000"/>
                <w:kern w:val="0"/>
                <w:sz w:val="21"/>
                <w:szCs w:val="21"/>
              </w:rPr>
              <w:t>产品名称</w:t>
            </w:r>
          </w:p>
        </w:tc>
        <w:tc>
          <w:tcPr>
            <w:tcW w:w="1558" w:type="dxa"/>
            <w:tcBorders>
              <w:tl2br w:val="nil"/>
              <w:tr2bl w:val="nil"/>
            </w:tcBorders>
            <w:vAlign w:val="center"/>
          </w:tcPr>
          <w:p>
            <w:pPr>
              <w:adjustRightInd w:val="0"/>
              <w:spacing w:line="300" w:lineRule="exact"/>
              <w:jc w:val="center"/>
              <w:rPr>
                <w:rFonts w:hint="default" w:ascii="Times New Roman" w:hAnsi="Times New Roman" w:eastAsia="宋体" w:cs="Times New Roman"/>
                <w:b/>
                <w:bCs/>
                <w:color w:val="FF0000"/>
                <w:kern w:val="0"/>
                <w:sz w:val="21"/>
                <w:szCs w:val="21"/>
              </w:rPr>
            </w:pPr>
            <w:r>
              <w:rPr>
                <w:rFonts w:hint="default" w:ascii="Times New Roman" w:hAnsi="Times New Roman" w:eastAsia="宋体" w:cs="Times New Roman"/>
                <w:b/>
                <w:bCs/>
                <w:color w:val="FF0000"/>
                <w:kern w:val="0"/>
                <w:sz w:val="21"/>
                <w:szCs w:val="21"/>
              </w:rPr>
              <w:t>原料名称</w:t>
            </w:r>
          </w:p>
        </w:tc>
        <w:tc>
          <w:tcPr>
            <w:tcW w:w="1195" w:type="dxa"/>
            <w:tcBorders>
              <w:tl2br w:val="nil"/>
              <w:tr2bl w:val="nil"/>
            </w:tcBorders>
            <w:vAlign w:val="center"/>
          </w:tcPr>
          <w:p>
            <w:pPr>
              <w:adjustRightInd w:val="0"/>
              <w:spacing w:line="300" w:lineRule="exact"/>
              <w:jc w:val="center"/>
              <w:rPr>
                <w:rFonts w:hint="default" w:ascii="Times New Roman" w:hAnsi="Times New Roman" w:eastAsia="宋体" w:cs="Times New Roman"/>
                <w:b/>
                <w:bCs/>
                <w:color w:val="FF0000"/>
                <w:kern w:val="0"/>
                <w:sz w:val="21"/>
                <w:szCs w:val="21"/>
              </w:rPr>
            </w:pPr>
            <w:r>
              <w:rPr>
                <w:rFonts w:hint="default" w:ascii="Times New Roman" w:hAnsi="Times New Roman" w:eastAsia="宋体" w:cs="Times New Roman"/>
                <w:b/>
                <w:bCs/>
                <w:color w:val="FF0000"/>
                <w:kern w:val="0"/>
                <w:sz w:val="21"/>
                <w:szCs w:val="21"/>
              </w:rPr>
              <w:t>工艺名称</w:t>
            </w:r>
          </w:p>
        </w:tc>
        <w:tc>
          <w:tcPr>
            <w:tcW w:w="1478" w:type="dxa"/>
            <w:tcBorders>
              <w:tl2br w:val="nil"/>
              <w:tr2bl w:val="nil"/>
            </w:tcBorders>
            <w:vAlign w:val="center"/>
          </w:tcPr>
          <w:p>
            <w:pPr>
              <w:adjustRightInd w:val="0"/>
              <w:spacing w:line="300" w:lineRule="exact"/>
              <w:jc w:val="center"/>
              <w:rPr>
                <w:rFonts w:hint="default" w:ascii="Times New Roman" w:hAnsi="Times New Roman" w:eastAsia="宋体" w:cs="Times New Roman"/>
                <w:b/>
                <w:bCs/>
                <w:color w:val="FF0000"/>
                <w:kern w:val="0"/>
                <w:sz w:val="21"/>
                <w:szCs w:val="21"/>
              </w:rPr>
            </w:pPr>
            <w:r>
              <w:rPr>
                <w:rFonts w:hint="default" w:ascii="Times New Roman" w:hAnsi="Times New Roman" w:eastAsia="宋体" w:cs="Times New Roman"/>
                <w:b/>
                <w:bCs/>
                <w:color w:val="FF0000"/>
                <w:kern w:val="0"/>
                <w:sz w:val="21"/>
                <w:szCs w:val="21"/>
              </w:rPr>
              <w:t>规模等级</w:t>
            </w:r>
          </w:p>
        </w:tc>
        <w:tc>
          <w:tcPr>
            <w:tcW w:w="1296" w:type="dxa"/>
            <w:gridSpan w:val="2"/>
            <w:tcBorders>
              <w:tl2br w:val="nil"/>
              <w:tr2bl w:val="nil"/>
            </w:tcBorders>
            <w:vAlign w:val="center"/>
          </w:tcPr>
          <w:p>
            <w:pPr>
              <w:adjustRightInd w:val="0"/>
              <w:spacing w:line="300" w:lineRule="exact"/>
              <w:jc w:val="center"/>
              <w:rPr>
                <w:rFonts w:hint="default" w:ascii="Times New Roman" w:hAnsi="Times New Roman" w:eastAsia="宋体" w:cs="Times New Roman"/>
                <w:b/>
                <w:bCs/>
                <w:color w:val="FF0000"/>
                <w:kern w:val="0"/>
                <w:sz w:val="21"/>
                <w:szCs w:val="21"/>
              </w:rPr>
            </w:pPr>
            <w:r>
              <w:rPr>
                <w:rFonts w:hint="default" w:ascii="Times New Roman" w:hAnsi="Times New Roman" w:eastAsia="宋体" w:cs="Times New Roman"/>
                <w:b/>
                <w:bCs/>
                <w:color w:val="FF0000"/>
                <w:kern w:val="0"/>
                <w:sz w:val="21"/>
                <w:szCs w:val="21"/>
              </w:rPr>
              <w:t>污染物指标</w:t>
            </w:r>
          </w:p>
        </w:tc>
        <w:tc>
          <w:tcPr>
            <w:tcW w:w="1273" w:type="dxa"/>
            <w:tcBorders>
              <w:tl2br w:val="nil"/>
              <w:tr2bl w:val="nil"/>
            </w:tcBorders>
            <w:vAlign w:val="center"/>
          </w:tcPr>
          <w:p>
            <w:pPr>
              <w:adjustRightInd w:val="0"/>
              <w:spacing w:line="300" w:lineRule="exact"/>
              <w:jc w:val="center"/>
              <w:rPr>
                <w:rFonts w:hint="default" w:ascii="Times New Roman" w:hAnsi="Times New Roman" w:eastAsia="宋体" w:cs="Times New Roman"/>
                <w:b/>
                <w:bCs/>
                <w:color w:val="FF0000"/>
                <w:kern w:val="0"/>
                <w:sz w:val="21"/>
                <w:szCs w:val="21"/>
              </w:rPr>
            </w:pPr>
            <w:r>
              <w:rPr>
                <w:rFonts w:hint="default" w:ascii="Times New Roman" w:hAnsi="Times New Roman" w:eastAsia="宋体" w:cs="Times New Roman"/>
                <w:b/>
                <w:bCs/>
                <w:color w:val="FF0000"/>
                <w:kern w:val="0"/>
                <w:sz w:val="21"/>
                <w:szCs w:val="21"/>
              </w:rPr>
              <w:t>单位</w:t>
            </w:r>
          </w:p>
        </w:tc>
        <w:tc>
          <w:tcPr>
            <w:tcW w:w="1132" w:type="dxa"/>
            <w:tcBorders>
              <w:tl2br w:val="nil"/>
              <w:tr2bl w:val="nil"/>
            </w:tcBorders>
            <w:vAlign w:val="center"/>
          </w:tcPr>
          <w:p>
            <w:pPr>
              <w:adjustRightInd w:val="0"/>
              <w:spacing w:line="300" w:lineRule="exact"/>
              <w:jc w:val="center"/>
              <w:rPr>
                <w:rFonts w:hint="default" w:ascii="Times New Roman" w:hAnsi="Times New Roman" w:eastAsia="宋体" w:cs="Times New Roman"/>
                <w:b/>
                <w:bCs/>
                <w:color w:val="FF0000"/>
                <w:kern w:val="0"/>
                <w:sz w:val="21"/>
                <w:szCs w:val="21"/>
              </w:rPr>
            </w:pPr>
            <w:r>
              <w:rPr>
                <w:rFonts w:hint="default" w:ascii="Times New Roman" w:hAnsi="Times New Roman" w:eastAsia="宋体" w:cs="Times New Roman"/>
                <w:b/>
                <w:bCs/>
                <w:color w:val="FF0000"/>
                <w:kern w:val="0"/>
                <w:sz w:val="21"/>
                <w:szCs w:val="21"/>
              </w:rPr>
              <w:t>产污系数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138" w:type="dxa"/>
            <w:tcBorders>
              <w:tl2br w:val="nil"/>
              <w:tr2bl w:val="nil"/>
            </w:tcBorders>
            <w:vAlign w:val="center"/>
          </w:tcPr>
          <w:p>
            <w:pPr>
              <w:adjustRightInd w:val="0"/>
              <w:spacing w:line="300" w:lineRule="exact"/>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配合饲料</w:t>
            </w:r>
          </w:p>
        </w:tc>
        <w:tc>
          <w:tcPr>
            <w:tcW w:w="1558" w:type="dxa"/>
            <w:tcBorders>
              <w:tl2br w:val="nil"/>
              <w:tr2bl w:val="nil"/>
            </w:tcBorders>
            <w:vAlign w:val="center"/>
          </w:tcPr>
          <w:p>
            <w:pPr>
              <w:adjustRightInd w:val="0"/>
              <w:spacing w:line="300" w:lineRule="exact"/>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玉米、蛋白质类原料(豆粕等)、维生素等</w:t>
            </w:r>
          </w:p>
        </w:tc>
        <w:tc>
          <w:tcPr>
            <w:tcW w:w="1195" w:type="dxa"/>
            <w:tcBorders>
              <w:tl2br w:val="nil"/>
              <w:tr2bl w:val="nil"/>
            </w:tcBorders>
            <w:vAlign w:val="center"/>
          </w:tcPr>
          <w:p>
            <w:pPr>
              <w:adjustRightInd w:val="0"/>
              <w:spacing w:line="300" w:lineRule="exact"/>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粉碎+混合+制粒(可不制粒)+除尘</w:t>
            </w:r>
          </w:p>
        </w:tc>
        <w:tc>
          <w:tcPr>
            <w:tcW w:w="1478" w:type="dxa"/>
            <w:tcBorders>
              <w:tl2br w:val="nil"/>
              <w:tr2bl w:val="nil"/>
            </w:tcBorders>
            <w:vAlign w:val="center"/>
          </w:tcPr>
          <w:p>
            <w:pPr>
              <w:adjustRightInd w:val="0"/>
              <w:spacing w:line="300" w:lineRule="exact"/>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＜10万吨/年</w:t>
            </w:r>
          </w:p>
        </w:tc>
        <w:tc>
          <w:tcPr>
            <w:tcW w:w="443" w:type="dxa"/>
            <w:tcBorders>
              <w:tl2br w:val="nil"/>
              <w:tr2bl w:val="nil"/>
            </w:tcBorders>
            <w:vAlign w:val="center"/>
          </w:tcPr>
          <w:p>
            <w:pPr>
              <w:adjustRightInd w:val="0"/>
              <w:spacing w:line="300" w:lineRule="exact"/>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废气</w:t>
            </w:r>
          </w:p>
        </w:tc>
        <w:tc>
          <w:tcPr>
            <w:tcW w:w="853" w:type="dxa"/>
            <w:tcBorders>
              <w:tl2br w:val="nil"/>
              <w:tr2bl w:val="nil"/>
            </w:tcBorders>
            <w:vAlign w:val="center"/>
          </w:tcPr>
          <w:p>
            <w:pPr>
              <w:adjustRightInd w:val="0"/>
              <w:spacing w:line="300" w:lineRule="exact"/>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颗粒物</w:t>
            </w:r>
          </w:p>
        </w:tc>
        <w:tc>
          <w:tcPr>
            <w:tcW w:w="1273" w:type="dxa"/>
            <w:tcBorders>
              <w:tl2br w:val="nil"/>
              <w:tr2bl w:val="nil"/>
            </w:tcBorders>
            <w:vAlign w:val="center"/>
          </w:tcPr>
          <w:p>
            <w:pPr>
              <w:adjustRightInd w:val="0"/>
              <w:spacing w:line="300" w:lineRule="exact"/>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千克/吨</w:t>
            </w:r>
            <w:r>
              <w:rPr>
                <w:rFonts w:hint="default" w:ascii="Times New Roman" w:hAnsi="Times New Roman" w:eastAsia="宋体" w:cs="Times New Roman"/>
                <w:bCs/>
                <w:color w:val="FF0000"/>
                <w:sz w:val="21"/>
                <w:szCs w:val="21"/>
              </w:rPr>
              <w:t>·</w:t>
            </w:r>
            <w:r>
              <w:rPr>
                <w:rFonts w:hint="default" w:ascii="Times New Roman" w:hAnsi="Times New Roman" w:eastAsia="宋体" w:cs="Times New Roman"/>
                <w:color w:val="FF0000"/>
                <w:kern w:val="0"/>
                <w:sz w:val="21"/>
                <w:szCs w:val="21"/>
              </w:rPr>
              <w:t>产品</w:t>
            </w:r>
          </w:p>
        </w:tc>
        <w:tc>
          <w:tcPr>
            <w:tcW w:w="1132" w:type="dxa"/>
            <w:tcBorders>
              <w:tl2br w:val="nil"/>
              <w:tr2bl w:val="nil"/>
            </w:tcBorders>
            <w:vAlign w:val="center"/>
          </w:tcPr>
          <w:p>
            <w:pPr>
              <w:adjustRightInd w:val="0"/>
              <w:spacing w:line="300" w:lineRule="exact"/>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0.043</w:t>
            </w:r>
          </w:p>
        </w:tc>
      </w:tr>
    </w:tbl>
    <w:p>
      <w:pPr>
        <w:snapToGrid w:val="0"/>
        <w:spacing w:line="540" w:lineRule="exact"/>
        <w:ind w:firstLine="480" w:firstLineChars="200"/>
      </w:pPr>
      <w:r>
        <w:rPr>
          <w:rFonts w:ascii="Times New Roman" w:hAnsi="Times New Roman"/>
          <w:bCs/>
          <w:color w:val="FF0000"/>
          <w:sz w:val="24"/>
        </w:rPr>
        <w:t>经计算，本项目粉尘产生量为</w:t>
      </w:r>
      <w:r>
        <w:rPr>
          <w:rFonts w:hint="eastAsia" w:ascii="Times New Roman" w:hAnsi="Times New Roman"/>
          <w:bCs/>
          <w:color w:val="FF0000"/>
          <w:sz w:val="24"/>
        </w:rPr>
        <w:t>0.0</w:t>
      </w:r>
      <w:r>
        <w:rPr>
          <w:rFonts w:hint="eastAsia" w:ascii="Times New Roman" w:hAnsi="Times New Roman"/>
          <w:bCs/>
          <w:color w:val="FF0000"/>
          <w:sz w:val="24"/>
          <w:lang w:val="en-US" w:eastAsia="zh-CN"/>
        </w:rPr>
        <w:t>75</w:t>
      </w:r>
      <w:r>
        <w:rPr>
          <w:rFonts w:ascii="Times New Roman" w:hAnsi="Times New Roman"/>
          <w:bCs/>
          <w:color w:val="FF0000"/>
          <w:sz w:val="24"/>
        </w:rPr>
        <w:t>t/a</w:t>
      </w:r>
      <w:r>
        <w:rPr>
          <w:rFonts w:hint="eastAsia" w:ascii="Times New Roman" w:hAnsi="Times New Roman"/>
          <w:bCs/>
          <w:color w:val="FF0000"/>
          <w:sz w:val="24"/>
          <w:lang w:eastAsia="zh-CN"/>
        </w:rPr>
        <w:t>，产生速率</w:t>
      </w:r>
      <w:r>
        <w:rPr>
          <w:rFonts w:hint="eastAsia" w:ascii="Times New Roman" w:hAnsi="Times New Roman"/>
          <w:bCs/>
          <w:color w:val="FF0000"/>
          <w:sz w:val="24"/>
        </w:rPr>
        <w:t>0.</w:t>
      </w:r>
      <w:r>
        <w:rPr>
          <w:rFonts w:hint="eastAsia" w:ascii="Times New Roman" w:hAnsi="Times New Roman"/>
          <w:bCs/>
          <w:color w:val="FF0000"/>
          <w:sz w:val="24"/>
          <w:lang w:val="en-US" w:eastAsia="zh-CN"/>
        </w:rPr>
        <w:t>103</w:t>
      </w:r>
      <w:r>
        <w:rPr>
          <w:rFonts w:hint="eastAsia" w:ascii="Times New Roman" w:hAnsi="Times New Roman"/>
          <w:bCs/>
          <w:color w:val="FF0000"/>
          <w:sz w:val="24"/>
        </w:rPr>
        <w:t>kg/h</w:t>
      </w:r>
      <w:r>
        <w:rPr>
          <w:rFonts w:ascii="Times New Roman" w:hAnsi="Times New Roman"/>
          <w:bCs/>
          <w:color w:val="FF0000"/>
          <w:sz w:val="24"/>
        </w:rPr>
        <w:t>，</w:t>
      </w:r>
      <w:r>
        <w:rPr>
          <w:rFonts w:hint="eastAsia" w:ascii="Times New Roman" w:hAnsi="Times New Roman"/>
          <w:bCs/>
          <w:color w:val="FF0000"/>
          <w:sz w:val="24"/>
          <w:lang w:eastAsia="zh-CN"/>
        </w:rPr>
        <w:t>本项目采用立式高效无尘饲料粉碎和搅拌一体机，机器自带除尘效率可达</w:t>
      </w:r>
      <w:r>
        <w:rPr>
          <w:rFonts w:ascii="Times New Roman" w:hAnsi="Times New Roman"/>
          <w:bCs/>
          <w:color w:val="FF0000"/>
          <w:sz w:val="24"/>
        </w:rPr>
        <w:t>9</w:t>
      </w:r>
      <w:r>
        <w:rPr>
          <w:rFonts w:hint="eastAsia" w:ascii="Times New Roman" w:hAnsi="Times New Roman"/>
          <w:bCs/>
          <w:color w:val="FF0000"/>
          <w:sz w:val="24"/>
          <w:lang w:val="en-US" w:eastAsia="zh-CN"/>
        </w:rPr>
        <w:t>8</w:t>
      </w:r>
      <w:r>
        <w:rPr>
          <w:rFonts w:hint="eastAsia" w:ascii="Times New Roman" w:hAnsi="Times New Roman"/>
          <w:bCs/>
          <w:color w:val="FF0000"/>
          <w:sz w:val="24"/>
        </w:rPr>
        <w:t>%，设计风机风量为</w:t>
      </w:r>
      <w:r>
        <w:rPr>
          <w:rFonts w:ascii="Times New Roman" w:hAnsi="Times New Roman"/>
          <w:bCs/>
          <w:color w:val="FF0000"/>
          <w:sz w:val="24"/>
        </w:rPr>
        <w:t>3000</w:t>
      </w:r>
      <w:r>
        <w:rPr>
          <w:rFonts w:hint="eastAsia" w:ascii="Times New Roman" w:hAnsi="Times New Roman"/>
          <w:bCs/>
          <w:color w:val="FF0000"/>
          <w:sz w:val="24"/>
        </w:rPr>
        <w:t>m</w:t>
      </w:r>
      <w:r>
        <w:rPr>
          <w:rFonts w:hint="eastAsia" w:ascii="Times New Roman" w:hAnsi="Times New Roman"/>
          <w:bCs/>
          <w:color w:val="FF0000"/>
          <w:sz w:val="24"/>
          <w:vertAlign w:val="superscript"/>
        </w:rPr>
        <w:t>3</w:t>
      </w:r>
      <w:r>
        <w:rPr>
          <w:rFonts w:hint="eastAsia" w:ascii="Times New Roman" w:hAnsi="Times New Roman"/>
          <w:bCs/>
          <w:color w:val="FF0000"/>
          <w:sz w:val="24"/>
        </w:rPr>
        <w:t>/h，</w:t>
      </w:r>
      <w:r>
        <w:rPr>
          <w:rFonts w:hint="eastAsia" w:ascii="Times New Roman" w:hAnsi="Times New Roman"/>
          <w:bCs/>
          <w:color w:val="FF0000"/>
          <w:sz w:val="24"/>
          <w:lang w:eastAsia="zh-CN"/>
        </w:rPr>
        <w:t>无</w:t>
      </w:r>
      <w:r>
        <w:rPr>
          <w:rFonts w:hint="eastAsia" w:ascii="Times New Roman" w:hAnsi="Times New Roman"/>
          <w:bCs/>
          <w:color w:val="FF0000"/>
          <w:sz w:val="24"/>
        </w:rPr>
        <w:t>组织粉尘排放量为</w:t>
      </w:r>
      <w:r>
        <w:rPr>
          <w:rFonts w:hint="eastAsia" w:ascii="Times New Roman" w:hAnsi="Times New Roman"/>
          <w:bCs/>
          <w:color w:val="FF0000"/>
          <w:sz w:val="24"/>
          <w:lang w:val="en-US" w:eastAsia="zh-CN"/>
        </w:rPr>
        <w:t>1.5kg</w:t>
      </w:r>
      <w:r>
        <w:rPr>
          <w:rFonts w:ascii="Times New Roman" w:hAnsi="Times New Roman"/>
          <w:bCs/>
          <w:color w:val="FF0000"/>
          <w:sz w:val="24"/>
        </w:rPr>
        <w:t>/a</w:t>
      </w:r>
      <w:r>
        <w:rPr>
          <w:rFonts w:hint="eastAsia" w:ascii="Times New Roman" w:hAnsi="Times New Roman"/>
          <w:bCs/>
          <w:color w:val="FF0000"/>
          <w:sz w:val="24"/>
        </w:rPr>
        <w:t>、排放速率为</w:t>
      </w:r>
      <w:r>
        <w:rPr>
          <w:rFonts w:hint="eastAsia" w:ascii="Times New Roman" w:hAnsi="Times New Roman"/>
          <w:bCs/>
          <w:color w:val="FF0000"/>
          <w:sz w:val="24"/>
          <w:lang w:val="en-US" w:eastAsia="zh-CN"/>
        </w:rPr>
        <w:t>2.05×10</w:t>
      </w:r>
      <w:r>
        <w:rPr>
          <w:rFonts w:hint="eastAsia" w:ascii="Times New Roman" w:hAnsi="Times New Roman"/>
          <w:bCs/>
          <w:color w:val="FF0000"/>
          <w:sz w:val="24"/>
          <w:vertAlign w:val="superscript"/>
          <w:lang w:val="en-US" w:eastAsia="zh-CN"/>
        </w:rPr>
        <w:t>-3</w:t>
      </w:r>
      <w:r>
        <w:rPr>
          <w:rFonts w:hint="eastAsia" w:ascii="Times New Roman" w:hAnsi="Times New Roman"/>
          <w:bCs/>
          <w:color w:val="FF0000"/>
          <w:sz w:val="24"/>
        </w:rPr>
        <w:t>kg/h、排放浓度为</w:t>
      </w:r>
      <w:r>
        <w:rPr>
          <w:rFonts w:hint="eastAsia" w:ascii="Times New Roman" w:hAnsi="Times New Roman"/>
          <w:bCs/>
          <w:color w:val="FF0000"/>
          <w:sz w:val="24"/>
          <w:lang w:val="en-US" w:eastAsia="zh-CN"/>
        </w:rPr>
        <w:t>0.68</w:t>
      </w:r>
      <w:r>
        <w:rPr>
          <w:rFonts w:ascii="Times New Roman" w:hAnsi="Times New Roman"/>
          <w:bCs/>
          <w:color w:val="FF0000"/>
          <w:sz w:val="24"/>
        </w:rPr>
        <w:t>mg/m</w:t>
      </w:r>
      <w:r>
        <w:rPr>
          <w:rFonts w:ascii="Times New Roman" w:hAnsi="Times New Roman"/>
          <w:bCs/>
          <w:color w:val="FF0000"/>
          <w:sz w:val="24"/>
          <w:vertAlign w:val="superscript"/>
        </w:rPr>
        <w:t>3</w:t>
      </w:r>
      <w:r>
        <w:rPr>
          <w:rFonts w:hint="eastAsia" w:ascii="Times New Roman" w:hAnsi="Times New Roman"/>
          <w:bCs/>
          <w:color w:val="FF0000"/>
          <w:sz w:val="24"/>
        </w:rPr>
        <w:t>。</w:t>
      </w:r>
    </w:p>
    <w:p>
      <w:pPr>
        <w:snapToGrid w:val="0"/>
        <w:spacing w:line="540" w:lineRule="exact"/>
        <w:ind w:firstLine="480" w:firstLineChars="200"/>
        <w:rPr>
          <w:rFonts w:ascii="Times New Roman" w:hAnsi="Times New Roman"/>
          <w:bCs/>
          <w:sz w:val="24"/>
        </w:rPr>
      </w:pPr>
      <w:r>
        <w:rPr>
          <w:rFonts w:ascii="Times New Roman" w:hAnsi="Times New Roman"/>
          <w:bCs/>
          <w:sz w:val="24"/>
        </w:rPr>
        <w:t>本项目</w:t>
      </w:r>
      <w:r>
        <w:rPr>
          <w:rFonts w:hint="eastAsia" w:ascii="Times New Roman" w:hAnsi="Times New Roman"/>
          <w:bCs/>
          <w:sz w:val="24"/>
          <w:lang w:eastAsia="zh-CN"/>
        </w:rPr>
        <w:t>无组织</w:t>
      </w:r>
      <w:r>
        <w:rPr>
          <w:rFonts w:ascii="Times New Roman" w:hAnsi="Times New Roman"/>
          <w:bCs/>
          <w:sz w:val="24"/>
        </w:rPr>
        <w:t>排放浓度满足《大气污染物综合排放标准》（GB16297-1996）表2中无组织排放限值（1.0mg/m</w:t>
      </w:r>
      <w:r>
        <w:rPr>
          <w:rFonts w:ascii="Times New Roman" w:hAnsi="Times New Roman"/>
          <w:bCs/>
          <w:sz w:val="24"/>
          <w:vertAlign w:val="superscript"/>
        </w:rPr>
        <w:t>3</w:t>
      </w:r>
      <w:r>
        <w:rPr>
          <w:rFonts w:ascii="Times New Roman" w:hAnsi="Times New Roman"/>
          <w:bCs/>
          <w:sz w:val="24"/>
        </w:rPr>
        <w:t>）的要求，对周围环境影响较小。</w:t>
      </w:r>
    </w:p>
    <w:p>
      <w:pPr>
        <w:pStyle w:val="52"/>
        <w:tabs>
          <w:tab w:val="left" w:pos="284"/>
        </w:tabs>
        <w:snapToGrid w:val="0"/>
        <w:spacing w:before="120" w:beforeLines="50" w:after="120" w:afterLines="50" w:line="540" w:lineRule="exact"/>
        <w:contextualSpacing/>
        <w:rPr>
          <w:rFonts w:hint="eastAsia" w:ascii="Times New Roman" w:hAnsi="Times New Roman"/>
          <w:kern w:val="1"/>
          <w:sz w:val="24"/>
          <w:lang w:val="en-US" w:eastAsia="zh-CN"/>
        </w:rPr>
      </w:pPr>
      <w:bookmarkStart w:id="449" w:name="_Toc19976"/>
      <w:r>
        <w:rPr>
          <w:rFonts w:cs="Times New Roman"/>
          <w:bCs w:val="0"/>
          <w:snapToGrid w:val="0"/>
          <w:kern w:val="0"/>
          <w:sz w:val="28"/>
          <w:szCs w:val="28"/>
        </w:rPr>
        <w:t>2.</w:t>
      </w:r>
      <w:r>
        <w:rPr>
          <w:rFonts w:hint="eastAsia" w:cs="Times New Roman"/>
          <w:bCs w:val="0"/>
          <w:snapToGrid w:val="0"/>
          <w:kern w:val="0"/>
          <w:sz w:val="28"/>
          <w:szCs w:val="28"/>
        </w:rPr>
        <w:t>4</w:t>
      </w:r>
      <w:r>
        <w:rPr>
          <w:rFonts w:cs="Times New Roman"/>
          <w:bCs w:val="0"/>
          <w:snapToGrid w:val="0"/>
          <w:kern w:val="0"/>
          <w:sz w:val="28"/>
          <w:szCs w:val="28"/>
        </w:rPr>
        <w:t>.2废水</w:t>
      </w:r>
      <w:bookmarkEnd w:id="449"/>
      <w:bookmarkStart w:id="450" w:name="_Toc16487"/>
      <w:r>
        <w:rPr>
          <w:rFonts w:hint="eastAsia" w:ascii="Times New Roman" w:hAnsi="Times New Roman"/>
          <w:kern w:val="1"/>
          <w:sz w:val="24"/>
          <w:lang w:val="en-US" w:eastAsia="zh-CN"/>
        </w:rPr>
        <w:t xml:space="preserve">  </w:t>
      </w:r>
    </w:p>
    <w:p>
      <w:pPr>
        <w:adjustRightInd w:val="0"/>
        <w:snapToGrid w:val="0"/>
        <w:spacing w:line="540" w:lineRule="exact"/>
        <w:ind w:firstLine="480" w:firstLineChars="200"/>
        <w:rPr>
          <w:rFonts w:hint="eastAsia" w:ascii="Times New Roman" w:hAnsi="Times New Roman"/>
          <w:color w:val="FF0000"/>
          <w:kern w:val="1"/>
          <w:sz w:val="24"/>
          <w:lang w:val="en-US" w:eastAsia="zh-CN"/>
        </w:rPr>
      </w:pPr>
      <w:r>
        <w:rPr>
          <w:rFonts w:hint="eastAsia" w:ascii="Times New Roman" w:hAnsi="Times New Roman"/>
          <w:color w:val="FF0000"/>
          <w:kern w:val="1"/>
          <w:sz w:val="24"/>
          <w:lang w:val="en-US" w:eastAsia="zh-CN"/>
        </w:rPr>
        <w:t>项目采用“雨污分流制”。</w:t>
      </w:r>
    </w:p>
    <w:p>
      <w:pPr>
        <w:adjustRightInd w:val="0"/>
        <w:snapToGrid w:val="0"/>
        <w:spacing w:line="540" w:lineRule="exact"/>
        <w:ind w:firstLine="480" w:firstLineChars="200"/>
        <w:rPr>
          <w:rFonts w:hint="eastAsia" w:ascii="Times New Roman" w:hAnsi="Times New Roman"/>
          <w:color w:val="FF0000"/>
          <w:kern w:val="1"/>
          <w:sz w:val="24"/>
          <w:lang w:val="en-US" w:eastAsia="zh-CN"/>
        </w:rPr>
      </w:pPr>
      <w:r>
        <w:rPr>
          <w:rFonts w:hint="eastAsia" w:ascii="Times New Roman" w:hAnsi="Times New Roman"/>
          <w:color w:val="FF0000"/>
          <w:kern w:val="1"/>
          <w:sz w:val="24"/>
          <w:lang w:val="en-US" w:eastAsia="zh-CN"/>
        </w:rPr>
        <w:t xml:space="preserve">牛尿大部分蒸发，少量由牛舍垫料(主要为牛粪、沙土)吸收，采用干法清粪工艺，采取机械+人工干法清粪方式将粪便及时、单独清出，做到日产日清，养殖期间无生产废水排放。 </w:t>
      </w:r>
    </w:p>
    <w:p>
      <w:pPr>
        <w:adjustRightInd w:val="0"/>
        <w:snapToGrid w:val="0"/>
        <w:spacing w:line="540" w:lineRule="exact"/>
        <w:ind w:firstLine="480" w:firstLineChars="200"/>
        <w:rPr>
          <w:rFonts w:hint="eastAsia" w:ascii="Times New Roman" w:hAnsi="Times New Roman"/>
          <w:color w:val="FF0000"/>
          <w:kern w:val="1"/>
          <w:sz w:val="24"/>
          <w:lang w:val="en-US" w:eastAsia="zh-CN"/>
        </w:rPr>
      </w:pPr>
      <w:r>
        <w:rPr>
          <w:rFonts w:hint="eastAsia" w:ascii="Times New Roman" w:hAnsi="Times New Roman"/>
          <w:color w:val="FF0000"/>
          <w:kern w:val="1"/>
          <w:sz w:val="24"/>
          <w:lang w:val="en-US" w:eastAsia="zh-CN"/>
        </w:rPr>
        <w:t xml:space="preserve"> 厂区初期雨水通过道路两侧设置的导流沟进入1座120m</w:t>
      </w:r>
      <w:r>
        <w:rPr>
          <w:rFonts w:hint="eastAsia" w:ascii="Times New Roman" w:hAnsi="Times New Roman"/>
          <w:color w:val="FF0000"/>
          <w:kern w:val="1"/>
          <w:sz w:val="24"/>
          <w:vertAlign w:val="superscript"/>
          <w:lang w:val="en-US" w:eastAsia="zh-CN"/>
        </w:rPr>
        <w:t>3</w:t>
      </w:r>
      <w:r>
        <w:rPr>
          <w:rFonts w:hint="eastAsia" w:ascii="Times New Roman" w:hAnsi="Times New Roman"/>
          <w:color w:val="FF0000"/>
          <w:kern w:val="1"/>
          <w:sz w:val="24"/>
          <w:lang w:val="en-US" w:eastAsia="zh-CN"/>
        </w:rPr>
        <w:t>初期雨水收集池(TW002)，全部用于厂区绿化。</w:t>
      </w:r>
    </w:p>
    <w:p>
      <w:pPr>
        <w:adjustRightInd w:val="0"/>
        <w:snapToGrid w:val="0"/>
        <w:spacing w:line="540" w:lineRule="exact"/>
        <w:ind w:firstLine="480" w:firstLineChars="200"/>
        <w:rPr>
          <w:rFonts w:hint="default"/>
          <w:color w:val="FF0000"/>
          <w:lang w:val="en-US" w:eastAsia="zh-CN"/>
        </w:rPr>
      </w:pPr>
      <w:r>
        <w:rPr>
          <w:rFonts w:hint="eastAsia" w:ascii="Times New Roman" w:hAnsi="Times New Roman"/>
          <w:color w:val="FF0000"/>
          <w:kern w:val="1"/>
          <w:sz w:val="24"/>
          <w:highlight w:val="none"/>
          <w:lang w:val="en-US" w:eastAsia="zh-CN"/>
        </w:rPr>
        <w:t>职工生活污水主要为员工盥洗废水，用于厂区的洒水降尘；厂区建有卫生旱厕，用于员工生活卫生，旱厕定期由附近农户清掏还田。</w:t>
      </w:r>
    </w:p>
    <w:p>
      <w:pPr>
        <w:pStyle w:val="52"/>
        <w:keepNext/>
        <w:keepLines/>
        <w:pageBreakBefore w:val="0"/>
        <w:widowControl/>
        <w:tabs>
          <w:tab w:val="left" w:pos="284"/>
        </w:tabs>
        <w:kinsoku/>
        <w:wordWrap/>
        <w:overflowPunct/>
        <w:topLinePunct w:val="0"/>
        <w:autoSpaceDE/>
        <w:autoSpaceDN/>
        <w:bidi w:val="0"/>
        <w:adjustRightInd/>
        <w:snapToGrid w:val="0"/>
        <w:spacing w:before="0" w:after="0" w:afterLines="0" w:line="540" w:lineRule="exact"/>
        <w:contextualSpacing/>
        <w:textAlignment w:val="auto"/>
        <w:rPr>
          <w:rFonts w:cs="Times New Roman"/>
          <w:bCs w:val="0"/>
          <w:snapToGrid w:val="0"/>
          <w:kern w:val="0"/>
          <w:sz w:val="28"/>
          <w:szCs w:val="28"/>
        </w:rPr>
      </w:pPr>
      <w:r>
        <w:rPr>
          <w:rFonts w:cs="Times New Roman"/>
          <w:bCs w:val="0"/>
          <w:snapToGrid w:val="0"/>
          <w:kern w:val="0"/>
          <w:sz w:val="28"/>
          <w:szCs w:val="28"/>
        </w:rPr>
        <w:t>2.</w:t>
      </w:r>
      <w:r>
        <w:rPr>
          <w:rFonts w:hint="eastAsia" w:cs="Times New Roman"/>
          <w:bCs w:val="0"/>
          <w:snapToGrid w:val="0"/>
          <w:kern w:val="0"/>
          <w:sz w:val="28"/>
          <w:szCs w:val="28"/>
        </w:rPr>
        <w:t>4</w:t>
      </w:r>
      <w:r>
        <w:rPr>
          <w:rFonts w:cs="Times New Roman"/>
          <w:bCs w:val="0"/>
          <w:snapToGrid w:val="0"/>
          <w:kern w:val="0"/>
          <w:sz w:val="28"/>
          <w:szCs w:val="28"/>
        </w:rPr>
        <w:t>.3噪声</w:t>
      </w:r>
      <w:bookmarkEnd w:id="450"/>
    </w:p>
    <w:p>
      <w:pPr>
        <w:pStyle w:val="2"/>
        <w:adjustRightInd w:val="0"/>
        <w:spacing w:line="540" w:lineRule="exact"/>
        <w:ind w:firstLine="480" w:firstLineChars="200"/>
        <w:jc w:val="center"/>
        <w:rPr>
          <w:rFonts w:ascii="Times New Roman" w:hAnsi="Times New Roman"/>
          <w:b/>
          <w:bCs/>
          <w:sz w:val="24"/>
          <w:szCs w:val="24"/>
        </w:rPr>
      </w:pPr>
      <w:r>
        <w:rPr>
          <w:rFonts w:ascii="Times New Roman" w:hAnsi="Times New Roman"/>
          <w:sz w:val="24"/>
          <w:szCs w:val="22"/>
        </w:rPr>
        <w:t>本项目噪声主要来自搅拌站内饲料配料混合设备、粉碎机、水泵及牛群活动叫声等。噪声声级在60~90dB（A）。为有效控制噪声污染，通过选择低噪声设备，对设备进行科学布置，将水泵等设备安装于专用房间内，通过墙体隔声降噪，并对振动较大的设备安装减振垫圈等综合降噪措施，可有效降低机械噪声对项目区域及周围环境的影响。</w:t>
      </w:r>
    </w:p>
    <w:p>
      <w:pPr>
        <w:pStyle w:val="2"/>
        <w:adjustRightInd w:val="0"/>
        <w:spacing w:line="540" w:lineRule="exact"/>
        <w:ind w:firstLine="481" w:firstLineChars="200"/>
        <w:jc w:val="center"/>
        <w:rPr>
          <w:color w:val="FF0000"/>
        </w:rPr>
      </w:pPr>
      <w:r>
        <w:rPr>
          <w:rFonts w:ascii="Times New Roman" w:hAnsi="Times New Roman"/>
          <w:b/>
          <w:bCs/>
          <w:color w:val="FF0000"/>
          <w:sz w:val="24"/>
          <w:szCs w:val="24"/>
        </w:rPr>
        <w:t>表</w:t>
      </w:r>
      <w:r>
        <w:rPr>
          <w:rFonts w:ascii="Times New Roman" w:hAnsi="Times New Roman" w:eastAsia="宋体" w:cs="Times New Roman"/>
          <w:b/>
          <w:bCs/>
          <w:color w:val="FF0000"/>
          <w:kern w:val="0"/>
          <w:sz w:val="24"/>
          <w:szCs w:val="24"/>
          <w:lang w:val="en-US" w:eastAsia="zh-CN" w:bidi="ar-SA"/>
        </w:rPr>
        <w:t>2.</w:t>
      </w:r>
      <w:r>
        <w:rPr>
          <w:rFonts w:hint="eastAsia" w:ascii="Times New Roman" w:hAnsi="Times New Roman" w:eastAsia="宋体" w:cs="Times New Roman"/>
          <w:b/>
          <w:bCs/>
          <w:color w:val="FF0000"/>
          <w:kern w:val="0"/>
          <w:sz w:val="24"/>
          <w:szCs w:val="24"/>
          <w:lang w:val="en-US" w:eastAsia="zh-CN" w:bidi="ar-SA"/>
        </w:rPr>
        <w:t>4-6</w:t>
      </w:r>
      <w:r>
        <w:rPr>
          <w:rFonts w:ascii="Times New Roman" w:hAnsi="Times New Roman" w:eastAsia="宋体" w:cs="Times New Roman"/>
          <w:b/>
          <w:bCs/>
          <w:color w:val="FF0000"/>
          <w:kern w:val="0"/>
          <w:sz w:val="24"/>
          <w:szCs w:val="24"/>
          <w:lang w:val="en-US" w:eastAsia="zh-CN" w:bidi="ar-SA"/>
        </w:rPr>
        <w:t xml:space="preserve"> 主要噪声设备源强及治理效果一览表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7"/>
        <w:gridCol w:w="1408"/>
        <w:gridCol w:w="699"/>
        <w:gridCol w:w="705"/>
        <w:gridCol w:w="720"/>
        <w:gridCol w:w="2488"/>
        <w:gridCol w:w="1196"/>
        <w:gridCol w:w="11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restart"/>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eastAsia="zh-CN"/>
              </w:rPr>
            </w:pPr>
            <w:r>
              <w:rPr>
                <w:rFonts w:hint="eastAsia" w:ascii="Times New Roman" w:hAnsi="Times New Roman" w:cs="Calibri"/>
                <w:b/>
                <w:bCs/>
                <w:color w:val="FF0000"/>
                <w:sz w:val="21"/>
                <w:szCs w:val="21"/>
                <w:lang w:eastAsia="zh-CN"/>
              </w:rPr>
              <w:t>序号</w:t>
            </w:r>
          </w:p>
        </w:tc>
        <w:tc>
          <w:tcPr>
            <w:tcW w:w="1408" w:type="dxa"/>
            <w:vMerge w:val="restart"/>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eastAsia="zh-CN"/>
              </w:rPr>
            </w:pPr>
            <w:r>
              <w:rPr>
                <w:rFonts w:hint="eastAsia" w:ascii="Times New Roman" w:hAnsi="Times New Roman" w:cs="Calibri"/>
                <w:b/>
                <w:bCs/>
                <w:color w:val="FF0000"/>
                <w:sz w:val="21"/>
                <w:szCs w:val="21"/>
                <w:lang w:eastAsia="zh-CN"/>
              </w:rPr>
              <w:t>声源名称</w:t>
            </w:r>
          </w:p>
        </w:tc>
        <w:tc>
          <w:tcPr>
            <w:tcW w:w="2124" w:type="dxa"/>
            <w:gridSpan w:val="3"/>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Calibri"/>
                <w:b/>
                <w:bCs/>
                <w:color w:val="FF0000"/>
                <w:sz w:val="21"/>
                <w:szCs w:val="21"/>
                <w:lang w:val="en-US"/>
              </w:rPr>
            </w:pPr>
            <w:r>
              <w:rPr>
                <w:rFonts w:hint="eastAsia" w:ascii="Times New Roman" w:hAnsi="Times New Roman" w:cs="Calibri"/>
                <w:b/>
                <w:bCs/>
                <w:color w:val="FF0000"/>
                <w:sz w:val="21"/>
                <w:szCs w:val="21"/>
                <w:lang w:eastAsia="zh-CN"/>
              </w:rPr>
              <w:t>空间相对位置</w:t>
            </w:r>
            <w:r>
              <w:rPr>
                <w:rFonts w:hint="eastAsia" w:ascii="Times New Roman" w:hAnsi="Times New Roman" w:cs="Calibri"/>
                <w:b/>
                <w:bCs/>
                <w:color w:val="FF0000"/>
                <w:sz w:val="21"/>
                <w:szCs w:val="21"/>
                <w:lang w:val="en-US" w:eastAsia="zh-CN"/>
              </w:rPr>
              <w:t>m</w:t>
            </w:r>
          </w:p>
        </w:tc>
        <w:tc>
          <w:tcPr>
            <w:tcW w:w="2488" w:type="dxa"/>
            <w:vMerge w:val="restart"/>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eastAsia="zh-CN"/>
              </w:rPr>
            </w:pPr>
            <w:r>
              <w:rPr>
                <w:rFonts w:hint="eastAsia" w:ascii="Times New Roman" w:hAnsi="Times New Roman" w:cs="Calibri"/>
                <w:b/>
                <w:bCs/>
                <w:color w:val="FF0000"/>
                <w:sz w:val="21"/>
                <w:szCs w:val="21"/>
                <w:lang w:eastAsia="zh-CN"/>
              </w:rPr>
              <w:t>声源源强</w:t>
            </w:r>
          </w:p>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Calibri"/>
                <w:b/>
                <w:bCs/>
                <w:color w:val="FF0000"/>
                <w:sz w:val="21"/>
                <w:szCs w:val="21"/>
                <w:lang w:val="en-US" w:eastAsia="zh-CN"/>
              </w:rPr>
            </w:pPr>
            <w:r>
              <w:rPr>
                <w:rFonts w:hint="eastAsia" w:ascii="Times New Roman" w:hAnsi="Times New Roman" w:cs="Calibri"/>
                <w:b/>
                <w:bCs/>
                <w:color w:val="FF0000"/>
                <w:sz w:val="21"/>
                <w:szCs w:val="21"/>
                <w:lang w:eastAsia="zh-CN"/>
              </w:rPr>
              <w:t>声功率级</w:t>
            </w:r>
            <w:r>
              <w:rPr>
                <w:rFonts w:hint="eastAsia" w:ascii="Times New Roman" w:hAnsi="Times New Roman" w:cs="Calibri"/>
                <w:b/>
                <w:bCs/>
                <w:color w:val="FF0000"/>
                <w:sz w:val="21"/>
                <w:szCs w:val="21"/>
                <w:lang w:val="en-US" w:eastAsia="zh-CN"/>
              </w:rPr>
              <w:t>/dB(A)</w:t>
            </w:r>
          </w:p>
        </w:tc>
        <w:tc>
          <w:tcPr>
            <w:tcW w:w="1196" w:type="dxa"/>
            <w:vMerge w:val="restart"/>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eastAsia="zh-CN"/>
              </w:rPr>
            </w:pPr>
            <w:r>
              <w:rPr>
                <w:rFonts w:hint="eastAsia" w:ascii="Times New Roman" w:hAnsi="Times New Roman" w:cs="Calibri"/>
                <w:b/>
                <w:bCs/>
                <w:color w:val="FF0000"/>
                <w:sz w:val="21"/>
                <w:szCs w:val="21"/>
                <w:lang w:eastAsia="zh-CN"/>
              </w:rPr>
              <w:t>声源控制措施</w:t>
            </w:r>
          </w:p>
        </w:tc>
        <w:tc>
          <w:tcPr>
            <w:tcW w:w="1149" w:type="dxa"/>
            <w:vMerge w:val="restart"/>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eastAsia="zh-CN"/>
              </w:rPr>
            </w:pPr>
            <w:r>
              <w:rPr>
                <w:rFonts w:hint="eastAsia" w:ascii="Times New Roman" w:hAnsi="Times New Roman" w:cs="Calibri"/>
                <w:b/>
                <w:bCs/>
                <w:color w:val="FF0000"/>
                <w:sz w:val="21"/>
                <w:szCs w:val="21"/>
                <w:lang w:eastAsia="zh-CN"/>
              </w:rPr>
              <w:t>运行时段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bCs/>
                <w:color w:val="FF0000"/>
                <w:sz w:val="21"/>
                <w:szCs w:val="21"/>
              </w:rPr>
            </w:pPr>
          </w:p>
        </w:tc>
        <w:tc>
          <w:tcPr>
            <w:tcW w:w="1408" w:type="dxa"/>
            <w:vMerge w:val="continue"/>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bCs/>
                <w:color w:val="FF0000"/>
                <w:sz w:val="21"/>
                <w:szCs w:val="21"/>
              </w:rPr>
            </w:pPr>
          </w:p>
        </w:tc>
        <w:tc>
          <w:tcPr>
            <w:tcW w:w="699" w:type="dxa"/>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val="en-US" w:eastAsia="zh-CN"/>
              </w:rPr>
            </w:pPr>
            <w:r>
              <w:rPr>
                <w:rFonts w:hint="eastAsia" w:ascii="Times New Roman" w:hAnsi="Times New Roman" w:cs="Calibri"/>
                <w:b/>
                <w:bCs/>
                <w:color w:val="FF0000"/>
                <w:sz w:val="21"/>
                <w:szCs w:val="21"/>
                <w:lang w:val="en-US" w:eastAsia="zh-CN"/>
              </w:rPr>
              <w:t>X</w:t>
            </w:r>
          </w:p>
        </w:tc>
        <w:tc>
          <w:tcPr>
            <w:tcW w:w="705" w:type="dxa"/>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val="en-US" w:eastAsia="zh-CN"/>
              </w:rPr>
            </w:pPr>
            <w:r>
              <w:rPr>
                <w:rFonts w:hint="eastAsia" w:ascii="Times New Roman" w:hAnsi="Times New Roman" w:cs="Calibri"/>
                <w:b/>
                <w:bCs/>
                <w:color w:val="FF0000"/>
                <w:sz w:val="21"/>
                <w:szCs w:val="21"/>
                <w:lang w:val="en-US" w:eastAsia="zh-CN"/>
              </w:rPr>
              <w:t>Y</w:t>
            </w:r>
          </w:p>
        </w:tc>
        <w:tc>
          <w:tcPr>
            <w:tcW w:w="720" w:type="dxa"/>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val="en-US" w:eastAsia="zh-CN"/>
              </w:rPr>
            </w:pPr>
            <w:r>
              <w:rPr>
                <w:rFonts w:hint="eastAsia" w:ascii="Times New Roman" w:hAnsi="Times New Roman" w:cs="Calibri"/>
                <w:b/>
                <w:bCs/>
                <w:color w:val="FF0000"/>
                <w:sz w:val="21"/>
                <w:szCs w:val="21"/>
                <w:lang w:val="en-US" w:eastAsia="zh-CN"/>
              </w:rPr>
              <w:t>Z</w:t>
            </w:r>
          </w:p>
        </w:tc>
        <w:tc>
          <w:tcPr>
            <w:tcW w:w="2488" w:type="dxa"/>
            <w:vMerge w:val="continue"/>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bCs/>
                <w:color w:val="FF0000"/>
                <w:sz w:val="21"/>
                <w:szCs w:val="21"/>
              </w:rPr>
            </w:pPr>
          </w:p>
        </w:tc>
        <w:tc>
          <w:tcPr>
            <w:tcW w:w="1196" w:type="dxa"/>
            <w:vMerge w:val="continue"/>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bCs/>
                <w:color w:val="FF0000"/>
                <w:sz w:val="21"/>
                <w:szCs w:val="21"/>
              </w:rPr>
            </w:pPr>
          </w:p>
        </w:tc>
        <w:tc>
          <w:tcPr>
            <w:tcW w:w="1149" w:type="dxa"/>
            <w:vMerge w:val="continue"/>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bCs/>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1</w:t>
            </w:r>
          </w:p>
        </w:tc>
        <w:tc>
          <w:tcPr>
            <w:tcW w:w="1408"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混合搅拌机</w:t>
            </w:r>
          </w:p>
        </w:tc>
        <w:tc>
          <w:tcPr>
            <w:tcW w:w="699"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5</w:t>
            </w:r>
          </w:p>
        </w:tc>
        <w:tc>
          <w:tcPr>
            <w:tcW w:w="705"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5</w:t>
            </w:r>
          </w:p>
        </w:tc>
        <w:tc>
          <w:tcPr>
            <w:tcW w:w="720"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3</w:t>
            </w:r>
          </w:p>
        </w:tc>
        <w:tc>
          <w:tcPr>
            <w:tcW w:w="2488"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80</w:t>
            </w:r>
          </w:p>
        </w:tc>
        <w:tc>
          <w:tcPr>
            <w:tcW w:w="1196"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val="0"/>
                <w:bCs w:val="0"/>
                <w:color w:val="FF0000"/>
                <w:sz w:val="21"/>
                <w:szCs w:val="21"/>
              </w:rPr>
            </w:pPr>
            <w:r>
              <w:rPr>
                <w:rFonts w:hint="eastAsia" w:ascii="Times New Roman" w:hAnsi="Times New Roman" w:cs="Calibri"/>
                <w:b w:val="0"/>
                <w:bCs w:val="0"/>
                <w:color w:val="FF0000"/>
                <w:sz w:val="21"/>
                <w:szCs w:val="21"/>
              </w:rPr>
              <w:t>设备减振、厂房隔声</w:t>
            </w:r>
          </w:p>
        </w:tc>
        <w:tc>
          <w:tcPr>
            <w:tcW w:w="1149"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eastAsia="zh-CN"/>
              </w:rPr>
            </w:pPr>
            <w:r>
              <w:rPr>
                <w:rFonts w:hint="eastAsia" w:ascii="Times New Roman" w:hAnsi="Times New Roman" w:cs="Calibri"/>
                <w:b w:val="0"/>
                <w:bCs w:val="0"/>
                <w:color w:val="FF0000"/>
                <w:sz w:val="21"/>
                <w:szCs w:val="21"/>
                <w:lang w:eastAsia="zh-CN"/>
              </w:rPr>
              <w:t>间歇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757"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2</w:t>
            </w:r>
          </w:p>
        </w:tc>
        <w:tc>
          <w:tcPr>
            <w:tcW w:w="1408"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eastAsia="zh-CN"/>
              </w:rPr>
            </w:pPr>
            <w:r>
              <w:rPr>
                <w:rFonts w:hint="eastAsia" w:ascii="Times New Roman" w:hAnsi="Times New Roman" w:cs="Calibri"/>
                <w:b w:val="0"/>
                <w:bCs w:val="0"/>
                <w:color w:val="FF0000"/>
                <w:sz w:val="21"/>
                <w:szCs w:val="21"/>
                <w:lang w:eastAsia="zh-CN"/>
              </w:rPr>
              <w:t>粉碎机</w:t>
            </w:r>
          </w:p>
        </w:tc>
        <w:tc>
          <w:tcPr>
            <w:tcW w:w="699"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5</w:t>
            </w:r>
          </w:p>
        </w:tc>
        <w:tc>
          <w:tcPr>
            <w:tcW w:w="705"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5</w:t>
            </w:r>
          </w:p>
        </w:tc>
        <w:tc>
          <w:tcPr>
            <w:tcW w:w="720"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3</w:t>
            </w:r>
          </w:p>
        </w:tc>
        <w:tc>
          <w:tcPr>
            <w:tcW w:w="2488"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80-95</w:t>
            </w:r>
          </w:p>
        </w:tc>
        <w:tc>
          <w:tcPr>
            <w:tcW w:w="1196"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val="0"/>
                <w:bCs w:val="0"/>
                <w:color w:val="FF0000"/>
                <w:sz w:val="21"/>
                <w:szCs w:val="21"/>
              </w:rPr>
            </w:pPr>
            <w:r>
              <w:rPr>
                <w:rFonts w:hint="eastAsia" w:ascii="Times New Roman" w:hAnsi="Times New Roman" w:cs="Calibri"/>
                <w:b w:val="0"/>
                <w:bCs w:val="0"/>
                <w:color w:val="FF0000"/>
                <w:sz w:val="21"/>
                <w:szCs w:val="21"/>
              </w:rPr>
              <w:t>设备减振、厂房隔声</w:t>
            </w:r>
          </w:p>
        </w:tc>
        <w:tc>
          <w:tcPr>
            <w:tcW w:w="1149"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eastAsia="zh-CN"/>
              </w:rPr>
            </w:pPr>
            <w:r>
              <w:rPr>
                <w:rFonts w:hint="eastAsia" w:ascii="Times New Roman" w:hAnsi="Times New Roman" w:cs="Calibri"/>
                <w:b w:val="0"/>
                <w:bCs w:val="0"/>
                <w:color w:val="FF0000"/>
                <w:sz w:val="21"/>
                <w:szCs w:val="21"/>
                <w:lang w:eastAsia="zh-CN"/>
              </w:rPr>
              <w:t>间歇</w:t>
            </w:r>
          </w:p>
        </w:tc>
      </w:tr>
    </w:tbl>
    <w:p>
      <w:pPr>
        <w:pStyle w:val="52"/>
        <w:tabs>
          <w:tab w:val="left" w:pos="284"/>
        </w:tabs>
        <w:snapToGrid w:val="0"/>
        <w:spacing w:after="0" w:afterLines="0" w:line="540" w:lineRule="exact"/>
        <w:contextualSpacing/>
        <w:rPr>
          <w:rFonts w:cs="Times New Roman"/>
          <w:bCs w:val="0"/>
          <w:snapToGrid w:val="0"/>
          <w:kern w:val="0"/>
          <w:sz w:val="28"/>
          <w:szCs w:val="28"/>
        </w:rPr>
      </w:pPr>
      <w:bookmarkStart w:id="451" w:name="_Toc5972"/>
      <w:r>
        <w:rPr>
          <w:rFonts w:cs="Times New Roman"/>
          <w:bCs w:val="0"/>
          <w:snapToGrid w:val="0"/>
          <w:kern w:val="0"/>
          <w:sz w:val="28"/>
          <w:szCs w:val="28"/>
        </w:rPr>
        <w:t>2.</w:t>
      </w:r>
      <w:r>
        <w:rPr>
          <w:rFonts w:hint="eastAsia" w:cs="Times New Roman"/>
          <w:bCs w:val="0"/>
          <w:snapToGrid w:val="0"/>
          <w:kern w:val="0"/>
          <w:sz w:val="28"/>
          <w:szCs w:val="28"/>
        </w:rPr>
        <w:t>4</w:t>
      </w:r>
      <w:r>
        <w:rPr>
          <w:rFonts w:cs="Times New Roman"/>
          <w:bCs w:val="0"/>
          <w:snapToGrid w:val="0"/>
          <w:kern w:val="0"/>
          <w:sz w:val="28"/>
          <w:szCs w:val="28"/>
        </w:rPr>
        <w:t>.4固体废物</w:t>
      </w:r>
      <w:bookmarkEnd w:id="451"/>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本项目运营后，产生的主要固体废物有牛粪便、病死牛尸体</w:t>
      </w:r>
      <w:r>
        <w:rPr>
          <w:rFonts w:hint="eastAsia" w:ascii="Times New Roman" w:hAnsi="Times New Roman"/>
          <w:sz w:val="24"/>
          <w:lang w:eastAsia="zh-CN"/>
        </w:rPr>
        <w:t>及胎盘</w:t>
      </w:r>
      <w:r>
        <w:rPr>
          <w:rFonts w:ascii="Times New Roman" w:hAnsi="Times New Roman"/>
          <w:sz w:val="24"/>
        </w:rPr>
        <w:t xml:space="preserve">、少量医疗废物、 </w:t>
      </w:r>
      <w:r>
        <w:rPr>
          <w:rFonts w:hint="eastAsia" w:ascii="Times New Roman" w:hAnsi="Times New Roman"/>
          <w:sz w:val="24"/>
          <w:lang w:eastAsia="zh-CN"/>
        </w:rPr>
        <w:t>设备自带除尘设施</w:t>
      </w:r>
      <w:r>
        <w:rPr>
          <w:rFonts w:ascii="Times New Roman" w:hAnsi="Times New Roman"/>
          <w:sz w:val="24"/>
        </w:rPr>
        <w:t>收尘、生活垃圾及原辅材料使用过程废包装袋等。</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rPr>
        <w:t>牛粪</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本项目采取干法清粪工艺，采取人工机械+人工干法清粪方式将粪便及时清出，做到日产日清。处理后的牛粪存放于</w:t>
      </w:r>
      <w:r>
        <w:rPr>
          <w:rFonts w:hint="eastAsia" w:ascii="Times New Roman" w:hAnsi="Times New Roman"/>
          <w:sz w:val="24"/>
        </w:rPr>
        <w:t>积粪</w:t>
      </w:r>
      <w:r>
        <w:rPr>
          <w:rFonts w:hint="eastAsia" w:ascii="Times New Roman" w:hAnsi="Times New Roman"/>
          <w:sz w:val="24"/>
          <w:lang w:eastAsia="zh-CN"/>
        </w:rPr>
        <w:t>场</w:t>
      </w:r>
      <w:r>
        <w:rPr>
          <w:rFonts w:ascii="Times New Roman" w:hAnsi="Times New Roman"/>
          <w:sz w:val="24"/>
        </w:rPr>
        <w:t>，</w:t>
      </w:r>
      <w:r>
        <w:rPr>
          <w:rFonts w:hint="eastAsia" w:ascii="Times New Roman" w:hAnsi="Times New Roman"/>
          <w:sz w:val="24"/>
          <w:lang w:eastAsia="zh-CN"/>
        </w:rPr>
        <w:t>定期由隆德县牧草专业合作社运走</w:t>
      </w:r>
      <w:r>
        <w:rPr>
          <w:rFonts w:ascii="Times New Roman" w:hAnsi="Times New Roman"/>
          <w:sz w:val="24"/>
        </w:rPr>
        <w:t>。肉牛粪便产生量为</w:t>
      </w:r>
      <w:r>
        <w:rPr>
          <w:rFonts w:hint="eastAsia" w:ascii="Times New Roman" w:hAnsi="Times New Roman"/>
          <w:sz w:val="24"/>
        </w:rPr>
        <w:t>10.88</w:t>
      </w:r>
      <w:r>
        <w:rPr>
          <w:rFonts w:ascii="Times New Roman" w:hAnsi="Times New Roman"/>
          <w:sz w:val="24"/>
        </w:rPr>
        <w:t>kg/d.头，本项目肉牛存栏量为</w:t>
      </w:r>
      <w:r>
        <w:rPr>
          <w:rFonts w:hint="eastAsia" w:ascii="Times New Roman" w:hAnsi="Times New Roman"/>
          <w:sz w:val="24"/>
        </w:rPr>
        <w:t>1000</w:t>
      </w:r>
      <w:r>
        <w:rPr>
          <w:rFonts w:ascii="Times New Roman" w:hAnsi="Times New Roman"/>
          <w:sz w:val="24"/>
        </w:rPr>
        <w:t>头</w:t>
      </w:r>
      <w:r>
        <w:rPr>
          <w:rFonts w:hint="eastAsia" w:ascii="Times New Roman" w:hAnsi="Times New Roman"/>
          <w:sz w:val="24"/>
        </w:rPr>
        <w:t>，</w:t>
      </w:r>
      <w:r>
        <w:rPr>
          <w:rFonts w:ascii="Times New Roman" w:hAnsi="Times New Roman"/>
          <w:sz w:val="24"/>
        </w:rPr>
        <w:t>则牛粪产生量为</w:t>
      </w:r>
      <w:r>
        <w:rPr>
          <w:rFonts w:hint="eastAsia" w:ascii="Times New Roman" w:hAnsi="Times New Roman"/>
          <w:sz w:val="24"/>
        </w:rPr>
        <w:t>10.88</w:t>
      </w:r>
      <w:r>
        <w:rPr>
          <w:rFonts w:ascii="Times New Roman" w:hAnsi="Times New Roman"/>
          <w:sz w:val="24"/>
        </w:rPr>
        <w:t>t/d（</w:t>
      </w:r>
      <w:r>
        <w:rPr>
          <w:rFonts w:hint="eastAsia" w:ascii="Times New Roman" w:hAnsi="Times New Roman"/>
          <w:sz w:val="24"/>
        </w:rPr>
        <w:t>3971.2</w:t>
      </w:r>
      <w:r>
        <w:rPr>
          <w:rFonts w:ascii="Times New Roman" w:hAnsi="Times New Roman"/>
          <w:sz w:val="24"/>
        </w:rPr>
        <w:t>t/a）。</w:t>
      </w:r>
    </w:p>
    <w:p>
      <w:pPr>
        <w:pStyle w:val="2"/>
        <w:adjustRightInd w:val="0"/>
        <w:spacing w:line="540" w:lineRule="exact"/>
        <w:ind w:firstLine="480" w:firstLineChars="200"/>
        <w:jc w:val="both"/>
        <w:rPr>
          <w:rFonts w:ascii="Times New Roman" w:hAnsi="Times New Roman"/>
          <w:sz w:val="24"/>
        </w:rPr>
      </w:pPr>
      <w:r>
        <w:rPr>
          <w:rFonts w:hint="eastAsia" w:ascii="Times New Roman" w:hAnsi="Times New Roman"/>
          <w:sz w:val="24"/>
        </w:rPr>
        <w:t>积粪</w:t>
      </w:r>
      <w:r>
        <w:rPr>
          <w:rFonts w:hint="eastAsia" w:ascii="Times New Roman" w:hAnsi="Times New Roman"/>
          <w:sz w:val="24"/>
          <w:lang w:eastAsia="zh-CN"/>
        </w:rPr>
        <w:t>场</w:t>
      </w:r>
      <w:r>
        <w:rPr>
          <w:rFonts w:ascii="Times New Roman" w:hAnsi="Times New Roman"/>
          <w:sz w:val="24"/>
        </w:rPr>
        <w:t>（采取防雨、防漏、防渗措施），项目</w:t>
      </w:r>
      <w:r>
        <w:rPr>
          <w:rFonts w:hint="eastAsia" w:ascii="Times New Roman" w:hAnsi="Times New Roman"/>
          <w:sz w:val="24"/>
          <w:lang w:eastAsia="zh-CN"/>
        </w:rPr>
        <w:t>牛棚</w:t>
      </w:r>
      <w:r>
        <w:rPr>
          <w:rFonts w:ascii="Times New Roman" w:hAnsi="Times New Roman"/>
          <w:sz w:val="24"/>
        </w:rPr>
        <w:t>每天产生的粪便及时清出，清理的牛粪存放于</w:t>
      </w:r>
      <w:r>
        <w:rPr>
          <w:rFonts w:hint="eastAsia" w:ascii="Times New Roman" w:hAnsi="Times New Roman"/>
          <w:sz w:val="24"/>
        </w:rPr>
        <w:t>积粪场</w:t>
      </w:r>
      <w:r>
        <w:rPr>
          <w:rFonts w:ascii="Times New Roman" w:hAnsi="Times New Roman"/>
          <w:sz w:val="24"/>
        </w:rPr>
        <w:t>，</w:t>
      </w:r>
      <w:r>
        <w:rPr>
          <w:rFonts w:hint="eastAsia" w:ascii="Times New Roman" w:hAnsi="Times New Roman"/>
          <w:sz w:val="24"/>
          <w:lang w:eastAsia="zh-CN"/>
        </w:rPr>
        <w:t>由隆德县腾发牧草专业合作社定期运走处置</w:t>
      </w:r>
      <w:r>
        <w:rPr>
          <w:rFonts w:ascii="Times New Roman" w:hAnsi="Times New Roman"/>
          <w:sz w:val="24"/>
        </w:rPr>
        <w:t>。</w:t>
      </w:r>
    </w:p>
    <w:p>
      <w:pPr>
        <w:pStyle w:val="2"/>
        <w:adjustRightInd w:val="0"/>
        <w:spacing w:line="540" w:lineRule="exact"/>
        <w:ind w:firstLine="480" w:firstLineChars="200"/>
        <w:jc w:val="both"/>
        <w:rPr>
          <w:rFonts w:hint="eastAsia" w:ascii="Times New Roman" w:hAnsi="Times New Roman" w:eastAsia="宋体"/>
          <w:sz w:val="24"/>
          <w:lang w:eastAsia="zh-CN"/>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rPr>
        <w:t>病死牛尸体</w:t>
      </w:r>
      <w:r>
        <w:rPr>
          <w:rFonts w:hint="eastAsia" w:ascii="Times New Roman" w:hAnsi="Times New Roman"/>
          <w:sz w:val="24"/>
          <w:lang w:eastAsia="zh-CN"/>
        </w:rPr>
        <w:t>及胎盘</w:t>
      </w:r>
    </w:p>
    <w:p>
      <w:pPr>
        <w:pStyle w:val="2"/>
        <w:adjustRightInd w:val="0"/>
        <w:spacing w:line="540" w:lineRule="exact"/>
        <w:ind w:firstLine="480" w:firstLineChars="200"/>
        <w:jc w:val="both"/>
        <w:rPr>
          <w:rFonts w:hint="eastAsia" w:ascii="Times New Roman" w:hAnsi="Times New Roman"/>
          <w:sz w:val="24"/>
        </w:rPr>
      </w:pPr>
      <w:r>
        <w:rPr>
          <w:rFonts w:hint="eastAsia" w:ascii="Times New Roman" w:hAnsi="Times New Roman"/>
          <w:sz w:val="24"/>
        </w:rPr>
        <w:t>目前病死尸体的数量是无法计算的，这和养殖场本身的生产管理水平，疫情灾害发生情况以及防疫水平都有直接关联</w:t>
      </w:r>
      <w:r>
        <w:rPr>
          <w:rFonts w:hint="eastAsia" w:ascii="Times New Roman" w:hAnsi="Times New Roman"/>
          <w:sz w:val="24"/>
          <w:lang w:eastAsia="zh-CN"/>
        </w:rPr>
        <w:t>，</w:t>
      </w:r>
      <w:r>
        <w:rPr>
          <w:rFonts w:hint="eastAsia" w:ascii="Times New Roman" w:hAnsi="Times New Roman"/>
          <w:sz w:val="24"/>
        </w:rPr>
        <w:t>本项目</w:t>
      </w:r>
      <w:r>
        <w:rPr>
          <w:rFonts w:hint="eastAsia" w:ascii="Times New Roman" w:hAnsi="Times New Roman"/>
          <w:sz w:val="24"/>
          <w:lang w:eastAsia="zh-CN"/>
        </w:rPr>
        <w:t>不对病死牛尸体产生量进行估算。</w:t>
      </w:r>
      <w:r>
        <w:rPr>
          <w:rFonts w:hint="eastAsia" w:ascii="Times New Roman" w:hAnsi="Times New Roman"/>
          <w:sz w:val="24"/>
        </w:rPr>
        <w:t>根据本地区同行业现已运行的</w:t>
      </w:r>
      <w:r>
        <w:rPr>
          <w:rFonts w:hint="eastAsia" w:ascii="Times New Roman" w:hAnsi="Times New Roman"/>
          <w:sz w:val="24"/>
          <w:lang w:eastAsia="zh-CN"/>
        </w:rPr>
        <w:t>基础母牛</w:t>
      </w:r>
      <w:r>
        <w:rPr>
          <w:rFonts w:hint="eastAsia" w:ascii="Times New Roman" w:hAnsi="Times New Roman"/>
          <w:sz w:val="24"/>
        </w:rPr>
        <w:t>养殖场</w:t>
      </w:r>
      <w:r>
        <w:rPr>
          <w:rFonts w:hint="eastAsia" w:ascii="Times New Roman" w:hAnsi="Times New Roman"/>
          <w:sz w:val="24"/>
          <w:lang w:eastAsia="zh-CN"/>
        </w:rPr>
        <w:t>估算胎盘</w:t>
      </w:r>
      <w:r>
        <w:rPr>
          <w:rFonts w:hint="eastAsia" w:ascii="Times New Roman" w:hAnsi="Times New Roman"/>
          <w:sz w:val="24"/>
        </w:rPr>
        <w:t>产生</w:t>
      </w:r>
      <w:r>
        <w:rPr>
          <w:rFonts w:hint="eastAsia" w:ascii="Times New Roman" w:hAnsi="Times New Roman"/>
          <w:sz w:val="24"/>
          <w:lang w:eastAsia="zh-CN"/>
        </w:rPr>
        <w:t>量为</w:t>
      </w:r>
      <w:r>
        <w:rPr>
          <w:rFonts w:hint="eastAsia" w:ascii="Times New Roman" w:hAnsi="Times New Roman"/>
          <w:sz w:val="24"/>
        </w:rPr>
        <w:t>2t/a。</w:t>
      </w:r>
    </w:p>
    <w:p>
      <w:pPr>
        <w:pStyle w:val="2"/>
        <w:adjustRightInd w:val="0"/>
        <w:spacing w:line="540" w:lineRule="exact"/>
        <w:ind w:firstLine="480" w:firstLineChars="200"/>
        <w:jc w:val="both"/>
        <w:rPr>
          <w:rFonts w:hint="eastAsia" w:ascii="Times New Roman" w:hAnsi="Times New Roman"/>
          <w:sz w:val="24"/>
        </w:rPr>
      </w:pPr>
      <w:r>
        <w:rPr>
          <w:rFonts w:hint="eastAsia" w:ascii="Times New Roman" w:hAnsi="Times New Roman"/>
          <w:sz w:val="24"/>
        </w:rPr>
        <w:t>根据《关于病害动物无害化处理有关意见的复函》(环办函[2014]789号)：①《动物防疫法》明确要求病害动物应当按照国务院兽医主管部门的规定进行无害化处理，不得随意处置；不按规定处置的，由动物卫生监督机构责令无害化处理，所需处理费用由违法行为人承担。农业部印发的《关于进一步加强病死动物无害化处理监管工作的通知》(农医发(2012] 12号)也明确提出，动物卫生监督机构承担病死动物及动物产品无害化处理的监管责任；《病死动物无害化处理技术规范》(农医发(2013]34号)明确了病害动物无害化处理的技术要求。②根据法律未阶高于部门规章的法律适用原则，病害动物的无害化处理应执行《动物防疫法》。③原环境保护部认为病害动物无害化处理项目由农业部门按照有关法律法规和技术规范进行监管，可以实现病害动物无害化处理和环境污染防控的目的，不宜再认定为危险废物集中处置项目。因此，病死牛尸体及胎盘不属于危险废物，应按《病死动物无害化处理技术规范》(农医发(2013]34号)中相关规定处理。</w:t>
      </w:r>
    </w:p>
    <w:p>
      <w:pPr>
        <w:pStyle w:val="2"/>
        <w:adjustRightInd w:val="0"/>
        <w:spacing w:line="540" w:lineRule="exact"/>
        <w:ind w:firstLine="480" w:firstLineChars="200"/>
        <w:jc w:val="both"/>
        <w:rPr>
          <w:rFonts w:hint="eastAsia" w:ascii="Times New Roman" w:hAnsi="Times New Roman"/>
          <w:sz w:val="24"/>
        </w:rPr>
      </w:pPr>
      <w:r>
        <w:rPr>
          <w:rFonts w:hint="eastAsia" w:ascii="Times New Roman" w:hAnsi="Times New Roman"/>
          <w:sz w:val="24"/>
        </w:rPr>
        <w:t>根据《病死畜禽和病害畜禽产品无害化处理管理办法》(农业农村部令2022年第3号，2022年7月1日执行)“第五条  从事畜禽饲养、屠宰、经营、隔离等活动的单位和个人，应当承担主体责任，按照本办法对病死畜禽和病害畜禽产品进行无害化处理，或者委托病死畜禽无害化处理场处理。”</w:t>
      </w:r>
    </w:p>
    <w:p>
      <w:pPr>
        <w:pStyle w:val="2"/>
        <w:adjustRightInd w:val="0"/>
        <w:spacing w:line="540" w:lineRule="exact"/>
        <w:ind w:firstLine="480" w:firstLineChars="200"/>
        <w:jc w:val="both"/>
        <w:rPr>
          <w:rFonts w:hint="eastAsia" w:ascii="Times New Roman" w:hAnsi="Times New Roman"/>
          <w:sz w:val="24"/>
        </w:rPr>
      </w:pPr>
      <w:r>
        <w:rPr>
          <w:rFonts w:hint="eastAsia" w:ascii="Times New Roman" w:hAnsi="Times New Roman"/>
          <w:sz w:val="24"/>
        </w:rPr>
        <w:t>根据《畜禽养殖业污染防治技术规范》(HJ/T81-2001)“9.1 病死畜禽尸体要及时处理，严禁随意丢弃，严禁出售或作为饲料再利用。”</w:t>
      </w:r>
    </w:p>
    <w:p>
      <w:pPr>
        <w:pStyle w:val="2"/>
        <w:adjustRightInd w:val="0"/>
        <w:spacing w:line="540" w:lineRule="exact"/>
        <w:ind w:firstLine="480" w:firstLineChars="200"/>
        <w:jc w:val="both"/>
        <w:rPr>
          <w:rFonts w:ascii="Times New Roman" w:hAnsi="Times New Roman"/>
          <w:sz w:val="24"/>
        </w:rPr>
      </w:pPr>
      <w:r>
        <w:rPr>
          <w:rFonts w:hint="eastAsia" w:ascii="Times New Roman" w:hAnsi="Times New Roman"/>
          <w:sz w:val="24"/>
        </w:rPr>
        <w:t>结合上述文件要求，项目病死牛尸体及胎盘一经产</w:t>
      </w:r>
      <w:r>
        <w:rPr>
          <w:rFonts w:hint="eastAsia" w:ascii="Times New Roman" w:hAnsi="Times New Roman"/>
          <w:sz w:val="24"/>
          <w:highlight w:val="none"/>
        </w:rPr>
        <w:t>生贮存在</w:t>
      </w:r>
      <w:r>
        <w:rPr>
          <w:rFonts w:hint="eastAsia" w:ascii="Times New Roman" w:hAnsi="Times New Roman"/>
          <w:sz w:val="24"/>
          <w:highlight w:val="none"/>
          <w:lang w:eastAsia="zh-CN"/>
        </w:rPr>
        <w:t>专门的病死牛暂存间</w:t>
      </w:r>
      <w:r>
        <w:rPr>
          <w:rFonts w:hint="eastAsia" w:ascii="Times New Roman" w:hAnsi="Times New Roman"/>
          <w:sz w:val="24"/>
          <w:highlight w:val="none"/>
        </w:rPr>
        <w:t>，</w:t>
      </w:r>
      <w:r>
        <w:rPr>
          <w:rFonts w:hint="eastAsia" w:ascii="Times New Roman" w:hAnsi="Times New Roman"/>
          <w:sz w:val="24"/>
        </w:rPr>
        <w:t>由隆德县</w:t>
      </w:r>
      <w:r>
        <w:rPr>
          <w:rFonts w:hint="eastAsia" w:ascii="Times New Roman" w:hAnsi="Times New Roman"/>
          <w:sz w:val="24"/>
          <w:lang w:eastAsia="zh-CN"/>
        </w:rPr>
        <w:t>神林</w:t>
      </w:r>
      <w:r>
        <w:rPr>
          <w:rFonts w:hint="eastAsia" w:ascii="Times New Roman" w:hAnsi="Times New Roman"/>
          <w:sz w:val="24"/>
        </w:rPr>
        <w:t>牧畜牧兽医</w:t>
      </w:r>
      <w:r>
        <w:rPr>
          <w:rFonts w:hint="eastAsia" w:ascii="Times New Roman" w:hAnsi="Times New Roman"/>
          <w:sz w:val="24"/>
          <w:lang w:eastAsia="zh-CN"/>
        </w:rPr>
        <w:t>站</w:t>
      </w:r>
      <w:r>
        <w:rPr>
          <w:rFonts w:hint="eastAsia" w:ascii="Times New Roman" w:hAnsi="Times New Roman"/>
          <w:sz w:val="24"/>
        </w:rPr>
        <w:t>拉运并进行无害化处理。</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rPr>
        <w:fldChar w:fldCharType="begin"/>
      </w:r>
      <w:r>
        <w:rPr>
          <w:rFonts w:ascii="Times New Roman" w:hAnsi="Times New Roman"/>
          <w:sz w:val="24"/>
        </w:rPr>
        <w:instrText xml:space="preserve"> = 3 \* GB2 \* MERGEFORMAT </w:instrText>
      </w:r>
      <w:r>
        <w:rPr>
          <w:rFonts w:ascii="Times New Roman" w:hAnsi="Times New Roman"/>
          <w:sz w:val="24"/>
        </w:rPr>
        <w:fldChar w:fldCharType="separate"/>
      </w:r>
      <w:r>
        <w:rPr>
          <w:rFonts w:ascii="Times New Roman" w:hAnsi="Times New Roman"/>
          <w:sz w:val="24"/>
        </w:rPr>
        <w:t>⑶</w:t>
      </w:r>
      <w:r>
        <w:rPr>
          <w:rFonts w:ascii="Times New Roman" w:hAnsi="Times New Roman"/>
          <w:sz w:val="24"/>
        </w:rPr>
        <w:fldChar w:fldCharType="end"/>
      </w:r>
      <w:r>
        <w:rPr>
          <w:rFonts w:ascii="Times New Roman" w:hAnsi="Times New Roman"/>
          <w:sz w:val="24"/>
          <w:szCs w:val="22"/>
        </w:rPr>
        <w:t>医疗废物</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项目</w:t>
      </w:r>
      <w:r>
        <w:rPr>
          <w:rFonts w:hint="eastAsia" w:ascii="Times New Roman" w:hAnsi="Times New Roman"/>
          <w:sz w:val="24"/>
          <w:szCs w:val="22"/>
        </w:rPr>
        <w:t>产生</w:t>
      </w:r>
      <w:r>
        <w:rPr>
          <w:rFonts w:ascii="Times New Roman" w:hAnsi="Times New Roman"/>
          <w:sz w:val="24"/>
          <w:szCs w:val="22"/>
        </w:rPr>
        <w:t>医疗废物项目产生的医疗废物主要为废一次性注射器以及废弃的药品等，根据建设单位提供的资料及类比同类养殖场就诊规模，项目建成后，在防治牛传染病医治过程中产生的医疗废物约为</w:t>
      </w:r>
      <w:r>
        <w:rPr>
          <w:rFonts w:hint="eastAsia" w:ascii="Times New Roman" w:hAnsi="Times New Roman"/>
          <w:sz w:val="24"/>
          <w:szCs w:val="22"/>
        </w:rPr>
        <w:t>0.47</w:t>
      </w:r>
      <w:r>
        <w:rPr>
          <w:rFonts w:ascii="Times New Roman" w:hAnsi="Times New Roman"/>
          <w:sz w:val="24"/>
          <w:szCs w:val="22"/>
        </w:rPr>
        <w:t>t/a。根据《国家危险废物名录（2021年版）》一次性注射器以及废弃药品等属危险废物，废物类别为HW01，废物代码为841-001-01感染性废物。医疗</w:t>
      </w:r>
      <w:r>
        <w:rPr>
          <w:rFonts w:hint="eastAsia" w:ascii="Times New Roman" w:hAnsi="Times New Roman"/>
          <w:sz w:val="24"/>
          <w:szCs w:val="22"/>
        </w:rPr>
        <w:t>废</w:t>
      </w:r>
      <w:r>
        <w:rPr>
          <w:rFonts w:ascii="Times New Roman" w:hAnsi="Times New Roman"/>
          <w:sz w:val="24"/>
          <w:szCs w:val="22"/>
        </w:rPr>
        <w:t>物集中收集后交有资质单位处理</w:t>
      </w:r>
      <w:r>
        <w:rPr>
          <w:rFonts w:hint="eastAsia" w:ascii="Times New Roman" w:hAnsi="Times New Roman"/>
          <w:sz w:val="24"/>
          <w:szCs w:val="22"/>
        </w:rPr>
        <w:t>。</w:t>
      </w:r>
    </w:p>
    <w:p>
      <w:pPr>
        <w:pStyle w:val="2"/>
        <w:adjustRightInd w:val="0"/>
        <w:spacing w:line="540" w:lineRule="exact"/>
        <w:ind w:firstLine="480" w:firstLineChars="200"/>
        <w:jc w:val="both"/>
        <w:rPr>
          <w:rFonts w:ascii="Times New Roman" w:hAnsi="Times New Roman"/>
          <w:sz w:val="24"/>
          <w:szCs w:val="22"/>
        </w:rPr>
      </w:pPr>
      <w:bookmarkStart w:id="452" w:name="_Toc13344_WPSOffice_Level3"/>
      <w:bookmarkStart w:id="453" w:name="_Toc10431_WPSOffice_Level3"/>
      <w:r>
        <w:rPr>
          <w:rFonts w:ascii="Times New Roman" w:hAnsi="Times New Roman"/>
          <w:sz w:val="24"/>
        </w:rPr>
        <w:fldChar w:fldCharType="begin"/>
      </w:r>
      <w:r>
        <w:rPr>
          <w:rFonts w:ascii="Times New Roman" w:hAnsi="Times New Roman"/>
          <w:sz w:val="24"/>
        </w:rPr>
        <w:instrText xml:space="preserve"> = 4 \* GB2 \* MERGEFORMAT </w:instrText>
      </w:r>
      <w:r>
        <w:rPr>
          <w:rFonts w:ascii="Times New Roman" w:hAnsi="Times New Roman"/>
          <w:sz w:val="24"/>
        </w:rPr>
        <w:fldChar w:fldCharType="separate"/>
      </w:r>
      <w:r>
        <w:rPr>
          <w:rFonts w:ascii="Times New Roman" w:hAnsi="Times New Roman"/>
          <w:sz w:val="24"/>
        </w:rPr>
        <w:t>⑷</w:t>
      </w:r>
      <w:r>
        <w:rPr>
          <w:rFonts w:ascii="Times New Roman" w:hAnsi="Times New Roman"/>
          <w:sz w:val="24"/>
        </w:rPr>
        <w:fldChar w:fldCharType="end"/>
      </w:r>
      <w:r>
        <w:rPr>
          <w:rFonts w:hint="eastAsia" w:ascii="Times New Roman" w:hAnsi="Times New Roman"/>
          <w:sz w:val="24"/>
        </w:rPr>
        <w:t>除尘灰</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本项目玉米秸秆、苜蓿、</w:t>
      </w:r>
      <w:r>
        <w:rPr>
          <w:rFonts w:hint="eastAsia" w:ascii="Times New Roman" w:hAnsi="Times New Roman"/>
          <w:sz w:val="24"/>
          <w:szCs w:val="22"/>
          <w:lang w:eastAsia="zh-CN"/>
        </w:rPr>
        <w:t>麦草</w:t>
      </w:r>
      <w:r>
        <w:rPr>
          <w:rFonts w:ascii="Times New Roman" w:hAnsi="Times New Roman"/>
          <w:sz w:val="24"/>
          <w:szCs w:val="22"/>
        </w:rPr>
        <w:t>等饲草料在加工过程会产生一定量的粉尘，</w:t>
      </w:r>
      <w:r>
        <w:rPr>
          <w:rFonts w:hint="eastAsia" w:ascii="Times New Roman" w:hAnsi="Times New Roman"/>
          <w:sz w:val="24"/>
          <w:szCs w:val="22"/>
          <w:lang w:eastAsia="zh-CN"/>
        </w:rPr>
        <w:t>有设备自带除尘设施处理</w:t>
      </w:r>
      <w:r>
        <w:rPr>
          <w:rFonts w:ascii="Times New Roman" w:hAnsi="Times New Roman"/>
          <w:sz w:val="24"/>
          <w:szCs w:val="22"/>
        </w:rPr>
        <w:t>。经核算粉尘产生量为</w:t>
      </w:r>
      <w:r>
        <w:rPr>
          <w:rFonts w:hint="eastAsia" w:ascii="Times New Roman" w:hAnsi="Times New Roman"/>
          <w:sz w:val="24"/>
          <w:szCs w:val="22"/>
        </w:rPr>
        <w:t>0.07</w:t>
      </w:r>
      <w:r>
        <w:rPr>
          <w:rFonts w:hint="eastAsia" w:ascii="Times New Roman" w:hAnsi="Times New Roman"/>
          <w:sz w:val="24"/>
          <w:szCs w:val="22"/>
          <w:lang w:val="en-US" w:eastAsia="zh-CN"/>
        </w:rPr>
        <w:t>5</w:t>
      </w:r>
      <w:r>
        <w:rPr>
          <w:rFonts w:ascii="Times New Roman" w:hAnsi="Times New Roman"/>
          <w:sz w:val="24"/>
          <w:szCs w:val="22"/>
        </w:rPr>
        <w:t>t/a，</w:t>
      </w:r>
      <w:r>
        <w:rPr>
          <w:rFonts w:hint="eastAsia" w:ascii="Times New Roman" w:hAnsi="Times New Roman"/>
          <w:sz w:val="24"/>
          <w:szCs w:val="22"/>
          <w:lang w:eastAsia="zh-CN"/>
        </w:rPr>
        <w:t>设备自带</w:t>
      </w:r>
      <w:r>
        <w:rPr>
          <w:rFonts w:ascii="Times New Roman" w:hAnsi="Times New Roman"/>
          <w:sz w:val="24"/>
          <w:szCs w:val="22"/>
        </w:rPr>
        <w:t>除尘效率取98%，则除尘器收尘</w:t>
      </w:r>
      <w:r>
        <w:rPr>
          <w:rFonts w:hint="eastAsia" w:ascii="Times New Roman" w:hAnsi="Times New Roman"/>
          <w:sz w:val="24"/>
          <w:szCs w:val="22"/>
        </w:rPr>
        <w:t>0.0</w:t>
      </w:r>
      <w:r>
        <w:rPr>
          <w:rFonts w:hint="eastAsia" w:ascii="Times New Roman" w:hAnsi="Times New Roman"/>
          <w:sz w:val="24"/>
          <w:szCs w:val="22"/>
          <w:lang w:val="en-US" w:eastAsia="zh-CN"/>
        </w:rPr>
        <w:t>749</w:t>
      </w:r>
      <w:r>
        <w:rPr>
          <w:rFonts w:ascii="Times New Roman" w:hAnsi="Times New Roman"/>
          <w:sz w:val="24"/>
          <w:szCs w:val="22"/>
        </w:rPr>
        <w:t>t/a，其主要成分为粗饲料粉尘，由企业收集后作为饲料回用</w:t>
      </w:r>
      <w:r>
        <w:rPr>
          <w:rFonts w:hint="eastAsia" w:ascii="Times New Roman" w:hAnsi="Times New Roman"/>
          <w:sz w:val="24"/>
          <w:szCs w:val="22"/>
          <w:lang w:eastAsia="zh-CN"/>
        </w:rPr>
        <w:t>，不外排</w:t>
      </w:r>
      <w:r>
        <w:rPr>
          <w:rFonts w:ascii="Times New Roman" w:hAnsi="Times New Roman"/>
          <w:sz w:val="24"/>
          <w:szCs w:val="22"/>
        </w:rPr>
        <w:t>。</w:t>
      </w:r>
    </w:p>
    <w:bookmarkEnd w:id="452"/>
    <w:bookmarkEnd w:id="453"/>
    <w:p>
      <w:pPr>
        <w:pStyle w:val="2"/>
        <w:adjustRightInd w:val="0"/>
        <w:spacing w:line="540" w:lineRule="exact"/>
        <w:ind w:firstLine="480" w:firstLineChars="200"/>
        <w:jc w:val="both"/>
        <w:rPr>
          <w:rFonts w:ascii="Times New Roman" w:hAnsi="Times New Roman"/>
          <w:sz w:val="24"/>
        </w:rPr>
      </w:pPr>
      <w:r>
        <w:rPr>
          <w:rFonts w:ascii="Times New Roman" w:hAnsi="Times New Roman"/>
          <w:sz w:val="24"/>
          <w:szCs w:val="22"/>
        </w:rPr>
        <w:fldChar w:fldCharType="begin"/>
      </w:r>
      <w:r>
        <w:rPr>
          <w:rFonts w:ascii="Times New Roman" w:hAnsi="Times New Roman"/>
          <w:sz w:val="24"/>
          <w:szCs w:val="22"/>
        </w:rPr>
        <w:instrText xml:space="preserve"> = 5 \* GB2 \* MERGEFORMAT </w:instrText>
      </w:r>
      <w:r>
        <w:rPr>
          <w:rFonts w:ascii="Times New Roman" w:hAnsi="Times New Roman"/>
          <w:sz w:val="24"/>
          <w:szCs w:val="22"/>
        </w:rPr>
        <w:fldChar w:fldCharType="separate"/>
      </w:r>
      <w:r>
        <w:rPr>
          <w:rFonts w:ascii="Times New Roman" w:hAnsi="Times New Roman"/>
          <w:sz w:val="24"/>
          <w:szCs w:val="22"/>
        </w:rPr>
        <w:t>⑸</w:t>
      </w:r>
      <w:r>
        <w:rPr>
          <w:rFonts w:ascii="Times New Roman" w:hAnsi="Times New Roman"/>
          <w:sz w:val="24"/>
          <w:szCs w:val="22"/>
        </w:rPr>
        <w:fldChar w:fldCharType="end"/>
      </w:r>
      <w:r>
        <w:rPr>
          <w:rFonts w:ascii="Times New Roman" w:hAnsi="Times New Roman"/>
          <w:sz w:val="24"/>
        </w:rPr>
        <w:t>生活垃圾</w:t>
      </w:r>
    </w:p>
    <w:p>
      <w:pPr>
        <w:pStyle w:val="11"/>
        <w:spacing w:line="540" w:lineRule="exact"/>
        <w:ind w:right="108" w:firstLine="480"/>
        <w:jc w:val="left"/>
        <w:rPr>
          <w:rFonts w:ascii="Times New Roman" w:hAnsi="Times New Roman"/>
          <w:snapToGrid w:val="0"/>
          <w:kern w:val="0"/>
          <w:sz w:val="28"/>
          <w:szCs w:val="28"/>
        </w:rPr>
      </w:pPr>
      <w:r>
        <w:rPr>
          <w:rFonts w:ascii="Times New Roman" w:hAnsi="Times New Roman"/>
          <w:sz w:val="24"/>
          <w:szCs w:val="22"/>
        </w:rPr>
        <w:t>本项目劳动定员</w:t>
      </w:r>
      <w:r>
        <w:rPr>
          <w:rFonts w:hint="eastAsia" w:ascii="Times New Roman" w:hAnsi="Times New Roman"/>
          <w:sz w:val="24"/>
          <w:szCs w:val="22"/>
        </w:rPr>
        <w:t>7</w:t>
      </w:r>
      <w:r>
        <w:rPr>
          <w:rFonts w:ascii="Times New Roman" w:hAnsi="Times New Roman"/>
          <w:sz w:val="24"/>
          <w:szCs w:val="22"/>
        </w:rPr>
        <w:t>人，人均生活垃圾产生量按照0.5kg/d计算，则生活垃圾的产生量为</w:t>
      </w:r>
      <w:r>
        <w:rPr>
          <w:rFonts w:hint="eastAsia" w:ascii="Times New Roman" w:hAnsi="Times New Roman"/>
          <w:sz w:val="24"/>
          <w:szCs w:val="22"/>
        </w:rPr>
        <w:t>1.28</w:t>
      </w:r>
      <w:r>
        <w:rPr>
          <w:rFonts w:ascii="Times New Roman" w:hAnsi="Times New Roman"/>
          <w:sz w:val="24"/>
          <w:szCs w:val="22"/>
        </w:rPr>
        <w:t>t/a。场区内设生活垃圾收集设施，收集后定期交环卫部门处理。</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54" w:name="_Toc3738"/>
      <w:r>
        <w:rPr>
          <w:rFonts w:cs="Times New Roman"/>
          <w:bCs w:val="0"/>
          <w:snapToGrid w:val="0"/>
          <w:kern w:val="0"/>
          <w:sz w:val="28"/>
          <w:szCs w:val="28"/>
        </w:rPr>
        <w:t>2.</w:t>
      </w:r>
      <w:r>
        <w:rPr>
          <w:rFonts w:hint="eastAsia" w:cs="Times New Roman"/>
          <w:bCs w:val="0"/>
          <w:snapToGrid w:val="0"/>
          <w:kern w:val="0"/>
          <w:sz w:val="28"/>
          <w:szCs w:val="28"/>
        </w:rPr>
        <w:t>4.5</w:t>
      </w:r>
      <w:r>
        <w:rPr>
          <w:rFonts w:cs="Times New Roman"/>
          <w:bCs w:val="0"/>
          <w:snapToGrid w:val="0"/>
          <w:kern w:val="0"/>
          <w:sz w:val="28"/>
          <w:szCs w:val="28"/>
        </w:rPr>
        <w:t>污染物源强汇总</w:t>
      </w:r>
      <w:bookmarkEnd w:id="454"/>
    </w:p>
    <w:p>
      <w:pPr>
        <w:spacing w:line="540" w:lineRule="exact"/>
        <w:rPr>
          <w:rFonts w:ascii="Times New Roman" w:hAnsi="Times New Roman"/>
          <w:sz w:val="24"/>
        </w:rPr>
        <w:sectPr>
          <w:headerReference r:id="rId8" w:type="default"/>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r>
        <w:rPr>
          <w:rFonts w:ascii="Times New Roman" w:hAnsi="Times New Roman"/>
          <w:sz w:val="24"/>
        </w:rPr>
        <w:t>本项目运营后污染物源强汇总见表2.</w:t>
      </w:r>
      <w:r>
        <w:rPr>
          <w:rFonts w:hint="eastAsia" w:ascii="Times New Roman" w:hAnsi="Times New Roman"/>
          <w:sz w:val="24"/>
        </w:rPr>
        <w:t>4</w:t>
      </w:r>
      <w:r>
        <w:rPr>
          <w:rFonts w:ascii="Times New Roman" w:hAnsi="Times New Roman"/>
          <w:sz w:val="24"/>
        </w:rPr>
        <w:t>-</w:t>
      </w:r>
      <w:r>
        <w:rPr>
          <w:rFonts w:hint="eastAsia" w:ascii="Times New Roman" w:hAnsi="Times New Roman"/>
          <w:sz w:val="24"/>
        </w:rPr>
        <w:t>7~8</w:t>
      </w:r>
      <w:r>
        <w:rPr>
          <w:rFonts w:ascii="Times New Roman" w:hAnsi="Times New Roman"/>
          <w:sz w:val="24"/>
        </w:rPr>
        <w:t>。</w:t>
      </w:r>
    </w:p>
    <w:p>
      <w:pPr>
        <w:pStyle w:val="27"/>
        <w:spacing w:before="0" w:beforeAutospacing="0" w:after="0" w:afterAutospacing="0"/>
        <w:jc w:val="center"/>
        <w:rPr>
          <w:rFonts w:ascii="Times New Roman" w:hAnsi="Times New Roman"/>
          <w:b/>
          <w:bCs/>
        </w:rPr>
      </w:pPr>
      <w:r>
        <w:rPr>
          <w:rFonts w:ascii="Times New Roman" w:hAnsi="Times New Roman"/>
          <w:b/>
          <w:bCs/>
        </w:rPr>
        <w:t>表2.</w:t>
      </w:r>
      <w:r>
        <w:rPr>
          <w:rFonts w:hint="eastAsia" w:ascii="Times New Roman" w:hAnsi="Times New Roman"/>
          <w:b/>
          <w:bCs/>
        </w:rPr>
        <w:t>4-5</w:t>
      </w:r>
      <w:r>
        <w:rPr>
          <w:rFonts w:ascii="Times New Roman" w:hAnsi="Times New Roman"/>
          <w:b/>
          <w:bCs/>
        </w:rPr>
        <w:t xml:space="preserve">                               </w:t>
      </w:r>
      <w:r>
        <w:rPr>
          <w:rFonts w:hint="eastAsia" w:ascii="Times New Roman" w:hAnsi="Times New Roman"/>
          <w:b/>
          <w:bCs/>
        </w:rPr>
        <w:t xml:space="preserve"> </w:t>
      </w:r>
      <w:r>
        <w:rPr>
          <w:rFonts w:ascii="Times New Roman" w:hAnsi="Times New Roman"/>
          <w:b/>
          <w:bCs/>
        </w:rPr>
        <w:t xml:space="preserve"> </w:t>
      </w:r>
      <w:r>
        <w:rPr>
          <w:rFonts w:hint="eastAsia" w:ascii="Times New Roman" w:hAnsi="Times New Roman"/>
          <w:b/>
          <w:bCs/>
        </w:rPr>
        <w:t>污染</w:t>
      </w:r>
      <w:r>
        <w:rPr>
          <w:rFonts w:ascii="Times New Roman" w:hAnsi="Times New Roman"/>
          <w:b/>
          <w:bCs/>
        </w:rPr>
        <w:t>产生及排放情况一览表</w:t>
      </w:r>
    </w:p>
    <w:tbl>
      <w:tblPr>
        <w:tblStyle w:val="29"/>
        <w:tblW w:w="5143"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79"/>
        <w:gridCol w:w="1543"/>
        <w:gridCol w:w="1274"/>
        <w:gridCol w:w="1923"/>
        <w:gridCol w:w="1548"/>
        <w:gridCol w:w="1127"/>
        <w:gridCol w:w="1606"/>
        <w:gridCol w:w="1234"/>
        <w:gridCol w:w="1428"/>
        <w:gridCol w:w="1289"/>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jc w:val="center"/>
        </w:trPr>
        <w:tc>
          <w:tcPr>
            <w:tcW w:w="877" w:type="dxa"/>
            <w:vMerge w:val="restart"/>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kern w:val="0"/>
                <w:sz w:val="24"/>
              </w:rPr>
            </w:pPr>
            <w:r>
              <w:rPr>
                <w:rFonts w:hint="eastAsia" w:hAnsi="Times New Roman"/>
                <w:kern w:val="0"/>
                <w:sz w:val="24"/>
              </w:rPr>
              <w:t>要素</w:t>
            </w:r>
          </w:p>
        </w:tc>
        <w:tc>
          <w:tcPr>
            <w:tcW w:w="2811" w:type="dxa"/>
            <w:gridSpan w:val="2"/>
            <w:vMerge w:val="restart"/>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kern w:val="0"/>
                <w:sz w:val="24"/>
              </w:rPr>
            </w:pPr>
            <w:r>
              <w:rPr>
                <w:rFonts w:hint="eastAsia" w:hAnsi="Times New Roman"/>
                <w:kern w:val="0"/>
                <w:sz w:val="24"/>
              </w:rPr>
              <w:t>污染源</w:t>
            </w:r>
          </w:p>
        </w:tc>
        <w:tc>
          <w:tcPr>
            <w:tcW w:w="1919" w:type="dxa"/>
            <w:vMerge w:val="restart"/>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kern w:val="0"/>
                <w:sz w:val="24"/>
              </w:rPr>
            </w:pPr>
            <w:r>
              <w:rPr>
                <w:rFonts w:hint="eastAsia" w:hAnsi="Times New Roman"/>
                <w:kern w:val="0"/>
                <w:sz w:val="24"/>
              </w:rPr>
              <w:t>主要污染因子</w:t>
            </w:r>
          </w:p>
        </w:tc>
        <w:tc>
          <w:tcPr>
            <w:tcW w:w="2670" w:type="dxa"/>
            <w:gridSpan w:val="2"/>
            <w:vAlign w:val="center"/>
          </w:tcPr>
          <w:p>
            <w:pPr>
              <w:pStyle w:val="46"/>
              <w:keepNext w:val="0"/>
              <w:keepLines w:val="0"/>
              <w:pageBreakBefore w:val="0"/>
              <w:widowControl w:val="0"/>
              <w:kinsoku/>
              <w:wordWrap/>
              <w:topLinePunct w:val="0"/>
              <w:bidi w:val="0"/>
              <w:adjustRightInd/>
              <w:snapToGrid w:val="0"/>
              <w:spacing w:line="240" w:lineRule="auto"/>
              <w:ind w:right="1" w:firstLine="0" w:firstLineChars="0"/>
              <w:jc w:val="center"/>
              <w:textAlignment w:val="auto"/>
              <w:rPr>
                <w:rFonts w:hAnsi="Times New Roman"/>
                <w:kern w:val="0"/>
                <w:sz w:val="24"/>
              </w:rPr>
            </w:pPr>
            <w:r>
              <w:rPr>
                <w:rFonts w:hint="eastAsia" w:hAnsi="Times New Roman"/>
                <w:kern w:val="0"/>
                <w:sz w:val="24"/>
              </w:rPr>
              <w:t>处理前</w:t>
            </w:r>
          </w:p>
        </w:tc>
        <w:tc>
          <w:tcPr>
            <w:tcW w:w="2834"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kern w:val="0"/>
                <w:sz w:val="24"/>
              </w:rPr>
            </w:pPr>
            <w:r>
              <w:rPr>
                <w:rFonts w:hint="eastAsia" w:hAnsi="Times New Roman"/>
                <w:kern w:val="0"/>
                <w:sz w:val="24"/>
              </w:rPr>
              <w:t>处理后</w:t>
            </w:r>
          </w:p>
        </w:tc>
        <w:tc>
          <w:tcPr>
            <w:tcW w:w="1425" w:type="dxa"/>
            <w:vMerge w:val="restart"/>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kern w:val="0"/>
                <w:sz w:val="24"/>
              </w:rPr>
            </w:pPr>
            <w:r>
              <w:rPr>
                <w:rFonts w:hint="eastAsia" w:ascii="Times New Roman" w:hAnsi="Times New Roman"/>
                <w:kern w:val="0"/>
                <w:sz w:val="24"/>
              </w:rPr>
              <w:t>标准值</w:t>
            </w:r>
          </w:p>
        </w:tc>
        <w:tc>
          <w:tcPr>
            <w:tcW w:w="1286" w:type="dxa"/>
            <w:vMerge w:val="restart"/>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kern w:val="0"/>
                <w:sz w:val="24"/>
              </w:rPr>
            </w:pPr>
            <w:r>
              <w:rPr>
                <w:rFonts w:hint="eastAsia" w:ascii="Times New Roman" w:hAnsi="Times New Roman"/>
                <w:kern w:val="0"/>
                <w:sz w:val="24"/>
              </w:rPr>
              <w:t>达标情况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9" w:hRule="atLeast"/>
          <w:jc w:val="center"/>
        </w:trPr>
        <w:tc>
          <w:tcPr>
            <w:tcW w:w="877"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kern w:val="0"/>
                <w:sz w:val="24"/>
              </w:rPr>
            </w:pPr>
          </w:p>
        </w:tc>
        <w:tc>
          <w:tcPr>
            <w:tcW w:w="2811" w:type="dxa"/>
            <w:gridSpan w:val="2"/>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kern w:val="0"/>
                <w:sz w:val="24"/>
              </w:rPr>
            </w:pPr>
          </w:p>
        </w:tc>
        <w:tc>
          <w:tcPr>
            <w:tcW w:w="1919"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kern w:val="0"/>
                <w:sz w:val="24"/>
              </w:rPr>
            </w:pPr>
          </w:p>
        </w:tc>
        <w:tc>
          <w:tcPr>
            <w:tcW w:w="154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kern w:val="0"/>
                <w:sz w:val="24"/>
              </w:rPr>
            </w:pPr>
            <w:r>
              <w:rPr>
                <w:rFonts w:hAnsi="Times New Roman"/>
                <w:kern w:val="0"/>
                <w:sz w:val="24"/>
              </w:rPr>
              <w:t>产生浓度/速率</w:t>
            </w:r>
          </w:p>
        </w:tc>
        <w:tc>
          <w:tcPr>
            <w:tcW w:w="112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kern w:val="0"/>
                <w:sz w:val="24"/>
              </w:rPr>
            </w:pPr>
            <w:r>
              <w:rPr>
                <w:rFonts w:hAnsi="Times New Roman"/>
                <w:kern w:val="0"/>
                <w:sz w:val="24"/>
              </w:rPr>
              <w:t>产生量</w:t>
            </w:r>
          </w:p>
        </w:tc>
        <w:tc>
          <w:tcPr>
            <w:tcW w:w="1603"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kern w:val="0"/>
                <w:sz w:val="24"/>
              </w:rPr>
            </w:pPr>
            <w:r>
              <w:rPr>
                <w:rFonts w:hAnsi="Times New Roman"/>
                <w:kern w:val="0"/>
                <w:sz w:val="24"/>
              </w:rPr>
              <w:t>排放浓度/速率</w:t>
            </w:r>
          </w:p>
        </w:tc>
        <w:tc>
          <w:tcPr>
            <w:tcW w:w="1231"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kern w:val="0"/>
                <w:sz w:val="24"/>
              </w:rPr>
            </w:pPr>
            <w:r>
              <w:rPr>
                <w:rFonts w:hAnsi="Times New Roman"/>
                <w:kern w:val="0"/>
                <w:sz w:val="24"/>
              </w:rPr>
              <w:t>排放量</w:t>
            </w:r>
          </w:p>
        </w:tc>
        <w:tc>
          <w:tcPr>
            <w:tcW w:w="1425"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rPr>
            </w:pPr>
          </w:p>
        </w:tc>
        <w:tc>
          <w:tcPr>
            <w:tcW w:w="1286"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restart"/>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r>
              <w:rPr>
                <w:rFonts w:hint="eastAsia" w:ascii="Times New Roman" w:hAnsi="Times New Roman" w:cs="宋体"/>
                <w:szCs w:val="21"/>
              </w:rPr>
              <w:t>废气</w:t>
            </w:r>
          </w:p>
        </w:tc>
        <w:tc>
          <w:tcPr>
            <w:tcW w:w="1540" w:type="dxa"/>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r>
              <w:rPr>
                <w:rFonts w:hint="eastAsia" w:ascii="Times New Roman" w:hAnsi="Times New Roman" w:cs="宋体"/>
                <w:szCs w:val="21"/>
              </w:rPr>
              <w:t>饲料加工</w:t>
            </w:r>
          </w:p>
        </w:tc>
        <w:tc>
          <w:tcPr>
            <w:tcW w:w="1271" w:type="dxa"/>
            <w:vAlign w:val="center"/>
          </w:tcPr>
          <w:p>
            <w:pPr>
              <w:pStyle w:val="46"/>
              <w:keepNext w:val="0"/>
              <w:keepLines w:val="0"/>
              <w:pageBreakBefore w:val="0"/>
              <w:widowControl w:val="0"/>
              <w:kinsoku/>
              <w:wordWrap/>
              <w:topLinePunct w:val="0"/>
              <w:bidi w:val="0"/>
              <w:adjustRightInd/>
              <w:snapToGrid w:val="0"/>
              <w:spacing w:line="240" w:lineRule="auto"/>
              <w:ind w:right="338" w:firstLine="0" w:firstLineChars="0"/>
              <w:jc w:val="center"/>
              <w:textAlignment w:val="auto"/>
              <w:rPr>
                <w:rFonts w:hAnsi="Times New Roman" w:cs="宋体"/>
                <w:szCs w:val="21"/>
              </w:rPr>
            </w:pPr>
            <w:r>
              <w:rPr>
                <w:rFonts w:hint="eastAsia" w:hAnsi="Times New Roman" w:cs="宋体"/>
                <w:szCs w:val="21"/>
              </w:rPr>
              <w:t>无组织</w:t>
            </w: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TSP</w:t>
            </w:r>
          </w:p>
        </w:tc>
        <w:tc>
          <w:tcPr>
            <w:tcW w:w="1545" w:type="dxa"/>
            <w:vAlign w:val="center"/>
          </w:tcPr>
          <w:p>
            <w:pPr>
              <w:pStyle w:val="46"/>
              <w:keepNext w:val="0"/>
              <w:keepLines w:val="0"/>
              <w:pageBreakBefore w:val="0"/>
              <w:widowControl w:val="0"/>
              <w:kinsoku/>
              <w:wordWrap/>
              <w:topLinePunct w:val="0"/>
              <w:bidi w:val="0"/>
              <w:adjustRightInd/>
              <w:snapToGrid w:val="0"/>
              <w:spacing w:line="240" w:lineRule="auto"/>
              <w:ind w:right="1" w:firstLine="0" w:firstLineChars="0"/>
              <w:jc w:val="center"/>
              <w:textAlignment w:val="auto"/>
              <w:rPr>
                <w:rFonts w:hAnsi="Times New Roman" w:cs="宋体"/>
                <w:szCs w:val="21"/>
              </w:rPr>
            </w:pPr>
            <w:r>
              <w:rPr>
                <w:rFonts w:hint="eastAsia" w:hAnsi="Times New Roman" w:cs="宋体"/>
                <w:szCs w:val="21"/>
                <w:lang w:val="en-US" w:eastAsia="zh-CN"/>
              </w:rPr>
              <w:t>0.103</w:t>
            </w:r>
            <w:r>
              <w:rPr>
                <w:rFonts w:hint="eastAsia" w:hAnsi="Times New Roman" w:cs="宋体"/>
                <w:szCs w:val="21"/>
              </w:rPr>
              <w:t>kg/h</w:t>
            </w:r>
          </w:p>
        </w:tc>
        <w:tc>
          <w:tcPr>
            <w:tcW w:w="1125" w:type="dxa"/>
            <w:vAlign w:val="center"/>
          </w:tcPr>
          <w:p>
            <w:pPr>
              <w:pStyle w:val="46"/>
              <w:keepNext w:val="0"/>
              <w:keepLines w:val="0"/>
              <w:pageBreakBefore w:val="0"/>
              <w:widowControl w:val="0"/>
              <w:kinsoku/>
              <w:wordWrap/>
              <w:topLinePunct w:val="0"/>
              <w:bidi w:val="0"/>
              <w:adjustRightInd/>
              <w:snapToGrid w:val="0"/>
              <w:spacing w:line="240" w:lineRule="auto"/>
              <w:ind w:right="1" w:firstLine="0" w:firstLineChars="0"/>
              <w:jc w:val="center"/>
              <w:textAlignment w:val="auto"/>
              <w:rPr>
                <w:rFonts w:hAnsi="Times New Roman" w:cs="宋体"/>
                <w:szCs w:val="21"/>
              </w:rPr>
            </w:pPr>
            <w:r>
              <w:rPr>
                <w:rFonts w:hint="eastAsia" w:hAnsi="Times New Roman" w:cs="宋体"/>
                <w:szCs w:val="21"/>
              </w:rPr>
              <w:t>0.07</w:t>
            </w:r>
            <w:r>
              <w:rPr>
                <w:rFonts w:hint="eastAsia" w:hAnsi="Times New Roman" w:cs="宋体"/>
                <w:szCs w:val="21"/>
                <w:lang w:val="en-US" w:eastAsia="zh-CN"/>
              </w:rPr>
              <w:t>5</w:t>
            </w:r>
            <w:r>
              <w:rPr>
                <w:rFonts w:hint="eastAsia" w:hAnsi="Times New Roman" w:cs="宋体"/>
                <w:szCs w:val="21"/>
              </w:rPr>
              <w:t>t/a</w:t>
            </w:r>
          </w:p>
        </w:tc>
        <w:tc>
          <w:tcPr>
            <w:tcW w:w="1603"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0.00</w:t>
            </w:r>
            <w:r>
              <w:rPr>
                <w:rFonts w:hint="eastAsia" w:hAnsi="Times New Roman" w:cs="宋体"/>
                <w:szCs w:val="21"/>
                <w:lang w:val="en-US" w:eastAsia="zh-CN"/>
              </w:rPr>
              <w:t>0103</w:t>
            </w:r>
            <w:r>
              <w:rPr>
                <w:rFonts w:hint="eastAsia" w:hAnsi="Times New Roman" w:cs="宋体"/>
                <w:szCs w:val="21"/>
              </w:rPr>
              <w:t>kg/h</w:t>
            </w:r>
          </w:p>
        </w:tc>
        <w:tc>
          <w:tcPr>
            <w:tcW w:w="1231"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w:t>
            </w:r>
            <w:r>
              <w:rPr>
                <w:rFonts w:hint="eastAsia" w:hAnsi="Times New Roman" w:cs="宋体"/>
                <w:szCs w:val="21"/>
                <w:lang w:val="en-US" w:eastAsia="zh-CN"/>
              </w:rPr>
              <w:t>75kg</w:t>
            </w:r>
            <w:r>
              <w:rPr>
                <w:rFonts w:hint="eastAsia" w:hAnsi="Times New Roman" w:cs="宋体"/>
                <w:szCs w:val="21"/>
              </w:rPr>
              <w:t>/a</w:t>
            </w:r>
          </w:p>
        </w:tc>
        <w:tc>
          <w:tcPr>
            <w:tcW w:w="142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＜1.0mg/m³</w:t>
            </w:r>
          </w:p>
        </w:tc>
        <w:tc>
          <w:tcPr>
            <w:tcW w:w="1286" w:type="dxa"/>
            <w:vMerge w:val="restart"/>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rPr>
            </w:pPr>
          </w:p>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rPr>
            </w:pPr>
          </w:p>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rPr>
            </w:pPr>
          </w:p>
          <w:p>
            <w:pPr>
              <w:keepNext w:val="0"/>
              <w:keepLines w:val="0"/>
              <w:pageBreakBefore w:val="0"/>
              <w:widowControl w:val="0"/>
              <w:kinsoku/>
              <w:wordWrap/>
              <w:topLinePunct w:val="0"/>
              <w:bidi w:val="0"/>
              <w:adjustRightInd/>
              <w:snapToGrid w:val="0"/>
              <w:spacing w:line="240" w:lineRule="auto"/>
              <w:ind w:firstLine="210" w:firstLineChars="100"/>
              <w:jc w:val="center"/>
              <w:textAlignment w:val="auto"/>
              <w:rPr>
                <w:rFonts w:ascii="Times New Roman" w:hAnsi="Times New Roman"/>
              </w:rPr>
            </w:pPr>
            <w:r>
              <w:rPr>
                <w:rFonts w:hint="eastAsia" w:ascii="Times New Roman" w:hAnsi="Times New Roman"/>
              </w:rPr>
              <w:t>达标排放</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1540" w:type="dxa"/>
            <w:vMerge w:val="restart"/>
            <w:vAlign w:val="center"/>
          </w:tcPr>
          <w:p>
            <w:pPr>
              <w:pStyle w:val="46"/>
              <w:keepNext w:val="0"/>
              <w:keepLines w:val="0"/>
              <w:pageBreakBefore w:val="0"/>
              <w:widowControl w:val="0"/>
              <w:kinsoku/>
              <w:wordWrap/>
              <w:topLinePunct w:val="0"/>
              <w:bidi w:val="0"/>
              <w:adjustRightInd/>
              <w:snapToGrid w:val="0"/>
              <w:spacing w:line="240" w:lineRule="auto"/>
              <w:ind w:right="193" w:firstLine="0" w:firstLineChars="0"/>
              <w:jc w:val="center"/>
              <w:textAlignment w:val="auto"/>
              <w:rPr>
                <w:rFonts w:hAnsi="Times New Roman" w:cs="宋体"/>
                <w:szCs w:val="21"/>
              </w:rPr>
            </w:pPr>
            <w:r>
              <w:rPr>
                <w:rFonts w:hint="eastAsia" w:hAnsi="Times New Roman" w:cs="宋体"/>
                <w:szCs w:val="21"/>
              </w:rPr>
              <w:t>养殖场（含牛棚、积粪场）</w:t>
            </w:r>
          </w:p>
        </w:tc>
        <w:tc>
          <w:tcPr>
            <w:tcW w:w="1271" w:type="dxa"/>
            <w:vMerge w:val="restart"/>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无组织A1</w:t>
            </w: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right="1" w:firstLine="0" w:firstLineChars="0"/>
              <w:jc w:val="center"/>
              <w:textAlignment w:val="auto"/>
              <w:rPr>
                <w:rFonts w:hAnsi="Times New Roman" w:cs="宋体"/>
                <w:szCs w:val="21"/>
              </w:rPr>
            </w:pPr>
            <w:r>
              <w:rPr>
                <w:rFonts w:hint="eastAsia" w:hAnsi="Times New Roman" w:cs="宋体"/>
                <w:spacing w:val="1"/>
                <w:w w:val="99"/>
                <w:szCs w:val="21"/>
              </w:rPr>
              <w:t>H</w:t>
            </w:r>
            <w:r>
              <w:rPr>
                <w:rFonts w:hint="eastAsia" w:hAnsi="Times New Roman" w:cs="宋体"/>
                <w:spacing w:val="-3"/>
                <w:w w:val="105"/>
                <w:position w:val="-2"/>
                <w:szCs w:val="21"/>
                <w:vertAlign w:val="subscript"/>
              </w:rPr>
              <w:t>2</w:t>
            </w:r>
            <w:r>
              <w:rPr>
                <w:rFonts w:hint="eastAsia" w:hAnsi="Times New Roman" w:cs="宋体"/>
                <w:w w:val="99"/>
                <w:szCs w:val="21"/>
              </w:rPr>
              <w:t>S</w:t>
            </w:r>
          </w:p>
        </w:tc>
        <w:tc>
          <w:tcPr>
            <w:tcW w:w="1545" w:type="dxa"/>
            <w:vAlign w:val="center"/>
          </w:tcPr>
          <w:p>
            <w:pPr>
              <w:pStyle w:val="46"/>
              <w:keepNext w:val="0"/>
              <w:keepLines w:val="0"/>
              <w:pageBreakBefore w:val="0"/>
              <w:widowControl w:val="0"/>
              <w:kinsoku/>
              <w:wordWrap/>
              <w:topLinePunct w:val="0"/>
              <w:bidi w:val="0"/>
              <w:adjustRightInd/>
              <w:snapToGrid w:val="0"/>
              <w:spacing w:line="240" w:lineRule="auto"/>
              <w:ind w:right="1" w:firstLine="0" w:firstLineChars="0"/>
              <w:jc w:val="center"/>
              <w:textAlignment w:val="auto"/>
              <w:rPr>
                <w:rFonts w:hAnsi="Times New Roman" w:cs="宋体"/>
                <w:szCs w:val="21"/>
              </w:rPr>
            </w:pPr>
            <w:r>
              <w:rPr>
                <w:rFonts w:hint="eastAsia" w:hAnsi="Times New Roman" w:cs="宋体"/>
                <w:szCs w:val="21"/>
              </w:rPr>
              <w:t>0.00086kg/h</w:t>
            </w:r>
          </w:p>
        </w:tc>
        <w:tc>
          <w:tcPr>
            <w:tcW w:w="112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0.0075t/a</w:t>
            </w:r>
          </w:p>
        </w:tc>
        <w:tc>
          <w:tcPr>
            <w:tcW w:w="1603"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0.000258kg/h</w:t>
            </w:r>
          </w:p>
        </w:tc>
        <w:tc>
          <w:tcPr>
            <w:tcW w:w="1231" w:type="dxa"/>
            <w:vAlign w:val="center"/>
          </w:tcPr>
          <w:p>
            <w:pPr>
              <w:pStyle w:val="46"/>
              <w:keepNext w:val="0"/>
              <w:keepLines w:val="0"/>
              <w:pageBreakBefore w:val="0"/>
              <w:widowControl w:val="0"/>
              <w:kinsoku/>
              <w:wordWrap/>
              <w:topLinePunct w:val="0"/>
              <w:bidi w:val="0"/>
              <w:adjustRightInd/>
              <w:snapToGrid w:val="0"/>
              <w:spacing w:line="240" w:lineRule="auto"/>
              <w:ind w:right="125" w:firstLine="0" w:firstLineChars="0"/>
              <w:jc w:val="center"/>
              <w:textAlignment w:val="auto"/>
              <w:rPr>
                <w:rFonts w:hAnsi="Times New Roman" w:cs="宋体"/>
                <w:szCs w:val="21"/>
              </w:rPr>
            </w:pPr>
            <w:r>
              <w:rPr>
                <w:rFonts w:hint="eastAsia" w:hAnsi="Times New Roman" w:cs="宋体"/>
                <w:szCs w:val="21"/>
              </w:rPr>
              <w:t>0.000225t/a</w:t>
            </w:r>
          </w:p>
        </w:tc>
        <w:tc>
          <w:tcPr>
            <w:tcW w:w="142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＜1.5mg/m3</w:t>
            </w:r>
          </w:p>
        </w:tc>
        <w:tc>
          <w:tcPr>
            <w:tcW w:w="1286"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1540"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1271"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pacing w:val="1"/>
                <w:w w:val="99"/>
                <w:szCs w:val="21"/>
              </w:rPr>
              <w:t>N</w:t>
            </w:r>
            <w:r>
              <w:rPr>
                <w:rFonts w:hint="eastAsia" w:hAnsi="Times New Roman" w:cs="宋体"/>
                <w:spacing w:val="-2"/>
                <w:w w:val="99"/>
                <w:szCs w:val="21"/>
              </w:rPr>
              <w:t>H</w:t>
            </w:r>
            <w:r>
              <w:rPr>
                <w:rFonts w:hint="eastAsia" w:hAnsi="Times New Roman" w:cs="宋体"/>
                <w:w w:val="106"/>
                <w:position w:val="-2"/>
                <w:szCs w:val="21"/>
                <w:vertAlign w:val="subscript"/>
              </w:rPr>
              <w:t>3</w:t>
            </w:r>
          </w:p>
        </w:tc>
        <w:tc>
          <w:tcPr>
            <w:tcW w:w="1545" w:type="dxa"/>
            <w:vAlign w:val="center"/>
          </w:tcPr>
          <w:p>
            <w:pPr>
              <w:pStyle w:val="46"/>
              <w:keepNext w:val="0"/>
              <w:keepLines w:val="0"/>
              <w:pageBreakBefore w:val="0"/>
              <w:widowControl w:val="0"/>
              <w:kinsoku/>
              <w:wordWrap/>
              <w:topLinePunct w:val="0"/>
              <w:bidi w:val="0"/>
              <w:adjustRightInd/>
              <w:snapToGrid w:val="0"/>
              <w:spacing w:line="240" w:lineRule="auto"/>
              <w:ind w:right="1" w:firstLine="0" w:firstLineChars="0"/>
              <w:jc w:val="center"/>
              <w:textAlignment w:val="auto"/>
              <w:rPr>
                <w:rFonts w:hAnsi="Times New Roman" w:cs="宋体"/>
                <w:szCs w:val="21"/>
              </w:rPr>
            </w:pPr>
            <w:r>
              <w:rPr>
                <w:rFonts w:hint="eastAsia" w:hAnsi="Times New Roman" w:cs="宋体"/>
                <w:szCs w:val="21"/>
              </w:rPr>
              <w:t>0.013kg/h</w:t>
            </w:r>
          </w:p>
        </w:tc>
        <w:tc>
          <w:tcPr>
            <w:tcW w:w="1125" w:type="dxa"/>
            <w:vAlign w:val="center"/>
          </w:tcPr>
          <w:p>
            <w:pPr>
              <w:pStyle w:val="46"/>
              <w:keepNext w:val="0"/>
              <w:keepLines w:val="0"/>
              <w:pageBreakBefore w:val="0"/>
              <w:widowControl w:val="0"/>
              <w:kinsoku/>
              <w:wordWrap/>
              <w:topLinePunct w:val="0"/>
              <w:bidi w:val="0"/>
              <w:adjustRightInd/>
              <w:snapToGrid w:val="0"/>
              <w:spacing w:line="240" w:lineRule="auto"/>
              <w:ind w:right="1" w:firstLine="0" w:firstLineChars="0"/>
              <w:jc w:val="center"/>
              <w:textAlignment w:val="auto"/>
              <w:rPr>
                <w:rFonts w:hAnsi="Times New Roman" w:cs="宋体"/>
                <w:szCs w:val="21"/>
              </w:rPr>
            </w:pPr>
            <w:r>
              <w:rPr>
                <w:rFonts w:hint="eastAsia" w:hAnsi="Times New Roman" w:cs="宋体"/>
                <w:szCs w:val="21"/>
              </w:rPr>
              <w:t>0.099t/a</w:t>
            </w:r>
          </w:p>
        </w:tc>
        <w:tc>
          <w:tcPr>
            <w:tcW w:w="1603" w:type="dxa"/>
            <w:vAlign w:val="center"/>
          </w:tcPr>
          <w:p>
            <w:pPr>
              <w:pStyle w:val="46"/>
              <w:keepNext w:val="0"/>
              <w:keepLines w:val="0"/>
              <w:pageBreakBefore w:val="0"/>
              <w:widowControl w:val="0"/>
              <w:tabs>
                <w:tab w:val="left" w:pos="246"/>
                <w:tab w:val="center" w:pos="827"/>
              </w:tabs>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0.0039kg/h</w:t>
            </w:r>
          </w:p>
        </w:tc>
        <w:tc>
          <w:tcPr>
            <w:tcW w:w="1231" w:type="dxa"/>
            <w:vAlign w:val="center"/>
          </w:tcPr>
          <w:p>
            <w:pPr>
              <w:pStyle w:val="46"/>
              <w:keepNext w:val="0"/>
              <w:keepLines w:val="0"/>
              <w:pageBreakBefore w:val="0"/>
              <w:widowControl w:val="0"/>
              <w:kinsoku/>
              <w:wordWrap/>
              <w:topLinePunct w:val="0"/>
              <w:bidi w:val="0"/>
              <w:adjustRightInd/>
              <w:snapToGrid w:val="0"/>
              <w:spacing w:line="240" w:lineRule="auto"/>
              <w:ind w:right="125" w:firstLine="0" w:firstLineChars="0"/>
              <w:jc w:val="center"/>
              <w:textAlignment w:val="auto"/>
              <w:rPr>
                <w:rFonts w:hAnsi="Times New Roman" w:cs="宋体"/>
                <w:szCs w:val="21"/>
              </w:rPr>
            </w:pPr>
            <w:r>
              <w:rPr>
                <w:rFonts w:hint="eastAsia" w:hAnsi="Times New Roman" w:cs="宋体"/>
                <w:szCs w:val="21"/>
              </w:rPr>
              <w:t>0.0297t/a</w:t>
            </w:r>
          </w:p>
        </w:tc>
        <w:tc>
          <w:tcPr>
            <w:tcW w:w="142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＜0.06mg/m3</w:t>
            </w:r>
          </w:p>
        </w:tc>
        <w:tc>
          <w:tcPr>
            <w:tcW w:w="1286"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1540" w:type="dxa"/>
            <w:vMerge w:val="continue"/>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p>
        </w:tc>
        <w:tc>
          <w:tcPr>
            <w:tcW w:w="1271" w:type="dxa"/>
            <w:vMerge w:val="restart"/>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rPr>
            </w:pPr>
            <w:r>
              <w:rPr>
                <w:rFonts w:hint="eastAsia" w:ascii="Times New Roman" w:hAnsi="Times New Roman" w:cs="宋体"/>
                <w:szCs w:val="21"/>
              </w:rPr>
              <w:t>无组织A2</w:t>
            </w: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right="1" w:firstLine="0" w:firstLineChars="0"/>
              <w:jc w:val="center"/>
              <w:textAlignment w:val="auto"/>
              <w:rPr>
                <w:rFonts w:hAnsi="Times New Roman" w:cs="宋体"/>
                <w:szCs w:val="21"/>
              </w:rPr>
            </w:pPr>
            <w:r>
              <w:rPr>
                <w:rFonts w:hint="eastAsia" w:hAnsi="Times New Roman" w:cs="宋体"/>
                <w:spacing w:val="1"/>
                <w:w w:val="99"/>
                <w:szCs w:val="21"/>
              </w:rPr>
              <w:t>H</w:t>
            </w:r>
            <w:r>
              <w:rPr>
                <w:rFonts w:hint="eastAsia" w:hAnsi="Times New Roman" w:cs="宋体"/>
                <w:spacing w:val="-3"/>
                <w:w w:val="105"/>
                <w:position w:val="-2"/>
                <w:szCs w:val="21"/>
                <w:vertAlign w:val="subscript"/>
              </w:rPr>
              <w:t>2</w:t>
            </w:r>
            <w:r>
              <w:rPr>
                <w:rFonts w:hint="eastAsia" w:hAnsi="Times New Roman" w:cs="宋体"/>
                <w:w w:val="99"/>
                <w:szCs w:val="21"/>
              </w:rPr>
              <w:t>S</w:t>
            </w:r>
          </w:p>
        </w:tc>
        <w:tc>
          <w:tcPr>
            <w:tcW w:w="154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0.002kg/h</w:t>
            </w:r>
          </w:p>
        </w:tc>
        <w:tc>
          <w:tcPr>
            <w:tcW w:w="112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0.0175t/a</w:t>
            </w:r>
          </w:p>
        </w:tc>
        <w:tc>
          <w:tcPr>
            <w:tcW w:w="1603"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0.0002kg/h</w:t>
            </w:r>
          </w:p>
        </w:tc>
        <w:tc>
          <w:tcPr>
            <w:tcW w:w="1231"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0.00175t/a</w:t>
            </w:r>
          </w:p>
        </w:tc>
        <w:tc>
          <w:tcPr>
            <w:tcW w:w="142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＜1.5mg/m3</w:t>
            </w:r>
          </w:p>
        </w:tc>
        <w:tc>
          <w:tcPr>
            <w:tcW w:w="1286" w:type="dxa"/>
            <w:vMerge w:val="continue"/>
            <w:vAlign w:val="center"/>
          </w:tcPr>
          <w:p>
            <w:pPr>
              <w:pStyle w:val="46"/>
              <w:keepNext w:val="0"/>
              <w:keepLines w:val="0"/>
              <w:pageBreakBefore w:val="0"/>
              <w:widowControl w:val="0"/>
              <w:kinsoku/>
              <w:wordWrap/>
              <w:topLinePunct w:val="0"/>
              <w:bidi w:val="0"/>
              <w:adjustRightInd/>
              <w:snapToGrid w:val="0"/>
              <w:spacing w:line="240" w:lineRule="auto"/>
              <w:ind w:left="6" w:firstLine="413"/>
              <w:jc w:val="center"/>
              <w:textAlignment w:val="auto"/>
              <w:rPr>
                <w:rFonts w:hAnsi="Times New Roman" w:cs="宋体"/>
                <w:w w:val="99"/>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1540" w:type="dxa"/>
            <w:vMerge w:val="continue"/>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p>
        </w:tc>
        <w:tc>
          <w:tcPr>
            <w:tcW w:w="1271" w:type="dxa"/>
            <w:vMerge w:val="continue"/>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pacing w:val="1"/>
                <w:w w:val="99"/>
                <w:szCs w:val="21"/>
              </w:rPr>
              <w:t>N</w:t>
            </w:r>
            <w:r>
              <w:rPr>
                <w:rFonts w:hint="eastAsia" w:hAnsi="Times New Roman" w:cs="宋体"/>
                <w:spacing w:val="-2"/>
                <w:w w:val="99"/>
                <w:szCs w:val="21"/>
              </w:rPr>
              <w:t>H</w:t>
            </w:r>
            <w:r>
              <w:rPr>
                <w:rFonts w:hint="eastAsia" w:hAnsi="Times New Roman" w:cs="宋体"/>
                <w:w w:val="106"/>
                <w:position w:val="-2"/>
                <w:szCs w:val="21"/>
                <w:vertAlign w:val="subscript"/>
              </w:rPr>
              <w:t>3</w:t>
            </w:r>
          </w:p>
        </w:tc>
        <w:tc>
          <w:tcPr>
            <w:tcW w:w="154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0.0103kg/h</w:t>
            </w:r>
          </w:p>
        </w:tc>
        <w:tc>
          <w:tcPr>
            <w:tcW w:w="112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0.09t/a</w:t>
            </w:r>
          </w:p>
        </w:tc>
        <w:tc>
          <w:tcPr>
            <w:tcW w:w="1603"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0.00106kg/h</w:t>
            </w:r>
          </w:p>
        </w:tc>
        <w:tc>
          <w:tcPr>
            <w:tcW w:w="1231"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0.009t/a</w:t>
            </w:r>
          </w:p>
        </w:tc>
        <w:tc>
          <w:tcPr>
            <w:tcW w:w="1425"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＜0.06mg/m3</w:t>
            </w:r>
          </w:p>
        </w:tc>
        <w:tc>
          <w:tcPr>
            <w:tcW w:w="1286" w:type="dxa"/>
            <w:vMerge w:val="continue"/>
            <w:vAlign w:val="center"/>
          </w:tcPr>
          <w:p>
            <w:pPr>
              <w:pStyle w:val="46"/>
              <w:keepNext w:val="0"/>
              <w:keepLines w:val="0"/>
              <w:pageBreakBefore w:val="0"/>
              <w:widowControl w:val="0"/>
              <w:kinsoku/>
              <w:wordWrap/>
              <w:topLinePunct w:val="0"/>
              <w:bidi w:val="0"/>
              <w:adjustRightInd/>
              <w:snapToGrid w:val="0"/>
              <w:spacing w:line="240" w:lineRule="auto"/>
              <w:ind w:left="6" w:firstLine="413"/>
              <w:jc w:val="center"/>
              <w:textAlignment w:val="auto"/>
              <w:rPr>
                <w:rFonts w:hAnsi="Times New Roman" w:cs="宋体"/>
                <w:w w:val="99"/>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1540"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运输恶臭</w:t>
            </w:r>
          </w:p>
        </w:tc>
        <w:tc>
          <w:tcPr>
            <w:tcW w:w="1271" w:type="dxa"/>
            <w:vAlign w:val="center"/>
          </w:tcPr>
          <w:p>
            <w:pPr>
              <w:pStyle w:val="46"/>
              <w:keepNext w:val="0"/>
              <w:keepLines w:val="0"/>
              <w:pageBreakBefore w:val="0"/>
              <w:widowControl w:val="0"/>
              <w:kinsoku/>
              <w:wordWrap/>
              <w:topLinePunct w:val="0"/>
              <w:bidi w:val="0"/>
              <w:adjustRightInd/>
              <w:snapToGrid w:val="0"/>
              <w:spacing w:line="240" w:lineRule="auto"/>
              <w:ind w:right="338" w:firstLine="0" w:firstLineChars="0"/>
              <w:jc w:val="center"/>
              <w:textAlignment w:val="auto"/>
              <w:rPr>
                <w:rFonts w:hAnsi="Times New Roman" w:cs="宋体"/>
                <w:szCs w:val="21"/>
              </w:rPr>
            </w:pPr>
            <w:r>
              <w:rPr>
                <w:rFonts w:hint="eastAsia" w:hAnsi="Times New Roman" w:cs="宋体"/>
                <w:szCs w:val="21"/>
              </w:rPr>
              <w:t>无组织</w:t>
            </w: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恶臭</w:t>
            </w:r>
          </w:p>
        </w:tc>
        <w:tc>
          <w:tcPr>
            <w:tcW w:w="5504" w:type="dxa"/>
            <w:gridSpan w:val="4"/>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少量</w:t>
            </w:r>
          </w:p>
        </w:tc>
        <w:tc>
          <w:tcPr>
            <w:tcW w:w="1425" w:type="dxa"/>
            <w:vAlign w:val="center"/>
          </w:tcPr>
          <w:p>
            <w:pPr>
              <w:pStyle w:val="46"/>
              <w:keepNext w:val="0"/>
              <w:keepLines w:val="0"/>
              <w:pageBreakBefore w:val="0"/>
              <w:widowControl w:val="0"/>
              <w:kinsoku/>
              <w:wordWrap/>
              <w:topLinePunct w:val="0"/>
              <w:bidi w:val="0"/>
              <w:adjustRightInd/>
              <w:snapToGrid w:val="0"/>
              <w:spacing w:line="240" w:lineRule="auto"/>
              <w:ind w:firstLine="413"/>
              <w:jc w:val="center"/>
              <w:textAlignment w:val="auto"/>
              <w:rPr>
                <w:rFonts w:hAnsi="Times New Roman" w:cs="宋体"/>
                <w:szCs w:val="21"/>
              </w:rPr>
            </w:pPr>
            <w:r>
              <w:rPr>
                <w:rFonts w:hint="eastAsia" w:hAnsi="Times New Roman" w:cs="宋体"/>
                <w:w w:val="99"/>
                <w:szCs w:val="21"/>
              </w:rPr>
              <w:t>/</w:t>
            </w:r>
          </w:p>
        </w:tc>
        <w:tc>
          <w:tcPr>
            <w:tcW w:w="1286" w:type="dxa"/>
            <w:vAlign w:val="center"/>
          </w:tcPr>
          <w:p>
            <w:pPr>
              <w:pStyle w:val="46"/>
              <w:keepNext w:val="0"/>
              <w:keepLines w:val="0"/>
              <w:pageBreakBefore w:val="0"/>
              <w:widowControl w:val="0"/>
              <w:kinsoku/>
              <w:wordWrap/>
              <w:topLinePunct w:val="0"/>
              <w:bidi w:val="0"/>
              <w:adjustRightInd/>
              <w:snapToGrid w:val="0"/>
              <w:spacing w:line="240" w:lineRule="auto"/>
              <w:ind w:left="6" w:firstLine="413"/>
              <w:jc w:val="center"/>
              <w:textAlignment w:val="auto"/>
              <w:rPr>
                <w:rFonts w:hAnsi="Times New Roman" w:cs="宋体"/>
                <w:szCs w:val="21"/>
              </w:rPr>
            </w:pPr>
            <w:r>
              <w:rPr>
                <w:rFonts w:hint="eastAsia" w:hAnsi="Times New Roman" w:cs="宋体"/>
                <w:w w:val="99"/>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废水</w:t>
            </w:r>
          </w:p>
        </w:tc>
        <w:tc>
          <w:tcPr>
            <w:tcW w:w="4730" w:type="dxa"/>
            <w:gridSpan w:val="3"/>
            <w:vAlign w:val="center"/>
          </w:tcPr>
          <w:p>
            <w:pPr>
              <w:pStyle w:val="46"/>
              <w:keepNext w:val="0"/>
              <w:keepLines w:val="0"/>
              <w:pageBreakBefore w:val="0"/>
              <w:widowControl w:val="0"/>
              <w:kinsoku/>
              <w:wordWrap/>
              <w:topLinePunct w:val="0"/>
              <w:bidi w:val="0"/>
              <w:adjustRightInd/>
              <w:snapToGrid w:val="0"/>
              <w:spacing w:line="240" w:lineRule="auto"/>
              <w:ind w:right="2" w:firstLine="0" w:firstLineChars="0"/>
              <w:jc w:val="center"/>
              <w:textAlignment w:val="auto"/>
              <w:rPr>
                <w:rFonts w:hAnsi="Times New Roman" w:cs="宋体"/>
                <w:szCs w:val="21"/>
              </w:rPr>
            </w:pPr>
            <w:r>
              <w:rPr>
                <w:rFonts w:hint="eastAsia" w:hAnsi="Times New Roman" w:cs="宋体"/>
                <w:szCs w:val="21"/>
              </w:rPr>
              <w:t>生活污水</w:t>
            </w:r>
          </w:p>
        </w:tc>
        <w:tc>
          <w:tcPr>
            <w:tcW w:w="2670"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lang w:val="en-US" w:eastAsia="zh-CN"/>
              </w:rPr>
              <w:t>255.5</w:t>
            </w:r>
            <w:r>
              <w:rPr>
                <w:rFonts w:hint="eastAsia" w:hAnsi="Times New Roman" w:cs="宋体"/>
                <w:szCs w:val="21"/>
              </w:rPr>
              <w:t>m</w:t>
            </w:r>
            <w:r>
              <w:rPr>
                <w:rFonts w:hint="eastAsia" w:hAnsi="Times New Roman" w:cs="宋体"/>
                <w:szCs w:val="21"/>
                <w:vertAlign w:val="superscript"/>
                <w:lang w:val="en-US" w:eastAsia="zh-CN"/>
              </w:rPr>
              <w:t>3</w:t>
            </w:r>
            <w:r>
              <w:rPr>
                <w:rFonts w:hint="eastAsia" w:hAnsi="Times New Roman" w:cs="宋体"/>
                <w:szCs w:val="21"/>
              </w:rPr>
              <w:t>/a</w:t>
            </w:r>
          </w:p>
        </w:tc>
        <w:tc>
          <w:tcPr>
            <w:tcW w:w="5545" w:type="dxa"/>
            <w:gridSpan w:val="4"/>
            <w:vAlign w:val="center"/>
          </w:tcPr>
          <w:p>
            <w:pPr>
              <w:pStyle w:val="10"/>
              <w:keepNext w:val="0"/>
              <w:keepLines w:val="0"/>
              <w:pageBreakBefore w:val="0"/>
              <w:widowControl w:val="0"/>
              <w:kinsoku/>
              <w:wordWrap/>
              <w:topLinePunct w:val="0"/>
              <w:bidi w:val="0"/>
              <w:adjustRightInd/>
              <w:snapToGrid w:val="0"/>
              <w:spacing w:line="240" w:lineRule="auto"/>
              <w:jc w:val="center"/>
              <w:textAlignment w:val="auto"/>
              <w:rPr>
                <w:rFonts w:cs="宋体"/>
                <w:szCs w:val="21"/>
              </w:rPr>
            </w:pPr>
            <w:r>
              <w:rPr>
                <w:rFonts w:hint="eastAsia" w:ascii="Times New Roman" w:hAnsi="Times New Roman" w:eastAsia="宋体" w:cs="宋体"/>
                <w:kern w:val="2"/>
                <w:sz w:val="21"/>
                <w:szCs w:val="21"/>
                <w:lang w:val="en-US" w:eastAsia="zh-CN" w:bidi="ar-SA"/>
              </w:rPr>
              <w:t>生活污水</w:t>
            </w:r>
            <w:r>
              <w:rPr>
                <w:rFonts w:hint="eastAsia" w:cs="宋体"/>
                <w:kern w:val="2"/>
                <w:sz w:val="21"/>
                <w:szCs w:val="21"/>
                <w:lang w:val="en-US" w:eastAsia="zh-CN" w:bidi="ar-SA"/>
              </w:rPr>
              <w:t>用于厂区洒水降尘</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噪声</w:t>
            </w:r>
          </w:p>
        </w:tc>
        <w:tc>
          <w:tcPr>
            <w:tcW w:w="2811"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牛场</w:t>
            </w: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饲料加工设备</w:t>
            </w:r>
          </w:p>
        </w:tc>
        <w:tc>
          <w:tcPr>
            <w:tcW w:w="2670"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60～90dB（A）</w:t>
            </w:r>
          </w:p>
        </w:tc>
        <w:tc>
          <w:tcPr>
            <w:tcW w:w="2834"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昼间：≤60夜间：≤50</w:t>
            </w:r>
          </w:p>
        </w:tc>
        <w:tc>
          <w:tcPr>
            <w:tcW w:w="2711"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达标排放</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restart"/>
            <w:vAlign w:val="center"/>
          </w:tcPr>
          <w:p>
            <w:pPr>
              <w:pStyle w:val="46"/>
              <w:keepNext w:val="0"/>
              <w:keepLines w:val="0"/>
              <w:pageBreakBefore w:val="0"/>
              <w:widowControl w:val="0"/>
              <w:kinsoku/>
              <w:wordWrap/>
              <w:topLinePunct w:val="0"/>
              <w:bidi w:val="0"/>
              <w:adjustRightInd/>
              <w:snapToGrid w:val="0"/>
              <w:spacing w:line="240" w:lineRule="auto"/>
              <w:ind w:firstLine="420"/>
              <w:jc w:val="center"/>
              <w:textAlignment w:val="auto"/>
              <w:rPr>
                <w:rFonts w:hAnsi="Times New Roman" w:cs="宋体"/>
                <w:bCs/>
                <w:szCs w:val="21"/>
              </w:rPr>
            </w:pPr>
          </w:p>
          <w:p>
            <w:pPr>
              <w:pStyle w:val="46"/>
              <w:keepNext w:val="0"/>
              <w:keepLines w:val="0"/>
              <w:pageBreakBefore w:val="0"/>
              <w:widowControl w:val="0"/>
              <w:kinsoku/>
              <w:wordWrap/>
              <w:topLinePunct w:val="0"/>
              <w:bidi w:val="0"/>
              <w:adjustRightInd/>
              <w:snapToGrid w:val="0"/>
              <w:spacing w:line="240" w:lineRule="auto"/>
              <w:ind w:right="168" w:firstLine="0" w:firstLineChars="0"/>
              <w:jc w:val="center"/>
              <w:textAlignment w:val="auto"/>
              <w:rPr>
                <w:rFonts w:hAnsi="Times New Roman" w:cs="宋体"/>
                <w:szCs w:val="21"/>
              </w:rPr>
            </w:pPr>
            <w:r>
              <w:rPr>
                <w:rFonts w:hint="eastAsia" w:hAnsi="Times New Roman" w:cs="宋体"/>
                <w:szCs w:val="21"/>
              </w:rPr>
              <w:t>固体废物</w:t>
            </w:r>
          </w:p>
        </w:tc>
        <w:tc>
          <w:tcPr>
            <w:tcW w:w="2811" w:type="dxa"/>
            <w:gridSpan w:val="2"/>
            <w:vMerge w:val="restart"/>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牛舍</w:t>
            </w: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牛粪</w:t>
            </w:r>
          </w:p>
        </w:tc>
        <w:tc>
          <w:tcPr>
            <w:tcW w:w="2670"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3971.2t/a</w:t>
            </w:r>
          </w:p>
        </w:tc>
        <w:tc>
          <w:tcPr>
            <w:tcW w:w="2834" w:type="dxa"/>
            <w:gridSpan w:val="2"/>
            <w:vAlign w:val="center"/>
          </w:tcPr>
          <w:p>
            <w:pPr>
              <w:pStyle w:val="46"/>
              <w:keepNext w:val="0"/>
              <w:keepLines w:val="0"/>
              <w:pageBreakBefore w:val="0"/>
              <w:widowControl w:val="0"/>
              <w:kinsoku/>
              <w:wordWrap/>
              <w:topLinePunct w:val="0"/>
              <w:bidi w:val="0"/>
              <w:adjustRightInd/>
              <w:snapToGrid w:val="0"/>
              <w:spacing w:line="240" w:lineRule="auto"/>
              <w:ind w:right="1" w:firstLine="413"/>
              <w:jc w:val="center"/>
              <w:textAlignment w:val="auto"/>
              <w:rPr>
                <w:rFonts w:hAnsi="Times New Roman" w:cs="宋体"/>
                <w:szCs w:val="21"/>
              </w:rPr>
            </w:pPr>
            <w:r>
              <w:rPr>
                <w:rFonts w:hint="eastAsia" w:hAnsi="Times New Roman" w:cs="宋体"/>
                <w:w w:val="99"/>
                <w:szCs w:val="21"/>
              </w:rPr>
              <w:t>0</w:t>
            </w:r>
          </w:p>
        </w:tc>
        <w:tc>
          <w:tcPr>
            <w:tcW w:w="2711"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int="eastAsia" w:hAnsi="Times New Roman" w:cs="宋体"/>
                <w:szCs w:val="21"/>
              </w:rPr>
            </w:pPr>
            <w:r>
              <w:rPr>
                <w:rFonts w:hint="eastAsia" w:hAnsi="Times New Roman" w:cs="宋体"/>
                <w:szCs w:val="21"/>
                <w:lang w:eastAsia="zh-CN"/>
              </w:rPr>
              <w:t>由隆德县腾发牧草专业合作社定期运走处置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2811" w:type="dxa"/>
            <w:gridSpan w:val="2"/>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病死牛尸体</w:t>
            </w:r>
          </w:p>
        </w:tc>
        <w:tc>
          <w:tcPr>
            <w:tcW w:w="2670"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int="eastAsia" w:hAnsi="Times New Roman" w:eastAsia="宋体" w:cs="宋体"/>
                <w:szCs w:val="21"/>
                <w:lang w:val="en-US" w:eastAsia="zh-CN"/>
              </w:rPr>
            </w:pPr>
            <w:r>
              <w:rPr>
                <w:rFonts w:hint="eastAsia" w:hAnsi="Times New Roman" w:cs="宋体"/>
                <w:szCs w:val="21"/>
                <w:lang w:val="en-US" w:eastAsia="zh-CN"/>
              </w:rPr>
              <w:t>/</w:t>
            </w:r>
          </w:p>
        </w:tc>
        <w:tc>
          <w:tcPr>
            <w:tcW w:w="2834" w:type="dxa"/>
            <w:gridSpan w:val="2"/>
            <w:vAlign w:val="center"/>
          </w:tcPr>
          <w:p>
            <w:pPr>
              <w:pStyle w:val="46"/>
              <w:keepNext w:val="0"/>
              <w:keepLines w:val="0"/>
              <w:pageBreakBefore w:val="0"/>
              <w:widowControl w:val="0"/>
              <w:kinsoku/>
              <w:wordWrap/>
              <w:topLinePunct w:val="0"/>
              <w:bidi w:val="0"/>
              <w:adjustRightInd/>
              <w:snapToGrid w:val="0"/>
              <w:spacing w:line="240" w:lineRule="auto"/>
              <w:ind w:right="1" w:firstLine="413"/>
              <w:jc w:val="center"/>
              <w:textAlignment w:val="auto"/>
              <w:rPr>
                <w:rFonts w:hAnsi="Times New Roman" w:cs="宋体"/>
                <w:szCs w:val="21"/>
              </w:rPr>
            </w:pPr>
            <w:r>
              <w:rPr>
                <w:rFonts w:hint="eastAsia" w:hAnsi="Times New Roman" w:cs="宋体"/>
                <w:w w:val="99"/>
                <w:szCs w:val="21"/>
              </w:rPr>
              <w:t>0</w:t>
            </w:r>
          </w:p>
        </w:tc>
        <w:tc>
          <w:tcPr>
            <w:tcW w:w="2711" w:type="dxa"/>
            <w:gridSpan w:val="2"/>
            <w:vMerge w:val="restart"/>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int="eastAsia" w:hAnsi="Times New Roman" w:cs="宋体"/>
                <w:szCs w:val="21"/>
              </w:rPr>
            </w:pPr>
            <w:r>
              <w:rPr>
                <w:rFonts w:hint="eastAsia" w:hAnsi="Times New Roman" w:cs="宋体"/>
                <w:szCs w:val="21"/>
              </w:rPr>
              <w:t>由隆德县神林畜牧兽医站监督运送到隆德县定点无害化处理场所焚烧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2811" w:type="dxa"/>
            <w:gridSpan w:val="2"/>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int="eastAsia" w:hAnsi="Times New Roman" w:eastAsia="宋体" w:cs="宋体"/>
                <w:szCs w:val="21"/>
                <w:lang w:eastAsia="zh-CN"/>
              </w:rPr>
            </w:pPr>
            <w:r>
              <w:rPr>
                <w:rFonts w:hint="eastAsia" w:hAnsi="Times New Roman" w:cs="宋体"/>
                <w:szCs w:val="21"/>
                <w:lang w:eastAsia="zh-CN"/>
              </w:rPr>
              <w:t>胎盘</w:t>
            </w:r>
          </w:p>
        </w:tc>
        <w:tc>
          <w:tcPr>
            <w:tcW w:w="2670"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int="eastAsia" w:hAnsi="Times New Roman" w:cs="宋体"/>
                <w:szCs w:val="21"/>
                <w:lang w:val="en-US" w:eastAsia="zh-CN"/>
              </w:rPr>
            </w:pPr>
            <w:r>
              <w:rPr>
                <w:rFonts w:hint="eastAsia" w:hAnsi="Times New Roman" w:cs="宋体"/>
                <w:szCs w:val="21"/>
                <w:lang w:val="en-US" w:eastAsia="zh-CN"/>
              </w:rPr>
              <w:t>2</w:t>
            </w:r>
            <w:r>
              <w:rPr>
                <w:rFonts w:hint="eastAsia" w:hAnsi="Times New Roman" w:cs="宋体"/>
                <w:szCs w:val="21"/>
              </w:rPr>
              <w:t>t/a</w:t>
            </w:r>
          </w:p>
        </w:tc>
        <w:tc>
          <w:tcPr>
            <w:tcW w:w="2834" w:type="dxa"/>
            <w:gridSpan w:val="2"/>
            <w:vAlign w:val="center"/>
          </w:tcPr>
          <w:p>
            <w:pPr>
              <w:pStyle w:val="46"/>
              <w:keepNext w:val="0"/>
              <w:keepLines w:val="0"/>
              <w:pageBreakBefore w:val="0"/>
              <w:widowControl w:val="0"/>
              <w:kinsoku/>
              <w:wordWrap/>
              <w:topLinePunct w:val="0"/>
              <w:bidi w:val="0"/>
              <w:adjustRightInd/>
              <w:snapToGrid w:val="0"/>
              <w:spacing w:line="240" w:lineRule="auto"/>
              <w:ind w:right="1" w:firstLine="413"/>
              <w:jc w:val="center"/>
              <w:textAlignment w:val="auto"/>
              <w:rPr>
                <w:rFonts w:hint="eastAsia" w:hAnsi="Times New Roman" w:eastAsia="宋体" w:cs="宋体"/>
                <w:w w:val="99"/>
                <w:szCs w:val="21"/>
                <w:lang w:val="en-US" w:eastAsia="zh-CN"/>
              </w:rPr>
            </w:pPr>
            <w:r>
              <w:rPr>
                <w:rFonts w:hint="eastAsia" w:hAnsi="Times New Roman" w:cs="宋体"/>
                <w:w w:val="99"/>
                <w:szCs w:val="21"/>
                <w:lang w:val="en-US" w:eastAsia="zh-CN"/>
              </w:rPr>
              <w:t>0</w:t>
            </w:r>
          </w:p>
        </w:tc>
        <w:tc>
          <w:tcPr>
            <w:tcW w:w="2711" w:type="dxa"/>
            <w:gridSpan w:val="2"/>
            <w:vMerge w:val="continue"/>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int="eastAsia" w:hAnsi="Times New Roman"/>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2811"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int="eastAsia" w:hAnsi="Times New Roman" w:eastAsia="宋体" w:cs="宋体"/>
                <w:szCs w:val="21"/>
                <w:lang w:eastAsia="zh-CN"/>
              </w:rPr>
            </w:pPr>
            <w:r>
              <w:rPr>
                <w:rFonts w:hint="eastAsia" w:hAnsi="Times New Roman" w:cs="宋体"/>
                <w:szCs w:val="21"/>
                <w:lang w:eastAsia="zh-CN"/>
              </w:rPr>
              <w:t>设备自带除尘设施</w:t>
            </w: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收尘</w:t>
            </w:r>
          </w:p>
        </w:tc>
        <w:tc>
          <w:tcPr>
            <w:tcW w:w="2670"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lang w:eastAsia="zh-CN"/>
              </w:rPr>
              <w:t>0.0</w:t>
            </w:r>
            <w:r>
              <w:rPr>
                <w:rFonts w:hint="eastAsia" w:hAnsi="Times New Roman" w:cs="宋体"/>
                <w:szCs w:val="21"/>
                <w:lang w:val="en-US" w:eastAsia="zh-CN"/>
              </w:rPr>
              <w:t>749</w:t>
            </w:r>
            <w:r>
              <w:rPr>
                <w:rFonts w:hint="eastAsia" w:hAnsi="Times New Roman" w:cs="宋体"/>
                <w:szCs w:val="21"/>
              </w:rPr>
              <w:t>t/a</w:t>
            </w:r>
          </w:p>
        </w:tc>
        <w:tc>
          <w:tcPr>
            <w:tcW w:w="2834" w:type="dxa"/>
            <w:gridSpan w:val="2"/>
            <w:vAlign w:val="center"/>
          </w:tcPr>
          <w:p>
            <w:pPr>
              <w:pStyle w:val="46"/>
              <w:keepNext w:val="0"/>
              <w:keepLines w:val="0"/>
              <w:pageBreakBefore w:val="0"/>
              <w:widowControl w:val="0"/>
              <w:kinsoku/>
              <w:wordWrap/>
              <w:topLinePunct w:val="0"/>
              <w:bidi w:val="0"/>
              <w:adjustRightInd/>
              <w:snapToGrid w:val="0"/>
              <w:spacing w:line="240" w:lineRule="auto"/>
              <w:ind w:right="1" w:firstLine="413"/>
              <w:jc w:val="center"/>
              <w:textAlignment w:val="auto"/>
              <w:rPr>
                <w:rFonts w:hAnsi="Times New Roman" w:cs="宋体"/>
                <w:szCs w:val="21"/>
              </w:rPr>
            </w:pPr>
            <w:r>
              <w:rPr>
                <w:rFonts w:hint="eastAsia" w:hAnsi="Times New Roman" w:cs="宋体"/>
                <w:w w:val="99"/>
                <w:szCs w:val="21"/>
              </w:rPr>
              <w:t>0</w:t>
            </w:r>
          </w:p>
        </w:tc>
        <w:tc>
          <w:tcPr>
            <w:tcW w:w="2711"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回收作为饲料回用于养殖</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2811" w:type="dxa"/>
            <w:gridSpan w:val="2"/>
            <w:vMerge w:val="restart"/>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养殖场</w:t>
            </w: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right="2" w:firstLine="0" w:firstLineChars="0"/>
              <w:jc w:val="center"/>
              <w:textAlignment w:val="auto"/>
              <w:rPr>
                <w:rFonts w:hAnsi="Times New Roman" w:cs="宋体"/>
                <w:szCs w:val="21"/>
              </w:rPr>
            </w:pPr>
            <w:r>
              <w:rPr>
                <w:rFonts w:hint="eastAsia" w:hAnsi="Times New Roman" w:cs="宋体"/>
                <w:szCs w:val="21"/>
              </w:rPr>
              <w:t>医疗废物</w:t>
            </w:r>
          </w:p>
        </w:tc>
        <w:tc>
          <w:tcPr>
            <w:tcW w:w="2670"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0.47t/a</w:t>
            </w:r>
          </w:p>
        </w:tc>
        <w:tc>
          <w:tcPr>
            <w:tcW w:w="2834" w:type="dxa"/>
            <w:gridSpan w:val="2"/>
            <w:vAlign w:val="center"/>
          </w:tcPr>
          <w:p>
            <w:pPr>
              <w:pStyle w:val="46"/>
              <w:keepNext w:val="0"/>
              <w:keepLines w:val="0"/>
              <w:pageBreakBefore w:val="0"/>
              <w:widowControl w:val="0"/>
              <w:kinsoku/>
              <w:wordWrap/>
              <w:topLinePunct w:val="0"/>
              <w:bidi w:val="0"/>
              <w:adjustRightInd/>
              <w:snapToGrid w:val="0"/>
              <w:spacing w:line="240" w:lineRule="auto"/>
              <w:ind w:right="1" w:firstLine="413"/>
              <w:jc w:val="center"/>
              <w:textAlignment w:val="auto"/>
              <w:rPr>
                <w:rFonts w:hAnsi="Times New Roman" w:cs="宋体"/>
                <w:szCs w:val="21"/>
              </w:rPr>
            </w:pPr>
            <w:r>
              <w:rPr>
                <w:rFonts w:hint="eastAsia" w:hAnsi="Times New Roman" w:cs="宋体"/>
                <w:w w:val="99"/>
                <w:szCs w:val="21"/>
              </w:rPr>
              <w:t>0</w:t>
            </w:r>
          </w:p>
        </w:tc>
        <w:tc>
          <w:tcPr>
            <w:tcW w:w="2711"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交有资质单位安全处理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2811" w:type="dxa"/>
            <w:gridSpan w:val="2"/>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right="2" w:firstLine="0" w:firstLineChars="0"/>
              <w:jc w:val="center"/>
              <w:textAlignment w:val="auto"/>
              <w:rPr>
                <w:rFonts w:hAnsi="Times New Roman" w:cs="宋体"/>
                <w:szCs w:val="21"/>
              </w:rPr>
            </w:pPr>
            <w:r>
              <w:rPr>
                <w:rFonts w:hint="eastAsia" w:hAnsi="Times New Roman" w:cs="宋体"/>
                <w:szCs w:val="21"/>
              </w:rPr>
              <w:t>废包装袋</w:t>
            </w:r>
          </w:p>
        </w:tc>
        <w:tc>
          <w:tcPr>
            <w:tcW w:w="2670"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2t/a</w:t>
            </w:r>
          </w:p>
        </w:tc>
        <w:tc>
          <w:tcPr>
            <w:tcW w:w="2834" w:type="dxa"/>
            <w:gridSpan w:val="2"/>
            <w:vAlign w:val="center"/>
          </w:tcPr>
          <w:p>
            <w:pPr>
              <w:pStyle w:val="46"/>
              <w:keepNext w:val="0"/>
              <w:keepLines w:val="0"/>
              <w:pageBreakBefore w:val="0"/>
              <w:widowControl w:val="0"/>
              <w:kinsoku/>
              <w:wordWrap/>
              <w:topLinePunct w:val="0"/>
              <w:bidi w:val="0"/>
              <w:adjustRightInd/>
              <w:snapToGrid w:val="0"/>
              <w:spacing w:line="240" w:lineRule="auto"/>
              <w:ind w:right="1" w:firstLine="413"/>
              <w:jc w:val="center"/>
              <w:textAlignment w:val="auto"/>
              <w:rPr>
                <w:rFonts w:hAnsi="Times New Roman" w:cs="宋体"/>
                <w:szCs w:val="21"/>
              </w:rPr>
            </w:pPr>
            <w:r>
              <w:rPr>
                <w:rFonts w:hint="eastAsia" w:hAnsi="Times New Roman" w:cs="宋体"/>
                <w:w w:val="99"/>
                <w:szCs w:val="21"/>
              </w:rPr>
              <w:t>0</w:t>
            </w:r>
          </w:p>
        </w:tc>
        <w:tc>
          <w:tcPr>
            <w:tcW w:w="2711"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综合利用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877" w:type="dxa"/>
            <w:vMerge w:val="continue"/>
            <w:vAlign w:val="center"/>
          </w:tcPr>
          <w:p>
            <w:pPr>
              <w:keepNext w:val="0"/>
              <w:keepLines w:val="0"/>
              <w:pageBreakBefore w:val="0"/>
              <w:widowControl w:val="0"/>
              <w:kinsoku/>
              <w:wordWrap/>
              <w:topLinePunct w:val="0"/>
              <w:bidi w:val="0"/>
              <w:adjustRightInd/>
              <w:snapToGrid w:val="0"/>
              <w:spacing w:line="240" w:lineRule="auto"/>
              <w:jc w:val="center"/>
              <w:textAlignment w:val="auto"/>
              <w:rPr>
                <w:rFonts w:ascii="Times New Roman" w:hAnsi="Times New Roman" w:cs="宋体"/>
                <w:szCs w:val="21"/>
              </w:rPr>
            </w:pPr>
          </w:p>
        </w:tc>
        <w:tc>
          <w:tcPr>
            <w:tcW w:w="2811"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生活办公区</w:t>
            </w:r>
          </w:p>
        </w:tc>
        <w:tc>
          <w:tcPr>
            <w:tcW w:w="1919" w:type="dxa"/>
            <w:vAlign w:val="center"/>
          </w:tcPr>
          <w:p>
            <w:pPr>
              <w:pStyle w:val="46"/>
              <w:keepNext w:val="0"/>
              <w:keepLines w:val="0"/>
              <w:pageBreakBefore w:val="0"/>
              <w:widowControl w:val="0"/>
              <w:kinsoku/>
              <w:wordWrap/>
              <w:topLinePunct w:val="0"/>
              <w:bidi w:val="0"/>
              <w:adjustRightInd/>
              <w:snapToGrid w:val="0"/>
              <w:spacing w:line="240" w:lineRule="auto"/>
              <w:ind w:right="2" w:firstLine="0" w:firstLineChars="0"/>
              <w:jc w:val="center"/>
              <w:textAlignment w:val="auto"/>
              <w:rPr>
                <w:rFonts w:hAnsi="Times New Roman" w:cs="宋体"/>
                <w:szCs w:val="21"/>
              </w:rPr>
            </w:pPr>
            <w:r>
              <w:rPr>
                <w:rFonts w:hint="eastAsia" w:hAnsi="Times New Roman" w:cs="宋体"/>
                <w:szCs w:val="21"/>
              </w:rPr>
              <w:t>生活垃圾</w:t>
            </w:r>
          </w:p>
        </w:tc>
        <w:tc>
          <w:tcPr>
            <w:tcW w:w="2670"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1.28t/a</w:t>
            </w:r>
          </w:p>
        </w:tc>
        <w:tc>
          <w:tcPr>
            <w:tcW w:w="2834" w:type="dxa"/>
            <w:gridSpan w:val="2"/>
            <w:vAlign w:val="center"/>
          </w:tcPr>
          <w:p>
            <w:pPr>
              <w:pStyle w:val="46"/>
              <w:keepNext w:val="0"/>
              <w:keepLines w:val="0"/>
              <w:pageBreakBefore w:val="0"/>
              <w:widowControl w:val="0"/>
              <w:kinsoku/>
              <w:wordWrap/>
              <w:topLinePunct w:val="0"/>
              <w:bidi w:val="0"/>
              <w:adjustRightInd/>
              <w:snapToGrid w:val="0"/>
              <w:spacing w:line="240" w:lineRule="auto"/>
              <w:ind w:right="1" w:firstLine="413"/>
              <w:jc w:val="center"/>
              <w:textAlignment w:val="auto"/>
              <w:rPr>
                <w:rFonts w:hAnsi="Times New Roman" w:cs="宋体"/>
                <w:szCs w:val="21"/>
              </w:rPr>
            </w:pPr>
            <w:r>
              <w:rPr>
                <w:rFonts w:hint="eastAsia" w:hAnsi="Times New Roman" w:cs="宋体"/>
                <w:w w:val="99"/>
                <w:szCs w:val="21"/>
              </w:rPr>
              <w:t>0</w:t>
            </w:r>
          </w:p>
        </w:tc>
        <w:tc>
          <w:tcPr>
            <w:tcW w:w="2711" w:type="dxa"/>
            <w:gridSpan w:val="2"/>
            <w:vAlign w:val="center"/>
          </w:tcPr>
          <w:p>
            <w:pPr>
              <w:pStyle w:val="46"/>
              <w:keepNext w:val="0"/>
              <w:keepLines w:val="0"/>
              <w:pageBreakBefore w:val="0"/>
              <w:widowControl w:val="0"/>
              <w:kinsoku/>
              <w:wordWrap/>
              <w:topLinePunct w:val="0"/>
              <w:bidi w:val="0"/>
              <w:adjustRightInd/>
              <w:snapToGrid w:val="0"/>
              <w:spacing w:line="240" w:lineRule="auto"/>
              <w:ind w:firstLine="0" w:firstLineChars="0"/>
              <w:jc w:val="center"/>
              <w:textAlignment w:val="auto"/>
              <w:rPr>
                <w:rFonts w:hAnsi="Times New Roman" w:cs="宋体"/>
                <w:szCs w:val="21"/>
              </w:rPr>
            </w:pPr>
            <w:r>
              <w:rPr>
                <w:rFonts w:hint="eastAsia" w:hAnsi="Times New Roman" w:cs="宋体"/>
                <w:szCs w:val="21"/>
              </w:rPr>
              <w:t>集中收集后交环卫部门处理</w:t>
            </w:r>
          </w:p>
        </w:tc>
      </w:tr>
    </w:tbl>
    <w:p>
      <w:pPr>
        <w:sectPr>
          <w:footerReference r:id="rId9" w:type="default"/>
          <w:pgSz w:w="16838" w:h="11911" w:orient="landscape"/>
          <w:pgMar w:top="1417" w:right="1701" w:bottom="1417" w:left="1701" w:header="1134" w:footer="1134" w:gutter="0"/>
          <w:pgBorders>
            <w:top w:val="none" w:sz="0" w:space="0"/>
            <w:left w:val="none" w:sz="0" w:space="0"/>
            <w:bottom w:val="none" w:sz="0" w:space="0"/>
            <w:right w:val="none" w:sz="0" w:space="0"/>
          </w:pgBorders>
          <w:cols w:space="720" w:num="1"/>
          <w:docGrid w:linePitch="312" w:charSpace="0"/>
        </w:sectPr>
      </w:pPr>
    </w:p>
    <w:p>
      <w:pPr>
        <w:pStyle w:val="45"/>
        <w:snapToGrid w:val="0"/>
        <w:spacing w:before="240" w:beforeLines="100" w:after="120" w:afterLines="50" w:line="540" w:lineRule="exact"/>
        <w:contextualSpacing/>
        <w:rPr>
          <w:bCs w:val="0"/>
          <w:snapToGrid w:val="0"/>
          <w:kern w:val="0"/>
          <w:sz w:val="32"/>
          <w:szCs w:val="32"/>
        </w:rPr>
      </w:pPr>
      <w:bookmarkStart w:id="455" w:name="_Toc11177"/>
      <w:bookmarkStart w:id="456" w:name="_Toc25107"/>
      <w:bookmarkStart w:id="457" w:name="_Toc9144"/>
      <w:bookmarkStart w:id="458" w:name="_Toc4695"/>
      <w:r>
        <w:rPr>
          <w:bCs w:val="0"/>
          <w:snapToGrid w:val="0"/>
          <w:kern w:val="0"/>
          <w:sz w:val="32"/>
          <w:szCs w:val="32"/>
        </w:rPr>
        <w:t>3环境概况及环境质量现状评价</w:t>
      </w:r>
      <w:bookmarkEnd w:id="455"/>
      <w:bookmarkEnd w:id="456"/>
      <w:bookmarkEnd w:id="457"/>
      <w:bookmarkEnd w:id="458"/>
    </w:p>
    <w:p>
      <w:pPr>
        <w:pStyle w:val="51"/>
        <w:snapToGrid w:val="0"/>
        <w:spacing w:before="120" w:beforeLines="50" w:after="120" w:afterLines="50" w:line="540" w:lineRule="exact"/>
        <w:contextualSpacing/>
        <w:rPr>
          <w:rFonts w:hint="eastAsia" w:eastAsia="宋体" w:cs="Times New Roman"/>
          <w:bCs w:val="0"/>
          <w:snapToGrid w:val="0"/>
          <w:kern w:val="0"/>
          <w:sz w:val="30"/>
          <w:szCs w:val="30"/>
          <w:lang w:eastAsia="zh-CN"/>
        </w:rPr>
      </w:pPr>
      <w:bookmarkStart w:id="459" w:name="_Toc27879"/>
      <w:bookmarkStart w:id="460" w:name="_Toc5769"/>
      <w:bookmarkStart w:id="461" w:name="_Toc15358"/>
      <w:bookmarkStart w:id="462" w:name="_Toc20115"/>
      <w:bookmarkStart w:id="463" w:name="_Toc29561"/>
      <w:bookmarkStart w:id="464" w:name="_Toc3321"/>
      <w:bookmarkStart w:id="465" w:name="_Toc27520"/>
      <w:r>
        <w:rPr>
          <w:rFonts w:cs="Times New Roman"/>
          <w:bCs w:val="0"/>
          <w:snapToGrid w:val="0"/>
          <w:kern w:val="0"/>
          <w:sz w:val="30"/>
          <w:szCs w:val="30"/>
        </w:rPr>
        <w:t>3.1区域环境概况</w:t>
      </w:r>
      <w:bookmarkEnd w:id="459"/>
      <w:bookmarkEnd w:id="460"/>
      <w:bookmarkEnd w:id="461"/>
      <w:bookmarkEnd w:id="462"/>
      <w:bookmarkEnd w:id="463"/>
      <w:bookmarkEnd w:id="464"/>
      <w:bookmarkEnd w:id="465"/>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66" w:name="_Toc30649"/>
      <w:bookmarkStart w:id="467" w:name="_Toc13509"/>
      <w:r>
        <w:rPr>
          <w:rFonts w:cs="Times New Roman"/>
          <w:bCs w:val="0"/>
          <w:snapToGrid w:val="0"/>
          <w:kern w:val="0"/>
          <w:sz w:val="28"/>
          <w:szCs w:val="28"/>
        </w:rPr>
        <w:t>3.1.1地理位置</w:t>
      </w:r>
      <w:bookmarkEnd w:id="466"/>
      <w:bookmarkEnd w:id="467"/>
    </w:p>
    <w:p>
      <w:pPr>
        <w:pStyle w:val="7"/>
        <w:snapToGrid w:val="0"/>
        <w:spacing w:line="540" w:lineRule="exact"/>
        <w:ind w:firstLine="480"/>
        <w:rPr>
          <w:rFonts w:hint="eastAsia" w:ascii="Times New Roman" w:hAnsi="Times New Roman" w:eastAsia="宋体"/>
          <w:snapToGrid w:val="0"/>
          <w:lang w:val="en-US" w:eastAsia="zh-CN"/>
        </w:rPr>
      </w:pPr>
      <w:r>
        <w:rPr>
          <w:rFonts w:ascii="Times New Roman" w:hAnsi="Times New Roman" w:eastAsia="宋体"/>
        </w:rPr>
        <w:t>项目位于</w:t>
      </w:r>
      <w:r>
        <w:rPr>
          <w:rFonts w:hint="eastAsia" w:ascii="Times New Roman" w:hAnsi="Times New Roman" w:eastAsia="宋体"/>
        </w:rPr>
        <w:t>固原市陇县神林乡神林村</w:t>
      </w:r>
      <w:r>
        <w:rPr>
          <w:rFonts w:hint="eastAsia" w:ascii="Times New Roman" w:hAnsi="Times New Roman" w:eastAsia="宋体"/>
          <w:lang w:eastAsia="zh-CN"/>
        </w:rPr>
        <w:t>，</w:t>
      </w:r>
      <w:r>
        <w:rPr>
          <w:rFonts w:ascii="Times New Roman" w:hAnsi="Times New Roman" w:eastAsia="宋体"/>
        </w:rPr>
        <w:t>项目厂区中心地理坐标为：</w:t>
      </w:r>
      <w:r>
        <w:rPr>
          <w:rFonts w:hint="eastAsia" w:ascii="Times New Roman" w:hAnsi="Times New Roman" w:eastAsia="宋体"/>
        </w:rPr>
        <w:t>东经105</w:t>
      </w:r>
      <w:r>
        <w:rPr>
          <w:rFonts w:ascii="Times New Roman" w:hAnsi="Times New Roman" w:eastAsia="宋体"/>
        </w:rPr>
        <w:t>°</w:t>
      </w:r>
      <w:r>
        <w:rPr>
          <w:rFonts w:hint="eastAsia" w:ascii="Times New Roman" w:hAnsi="Times New Roman" w:eastAsia="宋体"/>
        </w:rPr>
        <w:t>55</w:t>
      </w:r>
      <w:r>
        <w:rPr>
          <w:rFonts w:ascii="Times New Roman" w:hAnsi="Times New Roman" w:eastAsia="宋体"/>
        </w:rPr>
        <w:t>'</w:t>
      </w:r>
      <w:r>
        <w:rPr>
          <w:rFonts w:hint="eastAsia" w:ascii="Times New Roman" w:hAnsi="Times New Roman" w:eastAsia="宋体"/>
        </w:rPr>
        <w:t>15.13</w:t>
      </w:r>
      <w:r>
        <w:rPr>
          <w:rFonts w:ascii="Times New Roman" w:hAnsi="Times New Roman" w:eastAsia="宋体"/>
        </w:rPr>
        <w:t>"、</w:t>
      </w:r>
      <w:r>
        <w:rPr>
          <w:rFonts w:hint="eastAsia" w:ascii="Times New Roman" w:hAnsi="Times New Roman" w:eastAsia="宋体"/>
        </w:rPr>
        <w:t>北纬35</w:t>
      </w:r>
      <w:r>
        <w:rPr>
          <w:rFonts w:ascii="Times New Roman" w:hAnsi="Times New Roman" w:eastAsia="宋体"/>
        </w:rPr>
        <w:t>°</w:t>
      </w:r>
      <w:r>
        <w:rPr>
          <w:rFonts w:hint="eastAsia" w:ascii="Times New Roman" w:hAnsi="Times New Roman" w:eastAsia="宋体"/>
        </w:rPr>
        <w:t>34</w:t>
      </w:r>
      <w:r>
        <w:rPr>
          <w:rFonts w:ascii="Times New Roman" w:hAnsi="Times New Roman" w:eastAsia="宋体"/>
        </w:rPr>
        <w:t>'</w:t>
      </w:r>
      <w:r>
        <w:rPr>
          <w:rFonts w:hint="eastAsia" w:ascii="Times New Roman" w:hAnsi="Times New Roman" w:eastAsia="宋体"/>
        </w:rPr>
        <w:t>21.69</w:t>
      </w:r>
      <w:r>
        <w:rPr>
          <w:rFonts w:ascii="Times New Roman" w:hAnsi="Times New Roman" w:eastAsia="宋体"/>
        </w:rPr>
        <w:t>"</w:t>
      </w:r>
      <w:r>
        <w:rPr>
          <w:rFonts w:hint="eastAsia" w:ascii="Times New Roman" w:hAnsi="Times New Roman" w:eastAsia="宋体"/>
        </w:rPr>
        <w:t>。场区属城乡交接带，距隆德县城20km，北邻312国道，距312国道仅500m，东邻隆德县腾发牧草专业合作社，西与耕地相连</w:t>
      </w:r>
      <w:r>
        <w:rPr>
          <w:rFonts w:hint="eastAsia" w:ascii="Times New Roman" w:hAnsi="Times New Roman" w:eastAsia="宋体"/>
          <w:lang w:eastAsia="zh-CN"/>
        </w:rPr>
        <w:t>。</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68" w:name="_Toc1438"/>
      <w:bookmarkStart w:id="469" w:name="_Toc740"/>
      <w:r>
        <w:rPr>
          <w:rFonts w:cs="Times New Roman"/>
          <w:bCs w:val="0"/>
          <w:snapToGrid w:val="0"/>
          <w:kern w:val="0"/>
          <w:sz w:val="28"/>
          <w:szCs w:val="28"/>
        </w:rPr>
        <w:t>3.1.2地形地貌</w:t>
      </w:r>
      <w:bookmarkEnd w:id="468"/>
    </w:p>
    <w:p>
      <w:pPr>
        <w:adjustRightInd w:val="0"/>
        <w:snapToGrid w:val="0"/>
        <w:spacing w:line="540" w:lineRule="exact"/>
        <w:ind w:firstLine="480" w:firstLineChars="200"/>
        <w:rPr>
          <w:rFonts w:hint="eastAsia" w:ascii="Times New Roman" w:hAnsi="Times New Roman"/>
          <w:snapToGrid w:val="0"/>
          <w:sz w:val="24"/>
          <w:szCs w:val="32"/>
          <w:lang w:val="zh-CN"/>
        </w:rPr>
      </w:pPr>
      <w:r>
        <w:rPr>
          <w:rFonts w:hint="eastAsia" w:ascii="Times New Roman" w:hAnsi="Times New Roman"/>
          <w:snapToGrid w:val="0"/>
          <w:sz w:val="24"/>
          <w:szCs w:val="32"/>
          <w:lang w:val="sq-AL"/>
        </w:rPr>
        <w:t>神林乡地处六盘山西麓，地势东高西低，海拔1782—2110米。地形分为三带：北部、南部为黄土丘陵沟壑区，中部为渝河川谷地。主要山脉有雷爷山，葫芦原、丰台咀、雷爷梁、堡子山。</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70" w:name="_Toc24143"/>
      <w:bookmarkStart w:id="471" w:name="_Toc10638"/>
      <w:r>
        <w:rPr>
          <w:rFonts w:cs="Times New Roman"/>
          <w:bCs w:val="0"/>
          <w:snapToGrid w:val="0"/>
          <w:kern w:val="0"/>
          <w:sz w:val="28"/>
          <w:szCs w:val="28"/>
        </w:rPr>
        <w:t>3.1.3气象、气候</w:t>
      </w:r>
      <w:bookmarkEnd w:id="470"/>
      <w:bookmarkEnd w:id="471"/>
    </w:p>
    <w:p>
      <w:pPr>
        <w:adjustRightInd w:val="0"/>
        <w:snapToGrid w:val="0"/>
        <w:spacing w:line="540" w:lineRule="exact"/>
        <w:ind w:firstLine="480" w:firstLineChars="200"/>
        <w:rPr>
          <w:rFonts w:hint="eastAsia" w:ascii="Times New Roman" w:hAnsi="Times New Roman"/>
          <w:snapToGrid w:val="0"/>
          <w:sz w:val="24"/>
          <w:szCs w:val="32"/>
          <w:lang w:val="sq-AL"/>
        </w:rPr>
      </w:pPr>
      <w:bookmarkStart w:id="472" w:name="_Toc276"/>
      <w:bookmarkStart w:id="473" w:name="_Toc7958"/>
      <w:r>
        <w:rPr>
          <w:rFonts w:hint="eastAsia" w:ascii="Times New Roman" w:hAnsi="Times New Roman"/>
          <w:snapToGrid w:val="0"/>
          <w:sz w:val="24"/>
          <w:szCs w:val="32"/>
          <w:lang w:val="sq-AL"/>
        </w:rPr>
        <w:t>神林乡属温带半干旱大陆性气候，其特点是温和干燥。多年平均气温7.2℃。1月平均气温-6.2℃，极端最低气温-13.2℃；7月平均气温19.0℃，极端最高气温25.0℃。无霜期年平均124天。年平均日照时数2193.3小时，年辐射总量136.5千卡/平方厘米。</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lang w:val="zh-CN"/>
        </w:rPr>
      </w:pPr>
      <w:r>
        <w:rPr>
          <w:rFonts w:hint="eastAsia" w:cs="Times New Roman"/>
          <w:bCs w:val="0"/>
          <w:snapToGrid w:val="0"/>
          <w:kern w:val="0"/>
          <w:sz w:val="28"/>
          <w:szCs w:val="28"/>
          <w:lang w:val="zh-CN"/>
        </w:rPr>
        <w:t>3.1.4</w:t>
      </w:r>
      <w:bookmarkEnd w:id="472"/>
      <w:r>
        <w:rPr>
          <w:rFonts w:hint="eastAsia" w:cs="Times New Roman"/>
          <w:bCs w:val="0"/>
          <w:snapToGrid w:val="0"/>
          <w:kern w:val="0"/>
          <w:sz w:val="28"/>
          <w:szCs w:val="28"/>
          <w:lang w:val="zh-CN"/>
        </w:rPr>
        <w:t>水文</w:t>
      </w:r>
      <w:bookmarkEnd w:id="473"/>
      <w:bookmarkStart w:id="474" w:name="_Toc24097"/>
    </w:p>
    <w:p>
      <w:pPr>
        <w:tabs>
          <w:tab w:val="left" w:pos="1843"/>
        </w:tabs>
        <w:adjustRightInd w:val="0"/>
        <w:snapToGrid w:val="0"/>
        <w:spacing w:line="540" w:lineRule="exact"/>
        <w:ind w:firstLine="480" w:firstLineChars="200"/>
        <w:rPr>
          <w:rFonts w:hint="eastAsia" w:ascii="Times New Roman" w:hAnsi="Times New Roman"/>
          <w:sz w:val="24"/>
          <w:lang w:val="sq-AL"/>
        </w:rPr>
      </w:pPr>
      <w:bookmarkStart w:id="475" w:name="_Toc15724"/>
      <w:r>
        <w:rPr>
          <w:rFonts w:hint="eastAsia" w:ascii="Times New Roman" w:hAnsi="Times New Roman"/>
          <w:sz w:val="24"/>
          <w:lang w:eastAsia="zh-CN"/>
        </w:rPr>
        <w:t>项目所在地</w:t>
      </w:r>
      <w:r>
        <w:rPr>
          <w:rFonts w:hint="eastAsia" w:ascii="Times New Roman" w:hAnsi="Times New Roman"/>
          <w:sz w:val="24"/>
        </w:rPr>
        <w:t>神林乡</w:t>
      </w:r>
      <w:r>
        <w:rPr>
          <w:rFonts w:hint="eastAsia" w:ascii="Times New Roman" w:hAnsi="Times New Roman"/>
          <w:sz w:val="24"/>
          <w:lang w:eastAsia="zh-CN"/>
        </w:rPr>
        <w:t>，</w:t>
      </w:r>
      <w:r>
        <w:rPr>
          <w:rFonts w:hint="eastAsia" w:ascii="Times New Roman" w:hAnsi="Times New Roman"/>
          <w:sz w:val="24"/>
        </w:rPr>
        <w:t>地处渝河中游，渝河东西穿境而过，年径流量约0.2亿立方米。</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r>
        <w:rPr>
          <w:rFonts w:cs="Times New Roman"/>
          <w:bCs w:val="0"/>
          <w:snapToGrid w:val="0"/>
          <w:kern w:val="0"/>
          <w:sz w:val="28"/>
          <w:szCs w:val="28"/>
        </w:rPr>
        <w:t>3.1.5土壤植被</w:t>
      </w:r>
      <w:bookmarkEnd w:id="474"/>
      <w:bookmarkEnd w:id="475"/>
    </w:p>
    <w:p>
      <w:pPr>
        <w:tabs>
          <w:tab w:val="left" w:pos="1843"/>
        </w:tabs>
        <w:adjustRightInd w:val="0"/>
        <w:snapToGrid w:val="0"/>
        <w:spacing w:line="540" w:lineRule="exact"/>
        <w:ind w:firstLine="480" w:firstLineChars="200"/>
        <w:rPr>
          <w:rFonts w:ascii="Times New Roman" w:hAnsi="Times New Roman"/>
          <w:sz w:val="24"/>
        </w:rPr>
      </w:pPr>
      <w:bookmarkStart w:id="476" w:name="_Toc22541"/>
      <w:r>
        <w:rPr>
          <w:rFonts w:hint="eastAsia" w:ascii="Times New Roman" w:hAnsi="Times New Roman"/>
          <w:sz w:val="24"/>
        </w:rPr>
        <w:t>隆德县土地分始成土、黑垆土、黑麻土、新成土、棕壤、灰褐土、黝土、山地草甸土、草甸土、沼泽土10个类型</w:t>
      </w:r>
      <w:r>
        <w:rPr>
          <w:rFonts w:ascii="Times New Roman" w:hAnsi="Times New Roman"/>
          <w:sz w:val="24"/>
        </w:rPr>
        <w:t>。</w:t>
      </w:r>
    </w:p>
    <w:p>
      <w:pPr>
        <w:tabs>
          <w:tab w:val="left" w:pos="1843"/>
        </w:tabs>
        <w:adjustRightInd w:val="0"/>
        <w:snapToGrid w:val="0"/>
        <w:spacing w:line="540" w:lineRule="exact"/>
        <w:ind w:firstLine="480" w:firstLineChars="200"/>
        <w:rPr>
          <w:rFonts w:ascii="Times New Roman" w:hAnsi="Times New Roman"/>
          <w:sz w:val="24"/>
        </w:rPr>
      </w:pPr>
      <w:r>
        <w:rPr>
          <w:rFonts w:hint="eastAsia" w:ascii="Times New Roman" w:hAnsi="Times New Roman"/>
          <w:sz w:val="24"/>
        </w:rPr>
        <w:t>《隆德县志》（1991-2000）记载，隆德县境内植物共113科788种，其中药用90科618种。列名苔藓植物41种，蕨类植物18种，蕨类植物18种，裸子、被子植物729种。被子植物为优势种群，分86科，337属，占全国被子植物总科数的28.5%，占总属数的11.3%，占总种数的2.9%。788种植物中，资源植物322种11类。国家重点保护的稀有植物桃儿七、黄芪2种，造林树种及经济植物45种，油料植物50种，淀粉植物14种，纤维植物20种，单宁植物36种，牧草24种，花卉观赏植物18种，食用菌、藻类21种，食用菌、藻类21种，野生果菜类29种。境内六盘山自然保护区有华山松、糙皮桦、沙棘灌丛等耐寒、耐旱、耐贫瘠的优良树种。柳树全县存量甚少，目前“左公柳”仅存26棵。</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77" w:name="_Toc17370"/>
      <w:r>
        <w:rPr>
          <w:rFonts w:cs="Times New Roman"/>
          <w:bCs w:val="0"/>
          <w:snapToGrid w:val="0"/>
          <w:kern w:val="0"/>
          <w:sz w:val="28"/>
          <w:szCs w:val="28"/>
        </w:rPr>
        <w:t>3.1.6地震</w:t>
      </w:r>
      <w:bookmarkEnd w:id="476"/>
      <w:bookmarkEnd w:id="477"/>
    </w:p>
    <w:p>
      <w:pPr>
        <w:tabs>
          <w:tab w:val="left" w:pos="1843"/>
        </w:tabs>
        <w:adjustRightInd w:val="0"/>
        <w:snapToGrid w:val="0"/>
        <w:spacing w:line="540" w:lineRule="exact"/>
        <w:ind w:firstLine="480" w:firstLineChars="200"/>
        <w:rPr>
          <w:rFonts w:ascii="Times New Roman" w:hAnsi="Times New Roman"/>
        </w:rPr>
      </w:pPr>
      <w:r>
        <w:rPr>
          <w:rFonts w:ascii="Times New Roman" w:hAnsi="Times New Roman"/>
          <w:sz w:val="24"/>
        </w:rPr>
        <w:t>依据《建筑抗震设</w:t>
      </w:r>
      <w:r>
        <w:rPr>
          <w:rFonts w:hint="eastAsia" w:ascii="Times New Roman" w:hAnsi="Times New Roman"/>
          <w:sz w:val="24"/>
        </w:rPr>
        <w:t>附件</w:t>
      </w:r>
      <w:r>
        <w:rPr>
          <w:rFonts w:ascii="Times New Roman" w:hAnsi="Times New Roman"/>
          <w:sz w:val="24"/>
        </w:rPr>
        <w:t>计规范》（GB 50011-2010）、《中国地震动参数区划图》（GB18306-2015），设计基本地震加速度为0.20g，设计特征周期为0.40s。</w:t>
      </w:r>
    </w:p>
    <w:p>
      <w:pPr>
        <w:pStyle w:val="51"/>
        <w:snapToGrid w:val="0"/>
        <w:spacing w:before="120" w:beforeLines="50" w:after="120" w:afterLines="50" w:line="540" w:lineRule="exact"/>
        <w:contextualSpacing/>
        <w:rPr>
          <w:rFonts w:cs="Times New Roman"/>
          <w:bCs w:val="0"/>
          <w:snapToGrid w:val="0"/>
          <w:kern w:val="0"/>
          <w:sz w:val="30"/>
          <w:szCs w:val="30"/>
        </w:rPr>
      </w:pPr>
      <w:bookmarkStart w:id="478" w:name="_Toc27261"/>
      <w:bookmarkStart w:id="479" w:name="_Toc16875"/>
      <w:bookmarkStart w:id="480" w:name="_Toc25440"/>
      <w:r>
        <w:rPr>
          <w:rFonts w:cs="Times New Roman"/>
          <w:bCs w:val="0"/>
          <w:snapToGrid w:val="0"/>
          <w:kern w:val="0"/>
          <w:sz w:val="30"/>
          <w:szCs w:val="30"/>
        </w:rPr>
        <w:t>3.2环境质量现状监测与评价</w:t>
      </w:r>
      <w:bookmarkEnd w:id="469"/>
      <w:bookmarkEnd w:id="478"/>
      <w:bookmarkEnd w:id="479"/>
      <w:bookmarkEnd w:id="480"/>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481" w:name="_Toc337"/>
      <w:bookmarkStart w:id="482" w:name="_Toc12953"/>
      <w:r>
        <w:rPr>
          <w:rFonts w:cs="Times New Roman"/>
          <w:bCs w:val="0"/>
          <w:snapToGrid w:val="0"/>
          <w:kern w:val="0"/>
          <w:sz w:val="28"/>
          <w:szCs w:val="28"/>
        </w:rPr>
        <w:t>3.2.1环境空气质量现状监测与评价</w:t>
      </w:r>
      <w:bookmarkEnd w:id="481"/>
      <w:bookmarkEnd w:id="482"/>
    </w:p>
    <w:p>
      <w:pPr>
        <w:pStyle w:val="6"/>
        <w:snapToGrid w:val="0"/>
        <w:spacing w:before="120" w:after="120" w:line="540" w:lineRule="exact"/>
        <w:contextualSpacing/>
        <w:rPr>
          <w:rFonts w:ascii="Times New Roman" w:hAnsi="Times New Roman" w:eastAsia="宋体"/>
          <w:bCs w:val="0"/>
          <w:sz w:val="24"/>
        </w:rPr>
      </w:pPr>
      <w:r>
        <w:rPr>
          <w:rFonts w:ascii="Times New Roman" w:hAnsi="Times New Roman" w:eastAsia="宋体"/>
          <w:bCs w:val="0"/>
          <w:sz w:val="24"/>
        </w:rPr>
        <w:t>3.2.1.1项目所在区域达标判定</w:t>
      </w:r>
    </w:p>
    <w:p>
      <w:pPr>
        <w:pStyle w:val="7"/>
        <w:adjustRightInd/>
        <w:spacing w:line="540" w:lineRule="exact"/>
        <w:ind w:firstLine="480"/>
        <w:rPr>
          <w:rFonts w:ascii="Times New Roman" w:hAnsi="Times New Roman" w:eastAsia="宋体"/>
        </w:rPr>
      </w:pPr>
      <w:bookmarkStart w:id="483" w:name="_Toc5897"/>
      <w:r>
        <w:rPr>
          <w:rFonts w:ascii="Times New Roman" w:hAnsi="Times New Roman" w:eastAsia="宋体"/>
        </w:rPr>
        <w:t>⑴项目所在区域达标判定</w:t>
      </w:r>
    </w:p>
    <w:p>
      <w:pPr>
        <w:spacing w:line="540" w:lineRule="exact"/>
        <w:ind w:firstLine="480" w:firstLineChars="200"/>
        <w:rPr>
          <w:rFonts w:ascii="Times New Roman" w:hAnsi="Times New Roman"/>
          <w:bCs/>
          <w:sz w:val="24"/>
          <w:szCs w:val="18"/>
          <w:lang w:val="sq-AL"/>
        </w:rPr>
      </w:pPr>
      <w:r>
        <w:rPr>
          <w:rFonts w:ascii="Times New Roman" w:hAnsi="Times New Roman"/>
          <w:bCs/>
          <w:sz w:val="24"/>
          <w:szCs w:val="18"/>
          <w:lang w:val="sq-AL"/>
        </w:rPr>
        <w:t>根</w:t>
      </w:r>
      <w:r>
        <w:rPr>
          <w:rFonts w:hint="eastAsia" w:ascii="Times New Roman" w:hAnsi="Times New Roman"/>
          <w:bCs/>
          <w:sz w:val="24"/>
          <w:szCs w:val="18"/>
        </w:rPr>
        <w:t>根据《环境影响评价技术导则大气环境》（</w:t>
      </w:r>
      <w:r>
        <w:rPr>
          <w:rFonts w:ascii="Times New Roman" w:hAnsi="Times New Roman"/>
          <w:bCs/>
          <w:sz w:val="24"/>
          <w:szCs w:val="18"/>
        </w:rPr>
        <w:t>HJ2.2-2018</w:t>
      </w:r>
      <w:r>
        <w:rPr>
          <w:rFonts w:hint="eastAsia" w:ascii="Times New Roman" w:hAnsi="Times New Roman"/>
          <w:bCs/>
          <w:sz w:val="24"/>
          <w:szCs w:val="18"/>
        </w:rPr>
        <w:t>）中</w:t>
      </w:r>
      <w:r>
        <w:rPr>
          <w:rFonts w:ascii="Times New Roman" w:hAnsi="Times New Roman"/>
          <w:bCs/>
          <w:sz w:val="24"/>
          <w:szCs w:val="18"/>
        </w:rPr>
        <w:t>6.2.1.1</w:t>
      </w:r>
      <w:r>
        <w:rPr>
          <w:rFonts w:hint="eastAsia" w:ascii="Times New Roman" w:hAnsi="Times New Roman"/>
          <w:bCs/>
          <w:sz w:val="24"/>
          <w:szCs w:val="18"/>
        </w:rPr>
        <w:t>规定</w:t>
      </w:r>
      <w:r>
        <w:rPr>
          <w:rFonts w:ascii="Times New Roman" w:hAnsi="Times New Roman"/>
          <w:bCs/>
          <w:sz w:val="24"/>
          <w:szCs w:val="18"/>
        </w:rPr>
        <w:t>“</w:t>
      </w:r>
      <w:r>
        <w:rPr>
          <w:rFonts w:hint="eastAsia" w:ascii="Times New Roman" w:hAnsi="Times New Roman"/>
          <w:bCs/>
          <w:sz w:val="24"/>
          <w:szCs w:val="18"/>
        </w:rPr>
        <w:t>项目所在区域达标判定，优先采用国家或地方生态环境主管部门公开发布的评价基准年环境，质量公告或环境质量报告中的数据或结论</w:t>
      </w:r>
      <w:r>
        <w:rPr>
          <w:rFonts w:ascii="Times New Roman" w:hAnsi="Times New Roman"/>
          <w:bCs/>
          <w:sz w:val="24"/>
          <w:szCs w:val="18"/>
        </w:rPr>
        <w:t>”</w:t>
      </w:r>
      <w:r>
        <w:rPr>
          <w:rFonts w:hint="eastAsia" w:ascii="Times New Roman" w:hAnsi="Times New Roman"/>
          <w:bCs/>
          <w:sz w:val="24"/>
          <w:szCs w:val="18"/>
        </w:rPr>
        <w:t>以及</w:t>
      </w:r>
      <w:r>
        <w:rPr>
          <w:rFonts w:ascii="Times New Roman" w:hAnsi="Times New Roman"/>
          <w:bCs/>
          <w:sz w:val="24"/>
          <w:szCs w:val="18"/>
        </w:rPr>
        <w:t>6.2.1.3</w:t>
      </w:r>
      <w:r>
        <w:rPr>
          <w:rFonts w:hint="eastAsia" w:ascii="Times New Roman" w:hAnsi="Times New Roman"/>
          <w:bCs/>
          <w:sz w:val="24"/>
          <w:szCs w:val="18"/>
        </w:rPr>
        <w:t>规定</w:t>
      </w:r>
      <w:r>
        <w:rPr>
          <w:rFonts w:ascii="Times New Roman" w:hAnsi="Times New Roman"/>
          <w:bCs/>
          <w:sz w:val="24"/>
          <w:szCs w:val="18"/>
        </w:rPr>
        <w:t>“</w:t>
      </w:r>
      <w:r>
        <w:rPr>
          <w:rFonts w:hint="eastAsia" w:ascii="Times New Roman" w:hAnsi="Times New Roman"/>
          <w:bCs/>
          <w:sz w:val="24"/>
          <w:szCs w:val="18"/>
        </w:rPr>
        <w:t xml:space="preserve">评价范围内没有环境空气质量监测网数据或公开发布的环境空气质量现状数据的，可选择符合 </w:t>
      </w:r>
      <w:r>
        <w:rPr>
          <w:rFonts w:ascii="Times New Roman" w:hAnsi="Times New Roman"/>
          <w:bCs/>
          <w:sz w:val="24"/>
          <w:szCs w:val="18"/>
        </w:rPr>
        <w:t xml:space="preserve">HJ664 </w:t>
      </w:r>
      <w:r>
        <w:rPr>
          <w:rFonts w:hint="eastAsia" w:ascii="Times New Roman" w:hAnsi="Times New Roman"/>
          <w:bCs/>
          <w:sz w:val="24"/>
          <w:szCs w:val="18"/>
        </w:rPr>
        <w:t>规定，并且与评价范围地理位置邻近，地形、气候条件相近的环境空气质量城市点或区域点监测数据</w:t>
      </w:r>
      <w:r>
        <w:rPr>
          <w:rFonts w:ascii="Times New Roman" w:hAnsi="Times New Roman"/>
          <w:bCs/>
          <w:sz w:val="24"/>
          <w:szCs w:val="18"/>
        </w:rPr>
        <w:t>”</w:t>
      </w:r>
      <w:r>
        <w:rPr>
          <w:rFonts w:hint="eastAsia" w:ascii="Times New Roman" w:hAnsi="Times New Roman"/>
          <w:bCs/>
          <w:sz w:val="24"/>
          <w:szCs w:val="18"/>
        </w:rPr>
        <w:t>。</w:t>
      </w:r>
    </w:p>
    <w:p>
      <w:pPr>
        <w:spacing w:line="540" w:lineRule="exact"/>
        <w:ind w:firstLine="480" w:firstLineChars="200"/>
        <w:rPr>
          <w:rFonts w:ascii="Times New Roman" w:hAnsi="Times New Roman"/>
          <w:b/>
          <w:bCs/>
          <w:snapToGrid w:val="0"/>
          <w:sz w:val="24"/>
          <w:szCs w:val="32"/>
        </w:rPr>
      </w:pPr>
      <w:r>
        <w:rPr>
          <w:rFonts w:hint="eastAsia" w:ascii="Times New Roman" w:hAnsi="Times New Roman"/>
          <w:bCs/>
          <w:sz w:val="24"/>
          <w:szCs w:val="18"/>
        </w:rPr>
        <w:t>本项目位于宁夏固原市隆德县神林乡神林村，所在行政区划范围为固原市，区域环境空气质量现状评价直接引用《</w:t>
      </w:r>
      <w:r>
        <w:rPr>
          <w:rFonts w:ascii="Times New Roman" w:hAnsi="Times New Roman"/>
          <w:bCs/>
          <w:sz w:val="24"/>
          <w:szCs w:val="18"/>
        </w:rPr>
        <w:t>20</w:t>
      </w:r>
      <w:r>
        <w:rPr>
          <w:rFonts w:hint="eastAsia" w:ascii="Times New Roman" w:hAnsi="Times New Roman"/>
          <w:bCs/>
          <w:sz w:val="24"/>
          <w:szCs w:val="18"/>
        </w:rPr>
        <w:t xml:space="preserve">20年宁夏生态环境质量状况》公布的固原市隆德县的监测数据对项目达标区判定。所在区域公布的环境空气质量现状评价具体见表 </w:t>
      </w:r>
      <w:r>
        <w:rPr>
          <w:rFonts w:ascii="Times New Roman" w:hAnsi="Times New Roman"/>
          <w:bCs/>
          <w:sz w:val="24"/>
          <w:szCs w:val="18"/>
        </w:rPr>
        <w:t>3.2-1</w:t>
      </w:r>
      <w:r>
        <w:rPr>
          <w:rFonts w:hint="eastAsia" w:ascii="Times New Roman" w:hAnsi="Times New Roman"/>
          <w:bCs/>
          <w:sz w:val="24"/>
          <w:szCs w:val="18"/>
        </w:rPr>
        <w:t>。</w:t>
      </w:r>
    </w:p>
    <w:p>
      <w:pPr>
        <w:spacing w:before="120" w:beforeLines="50"/>
        <w:ind w:firstLine="722" w:firstLineChars="300"/>
        <w:rPr>
          <w:rFonts w:ascii="Times New Roman" w:hAnsi="Times New Roman"/>
          <w:b/>
          <w:bCs/>
          <w:snapToGrid w:val="0"/>
          <w:sz w:val="24"/>
        </w:rPr>
      </w:pPr>
      <w:r>
        <w:rPr>
          <w:rFonts w:ascii="Times New Roman" w:hAnsi="Times New Roman"/>
          <w:b/>
          <w:bCs/>
          <w:snapToGrid w:val="0"/>
          <w:sz w:val="24"/>
          <w:szCs w:val="32"/>
        </w:rPr>
        <w:t xml:space="preserve">表3.2-1              </w:t>
      </w:r>
      <w:r>
        <w:rPr>
          <w:rFonts w:ascii="Times New Roman" w:hAnsi="Times New Roman"/>
          <w:b/>
          <w:bCs/>
          <w:snapToGrid w:val="0"/>
          <w:sz w:val="24"/>
        </w:rPr>
        <w:t xml:space="preserve">  区域公布的环境空气质量现状评价表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0"/>
        <w:gridCol w:w="2232"/>
        <w:gridCol w:w="1676"/>
        <w:gridCol w:w="1537"/>
        <w:gridCol w:w="1398"/>
        <w:gridCol w:w="127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jc w:val="center"/>
        </w:trPr>
        <w:tc>
          <w:tcPr>
            <w:tcW w:w="937" w:type="dxa"/>
            <w:tcBorders>
              <w:top w:val="single" w:color="auto" w:sz="12" w:space="0"/>
              <w:left w:val="single" w:color="auto" w:sz="12" w:space="0"/>
              <w:bottom w:val="single" w:color="auto" w:sz="6" w:space="0"/>
              <w:right w:val="single" w:color="auto" w:sz="6" w:space="0"/>
            </w:tcBorders>
            <w:vAlign w:val="center"/>
          </w:tcPr>
          <w:p>
            <w:pPr>
              <w:jc w:val="center"/>
              <w:rPr>
                <w:rFonts w:ascii="Times New Roman" w:hAnsi="Times New Roman"/>
                <w:bCs/>
                <w:snapToGrid w:val="0"/>
                <w:szCs w:val="21"/>
              </w:rPr>
            </w:pPr>
            <w:r>
              <w:rPr>
                <w:rFonts w:ascii="Times New Roman" w:hAnsi="Times New Roman"/>
                <w:bCs/>
                <w:snapToGrid w:val="0"/>
                <w:szCs w:val="21"/>
              </w:rPr>
              <w:t>污染物</w:t>
            </w:r>
          </w:p>
        </w:tc>
        <w:tc>
          <w:tcPr>
            <w:tcW w:w="2202" w:type="dxa"/>
            <w:tcBorders>
              <w:top w:val="single" w:color="auto" w:sz="12" w:space="0"/>
              <w:left w:val="single" w:color="auto" w:sz="6" w:space="0"/>
              <w:bottom w:val="single" w:color="auto" w:sz="6" w:space="0"/>
              <w:right w:val="single" w:color="auto" w:sz="6" w:space="0"/>
            </w:tcBorders>
            <w:vAlign w:val="center"/>
          </w:tcPr>
          <w:p>
            <w:pPr>
              <w:jc w:val="center"/>
              <w:rPr>
                <w:rFonts w:ascii="Times New Roman" w:hAnsi="Times New Roman"/>
                <w:bCs/>
                <w:snapToGrid w:val="0"/>
                <w:szCs w:val="21"/>
              </w:rPr>
            </w:pPr>
            <w:r>
              <w:rPr>
                <w:rFonts w:ascii="Times New Roman" w:hAnsi="Times New Roman"/>
                <w:bCs/>
                <w:snapToGrid w:val="0"/>
                <w:szCs w:val="21"/>
              </w:rPr>
              <w:t>年评价指标</w:t>
            </w:r>
          </w:p>
        </w:tc>
        <w:tc>
          <w:tcPr>
            <w:tcW w:w="1653" w:type="dxa"/>
            <w:tcBorders>
              <w:top w:val="single" w:color="auto" w:sz="12" w:space="0"/>
              <w:left w:val="single" w:color="auto" w:sz="6" w:space="0"/>
              <w:bottom w:val="single" w:color="auto" w:sz="6" w:space="0"/>
              <w:right w:val="single" w:color="auto" w:sz="6" w:space="0"/>
            </w:tcBorders>
            <w:vAlign w:val="center"/>
          </w:tcPr>
          <w:p>
            <w:pPr>
              <w:jc w:val="center"/>
              <w:rPr>
                <w:rFonts w:ascii="Times New Roman" w:hAnsi="Times New Roman"/>
                <w:bCs/>
                <w:snapToGrid w:val="0"/>
                <w:szCs w:val="21"/>
              </w:rPr>
            </w:pPr>
            <w:r>
              <w:rPr>
                <w:rFonts w:ascii="Times New Roman" w:hAnsi="Times New Roman"/>
                <w:bCs/>
                <w:snapToGrid w:val="0"/>
                <w:szCs w:val="21"/>
              </w:rPr>
              <w:t>现状浓度（μg/m</w:t>
            </w:r>
            <w:r>
              <w:rPr>
                <w:rFonts w:ascii="Times New Roman" w:hAnsi="Times New Roman"/>
                <w:bCs/>
                <w:snapToGrid w:val="0"/>
                <w:szCs w:val="21"/>
                <w:vertAlign w:val="superscript"/>
              </w:rPr>
              <w:t>3</w:t>
            </w:r>
            <w:r>
              <w:rPr>
                <w:rFonts w:ascii="Times New Roman" w:hAnsi="Times New Roman"/>
                <w:bCs/>
                <w:snapToGrid w:val="0"/>
                <w:szCs w:val="21"/>
              </w:rPr>
              <w:t>）</w:t>
            </w:r>
          </w:p>
        </w:tc>
        <w:tc>
          <w:tcPr>
            <w:tcW w:w="1516" w:type="dxa"/>
            <w:tcBorders>
              <w:top w:val="single" w:color="auto" w:sz="12" w:space="0"/>
              <w:left w:val="single" w:color="auto" w:sz="6" w:space="0"/>
              <w:bottom w:val="single" w:color="auto" w:sz="6" w:space="0"/>
              <w:right w:val="single" w:color="auto" w:sz="6" w:space="0"/>
            </w:tcBorders>
            <w:vAlign w:val="center"/>
          </w:tcPr>
          <w:p>
            <w:pPr>
              <w:jc w:val="center"/>
              <w:rPr>
                <w:rFonts w:ascii="Times New Roman" w:hAnsi="Times New Roman"/>
                <w:bCs/>
                <w:snapToGrid w:val="0"/>
                <w:szCs w:val="21"/>
              </w:rPr>
            </w:pPr>
            <w:r>
              <w:rPr>
                <w:rFonts w:ascii="Times New Roman" w:hAnsi="Times New Roman"/>
                <w:bCs/>
                <w:snapToGrid w:val="0"/>
                <w:szCs w:val="21"/>
              </w:rPr>
              <w:t>标准值（μg/m</w:t>
            </w:r>
            <w:r>
              <w:rPr>
                <w:rFonts w:ascii="Times New Roman" w:hAnsi="Times New Roman"/>
                <w:bCs/>
                <w:snapToGrid w:val="0"/>
                <w:szCs w:val="21"/>
                <w:vertAlign w:val="superscript"/>
              </w:rPr>
              <w:t>3</w:t>
            </w:r>
            <w:r>
              <w:rPr>
                <w:rFonts w:ascii="Times New Roman" w:hAnsi="Times New Roman"/>
                <w:bCs/>
                <w:snapToGrid w:val="0"/>
                <w:szCs w:val="21"/>
              </w:rPr>
              <w:t>）</w:t>
            </w:r>
          </w:p>
        </w:tc>
        <w:tc>
          <w:tcPr>
            <w:tcW w:w="1379" w:type="dxa"/>
            <w:tcBorders>
              <w:top w:val="single" w:color="auto" w:sz="12" w:space="0"/>
              <w:left w:val="single" w:color="auto" w:sz="6" w:space="0"/>
              <w:bottom w:val="single" w:color="auto" w:sz="6" w:space="0"/>
              <w:right w:val="single" w:color="auto" w:sz="6" w:space="0"/>
            </w:tcBorders>
            <w:vAlign w:val="center"/>
          </w:tcPr>
          <w:p>
            <w:pPr>
              <w:jc w:val="center"/>
              <w:rPr>
                <w:rFonts w:ascii="Times New Roman" w:hAnsi="Times New Roman"/>
                <w:bCs/>
                <w:snapToGrid w:val="0"/>
                <w:szCs w:val="21"/>
              </w:rPr>
            </w:pPr>
            <w:r>
              <w:rPr>
                <w:rFonts w:ascii="Times New Roman" w:hAnsi="Times New Roman"/>
                <w:bCs/>
                <w:snapToGrid w:val="0"/>
                <w:szCs w:val="21"/>
              </w:rPr>
              <w:t>占标率/%</w:t>
            </w:r>
          </w:p>
        </w:tc>
        <w:tc>
          <w:tcPr>
            <w:tcW w:w="1261" w:type="dxa"/>
            <w:tcBorders>
              <w:top w:val="single" w:color="auto" w:sz="12" w:space="0"/>
              <w:left w:val="single" w:color="auto" w:sz="6" w:space="0"/>
              <w:bottom w:val="single" w:color="auto" w:sz="6" w:space="0"/>
              <w:right w:val="single" w:color="auto" w:sz="12" w:space="0"/>
            </w:tcBorders>
            <w:vAlign w:val="center"/>
          </w:tcPr>
          <w:p>
            <w:pPr>
              <w:jc w:val="center"/>
              <w:rPr>
                <w:rFonts w:ascii="Times New Roman" w:hAnsi="Times New Roman"/>
                <w:bCs/>
                <w:snapToGrid w:val="0"/>
                <w:szCs w:val="21"/>
              </w:rPr>
            </w:pPr>
            <w:r>
              <w:rPr>
                <w:rFonts w:ascii="Times New Roman" w:hAnsi="Times New Roman"/>
                <w:bCs/>
                <w:snapToGrid w:val="0"/>
                <w:szCs w:val="21"/>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jc w:val="center"/>
        </w:trPr>
        <w:tc>
          <w:tcPr>
            <w:tcW w:w="937" w:type="dxa"/>
            <w:tcBorders>
              <w:top w:val="single" w:color="auto" w:sz="6" w:space="0"/>
              <w:left w:val="single" w:color="auto" w:sz="12"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PM</w:t>
            </w:r>
            <w:r>
              <w:rPr>
                <w:rFonts w:ascii="Times New Roman" w:hAnsi="Times New Roman"/>
                <w:snapToGrid w:val="0"/>
                <w:szCs w:val="21"/>
                <w:vertAlign w:val="subscript"/>
              </w:rPr>
              <w:t>10</w:t>
            </w:r>
          </w:p>
        </w:tc>
        <w:tc>
          <w:tcPr>
            <w:tcW w:w="2202"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年平均质量浓度</w:t>
            </w:r>
          </w:p>
        </w:tc>
        <w:tc>
          <w:tcPr>
            <w:tcW w:w="1653"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52</w:t>
            </w:r>
          </w:p>
        </w:tc>
        <w:tc>
          <w:tcPr>
            <w:tcW w:w="1516"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7</w:t>
            </w:r>
            <w:r>
              <w:rPr>
                <w:rFonts w:hint="eastAsia" w:ascii="Times New Roman" w:hAnsi="Times New Roman"/>
                <w:snapToGrid w:val="0"/>
                <w:szCs w:val="21"/>
              </w:rPr>
              <w:t>1</w:t>
            </w:r>
          </w:p>
        </w:tc>
        <w:tc>
          <w:tcPr>
            <w:tcW w:w="1379"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73.2</w:t>
            </w:r>
          </w:p>
        </w:tc>
        <w:tc>
          <w:tcPr>
            <w:tcW w:w="1261"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snapToGrid w:val="0"/>
                <w:szCs w:val="21"/>
              </w:rPr>
            </w:pPr>
            <w:r>
              <w:rPr>
                <w:rFonts w:ascii="Times New Roman" w:hAnsi="Times New Roman"/>
                <w:snapToGrid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937" w:type="dxa"/>
            <w:tcBorders>
              <w:top w:val="single" w:color="auto" w:sz="6" w:space="0"/>
              <w:left w:val="single" w:color="auto" w:sz="12"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PM</w:t>
            </w:r>
            <w:r>
              <w:rPr>
                <w:rFonts w:ascii="Times New Roman" w:hAnsi="Times New Roman"/>
                <w:snapToGrid w:val="0"/>
                <w:szCs w:val="21"/>
                <w:vertAlign w:val="subscript"/>
              </w:rPr>
              <w:t>2.5</w:t>
            </w:r>
          </w:p>
        </w:tc>
        <w:tc>
          <w:tcPr>
            <w:tcW w:w="2202"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年平均质量浓度</w:t>
            </w:r>
          </w:p>
        </w:tc>
        <w:tc>
          <w:tcPr>
            <w:tcW w:w="1653"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25</w:t>
            </w:r>
          </w:p>
        </w:tc>
        <w:tc>
          <w:tcPr>
            <w:tcW w:w="1516"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33</w:t>
            </w:r>
          </w:p>
        </w:tc>
        <w:tc>
          <w:tcPr>
            <w:tcW w:w="1379"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75..7</w:t>
            </w:r>
          </w:p>
        </w:tc>
        <w:tc>
          <w:tcPr>
            <w:tcW w:w="1261"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snapToGrid w:val="0"/>
                <w:szCs w:val="21"/>
              </w:rPr>
            </w:pPr>
            <w:r>
              <w:rPr>
                <w:rFonts w:ascii="Times New Roman" w:hAnsi="Times New Roman"/>
                <w:snapToGrid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jc w:val="center"/>
        </w:trPr>
        <w:tc>
          <w:tcPr>
            <w:tcW w:w="937" w:type="dxa"/>
            <w:tcBorders>
              <w:top w:val="single" w:color="auto" w:sz="6" w:space="0"/>
              <w:left w:val="single" w:color="auto" w:sz="12"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SO</w:t>
            </w:r>
            <w:r>
              <w:rPr>
                <w:rFonts w:ascii="Times New Roman" w:hAnsi="Times New Roman"/>
                <w:snapToGrid w:val="0"/>
                <w:szCs w:val="21"/>
                <w:vertAlign w:val="subscript"/>
              </w:rPr>
              <w:t>2</w:t>
            </w:r>
          </w:p>
        </w:tc>
        <w:tc>
          <w:tcPr>
            <w:tcW w:w="2202"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年平均质量浓度</w:t>
            </w:r>
          </w:p>
        </w:tc>
        <w:tc>
          <w:tcPr>
            <w:tcW w:w="1653"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8</w:t>
            </w:r>
          </w:p>
        </w:tc>
        <w:tc>
          <w:tcPr>
            <w:tcW w:w="1516"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60</w:t>
            </w:r>
          </w:p>
        </w:tc>
        <w:tc>
          <w:tcPr>
            <w:tcW w:w="1379"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13.3</w:t>
            </w:r>
          </w:p>
        </w:tc>
        <w:tc>
          <w:tcPr>
            <w:tcW w:w="1261"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snapToGrid w:val="0"/>
                <w:szCs w:val="21"/>
              </w:rPr>
            </w:pPr>
            <w:r>
              <w:rPr>
                <w:rFonts w:ascii="Times New Roman" w:hAnsi="Times New Roman"/>
                <w:snapToGrid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1" w:hRule="atLeast"/>
          <w:jc w:val="center"/>
        </w:trPr>
        <w:tc>
          <w:tcPr>
            <w:tcW w:w="937" w:type="dxa"/>
            <w:tcBorders>
              <w:top w:val="single" w:color="auto" w:sz="6" w:space="0"/>
              <w:left w:val="single" w:color="auto" w:sz="12"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NO</w:t>
            </w:r>
            <w:r>
              <w:rPr>
                <w:rFonts w:ascii="Times New Roman" w:hAnsi="Times New Roman"/>
                <w:snapToGrid w:val="0"/>
                <w:szCs w:val="21"/>
                <w:vertAlign w:val="subscript"/>
              </w:rPr>
              <w:t>2</w:t>
            </w:r>
          </w:p>
        </w:tc>
        <w:tc>
          <w:tcPr>
            <w:tcW w:w="2202"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年平均质量浓度</w:t>
            </w:r>
          </w:p>
        </w:tc>
        <w:tc>
          <w:tcPr>
            <w:tcW w:w="1653"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24</w:t>
            </w:r>
          </w:p>
        </w:tc>
        <w:tc>
          <w:tcPr>
            <w:tcW w:w="1516"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40</w:t>
            </w:r>
          </w:p>
        </w:tc>
        <w:tc>
          <w:tcPr>
            <w:tcW w:w="1379"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0.6</w:t>
            </w:r>
          </w:p>
        </w:tc>
        <w:tc>
          <w:tcPr>
            <w:tcW w:w="1261"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snapToGrid w:val="0"/>
                <w:szCs w:val="21"/>
              </w:rPr>
            </w:pPr>
            <w:r>
              <w:rPr>
                <w:rFonts w:ascii="Times New Roman" w:hAnsi="Times New Roman"/>
                <w:snapToGrid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3" w:hRule="atLeast"/>
          <w:jc w:val="center"/>
        </w:trPr>
        <w:tc>
          <w:tcPr>
            <w:tcW w:w="937" w:type="dxa"/>
            <w:tcBorders>
              <w:top w:val="single" w:color="auto" w:sz="6" w:space="0"/>
              <w:left w:val="single" w:color="auto" w:sz="12"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CO</w:t>
            </w:r>
          </w:p>
        </w:tc>
        <w:tc>
          <w:tcPr>
            <w:tcW w:w="2202"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24小时平均第95百分数（mg/m3）</w:t>
            </w:r>
          </w:p>
        </w:tc>
        <w:tc>
          <w:tcPr>
            <w:tcW w:w="1653"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1.2</w:t>
            </w:r>
          </w:p>
        </w:tc>
        <w:tc>
          <w:tcPr>
            <w:tcW w:w="1516"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4</w:t>
            </w:r>
          </w:p>
        </w:tc>
        <w:tc>
          <w:tcPr>
            <w:tcW w:w="1379"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0.3</w:t>
            </w:r>
          </w:p>
        </w:tc>
        <w:tc>
          <w:tcPr>
            <w:tcW w:w="1261"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snapToGrid w:val="0"/>
                <w:szCs w:val="21"/>
              </w:rPr>
            </w:pPr>
            <w:r>
              <w:rPr>
                <w:rFonts w:ascii="Times New Roman" w:hAnsi="Times New Roman"/>
                <w:snapToGrid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7" w:hRule="atLeast"/>
          <w:jc w:val="center"/>
        </w:trPr>
        <w:tc>
          <w:tcPr>
            <w:tcW w:w="937" w:type="dxa"/>
            <w:tcBorders>
              <w:top w:val="single" w:color="auto" w:sz="6" w:space="0"/>
              <w:left w:val="single" w:color="auto" w:sz="12" w:space="0"/>
              <w:bottom w:val="single" w:color="auto" w:sz="12"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O</w:t>
            </w:r>
            <w:r>
              <w:rPr>
                <w:rFonts w:ascii="Times New Roman" w:hAnsi="Times New Roman"/>
                <w:snapToGrid w:val="0"/>
                <w:szCs w:val="21"/>
                <w:vertAlign w:val="subscript"/>
              </w:rPr>
              <w:t>3</w:t>
            </w:r>
          </w:p>
        </w:tc>
        <w:tc>
          <w:tcPr>
            <w:tcW w:w="2202" w:type="dxa"/>
            <w:tcBorders>
              <w:top w:val="single" w:color="auto" w:sz="6" w:space="0"/>
              <w:left w:val="single" w:color="auto" w:sz="6" w:space="0"/>
              <w:bottom w:val="single" w:color="auto" w:sz="12"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日最大8小时滑动平均值的第90百分数</w:t>
            </w:r>
          </w:p>
        </w:tc>
        <w:tc>
          <w:tcPr>
            <w:tcW w:w="1653" w:type="dxa"/>
            <w:tcBorders>
              <w:top w:val="single" w:color="auto" w:sz="6" w:space="0"/>
              <w:left w:val="single" w:color="auto" w:sz="6" w:space="0"/>
              <w:bottom w:val="single" w:color="auto" w:sz="12"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124</w:t>
            </w:r>
          </w:p>
        </w:tc>
        <w:tc>
          <w:tcPr>
            <w:tcW w:w="1516" w:type="dxa"/>
            <w:tcBorders>
              <w:top w:val="single" w:color="auto" w:sz="6" w:space="0"/>
              <w:left w:val="single" w:color="auto" w:sz="6" w:space="0"/>
              <w:bottom w:val="single" w:color="auto" w:sz="12" w:space="0"/>
              <w:right w:val="single" w:color="auto" w:sz="6" w:space="0"/>
            </w:tcBorders>
            <w:vAlign w:val="center"/>
          </w:tcPr>
          <w:p>
            <w:pPr>
              <w:jc w:val="center"/>
              <w:rPr>
                <w:rFonts w:ascii="Times New Roman" w:hAnsi="Times New Roman"/>
                <w:snapToGrid w:val="0"/>
                <w:szCs w:val="21"/>
              </w:rPr>
            </w:pPr>
            <w:r>
              <w:rPr>
                <w:rFonts w:ascii="Times New Roman" w:hAnsi="Times New Roman"/>
                <w:snapToGrid w:val="0"/>
                <w:szCs w:val="21"/>
              </w:rPr>
              <w:t>160</w:t>
            </w:r>
          </w:p>
        </w:tc>
        <w:tc>
          <w:tcPr>
            <w:tcW w:w="1379" w:type="dxa"/>
            <w:tcBorders>
              <w:top w:val="single" w:color="auto" w:sz="6" w:space="0"/>
              <w:left w:val="single" w:color="auto" w:sz="6" w:space="0"/>
              <w:bottom w:val="single" w:color="auto" w:sz="12" w:space="0"/>
              <w:right w:val="single" w:color="auto" w:sz="6" w:space="0"/>
            </w:tcBorders>
            <w:vAlign w:val="center"/>
          </w:tcPr>
          <w:p>
            <w:pPr>
              <w:jc w:val="center"/>
              <w:rPr>
                <w:rFonts w:ascii="Times New Roman" w:hAnsi="Times New Roman"/>
                <w:snapToGrid w:val="0"/>
                <w:szCs w:val="21"/>
              </w:rPr>
            </w:pPr>
            <w:r>
              <w:rPr>
                <w:rFonts w:hint="eastAsia" w:ascii="Times New Roman" w:hAnsi="Times New Roman"/>
                <w:snapToGrid w:val="0"/>
                <w:szCs w:val="21"/>
              </w:rPr>
              <w:t>77.5</w:t>
            </w:r>
          </w:p>
        </w:tc>
        <w:tc>
          <w:tcPr>
            <w:tcW w:w="1261" w:type="dxa"/>
            <w:tcBorders>
              <w:top w:val="single" w:color="auto" w:sz="6" w:space="0"/>
              <w:left w:val="single" w:color="auto" w:sz="6" w:space="0"/>
              <w:bottom w:val="single" w:color="auto" w:sz="12" w:space="0"/>
              <w:right w:val="single" w:color="auto" w:sz="12" w:space="0"/>
            </w:tcBorders>
            <w:vAlign w:val="center"/>
          </w:tcPr>
          <w:p>
            <w:pPr>
              <w:jc w:val="center"/>
              <w:rPr>
                <w:rFonts w:ascii="Times New Roman" w:hAnsi="Times New Roman"/>
                <w:snapToGrid w:val="0"/>
                <w:szCs w:val="21"/>
              </w:rPr>
            </w:pPr>
            <w:r>
              <w:rPr>
                <w:rFonts w:ascii="Times New Roman" w:hAnsi="Times New Roman"/>
                <w:snapToGrid w:val="0"/>
                <w:szCs w:val="21"/>
              </w:rPr>
              <w:t>达标</w:t>
            </w:r>
          </w:p>
        </w:tc>
      </w:tr>
    </w:tbl>
    <w:p>
      <w:pPr>
        <w:pStyle w:val="7"/>
        <w:snapToGrid w:val="0"/>
        <w:spacing w:line="540" w:lineRule="exact"/>
        <w:ind w:firstLine="480"/>
        <w:rPr>
          <w:rFonts w:ascii="Times New Roman" w:hAnsi="Times New Roman" w:eastAsia="宋体"/>
          <w:lang w:val="sq-AL"/>
        </w:rPr>
      </w:pPr>
      <w:r>
        <w:rPr>
          <w:rFonts w:ascii="Times New Roman" w:hAnsi="Times New Roman" w:eastAsia="宋体"/>
          <w:lang w:val="sq-AL"/>
        </w:rPr>
        <w:t>根据“环境空气质量模型技术支持服务系统”公布的区域环境空气质量数据可以看出，各项因子均满足标准要求，按照《环境影响评价技术导则大气环境》（HJ2.2-2018）对项目所在区达标判断结果可知，项目所在区为达标区。</w:t>
      </w:r>
    </w:p>
    <w:p>
      <w:pPr>
        <w:pStyle w:val="7"/>
        <w:snapToGrid w:val="0"/>
        <w:spacing w:line="540" w:lineRule="exact"/>
        <w:ind w:firstLine="0" w:firstLineChars="0"/>
        <w:outlineLvl w:val="3"/>
        <w:rPr>
          <w:rFonts w:ascii="Times New Roman" w:hAnsi="Times New Roman" w:eastAsia="宋体"/>
          <w:b/>
          <w:bCs w:val="0"/>
          <w:color w:val="FF0000"/>
          <w:highlight w:val="yellow"/>
        </w:rPr>
      </w:pPr>
      <w:r>
        <w:rPr>
          <w:rFonts w:ascii="Times New Roman" w:hAnsi="Times New Roman" w:eastAsia="宋体"/>
          <w:b/>
          <w:bCs w:val="0"/>
        </w:rPr>
        <w:t>3.2.1.2</w:t>
      </w:r>
      <w:r>
        <w:rPr>
          <w:rFonts w:ascii="Times New Roman" w:hAnsi="Times New Roman" w:eastAsia="宋体"/>
          <w:b/>
          <w:bCs w:val="0"/>
          <w:color w:val="auto"/>
          <w:highlight w:val="none"/>
        </w:rPr>
        <w:t>补充监测因子环境质量现状</w:t>
      </w:r>
    </w:p>
    <w:p>
      <w:pPr>
        <w:pStyle w:val="7"/>
        <w:snapToGrid w:val="0"/>
        <w:spacing w:line="540" w:lineRule="exact"/>
        <w:ind w:firstLine="480"/>
        <w:rPr>
          <w:rFonts w:ascii="Times New Roman" w:hAnsi="Times New Roman" w:eastAsia="宋体"/>
          <w:color w:val="FF0000"/>
        </w:rPr>
      </w:pPr>
      <w:r>
        <w:rPr>
          <w:rFonts w:hint="eastAsia" w:ascii="Times New Roman" w:hAnsi="Times New Roman" w:eastAsia="宋体"/>
        </w:rPr>
        <w:t>本项目建设地</w:t>
      </w:r>
      <w:r>
        <w:rPr>
          <w:rFonts w:ascii="Times New Roman" w:hAnsi="Times New Roman" w:eastAsia="宋体"/>
        </w:rPr>
        <w:t>本项目建设地点位于</w:t>
      </w:r>
      <w:r>
        <w:rPr>
          <w:rFonts w:hint="eastAsia" w:ascii="Times New Roman" w:hAnsi="Times New Roman" w:eastAsia="宋体"/>
        </w:rPr>
        <w:t>固原市隆德县神林乡神林村</w:t>
      </w:r>
      <w:r>
        <w:rPr>
          <w:rFonts w:ascii="Times New Roman" w:hAnsi="Times New Roman" w:eastAsia="宋体"/>
        </w:rPr>
        <w:t>，属环境空气二类功能区。本次检测</w:t>
      </w:r>
      <w:r>
        <w:rPr>
          <w:rFonts w:hint="eastAsia" w:ascii="Times New Roman" w:hAnsi="Times New Roman" w:eastAsia="宋体"/>
        </w:rPr>
        <w:t>引用</w:t>
      </w:r>
      <w:r>
        <w:rPr>
          <w:rFonts w:ascii="Times New Roman" w:hAnsi="Times New Roman" w:eastAsia="宋体"/>
        </w:rPr>
        <w:t>宁夏盛博智环境检测有限公司于2022年4月18日～4月24日对项目所在区域</w:t>
      </w:r>
      <w:r>
        <w:rPr>
          <w:rFonts w:ascii="Times New Roman" w:hAnsi="Times New Roman" w:eastAsia="宋体"/>
          <w:color w:val="FF0000"/>
        </w:rPr>
        <w:t>环境空气质量NH</w:t>
      </w:r>
      <w:r>
        <w:rPr>
          <w:rFonts w:ascii="Times New Roman" w:hAnsi="Times New Roman" w:eastAsia="宋体"/>
          <w:color w:val="FF0000"/>
          <w:vertAlign w:val="subscript"/>
        </w:rPr>
        <w:t>3</w:t>
      </w:r>
      <w:r>
        <w:rPr>
          <w:rFonts w:ascii="Times New Roman" w:hAnsi="Times New Roman" w:eastAsia="宋体"/>
          <w:color w:val="FF0000"/>
        </w:rPr>
        <w:t>、H</w:t>
      </w:r>
      <w:r>
        <w:rPr>
          <w:rFonts w:ascii="Times New Roman" w:hAnsi="Times New Roman" w:eastAsia="宋体"/>
          <w:color w:val="FF0000"/>
          <w:vertAlign w:val="subscript"/>
        </w:rPr>
        <w:t>2</w:t>
      </w:r>
      <w:r>
        <w:rPr>
          <w:rFonts w:ascii="Times New Roman" w:hAnsi="Times New Roman" w:eastAsia="宋体"/>
          <w:color w:val="FF0000"/>
        </w:rPr>
        <w:t>S、臭气浓度、TSP。监测点位1#</w:t>
      </w:r>
      <w:r>
        <w:rPr>
          <w:rFonts w:hint="eastAsia" w:ascii="Times New Roman" w:hAnsi="Times New Roman" w:eastAsia="宋体"/>
          <w:color w:val="FF0000"/>
        </w:rPr>
        <w:t>项目下风向</w:t>
      </w:r>
      <w:r>
        <w:rPr>
          <w:rFonts w:ascii="Times New Roman" w:hAnsi="Times New Roman" w:eastAsia="宋体"/>
          <w:color w:val="FF0000"/>
          <w:highlight w:val="none"/>
        </w:rPr>
        <w:t>（E:</w:t>
      </w:r>
      <w:r>
        <w:rPr>
          <w:rFonts w:hint="eastAsia" w:ascii="Times New Roman" w:hAnsi="Times New Roman" w:eastAsia="宋体"/>
          <w:color w:val="FF0000"/>
          <w:highlight w:val="none"/>
        </w:rPr>
        <w:t>105</w:t>
      </w:r>
      <w:r>
        <w:rPr>
          <w:rFonts w:ascii="Times New Roman" w:hAnsi="Times New Roman" w:eastAsia="宋体"/>
          <w:color w:val="FF0000"/>
          <w:highlight w:val="none"/>
        </w:rPr>
        <w:t>°</w:t>
      </w:r>
      <w:r>
        <w:rPr>
          <w:rFonts w:hint="eastAsia" w:ascii="Times New Roman" w:hAnsi="Times New Roman" w:eastAsia="宋体"/>
          <w:color w:val="FF0000"/>
          <w:highlight w:val="none"/>
        </w:rPr>
        <w:t>54</w:t>
      </w:r>
      <w:r>
        <w:rPr>
          <w:rFonts w:ascii="Times New Roman" w:hAnsi="Times New Roman" w:eastAsia="宋体"/>
          <w:color w:val="FF0000"/>
          <w:highlight w:val="none"/>
        </w:rPr>
        <w:t>′</w:t>
      </w:r>
      <w:r>
        <w:rPr>
          <w:rFonts w:hint="eastAsia" w:ascii="Times New Roman" w:hAnsi="Times New Roman" w:eastAsia="宋体"/>
          <w:color w:val="FF0000"/>
          <w:highlight w:val="none"/>
        </w:rPr>
        <w:t>54.23</w:t>
      </w:r>
      <w:r>
        <w:rPr>
          <w:rFonts w:ascii="Times New Roman" w:hAnsi="Times New Roman" w:eastAsia="宋体"/>
          <w:color w:val="FF0000"/>
          <w:highlight w:val="none"/>
        </w:rPr>
        <w:t>″,N:</w:t>
      </w:r>
      <w:r>
        <w:rPr>
          <w:rFonts w:hint="eastAsia" w:ascii="Times New Roman" w:hAnsi="Times New Roman" w:eastAsia="宋体"/>
          <w:color w:val="FF0000"/>
          <w:highlight w:val="none"/>
        </w:rPr>
        <w:t>35</w:t>
      </w:r>
      <w:r>
        <w:rPr>
          <w:rFonts w:ascii="Times New Roman" w:hAnsi="Times New Roman" w:eastAsia="宋体"/>
          <w:color w:val="FF0000"/>
          <w:highlight w:val="none"/>
        </w:rPr>
        <w:t>°</w:t>
      </w:r>
      <w:r>
        <w:rPr>
          <w:rFonts w:hint="eastAsia" w:ascii="Times New Roman" w:hAnsi="Times New Roman" w:eastAsia="宋体"/>
          <w:color w:val="FF0000"/>
          <w:highlight w:val="none"/>
        </w:rPr>
        <w:t>34</w:t>
      </w:r>
      <w:r>
        <w:rPr>
          <w:rFonts w:ascii="Times New Roman" w:hAnsi="Times New Roman" w:eastAsia="宋体"/>
          <w:color w:val="FF0000"/>
          <w:highlight w:val="none"/>
        </w:rPr>
        <w:t>′</w:t>
      </w:r>
      <w:r>
        <w:rPr>
          <w:rFonts w:hint="eastAsia" w:ascii="Times New Roman" w:hAnsi="Times New Roman" w:eastAsia="宋体"/>
          <w:color w:val="FF0000"/>
          <w:highlight w:val="none"/>
        </w:rPr>
        <w:t>24.22</w:t>
      </w:r>
      <w:r>
        <w:rPr>
          <w:rFonts w:ascii="Times New Roman" w:hAnsi="Times New Roman" w:eastAsia="宋体"/>
          <w:color w:val="FF0000"/>
          <w:highlight w:val="none"/>
        </w:rPr>
        <w:t>″）</w:t>
      </w:r>
      <w:r>
        <w:rPr>
          <w:rFonts w:ascii="Times New Roman" w:hAnsi="Times New Roman" w:eastAsia="宋体"/>
          <w:color w:val="FF0000"/>
        </w:rPr>
        <w:t>的环境现状监测数据。</w:t>
      </w:r>
    </w:p>
    <w:p>
      <w:pPr>
        <w:pStyle w:val="27"/>
        <w:widowControl w:val="0"/>
        <w:adjustRightInd w:val="0"/>
        <w:snapToGrid w:val="0"/>
        <w:spacing w:before="0" w:beforeAutospacing="0" w:after="0" w:afterAutospacing="0" w:line="540" w:lineRule="exact"/>
        <w:ind w:firstLine="480" w:firstLineChars="200"/>
        <w:jc w:val="both"/>
        <w:rPr>
          <w:rFonts w:ascii="Times New Roman" w:hAnsi="Times New Roman"/>
          <w:bCs/>
          <w:kern w:val="2"/>
          <w:szCs w:val="18"/>
        </w:rPr>
      </w:pPr>
      <w:r>
        <w:rPr>
          <w:rFonts w:hint="eastAsia" w:ascii="Times New Roman" w:hAnsi="Times New Roman"/>
          <w:bCs/>
          <w:kern w:val="2"/>
          <w:szCs w:val="18"/>
        </w:rPr>
        <w:t>（1）</w:t>
      </w:r>
      <w:r>
        <w:rPr>
          <w:rFonts w:ascii="Times New Roman" w:hAnsi="Times New Roman"/>
          <w:bCs/>
          <w:kern w:val="2"/>
          <w:szCs w:val="18"/>
        </w:rPr>
        <w:t>监测点位布设</w:t>
      </w:r>
    </w:p>
    <w:p>
      <w:pPr>
        <w:pStyle w:val="27"/>
        <w:widowControl w:val="0"/>
        <w:adjustRightInd w:val="0"/>
        <w:snapToGrid w:val="0"/>
        <w:spacing w:before="0" w:beforeAutospacing="0" w:after="0" w:afterAutospacing="0" w:line="540" w:lineRule="exact"/>
        <w:ind w:firstLine="480" w:firstLineChars="200"/>
        <w:jc w:val="both"/>
        <w:rPr>
          <w:rFonts w:ascii="Times New Roman" w:hAnsi="Times New Roman"/>
          <w:szCs w:val="22"/>
        </w:rPr>
      </w:pPr>
      <w:r>
        <w:rPr>
          <w:rFonts w:hint="eastAsia" w:ascii="Times New Roman" w:hAnsi="Times New Roman"/>
          <w:bCs/>
          <w:kern w:val="2"/>
          <w:szCs w:val="18"/>
        </w:rPr>
        <w:t>现</w:t>
      </w:r>
      <w:r>
        <w:rPr>
          <w:rFonts w:ascii="Times New Roman" w:hAnsi="Times New Roman"/>
          <w:bCs/>
          <w:kern w:val="2"/>
          <w:szCs w:val="18"/>
        </w:rPr>
        <w:t>状监测资料的监测点位详</w:t>
      </w:r>
      <w:r>
        <w:rPr>
          <w:rFonts w:ascii="Times New Roman" w:hAnsi="Times New Roman"/>
          <w:szCs w:val="22"/>
        </w:rPr>
        <w:t>见表3.2-2</w:t>
      </w:r>
      <w:r>
        <w:rPr>
          <w:rFonts w:hint="eastAsia" w:ascii="Times New Roman" w:hAnsi="Times New Roman"/>
          <w:szCs w:val="22"/>
        </w:rPr>
        <w:t>。</w:t>
      </w:r>
    </w:p>
    <w:p>
      <w:pPr>
        <w:widowControl/>
        <w:spacing w:before="120" w:beforeLines="50"/>
        <w:ind w:firstLine="481" w:firstLineChars="200"/>
        <w:jc w:val="center"/>
        <w:rPr>
          <w:rFonts w:ascii="Times New Roman" w:hAnsi="Times New Roman"/>
          <w:sz w:val="24"/>
        </w:rPr>
      </w:pPr>
      <w:r>
        <w:rPr>
          <w:rFonts w:ascii="Times New Roman" w:hAnsi="Times New Roman"/>
          <w:b/>
          <w:sz w:val="24"/>
        </w:rPr>
        <w:t xml:space="preserve">表3.2-2   </w:t>
      </w:r>
      <w:r>
        <w:rPr>
          <w:rFonts w:hint="eastAsia" w:ascii="Times New Roman" w:hAnsi="Times New Roman"/>
          <w:b/>
          <w:sz w:val="24"/>
        </w:rPr>
        <w:t xml:space="preserve"> </w:t>
      </w:r>
      <w:r>
        <w:rPr>
          <w:rFonts w:ascii="Times New Roman" w:hAnsi="Times New Roman"/>
          <w:b/>
          <w:sz w:val="24"/>
        </w:rPr>
        <w:t>环境空气现状监测布点一览表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74"/>
        <w:gridCol w:w="1739"/>
        <w:gridCol w:w="3394"/>
        <w:gridCol w:w="1698"/>
        <w:gridCol w:w="14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4" w:type="dxa"/>
            <w:vAlign w:val="center"/>
          </w:tcPr>
          <w:p>
            <w:pPr>
              <w:widowControl/>
              <w:adjustRightInd w:val="0"/>
              <w:snapToGrid w:val="0"/>
              <w:jc w:val="center"/>
              <w:rPr>
                <w:rFonts w:ascii="Times New Roman" w:hAnsi="Times New Roman"/>
                <w:szCs w:val="21"/>
              </w:rPr>
            </w:pPr>
            <w:r>
              <w:rPr>
                <w:rFonts w:hint="eastAsia" w:ascii="Times New Roman" w:hAnsi="Times New Roman" w:cs="宋体"/>
                <w:szCs w:val="21"/>
                <w:lang w:bidi="ar"/>
              </w:rPr>
              <w:t>编号</w:t>
            </w:r>
          </w:p>
        </w:tc>
        <w:tc>
          <w:tcPr>
            <w:tcW w:w="1739" w:type="dxa"/>
            <w:vAlign w:val="center"/>
          </w:tcPr>
          <w:p>
            <w:pPr>
              <w:widowControl/>
              <w:adjustRightInd w:val="0"/>
              <w:snapToGrid w:val="0"/>
              <w:jc w:val="center"/>
              <w:rPr>
                <w:rFonts w:ascii="Times New Roman" w:hAnsi="Times New Roman"/>
                <w:snapToGrid w:val="0"/>
                <w:kern w:val="0"/>
                <w:szCs w:val="21"/>
              </w:rPr>
            </w:pPr>
            <w:r>
              <w:rPr>
                <w:rFonts w:hint="eastAsia" w:ascii="Times New Roman" w:hAnsi="Times New Roman" w:cs="宋体"/>
                <w:snapToGrid w:val="0"/>
                <w:kern w:val="0"/>
                <w:szCs w:val="21"/>
                <w:lang w:bidi="ar"/>
              </w:rPr>
              <w:t>监测点名称</w:t>
            </w:r>
          </w:p>
        </w:tc>
        <w:tc>
          <w:tcPr>
            <w:tcW w:w="3394" w:type="dxa"/>
            <w:vAlign w:val="center"/>
          </w:tcPr>
          <w:p>
            <w:pPr>
              <w:widowControl/>
              <w:adjustRightInd w:val="0"/>
              <w:snapToGrid w:val="0"/>
              <w:jc w:val="center"/>
              <w:rPr>
                <w:rFonts w:ascii="Times New Roman" w:hAnsi="Times New Roman"/>
                <w:snapToGrid w:val="0"/>
                <w:kern w:val="0"/>
                <w:szCs w:val="21"/>
              </w:rPr>
            </w:pPr>
            <w:r>
              <w:rPr>
                <w:rFonts w:hint="eastAsia" w:ascii="Times New Roman" w:hAnsi="Times New Roman" w:cs="宋体"/>
                <w:snapToGrid w:val="0"/>
                <w:kern w:val="0"/>
                <w:szCs w:val="21"/>
                <w:lang w:bidi="ar"/>
              </w:rPr>
              <w:t>坐标</w:t>
            </w:r>
          </w:p>
        </w:tc>
        <w:tc>
          <w:tcPr>
            <w:tcW w:w="1698" w:type="dxa"/>
            <w:vAlign w:val="center"/>
          </w:tcPr>
          <w:p>
            <w:pPr>
              <w:widowControl/>
              <w:adjustRightInd w:val="0"/>
              <w:snapToGrid w:val="0"/>
              <w:jc w:val="center"/>
              <w:rPr>
                <w:rFonts w:ascii="Times New Roman" w:hAnsi="Times New Roman"/>
                <w:snapToGrid w:val="0"/>
                <w:kern w:val="0"/>
                <w:szCs w:val="21"/>
              </w:rPr>
            </w:pPr>
            <w:r>
              <w:rPr>
                <w:rFonts w:hint="eastAsia" w:ascii="Times New Roman" w:hAnsi="Times New Roman" w:cs="宋体"/>
                <w:snapToGrid w:val="0"/>
                <w:kern w:val="0"/>
                <w:szCs w:val="21"/>
                <w:lang w:bidi="ar"/>
              </w:rPr>
              <w:t>方位</w:t>
            </w:r>
          </w:p>
        </w:tc>
        <w:tc>
          <w:tcPr>
            <w:tcW w:w="1466" w:type="dxa"/>
            <w:vAlign w:val="center"/>
          </w:tcPr>
          <w:p>
            <w:pPr>
              <w:widowControl/>
              <w:adjustRightInd w:val="0"/>
              <w:snapToGrid w:val="0"/>
              <w:jc w:val="center"/>
              <w:rPr>
                <w:rFonts w:ascii="Times New Roman" w:hAnsi="Times New Roman"/>
                <w:snapToGrid w:val="0"/>
                <w:kern w:val="0"/>
                <w:szCs w:val="21"/>
              </w:rPr>
            </w:pPr>
            <w:r>
              <w:rPr>
                <w:rFonts w:hint="eastAsia" w:ascii="Times New Roman" w:hAnsi="Times New Roman" w:cs="宋体"/>
                <w:snapToGrid w:val="0"/>
                <w:kern w:val="0"/>
                <w:szCs w:val="21"/>
                <w:lang w:bidi="ar"/>
              </w:rPr>
              <w:t>距离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4" w:type="dxa"/>
            <w:vAlign w:val="center"/>
          </w:tcPr>
          <w:p>
            <w:pPr>
              <w:widowControl/>
              <w:adjustRightInd w:val="0"/>
              <w:snapToGrid w:val="0"/>
              <w:jc w:val="center"/>
              <w:rPr>
                <w:rFonts w:ascii="Times New Roman" w:hAnsi="Times New Roman"/>
                <w:szCs w:val="21"/>
                <w:lang w:val="de" w:bidi="ar"/>
              </w:rPr>
            </w:pPr>
            <w:r>
              <w:rPr>
                <w:rFonts w:ascii="Times New Roman" w:hAnsi="Times New Roman"/>
                <w:szCs w:val="21"/>
                <w:lang w:bidi="ar"/>
              </w:rPr>
              <w:t>1#</w:t>
            </w:r>
          </w:p>
        </w:tc>
        <w:tc>
          <w:tcPr>
            <w:tcW w:w="1739" w:type="dxa"/>
            <w:vAlign w:val="center"/>
          </w:tcPr>
          <w:p>
            <w:pPr>
              <w:widowControl/>
              <w:adjustRightInd w:val="0"/>
              <w:snapToGrid w:val="0"/>
              <w:jc w:val="center"/>
              <w:rPr>
                <w:rFonts w:ascii="Times New Roman" w:hAnsi="Times New Roman" w:cs="宋体"/>
                <w:snapToGrid w:val="0"/>
                <w:kern w:val="0"/>
                <w:szCs w:val="21"/>
                <w:lang w:bidi="ar"/>
              </w:rPr>
            </w:pPr>
            <w:r>
              <w:rPr>
                <w:rFonts w:hint="eastAsia" w:ascii="Times New Roman" w:hAnsi="Times New Roman" w:cs="宋体"/>
                <w:snapToGrid w:val="0"/>
                <w:kern w:val="0"/>
                <w:szCs w:val="21"/>
                <w:lang w:bidi="ar"/>
              </w:rPr>
              <w:t>项目下风向</w:t>
            </w:r>
          </w:p>
        </w:tc>
        <w:tc>
          <w:tcPr>
            <w:tcW w:w="3394" w:type="dxa"/>
            <w:vAlign w:val="center"/>
          </w:tcPr>
          <w:p>
            <w:pPr>
              <w:widowControl/>
              <w:adjustRightInd w:val="0"/>
              <w:snapToGrid w:val="0"/>
              <w:jc w:val="center"/>
              <w:rPr>
                <w:rFonts w:ascii="Times New Roman" w:hAnsi="Times New Roman" w:cs="宋体"/>
                <w:snapToGrid w:val="0"/>
                <w:kern w:val="0"/>
                <w:szCs w:val="21"/>
                <w:lang w:bidi="ar"/>
              </w:rPr>
            </w:pPr>
            <w:r>
              <w:rPr>
                <w:rFonts w:ascii="Times New Roman" w:hAnsi="Times New Roman"/>
              </w:rPr>
              <w:t>E:</w:t>
            </w:r>
            <w:r>
              <w:rPr>
                <w:rFonts w:hint="eastAsia" w:ascii="Times New Roman" w:hAnsi="Times New Roman"/>
              </w:rPr>
              <w:t>105</w:t>
            </w:r>
            <w:r>
              <w:rPr>
                <w:rFonts w:ascii="Times New Roman" w:hAnsi="Times New Roman"/>
              </w:rPr>
              <w:t>°</w:t>
            </w:r>
            <w:r>
              <w:rPr>
                <w:rFonts w:hint="eastAsia" w:ascii="Times New Roman" w:hAnsi="Times New Roman"/>
              </w:rPr>
              <w:t>54</w:t>
            </w:r>
            <w:r>
              <w:rPr>
                <w:rFonts w:ascii="Times New Roman" w:hAnsi="Times New Roman"/>
              </w:rPr>
              <w:t>′</w:t>
            </w:r>
            <w:r>
              <w:rPr>
                <w:rFonts w:hint="eastAsia" w:ascii="Times New Roman" w:hAnsi="Times New Roman"/>
              </w:rPr>
              <w:t>54.23</w:t>
            </w:r>
            <w:r>
              <w:rPr>
                <w:rFonts w:ascii="Times New Roman" w:hAnsi="Times New Roman"/>
              </w:rPr>
              <w:t>″,N:</w:t>
            </w:r>
            <w:r>
              <w:rPr>
                <w:rFonts w:hint="eastAsia" w:ascii="Times New Roman" w:hAnsi="Times New Roman"/>
              </w:rPr>
              <w:t>35</w:t>
            </w:r>
            <w:r>
              <w:rPr>
                <w:rFonts w:ascii="Times New Roman" w:hAnsi="Times New Roman"/>
              </w:rPr>
              <w:t>°</w:t>
            </w:r>
            <w:r>
              <w:rPr>
                <w:rFonts w:hint="eastAsia" w:ascii="Times New Roman" w:hAnsi="Times New Roman"/>
              </w:rPr>
              <w:t>34</w:t>
            </w:r>
            <w:r>
              <w:rPr>
                <w:rFonts w:ascii="Times New Roman" w:hAnsi="Times New Roman"/>
              </w:rPr>
              <w:t>′</w:t>
            </w:r>
            <w:r>
              <w:rPr>
                <w:rFonts w:hint="eastAsia" w:ascii="Times New Roman" w:hAnsi="Times New Roman"/>
              </w:rPr>
              <w:t>24.22</w:t>
            </w:r>
            <w:r>
              <w:rPr>
                <w:rFonts w:ascii="Times New Roman" w:hAnsi="Times New Roman"/>
              </w:rPr>
              <w:t>″</w:t>
            </w:r>
          </w:p>
        </w:tc>
        <w:tc>
          <w:tcPr>
            <w:tcW w:w="1698" w:type="dxa"/>
            <w:vAlign w:val="center"/>
          </w:tcPr>
          <w:p>
            <w:pPr>
              <w:widowControl/>
              <w:adjustRightInd w:val="0"/>
              <w:snapToGrid w:val="0"/>
              <w:jc w:val="center"/>
              <w:rPr>
                <w:rFonts w:ascii="Times New Roman" w:hAnsi="Times New Roman" w:cs="宋体"/>
                <w:snapToGrid w:val="0"/>
                <w:kern w:val="0"/>
                <w:szCs w:val="21"/>
                <w:lang w:bidi="ar"/>
              </w:rPr>
            </w:pPr>
            <w:r>
              <w:rPr>
                <w:rFonts w:hint="eastAsia" w:ascii="Times New Roman" w:hAnsi="Times New Roman" w:cs="宋体"/>
                <w:snapToGrid w:val="0"/>
                <w:kern w:val="0"/>
                <w:szCs w:val="21"/>
                <w:lang w:bidi="ar"/>
              </w:rPr>
              <w:t>项目下风向</w:t>
            </w:r>
          </w:p>
        </w:tc>
        <w:tc>
          <w:tcPr>
            <w:tcW w:w="1466" w:type="dxa"/>
            <w:vAlign w:val="center"/>
          </w:tcPr>
          <w:p>
            <w:pPr>
              <w:widowControl/>
              <w:adjustRightInd w:val="0"/>
              <w:snapToGrid w:val="0"/>
              <w:jc w:val="center"/>
              <w:rPr>
                <w:rFonts w:ascii="Times New Roman" w:hAnsi="Times New Roman" w:cs="宋体"/>
                <w:snapToGrid w:val="0"/>
                <w:kern w:val="0"/>
                <w:szCs w:val="21"/>
                <w:lang w:bidi="ar"/>
              </w:rPr>
            </w:pPr>
            <w:r>
              <w:rPr>
                <w:rFonts w:hint="eastAsia" w:ascii="Times New Roman" w:hAnsi="Times New Roman" w:cs="宋体"/>
                <w:snapToGrid w:val="0"/>
                <w:kern w:val="0"/>
                <w:szCs w:val="21"/>
                <w:lang w:bidi="ar"/>
              </w:rPr>
              <w:t>650</w:t>
            </w:r>
          </w:p>
        </w:tc>
      </w:tr>
    </w:tbl>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4"/>
          <w:szCs w:val="22"/>
        </w:rPr>
      </w:pPr>
      <w:r>
        <w:rPr>
          <w:rFonts w:hint="eastAsia"/>
          <w:b/>
          <w:bCs/>
          <w:sz w:val="24"/>
        </w:rPr>
        <w:drawing>
          <wp:anchor distT="0" distB="0" distL="114300" distR="114300" simplePos="0" relativeHeight="251684864" behindDoc="0" locked="0" layoutInCell="1" allowOverlap="1">
            <wp:simplePos x="0" y="0"/>
            <wp:positionH relativeFrom="column">
              <wp:posOffset>4447540</wp:posOffset>
            </wp:positionH>
            <wp:positionV relativeFrom="paragraph">
              <wp:posOffset>3190875</wp:posOffset>
            </wp:positionV>
            <wp:extent cx="1189990" cy="284480"/>
            <wp:effectExtent l="0" t="0" r="10160" b="1270"/>
            <wp:wrapNone/>
            <wp:docPr id="74" name="图片 74" descr="d81db369720682942125d032b4188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d81db369720682942125d032b4188dc"/>
                    <pic:cNvPicPr>
                      <a:picLocks noChangeAspect="1"/>
                    </pic:cNvPicPr>
                  </pic:nvPicPr>
                  <pic:blipFill>
                    <a:blip r:embed="rId15"/>
                    <a:stretch>
                      <a:fillRect/>
                    </a:stretch>
                  </pic:blipFill>
                  <pic:spPr>
                    <a:xfrm>
                      <a:off x="0" y="0"/>
                      <a:ext cx="1189990" cy="284480"/>
                    </a:xfrm>
                    <a:prstGeom prst="rect">
                      <a:avLst/>
                    </a:prstGeom>
                  </pic:spPr>
                </pic:pic>
              </a:graphicData>
            </a:graphic>
          </wp:anchor>
        </w:drawing>
      </w:r>
      <w:r>
        <w:drawing>
          <wp:inline distT="0" distB="0" distL="114300" distR="114300">
            <wp:extent cx="5400675" cy="3380740"/>
            <wp:effectExtent l="0" t="0" r="9525" b="10160"/>
            <wp:docPr id="72" name="图片 5" descr="图片3大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descr="图片3大气"/>
                    <pic:cNvPicPr>
                      <a:picLocks noChangeAspect="1"/>
                    </pic:cNvPicPr>
                  </pic:nvPicPr>
                  <pic:blipFill>
                    <a:blip r:embed="rId34"/>
                    <a:stretch>
                      <a:fillRect/>
                    </a:stretch>
                  </pic:blipFill>
                  <pic:spPr>
                    <a:xfrm>
                      <a:off x="0" y="0"/>
                      <a:ext cx="5400675" cy="3380740"/>
                    </a:xfrm>
                    <a:prstGeom prst="rect">
                      <a:avLst/>
                    </a:prstGeom>
                    <a:noFill/>
                    <a:ln>
                      <a:noFill/>
                    </a:ln>
                  </pic:spPr>
                </pic:pic>
              </a:graphicData>
            </a:graphic>
          </wp:inline>
        </w:drawing>
      </w:r>
    </w:p>
    <w:p>
      <w:pPr>
        <w:widowControl/>
        <w:spacing w:line="540" w:lineRule="exact"/>
        <w:ind w:firstLine="481" w:firstLineChars="200"/>
        <w:jc w:val="center"/>
        <w:rPr>
          <w:rFonts w:hint="default" w:ascii="Times New Roman" w:hAnsi="Times New Roman" w:eastAsia="宋体"/>
          <w:b/>
          <w:bCs/>
          <w:sz w:val="24"/>
          <w:szCs w:val="22"/>
          <w:lang w:val="en-US" w:eastAsia="zh-CN"/>
        </w:rPr>
      </w:pPr>
      <w:r>
        <w:rPr>
          <w:rFonts w:hint="eastAsia" w:ascii="Times New Roman" w:hAnsi="Times New Roman"/>
          <w:b/>
          <w:bCs/>
          <w:sz w:val="24"/>
          <w:szCs w:val="22"/>
          <w:lang w:eastAsia="zh-CN"/>
        </w:rPr>
        <w:t>图</w:t>
      </w:r>
      <w:r>
        <w:rPr>
          <w:rFonts w:hint="eastAsia" w:ascii="Times New Roman" w:hAnsi="Times New Roman"/>
          <w:b/>
          <w:bCs/>
          <w:sz w:val="24"/>
          <w:szCs w:val="22"/>
          <w:lang w:val="en-US" w:eastAsia="zh-CN"/>
        </w:rPr>
        <w:t>3.2-1  大气环境监测点位图</w:t>
      </w:r>
    </w:p>
    <w:p>
      <w:pPr>
        <w:widowControl/>
        <w:spacing w:line="540" w:lineRule="exact"/>
        <w:ind w:firstLine="480" w:firstLineChars="200"/>
        <w:rPr>
          <w:rFonts w:ascii="Times New Roman" w:hAnsi="Times New Roman"/>
          <w:sz w:val="24"/>
          <w:szCs w:val="22"/>
        </w:rPr>
      </w:pPr>
      <w:r>
        <w:rPr>
          <w:rFonts w:hint="eastAsia" w:ascii="Times New Roman" w:hAnsi="Times New Roman"/>
          <w:sz w:val="24"/>
          <w:szCs w:val="22"/>
        </w:rPr>
        <w:t>（2）</w:t>
      </w:r>
      <w:r>
        <w:rPr>
          <w:rFonts w:ascii="Times New Roman" w:hAnsi="Times New Roman"/>
          <w:sz w:val="24"/>
          <w:szCs w:val="22"/>
        </w:rPr>
        <w:t>监测因子</w:t>
      </w:r>
    </w:p>
    <w:p>
      <w:pPr>
        <w:pStyle w:val="7"/>
        <w:snapToGrid w:val="0"/>
        <w:spacing w:line="540" w:lineRule="exact"/>
        <w:ind w:firstLine="480"/>
        <w:rPr>
          <w:rFonts w:ascii="Times New Roman" w:hAnsi="Times New Roman" w:eastAsia="宋体"/>
        </w:rPr>
      </w:pPr>
      <w:bookmarkStart w:id="484" w:name="_Toc299368888"/>
      <w:bookmarkEnd w:id="484"/>
      <w:r>
        <w:rPr>
          <w:rFonts w:ascii="Times New Roman" w:hAnsi="Times New Roman" w:eastAsia="宋体"/>
        </w:rPr>
        <w:t>本次评价选取NH</w:t>
      </w:r>
      <w:r>
        <w:rPr>
          <w:rFonts w:ascii="Times New Roman" w:hAnsi="Times New Roman" w:eastAsia="宋体"/>
          <w:vertAlign w:val="subscript"/>
        </w:rPr>
        <w:t>3</w:t>
      </w:r>
      <w:r>
        <w:rPr>
          <w:rFonts w:ascii="Times New Roman" w:hAnsi="Times New Roman" w:eastAsia="宋体"/>
        </w:rPr>
        <w:t>、H</w:t>
      </w:r>
      <w:r>
        <w:rPr>
          <w:rFonts w:ascii="Times New Roman" w:hAnsi="Times New Roman" w:eastAsia="宋体"/>
          <w:vertAlign w:val="subscript"/>
        </w:rPr>
        <w:t>2</w:t>
      </w:r>
      <w:r>
        <w:rPr>
          <w:rFonts w:ascii="Times New Roman" w:hAnsi="Times New Roman" w:eastAsia="宋体"/>
        </w:rPr>
        <w:t>S、臭气浓度、TSP，共</w:t>
      </w:r>
      <w:r>
        <w:rPr>
          <w:rFonts w:hint="eastAsia" w:ascii="Times New Roman" w:hAnsi="Times New Roman" w:eastAsia="宋体"/>
          <w:lang w:val="en-US" w:eastAsia="zh-CN"/>
        </w:rPr>
        <w:t>4</w:t>
      </w:r>
      <w:r>
        <w:rPr>
          <w:rFonts w:ascii="Times New Roman" w:hAnsi="Times New Roman" w:eastAsia="宋体"/>
        </w:rPr>
        <w:t>项评价因子。</w:t>
      </w:r>
    </w:p>
    <w:p>
      <w:pPr>
        <w:widowControl/>
        <w:spacing w:line="540" w:lineRule="exact"/>
        <w:ind w:firstLine="480" w:firstLineChars="200"/>
        <w:rPr>
          <w:rFonts w:ascii="Times New Roman" w:hAnsi="Times New Roman"/>
          <w:sz w:val="24"/>
          <w:szCs w:val="22"/>
        </w:rPr>
      </w:pPr>
      <w:r>
        <w:rPr>
          <w:rFonts w:hint="eastAsia" w:ascii="Times New Roman" w:hAnsi="Times New Roman"/>
          <w:sz w:val="24"/>
          <w:szCs w:val="22"/>
        </w:rPr>
        <w:t>（3）</w:t>
      </w:r>
      <w:r>
        <w:rPr>
          <w:rFonts w:ascii="Times New Roman" w:hAnsi="Times New Roman"/>
          <w:sz w:val="24"/>
          <w:szCs w:val="22"/>
        </w:rPr>
        <w:t>监测频率、内容及要求</w:t>
      </w:r>
    </w:p>
    <w:p>
      <w:pPr>
        <w:widowControl/>
        <w:spacing w:line="540" w:lineRule="exact"/>
        <w:ind w:firstLine="480" w:firstLineChars="200"/>
        <w:rPr>
          <w:rFonts w:ascii="Times New Roman" w:hAnsi="Times New Roman"/>
          <w:sz w:val="24"/>
          <w:szCs w:val="22"/>
        </w:rPr>
      </w:pPr>
      <w:r>
        <w:rPr>
          <w:rFonts w:ascii="Times New Roman" w:hAnsi="Times New Roman"/>
          <w:sz w:val="24"/>
          <w:szCs w:val="22"/>
        </w:rPr>
        <w:t>监测时间：2022年4月18日~4月2</w:t>
      </w:r>
      <w:r>
        <w:rPr>
          <w:rFonts w:hint="eastAsia" w:ascii="Times New Roman" w:hAnsi="Times New Roman"/>
          <w:sz w:val="24"/>
          <w:szCs w:val="22"/>
        </w:rPr>
        <w:t>4</w:t>
      </w:r>
    </w:p>
    <w:p>
      <w:pPr>
        <w:widowControl/>
        <w:spacing w:line="540" w:lineRule="exact"/>
        <w:ind w:firstLine="480" w:firstLineChars="200"/>
        <w:rPr>
          <w:rFonts w:ascii="Times New Roman" w:hAnsi="Times New Roman"/>
          <w:sz w:val="24"/>
          <w:szCs w:val="22"/>
        </w:rPr>
      </w:pPr>
      <w:r>
        <w:rPr>
          <w:rFonts w:ascii="Times New Roman" w:hAnsi="Times New Roman"/>
          <w:sz w:val="24"/>
          <w:szCs w:val="22"/>
        </w:rPr>
        <w:t>监测频次：本项目</w:t>
      </w:r>
      <w:r>
        <w:rPr>
          <w:rFonts w:hint="eastAsia" w:ascii="Times New Roman" w:hAnsi="Times New Roman"/>
          <w:sz w:val="24"/>
          <w:szCs w:val="22"/>
        </w:rPr>
        <w:t>环境空气</w:t>
      </w:r>
      <w:r>
        <w:rPr>
          <w:rFonts w:ascii="Times New Roman" w:hAnsi="Times New Roman"/>
          <w:sz w:val="24"/>
          <w:szCs w:val="22"/>
        </w:rPr>
        <w:t>检测每个检测点位检测</w:t>
      </w:r>
      <w:r>
        <w:rPr>
          <w:rFonts w:hint="eastAsia" w:ascii="Times New Roman" w:hAnsi="Times New Roman"/>
          <w:sz w:val="24"/>
          <w:szCs w:val="22"/>
        </w:rPr>
        <w:t>7</w:t>
      </w:r>
      <w:r>
        <w:rPr>
          <w:rFonts w:ascii="Times New Roman" w:hAnsi="Times New Roman"/>
          <w:sz w:val="24"/>
          <w:szCs w:val="22"/>
        </w:rPr>
        <w:t>天， 每日采样</w:t>
      </w:r>
      <w:r>
        <w:rPr>
          <w:rFonts w:hint="eastAsia" w:ascii="Times New Roman" w:hAnsi="Times New Roman"/>
          <w:sz w:val="24"/>
          <w:szCs w:val="22"/>
        </w:rPr>
        <w:t>4</w:t>
      </w:r>
      <w:r>
        <w:rPr>
          <w:rFonts w:ascii="Times New Roman" w:hAnsi="Times New Roman"/>
          <w:sz w:val="24"/>
          <w:szCs w:val="22"/>
        </w:rPr>
        <w:t>次，每次采样1小时，分别为0</w:t>
      </w:r>
      <w:r>
        <w:rPr>
          <w:rFonts w:hint="eastAsia" w:ascii="Times New Roman" w:hAnsi="Times New Roman"/>
          <w:sz w:val="24"/>
          <w:szCs w:val="22"/>
        </w:rPr>
        <w:t>8</w:t>
      </w:r>
      <w:r>
        <w:rPr>
          <w:rFonts w:ascii="Times New Roman" w:hAnsi="Times New Roman"/>
          <w:sz w:val="24"/>
          <w:szCs w:val="22"/>
        </w:rPr>
        <w:t>：00、</w:t>
      </w:r>
      <w:r>
        <w:rPr>
          <w:rFonts w:hint="eastAsia" w:ascii="Times New Roman" w:hAnsi="Times New Roman"/>
          <w:sz w:val="24"/>
          <w:szCs w:val="22"/>
        </w:rPr>
        <w:t>12</w:t>
      </w:r>
      <w:r>
        <w:rPr>
          <w:rFonts w:ascii="Times New Roman" w:hAnsi="Times New Roman"/>
          <w:sz w:val="24"/>
          <w:szCs w:val="22"/>
        </w:rPr>
        <w:t>：00、</w:t>
      </w:r>
      <w:r>
        <w:rPr>
          <w:rFonts w:hint="eastAsia" w:ascii="Times New Roman" w:hAnsi="Times New Roman"/>
          <w:sz w:val="24"/>
          <w:szCs w:val="22"/>
        </w:rPr>
        <w:t>16</w:t>
      </w:r>
      <w:r>
        <w:rPr>
          <w:rFonts w:ascii="Times New Roman" w:hAnsi="Times New Roman"/>
          <w:sz w:val="24"/>
          <w:szCs w:val="22"/>
        </w:rPr>
        <w:t>：00、</w:t>
      </w:r>
      <w:r>
        <w:rPr>
          <w:rFonts w:hint="eastAsia" w:ascii="Times New Roman" w:hAnsi="Times New Roman"/>
          <w:sz w:val="24"/>
          <w:szCs w:val="22"/>
        </w:rPr>
        <w:t>20</w:t>
      </w:r>
      <w:r>
        <w:rPr>
          <w:rFonts w:ascii="Times New Roman" w:hAnsi="Times New Roman"/>
          <w:sz w:val="24"/>
          <w:szCs w:val="22"/>
        </w:rPr>
        <w:t>：00时，</w:t>
      </w:r>
    </w:p>
    <w:p>
      <w:pPr>
        <w:widowControl/>
        <w:spacing w:line="540" w:lineRule="exact"/>
        <w:ind w:firstLine="480" w:firstLineChars="200"/>
        <w:rPr>
          <w:rFonts w:ascii="Times New Roman" w:hAnsi="Times New Roman"/>
          <w:sz w:val="24"/>
          <w:szCs w:val="22"/>
        </w:rPr>
      </w:pPr>
      <w:r>
        <w:rPr>
          <w:rFonts w:ascii="Times New Roman" w:hAnsi="Times New Roman"/>
          <w:sz w:val="24"/>
          <w:szCs w:val="22"/>
        </w:rPr>
        <w:t>采样环境、采样高度的要求，按《环境监测技术规范（大气部分）》中相关规定执行。</w:t>
      </w:r>
    </w:p>
    <w:p>
      <w:pPr>
        <w:widowControl/>
        <w:spacing w:line="540" w:lineRule="exact"/>
        <w:ind w:firstLine="480" w:firstLineChars="200"/>
        <w:rPr>
          <w:rFonts w:ascii="Times New Roman" w:hAnsi="Times New Roman"/>
          <w:sz w:val="24"/>
          <w:szCs w:val="22"/>
        </w:rPr>
      </w:pPr>
      <w:r>
        <w:rPr>
          <w:rFonts w:hint="eastAsia" w:ascii="Times New Roman" w:hAnsi="Times New Roman"/>
          <w:sz w:val="24"/>
          <w:szCs w:val="22"/>
        </w:rPr>
        <w:t>（4）</w:t>
      </w:r>
      <w:r>
        <w:rPr>
          <w:rFonts w:ascii="Times New Roman" w:hAnsi="Times New Roman"/>
          <w:sz w:val="24"/>
          <w:szCs w:val="22"/>
        </w:rPr>
        <w:t>监测分析方法</w:t>
      </w:r>
    </w:p>
    <w:p>
      <w:pPr>
        <w:widowControl/>
        <w:spacing w:line="540" w:lineRule="exact"/>
        <w:ind w:firstLine="480" w:firstLineChars="200"/>
        <w:rPr>
          <w:rFonts w:ascii="Times New Roman" w:hAnsi="Times New Roman"/>
          <w:sz w:val="24"/>
          <w:szCs w:val="22"/>
        </w:rPr>
      </w:pPr>
      <w:r>
        <w:rPr>
          <w:rFonts w:ascii="Times New Roman" w:hAnsi="Times New Roman"/>
          <w:sz w:val="24"/>
          <w:szCs w:val="22"/>
        </w:rPr>
        <w:t>分析方法及仪器具体见表3.2-</w:t>
      </w:r>
      <w:r>
        <w:rPr>
          <w:rFonts w:hint="eastAsia" w:ascii="Times New Roman" w:hAnsi="Times New Roman"/>
          <w:sz w:val="24"/>
          <w:szCs w:val="22"/>
        </w:rPr>
        <w:t>3</w:t>
      </w:r>
      <w:r>
        <w:rPr>
          <w:rFonts w:ascii="Times New Roman" w:hAnsi="Times New Roman"/>
          <w:sz w:val="24"/>
          <w:szCs w:val="22"/>
        </w:rPr>
        <w:t>。</w:t>
      </w:r>
    </w:p>
    <w:p>
      <w:pPr>
        <w:widowControl/>
        <w:jc w:val="center"/>
        <w:rPr>
          <w:rFonts w:ascii="Times New Roman" w:hAnsi="Times New Roman"/>
          <w:sz w:val="24"/>
        </w:rPr>
      </w:pPr>
      <w:r>
        <w:rPr>
          <w:rFonts w:ascii="Times New Roman" w:hAnsi="Times New Roman"/>
          <w:b/>
          <w:bCs/>
          <w:sz w:val="24"/>
        </w:rPr>
        <w:t>表3.2-</w:t>
      </w:r>
      <w:r>
        <w:rPr>
          <w:rFonts w:hint="eastAsia" w:ascii="Times New Roman" w:hAnsi="Times New Roman"/>
          <w:b/>
          <w:bCs/>
          <w:sz w:val="24"/>
        </w:rPr>
        <w:t>3</w:t>
      </w:r>
      <w:r>
        <w:rPr>
          <w:rFonts w:ascii="Times New Roman" w:hAnsi="Times New Roman"/>
          <w:b/>
          <w:bCs/>
          <w:sz w:val="24"/>
        </w:rPr>
        <w:t xml:space="preserve">         环境空气现状监测项目及分析方法一览表</w:t>
      </w:r>
    </w:p>
    <w:tbl>
      <w:tblPr>
        <w:tblStyle w:val="29"/>
        <w:tblW w:w="90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7"/>
        <w:gridCol w:w="1351"/>
        <w:gridCol w:w="2450"/>
        <w:gridCol w:w="2275"/>
        <w:gridCol w:w="23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647" w:type="dxa"/>
            <w:tcBorders>
              <w:tl2br w:val="nil"/>
              <w:tr2bl w:val="nil"/>
            </w:tcBorders>
            <w:vAlign w:val="center"/>
          </w:tcPr>
          <w:p>
            <w:pPr>
              <w:snapToGrid w:val="0"/>
              <w:spacing w:line="240" w:lineRule="exact"/>
              <w:jc w:val="center"/>
              <w:rPr>
                <w:rFonts w:ascii="Times New Roman" w:hAnsi="Times New Roman"/>
                <w:b/>
                <w:bCs/>
              </w:rPr>
            </w:pPr>
            <w:r>
              <w:rPr>
                <w:rFonts w:ascii="Times New Roman" w:hAnsi="Times New Roman"/>
                <w:b/>
                <w:bCs/>
              </w:rPr>
              <w:t>类别</w:t>
            </w:r>
          </w:p>
        </w:tc>
        <w:tc>
          <w:tcPr>
            <w:tcW w:w="1351" w:type="dxa"/>
            <w:tcBorders>
              <w:tl2br w:val="nil"/>
              <w:tr2bl w:val="nil"/>
            </w:tcBorders>
            <w:vAlign w:val="center"/>
          </w:tcPr>
          <w:p>
            <w:pPr>
              <w:snapToGrid w:val="0"/>
              <w:spacing w:line="240" w:lineRule="exact"/>
              <w:jc w:val="center"/>
              <w:rPr>
                <w:rFonts w:ascii="Times New Roman" w:hAnsi="Times New Roman"/>
                <w:b/>
                <w:bCs/>
              </w:rPr>
            </w:pPr>
            <w:r>
              <w:rPr>
                <w:rFonts w:ascii="Times New Roman" w:hAnsi="Times New Roman"/>
                <w:b/>
                <w:bCs/>
              </w:rPr>
              <w:t>检测项目</w:t>
            </w:r>
          </w:p>
        </w:tc>
        <w:tc>
          <w:tcPr>
            <w:tcW w:w="2450" w:type="dxa"/>
            <w:tcBorders>
              <w:tl2br w:val="nil"/>
              <w:tr2bl w:val="nil"/>
            </w:tcBorders>
            <w:vAlign w:val="center"/>
          </w:tcPr>
          <w:p>
            <w:pPr>
              <w:snapToGrid w:val="0"/>
              <w:spacing w:line="240" w:lineRule="exact"/>
              <w:jc w:val="center"/>
              <w:rPr>
                <w:rFonts w:ascii="Times New Roman" w:hAnsi="Times New Roman"/>
                <w:b/>
                <w:bCs/>
              </w:rPr>
            </w:pPr>
            <w:r>
              <w:rPr>
                <w:rFonts w:ascii="Times New Roman" w:hAnsi="Times New Roman"/>
                <w:b/>
                <w:bCs/>
              </w:rPr>
              <w:t>分析方法</w:t>
            </w:r>
          </w:p>
        </w:tc>
        <w:tc>
          <w:tcPr>
            <w:tcW w:w="2275" w:type="dxa"/>
            <w:tcBorders>
              <w:tl2br w:val="nil"/>
              <w:tr2bl w:val="nil"/>
            </w:tcBorders>
            <w:vAlign w:val="center"/>
          </w:tcPr>
          <w:p>
            <w:pPr>
              <w:snapToGrid w:val="0"/>
              <w:spacing w:line="240" w:lineRule="exact"/>
              <w:jc w:val="center"/>
              <w:rPr>
                <w:rFonts w:ascii="Times New Roman" w:hAnsi="Times New Roman"/>
                <w:b/>
                <w:bCs/>
              </w:rPr>
            </w:pPr>
            <w:r>
              <w:rPr>
                <w:rFonts w:ascii="Times New Roman" w:hAnsi="Times New Roman"/>
                <w:b/>
                <w:bCs/>
              </w:rPr>
              <w:t>方法来源</w:t>
            </w:r>
          </w:p>
        </w:tc>
        <w:tc>
          <w:tcPr>
            <w:tcW w:w="2334" w:type="dxa"/>
            <w:tcBorders>
              <w:tl2br w:val="nil"/>
              <w:tr2bl w:val="nil"/>
            </w:tcBorders>
            <w:vAlign w:val="center"/>
          </w:tcPr>
          <w:p>
            <w:pPr>
              <w:snapToGrid w:val="0"/>
              <w:spacing w:line="240" w:lineRule="exact"/>
              <w:jc w:val="center"/>
              <w:rPr>
                <w:rFonts w:ascii="Times New Roman" w:hAnsi="Times New Roman"/>
                <w:b/>
                <w:bCs/>
              </w:rPr>
            </w:pPr>
            <w:r>
              <w:rPr>
                <w:rFonts w:ascii="Times New Roman" w:hAnsi="Times New Roman"/>
                <w:b/>
                <w:bCs/>
              </w:rPr>
              <w:t>检出限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exact"/>
          <w:jc w:val="center"/>
        </w:trPr>
        <w:tc>
          <w:tcPr>
            <w:tcW w:w="647" w:type="dxa"/>
            <w:vMerge w:val="restart"/>
            <w:tcBorders>
              <w:tl2br w:val="nil"/>
              <w:tr2bl w:val="nil"/>
            </w:tcBorders>
            <w:vAlign w:val="center"/>
          </w:tcPr>
          <w:p>
            <w:pPr>
              <w:snapToGrid w:val="0"/>
              <w:spacing w:line="240" w:lineRule="exact"/>
              <w:jc w:val="center"/>
              <w:rPr>
                <w:rFonts w:ascii="Times New Roman" w:hAnsi="Times New Roman"/>
              </w:rPr>
            </w:pPr>
            <w:r>
              <w:rPr>
                <w:rFonts w:ascii="Times New Roman" w:hAnsi="Times New Roman"/>
              </w:rPr>
              <w:t>环境空气</w:t>
            </w:r>
          </w:p>
        </w:tc>
        <w:tc>
          <w:tcPr>
            <w:tcW w:w="1351" w:type="dxa"/>
            <w:tcBorders>
              <w:tl2br w:val="nil"/>
              <w:tr2bl w:val="nil"/>
            </w:tcBorders>
            <w:vAlign w:val="center"/>
          </w:tcPr>
          <w:p>
            <w:pPr>
              <w:spacing w:line="240" w:lineRule="exact"/>
              <w:ind w:firstLine="420" w:firstLineChars="200"/>
              <w:jc w:val="left"/>
              <w:rPr>
                <w:rFonts w:ascii="Times New Roman" w:hAnsi="Times New Roman"/>
                <w:szCs w:val="21"/>
              </w:rPr>
            </w:pPr>
            <w:r>
              <w:rPr>
                <w:rFonts w:ascii="Times New Roman" w:hAnsi="Times New Roman"/>
                <w:szCs w:val="21"/>
              </w:rPr>
              <w:t>氨</w:t>
            </w:r>
          </w:p>
        </w:tc>
        <w:tc>
          <w:tcPr>
            <w:tcW w:w="2450" w:type="dxa"/>
            <w:tcBorders>
              <w:tl2br w:val="nil"/>
              <w:tr2bl w:val="nil"/>
            </w:tcBorders>
            <w:vAlign w:val="center"/>
          </w:tcPr>
          <w:p>
            <w:pPr>
              <w:spacing w:line="240" w:lineRule="exact"/>
              <w:jc w:val="center"/>
              <w:rPr>
                <w:rFonts w:ascii="Times New Roman" w:hAnsi="Times New Roman"/>
                <w:szCs w:val="21"/>
              </w:rPr>
            </w:pPr>
            <w:r>
              <w:rPr>
                <w:rFonts w:ascii="Times New Roman" w:hAnsi="Times New Roman"/>
                <w:szCs w:val="21"/>
              </w:rPr>
              <w:t>纳氏试剂分光光度法</w:t>
            </w:r>
          </w:p>
        </w:tc>
        <w:tc>
          <w:tcPr>
            <w:tcW w:w="2275" w:type="dxa"/>
            <w:tcBorders>
              <w:tl2br w:val="nil"/>
              <w:tr2bl w:val="nil"/>
            </w:tcBorders>
            <w:vAlign w:val="center"/>
          </w:tcPr>
          <w:p>
            <w:pPr>
              <w:spacing w:line="240" w:lineRule="exact"/>
              <w:jc w:val="center"/>
              <w:rPr>
                <w:rFonts w:ascii="Times New Roman" w:hAnsi="Times New Roman"/>
              </w:rPr>
            </w:pPr>
            <w:r>
              <w:rPr>
                <w:rFonts w:ascii="Times New Roman" w:hAnsi="Times New Roman"/>
              </w:rPr>
              <w:t>HJ533-2009</w:t>
            </w:r>
          </w:p>
        </w:tc>
        <w:tc>
          <w:tcPr>
            <w:tcW w:w="2334" w:type="dxa"/>
            <w:tcBorders>
              <w:tl2br w:val="nil"/>
              <w:tr2bl w:val="nil"/>
            </w:tcBorders>
            <w:vAlign w:val="center"/>
          </w:tcPr>
          <w:p>
            <w:pPr>
              <w:spacing w:line="240" w:lineRule="exact"/>
              <w:jc w:val="center"/>
              <w:rPr>
                <w:rFonts w:ascii="Times New Roman" w:hAnsi="Times New Roman"/>
              </w:rPr>
            </w:pPr>
            <w:r>
              <w:rPr>
                <w:rFonts w:ascii="Times New Roman" w:hAnsi="Times New Roman"/>
              </w:rPr>
              <w:t>0.01 mg/m</w:t>
            </w:r>
            <w:r>
              <w:rPr>
                <w:rFonts w:ascii="Times New Roman" w:hAnsi="Times New Roman"/>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2" w:hRule="exact"/>
          <w:jc w:val="center"/>
        </w:trPr>
        <w:tc>
          <w:tcPr>
            <w:tcW w:w="647" w:type="dxa"/>
            <w:vMerge w:val="continue"/>
            <w:tcBorders>
              <w:tl2br w:val="nil"/>
              <w:tr2bl w:val="nil"/>
            </w:tcBorders>
            <w:vAlign w:val="center"/>
          </w:tcPr>
          <w:p>
            <w:pPr>
              <w:snapToGrid w:val="0"/>
              <w:spacing w:line="240" w:lineRule="exact"/>
              <w:rPr>
                <w:rFonts w:ascii="Times New Roman" w:hAnsi="Times New Roman"/>
              </w:rPr>
            </w:pPr>
          </w:p>
        </w:tc>
        <w:tc>
          <w:tcPr>
            <w:tcW w:w="1351" w:type="dxa"/>
            <w:tcBorders>
              <w:tl2br w:val="nil"/>
              <w:tr2bl w:val="nil"/>
            </w:tcBorders>
            <w:vAlign w:val="center"/>
          </w:tcPr>
          <w:p>
            <w:pPr>
              <w:spacing w:line="240" w:lineRule="exact"/>
              <w:ind w:firstLine="420" w:firstLineChars="200"/>
              <w:jc w:val="left"/>
              <w:rPr>
                <w:rFonts w:ascii="Times New Roman" w:hAnsi="Times New Roman"/>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2450" w:type="dxa"/>
            <w:tcBorders>
              <w:tl2br w:val="nil"/>
              <w:tr2bl w:val="nil"/>
            </w:tcBorders>
            <w:vAlign w:val="center"/>
          </w:tcPr>
          <w:p>
            <w:pPr>
              <w:spacing w:line="240" w:lineRule="exact"/>
              <w:jc w:val="center"/>
              <w:rPr>
                <w:rFonts w:ascii="Times New Roman" w:hAnsi="Times New Roman"/>
                <w:szCs w:val="21"/>
              </w:rPr>
            </w:pPr>
            <w:r>
              <w:rPr>
                <w:rFonts w:ascii="Times New Roman" w:hAnsi="Times New Roman"/>
                <w:szCs w:val="21"/>
              </w:rPr>
              <w:t>亚甲基蓝分光度法</w:t>
            </w:r>
          </w:p>
        </w:tc>
        <w:tc>
          <w:tcPr>
            <w:tcW w:w="2275" w:type="dxa"/>
            <w:tcBorders>
              <w:tl2br w:val="nil"/>
              <w:tr2bl w:val="nil"/>
            </w:tcBorders>
            <w:vAlign w:val="center"/>
          </w:tcPr>
          <w:p>
            <w:pPr>
              <w:spacing w:line="240" w:lineRule="exact"/>
              <w:jc w:val="center"/>
              <w:rPr>
                <w:rFonts w:ascii="Times New Roman" w:hAnsi="Times New Roman"/>
              </w:rPr>
            </w:pPr>
            <w:r>
              <w:rPr>
                <w:rFonts w:ascii="Times New Roman" w:hAnsi="Times New Roman"/>
              </w:rPr>
              <w:t>空气和废气监测方法 第四版增补版</w:t>
            </w:r>
          </w:p>
        </w:tc>
        <w:tc>
          <w:tcPr>
            <w:tcW w:w="2334" w:type="dxa"/>
            <w:tcBorders>
              <w:tl2br w:val="nil"/>
              <w:tr2bl w:val="nil"/>
            </w:tcBorders>
            <w:vAlign w:val="center"/>
          </w:tcPr>
          <w:p>
            <w:pPr>
              <w:spacing w:line="240" w:lineRule="exact"/>
              <w:jc w:val="center"/>
              <w:rPr>
                <w:rFonts w:ascii="Times New Roman" w:hAnsi="Times New Roman"/>
              </w:rPr>
            </w:pPr>
            <w:r>
              <w:rPr>
                <w:rFonts w:ascii="Times New Roman" w:hAnsi="Times New Roman"/>
              </w:rPr>
              <w:t>0.001 mg/m</w:t>
            </w:r>
            <w:r>
              <w:rPr>
                <w:rFonts w:ascii="Times New Roman" w:hAnsi="Times New Roman"/>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exact"/>
          <w:jc w:val="center"/>
        </w:trPr>
        <w:tc>
          <w:tcPr>
            <w:tcW w:w="647" w:type="dxa"/>
            <w:vMerge w:val="continue"/>
            <w:tcBorders>
              <w:tl2br w:val="nil"/>
              <w:tr2bl w:val="nil"/>
            </w:tcBorders>
            <w:vAlign w:val="center"/>
          </w:tcPr>
          <w:p>
            <w:pPr>
              <w:snapToGrid w:val="0"/>
              <w:spacing w:line="240" w:lineRule="exact"/>
              <w:rPr>
                <w:rFonts w:ascii="Times New Roman" w:hAnsi="Times New Roman"/>
              </w:rPr>
            </w:pPr>
          </w:p>
        </w:tc>
        <w:tc>
          <w:tcPr>
            <w:tcW w:w="1351" w:type="dxa"/>
            <w:tcBorders>
              <w:tl2br w:val="nil"/>
              <w:tr2bl w:val="nil"/>
            </w:tcBorders>
            <w:vAlign w:val="center"/>
          </w:tcPr>
          <w:p>
            <w:pPr>
              <w:spacing w:line="240" w:lineRule="exact"/>
              <w:ind w:firstLine="420" w:firstLineChars="200"/>
              <w:jc w:val="left"/>
              <w:rPr>
                <w:rFonts w:ascii="Times New Roman" w:hAnsi="Times New Roman"/>
                <w:szCs w:val="21"/>
              </w:rPr>
            </w:pPr>
            <w:r>
              <w:rPr>
                <w:rFonts w:ascii="Times New Roman" w:hAnsi="Times New Roman"/>
                <w:szCs w:val="21"/>
              </w:rPr>
              <w:t>TSP</w:t>
            </w:r>
          </w:p>
        </w:tc>
        <w:tc>
          <w:tcPr>
            <w:tcW w:w="2450" w:type="dxa"/>
            <w:tcBorders>
              <w:tl2br w:val="nil"/>
              <w:tr2bl w:val="nil"/>
            </w:tcBorders>
            <w:vAlign w:val="center"/>
          </w:tcPr>
          <w:p>
            <w:pPr>
              <w:spacing w:line="240" w:lineRule="exact"/>
              <w:jc w:val="center"/>
              <w:rPr>
                <w:rFonts w:ascii="Times New Roman" w:hAnsi="Times New Roman"/>
                <w:szCs w:val="21"/>
              </w:rPr>
            </w:pPr>
            <w:r>
              <w:rPr>
                <w:rFonts w:ascii="Times New Roman" w:hAnsi="Times New Roman"/>
                <w:szCs w:val="21"/>
              </w:rPr>
              <w:t>重量法</w:t>
            </w:r>
          </w:p>
        </w:tc>
        <w:tc>
          <w:tcPr>
            <w:tcW w:w="2275" w:type="dxa"/>
            <w:tcBorders>
              <w:tl2br w:val="nil"/>
              <w:tr2bl w:val="nil"/>
            </w:tcBorders>
            <w:vAlign w:val="center"/>
          </w:tcPr>
          <w:p>
            <w:pPr>
              <w:spacing w:line="240" w:lineRule="exact"/>
              <w:jc w:val="center"/>
              <w:rPr>
                <w:rFonts w:ascii="Times New Roman" w:hAnsi="Times New Roman"/>
              </w:rPr>
            </w:pPr>
            <w:r>
              <w:rPr>
                <w:rFonts w:ascii="Times New Roman" w:hAnsi="Times New Roman"/>
              </w:rPr>
              <w:t>GB/T15432-1995</w:t>
            </w:r>
          </w:p>
        </w:tc>
        <w:tc>
          <w:tcPr>
            <w:tcW w:w="2334" w:type="dxa"/>
            <w:tcBorders>
              <w:tl2br w:val="nil"/>
              <w:tr2bl w:val="nil"/>
            </w:tcBorders>
            <w:vAlign w:val="center"/>
          </w:tcPr>
          <w:p>
            <w:pPr>
              <w:spacing w:line="240" w:lineRule="exact"/>
              <w:jc w:val="center"/>
              <w:rPr>
                <w:rFonts w:ascii="Times New Roman" w:hAnsi="Times New Roman"/>
              </w:rPr>
            </w:pPr>
            <w:r>
              <w:rPr>
                <w:rFonts w:ascii="Times New Roman" w:hAnsi="Times New Roman"/>
              </w:rPr>
              <w:t>0.001 mg/m</w:t>
            </w:r>
            <w:r>
              <w:rPr>
                <w:rFonts w:ascii="Times New Roman" w:hAnsi="Times New Roman"/>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47" w:type="dxa"/>
            <w:vMerge w:val="continue"/>
            <w:tcBorders>
              <w:tl2br w:val="nil"/>
              <w:tr2bl w:val="nil"/>
            </w:tcBorders>
            <w:vAlign w:val="center"/>
          </w:tcPr>
          <w:p>
            <w:pPr>
              <w:snapToGrid w:val="0"/>
              <w:spacing w:line="240" w:lineRule="exact"/>
              <w:rPr>
                <w:rFonts w:ascii="Times New Roman" w:hAnsi="Times New Roman"/>
              </w:rPr>
            </w:pPr>
          </w:p>
        </w:tc>
        <w:tc>
          <w:tcPr>
            <w:tcW w:w="1351" w:type="dxa"/>
            <w:tcBorders>
              <w:tl2br w:val="nil"/>
              <w:tr2bl w:val="nil"/>
            </w:tcBorders>
            <w:vAlign w:val="center"/>
          </w:tcPr>
          <w:p>
            <w:pPr>
              <w:spacing w:line="240" w:lineRule="exact"/>
              <w:jc w:val="center"/>
              <w:rPr>
                <w:rFonts w:ascii="Times New Roman" w:hAnsi="Times New Roman"/>
                <w:szCs w:val="21"/>
              </w:rPr>
            </w:pPr>
            <w:r>
              <w:rPr>
                <w:rFonts w:ascii="Times New Roman" w:hAnsi="Times New Roman"/>
                <w:szCs w:val="21"/>
              </w:rPr>
              <w:t>臭气浓度</w:t>
            </w:r>
          </w:p>
        </w:tc>
        <w:tc>
          <w:tcPr>
            <w:tcW w:w="2450" w:type="dxa"/>
            <w:tcBorders>
              <w:tl2br w:val="nil"/>
              <w:tr2bl w:val="nil"/>
            </w:tcBorders>
            <w:vAlign w:val="center"/>
          </w:tcPr>
          <w:p>
            <w:pPr>
              <w:spacing w:line="240" w:lineRule="exact"/>
              <w:jc w:val="center"/>
              <w:rPr>
                <w:rFonts w:ascii="Times New Roman" w:hAnsi="Times New Roman"/>
                <w:szCs w:val="21"/>
              </w:rPr>
            </w:pPr>
            <w:r>
              <w:rPr>
                <w:rFonts w:ascii="Times New Roman" w:hAnsi="Times New Roman"/>
                <w:szCs w:val="21"/>
              </w:rPr>
              <w:t>三点比较式臭袋法</w:t>
            </w:r>
          </w:p>
        </w:tc>
        <w:tc>
          <w:tcPr>
            <w:tcW w:w="2275" w:type="dxa"/>
            <w:tcBorders>
              <w:tl2br w:val="nil"/>
              <w:tr2bl w:val="nil"/>
            </w:tcBorders>
            <w:vAlign w:val="center"/>
          </w:tcPr>
          <w:p>
            <w:pPr>
              <w:spacing w:line="240" w:lineRule="exact"/>
              <w:jc w:val="center"/>
              <w:rPr>
                <w:rFonts w:ascii="Times New Roman" w:hAnsi="Times New Roman"/>
              </w:rPr>
            </w:pPr>
            <w:r>
              <w:rPr>
                <w:rFonts w:ascii="Times New Roman" w:hAnsi="Times New Roman"/>
              </w:rPr>
              <w:t>GB/T14675-93</w:t>
            </w:r>
          </w:p>
        </w:tc>
        <w:tc>
          <w:tcPr>
            <w:tcW w:w="2334" w:type="dxa"/>
            <w:tcBorders>
              <w:tl2br w:val="nil"/>
              <w:tr2bl w:val="nil"/>
            </w:tcBorders>
            <w:vAlign w:val="center"/>
          </w:tcPr>
          <w:p>
            <w:pPr>
              <w:spacing w:line="240" w:lineRule="exact"/>
              <w:jc w:val="center"/>
              <w:rPr>
                <w:rFonts w:ascii="Times New Roman" w:hAnsi="Times New Roman"/>
              </w:rPr>
            </w:pPr>
            <w:r>
              <w:rPr>
                <w:rFonts w:ascii="Times New Roman" w:hAnsi="Times New Roman"/>
              </w:rPr>
              <w:t>/</w:t>
            </w:r>
          </w:p>
        </w:tc>
      </w:tr>
    </w:tbl>
    <w:p>
      <w:pPr>
        <w:widowControl/>
        <w:spacing w:line="540" w:lineRule="exact"/>
        <w:ind w:firstLine="480" w:firstLineChars="200"/>
        <w:rPr>
          <w:rFonts w:ascii="Times New Roman" w:hAnsi="Times New Roman"/>
          <w:sz w:val="24"/>
          <w:szCs w:val="22"/>
        </w:rPr>
      </w:pPr>
      <w:r>
        <w:rPr>
          <w:rFonts w:ascii="Times New Roman" w:hAnsi="Times New Roman"/>
          <w:sz w:val="24"/>
          <w:szCs w:val="22"/>
        </w:rPr>
        <w:t>（5）气象资料要求</w:t>
      </w:r>
    </w:p>
    <w:p>
      <w:pPr>
        <w:pStyle w:val="41"/>
        <w:spacing w:line="540" w:lineRule="exact"/>
        <w:ind w:firstLine="480" w:firstLineChars="200"/>
        <w:rPr>
          <w:rFonts w:eastAsia="宋体"/>
          <w:sz w:val="24"/>
          <w:szCs w:val="22"/>
        </w:rPr>
      </w:pPr>
      <w:r>
        <w:rPr>
          <w:rFonts w:eastAsia="宋体"/>
          <w:sz w:val="24"/>
          <w:szCs w:val="22"/>
        </w:rPr>
        <w:t>气象观测与大气采样时间同步进行，观测地面风向、风速、温度、气压。</w:t>
      </w:r>
    </w:p>
    <w:p>
      <w:pPr>
        <w:widowControl/>
        <w:spacing w:line="540" w:lineRule="exact"/>
        <w:ind w:left="420" w:leftChars="200"/>
        <w:rPr>
          <w:rFonts w:ascii="Times New Roman" w:hAnsi="Times New Roman"/>
          <w:sz w:val="24"/>
          <w:szCs w:val="22"/>
        </w:rPr>
      </w:pPr>
      <w:r>
        <w:rPr>
          <w:rFonts w:hint="eastAsia" w:ascii="Times New Roman" w:hAnsi="Times New Roman"/>
          <w:sz w:val="24"/>
          <w:szCs w:val="22"/>
        </w:rPr>
        <w:t>（6）</w:t>
      </w:r>
      <w:r>
        <w:rPr>
          <w:rFonts w:ascii="Times New Roman" w:hAnsi="Times New Roman"/>
          <w:sz w:val="24"/>
          <w:szCs w:val="22"/>
        </w:rPr>
        <w:t>质控措施</w:t>
      </w:r>
    </w:p>
    <w:p>
      <w:pPr>
        <w:pStyle w:val="41"/>
        <w:keepNext w:val="0"/>
        <w:keepLines w:val="0"/>
        <w:pageBreakBefore w:val="0"/>
        <w:widowControl w:val="0"/>
        <w:kinsoku/>
        <w:wordWrap/>
        <w:overflowPunct/>
        <w:topLinePunct w:val="0"/>
        <w:autoSpaceDE/>
        <w:autoSpaceDN/>
        <w:bidi w:val="0"/>
        <w:adjustRightInd/>
        <w:snapToGrid w:val="0"/>
        <w:spacing w:line="540" w:lineRule="exact"/>
        <w:ind w:firstLine="480" w:firstLineChars="200"/>
        <w:textAlignment w:val="auto"/>
        <w:rPr>
          <w:rFonts w:eastAsia="宋体"/>
          <w:sz w:val="24"/>
          <w:szCs w:val="22"/>
        </w:rPr>
      </w:pPr>
      <w:r>
        <w:rPr>
          <w:rFonts w:eastAsia="宋体"/>
          <w:sz w:val="24"/>
          <w:szCs w:val="22"/>
        </w:rPr>
        <w:t>检测期间，保证仪器设备运行正常。检测仪器按照国家有关标准或技术要求经过计量部门鉴定合格并在有效期内使用。检测人员持证上岗；检测前对使用的仪器均进行漏气检验</w:t>
      </w:r>
      <w:r>
        <w:rPr>
          <w:rFonts w:hint="eastAsia" w:eastAsia="宋体"/>
          <w:sz w:val="24"/>
          <w:szCs w:val="22"/>
        </w:rPr>
        <w:t>。</w:t>
      </w:r>
      <w:r>
        <w:rPr>
          <w:rFonts w:eastAsia="宋体"/>
          <w:sz w:val="24"/>
          <w:szCs w:val="22"/>
        </w:rPr>
        <w:t>采样和分析过程严格按照</w:t>
      </w:r>
      <w:r>
        <w:rPr>
          <w:rFonts w:hint="eastAsia" w:eastAsia="宋体"/>
          <w:sz w:val="24"/>
          <w:szCs w:val="22"/>
        </w:rPr>
        <w:t>《环境影响评价技术导则 大气环境》（HJ2.2-2018）有关规定、</w:t>
      </w:r>
      <w:r>
        <w:rPr>
          <w:rFonts w:eastAsia="宋体"/>
          <w:sz w:val="24"/>
          <w:szCs w:val="22"/>
        </w:rPr>
        <w:t>《空气和废气监测分析方法》（第四版增补版）进行。检测过程中的质量保证措施按国家环保部颁发的《环境监测质量保证管理规定（暂行）》的要求进行，实施全过程质量保证。</w:t>
      </w:r>
    </w:p>
    <w:p>
      <w:pPr>
        <w:pStyle w:val="41"/>
        <w:keepNext w:val="0"/>
        <w:keepLines w:val="0"/>
        <w:pageBreakBefore w:val="0"/>
        <w:widowControl w:val="0"/>
        <w:numPr>
          <w:ilvl w:val="0"/>
          <w:numId w:val="2"/>
        </w:numPr>
        <w:kinsoku/>
        <w:wordWrap/>
        <w:overflowPunct/>
        <w:topLinePunct w:val="0"/>
        <w:autoSpaceDE/>
        <w:autoSpaceDN/>
        <w:bidi w:val="0"/>
        <w:adjustRightInd/>
        <w:snapToGrid w:val="0"/>
        <w:spacing w:line="540" w:lineRule="exact"/>
        <w:ind w:firstLine="480" w:firstLineChars="200"/>
        <w:textAlignment w:val="auto"/>
      </w:pPr>
      <w:r>
        <w:rPr>
          <w:rFonts w:eastAsia="宋体"/>
          <w:sz w:val="24"/>
          <w:szCs w:val="24"/>
        </w:rPr>
        <w:t>评价标准</w:t>
      </w:r>
    </w:p>
    <w:p>
      <w:pPr>
        <w:keepNext w:val="0"/>
        <w:keepLines w:val="0"/>
        <w:pageBreakBefore w:val="0"/>
        <w:widowControl w:val="0"/>
        <w:kinsoku/>
        <w:wordWrap/>
        <w:overflowPunct/>
        <w:topLinePunct w:val="0"/>
        <w:autoSpaceDE/>
        <w:autoSpaceDN/>
        <w:bidi w:val="0"/>
        <w:adjustRightInd/>
        <w:snapToGrid w:val="0"/>
        <w:spacing w:before="120" w:after="120" w:line="540" w:lineRule="exact"/>
        <w:ind w:firstLine="480" w:firstLineChars="200"/>
        <w:contextualSpacing/>
        <w:textAlignment w:val="auto"/>
        <w:outlineLvl w:val="9"/>
        <w:rPr>
          <w:rFonts w:ascii="Times New Roman" w:hAnsi="Times New Roman" w:eastAsia="宋体" w:cs="Times New Roman"/>
          <w:b w:val="0"/>
          <w:bCs w:val="0"/>
          <w:kern w:val="2"/>
          <w:sz w:val="24"/>
          <w:szCs w:val="22"/>
          <w:lang w:val="en-US" w:eastAsia="zh-CN" w:bidi="ar-SA"/>
        </w:rPr>
      </w:pPr>
      <w:r>
        <w:rPr>
          <w:rFonts w:hint="eastAsia" w:ascii="Times New Roman" w:hAnsi="Times New Roman" w:eastAsia="宋体" w:cs="Times New Roman"/>
          <w:b w:val="0"/>
          <w:bCs w:val="0"/>
          <w:kern w:val="2"/>
          <w:sz w:val="24"/>
          <w:szCs w:val="22"/>
          <w:lang w:val="en-US" w:eastAsia="zh-CN" w:bidi="ar-SA"/>
        </w:rPr>
        <w:t>氨、硫化氢评价执行《环境影响评价技术导则 大气环境》(HJ2.2-2018)附录D中限值；</w:t>
      </w:r>
      <w:r>
        <w:rPr>
          <w:rFonts w:ascii="Times New Roman" w:hAnsi="Times New Roman" w:eastAsia="宋体" w:cs="Times New Roman"/>
          <w:b w:val="0"/>
          <w:bCs w:val="0"/>
          <w:kern w:val="2"/>
          <w:sz w:val="24"/>
          <w:szCs w:val="22"/>
          <w:lang w:val="en-US" w:eastAsia="zh-CN" w:bidi="ar-SA"/>
        </w:rPr>
        <w:t>TSP执行《环境空气质量标准》(GB3095-2012)</w:t>
      </w:r>
      <w:r>
        <w:rPr>
          <w:rFonts w:hint="eastAsia" w:ascii="Times New Roman" w:hAnsi="Times New Roman" w:eastAsia="宋体" w:cs="Times New Roman"/>
          <w:b w:val="0"/>
          <w:bCs w:val="0"/>
          <w:kern w:val="2"/>
          <w:sz w:val="24"/>
          <w:szCs w:val="22"/>
          <w:lang w:val="en-US" w:eastAsia="zh-CN" w:bidi="ar-SA"/>
        </w:rPr>
        <w:t>及其2</w:t>
      </w:r>
      <w:r>
        <w:rPr>
          <w:rFonts w:ascii="Times New Roman" w:hAnsi="Times New Roman" w:eastAsia="宋体" w:cs="Times New Roman"/>
          <w:b w:val="0"/>
          <w:bCs w:val="0"/>
          <w:kern w:val="2"/>
          <w:sz w:val="24"/>
          <w:szCs w:val="22"/>
          <w:lang w:val="en-US" w:eastAsia="zh-CN" w:bidi="ar-SA"/>
        </w:rPr>
        <w:t>018</w:t>
      </w:r>
      <w:r>
        <w:rPr>
          <w:rFonts w:hint="eastAsia" w:ascii="Times New Roman" w:hAnsi="Times New Roman" w:eastAsia="宋体" w:cs="Times New Roman"/>
          <w:b w:val="0"/>
          <w:bCs w:val="0"/>
          <w:kern w:val="2"/>
          <w:sz w:val="24"/>
          <w:szCs w:val="22"/>
          <w:lang w:val="en-US" w:eastAsia="zh-CN" w:bidi="ar-SA"/>
        </w:rPr>
        <w:t>年修改单中</w:t>
      </w:r>
      <w:r>
        <w:rPr>
          <w:rFonts w:ascii="Times New Roman" w:hAnsi="Times New Roman" w:eastAsia="宋体" w:cs="Times New Roman"/>
          <w:b w:val="0"/>
          <w:bCs w:val="0"/>
          <w:kern w:val="2"/>
          <w:sz w:val="24"/>
          <w:szCs w:val="22"/>
          <w:lang w:val="en-US" w:eastAsia="zh-CN" w:bidi="ar-SA"/>
        </w:rPr>
        <w:t>二级标准；</w:t>
      </w:r>
      <w:r>
        <w:rPr>
          <w:rFonts w:hint="eastAsia" w:ascii="Times New Roman" w:hAnsi="Times New Roman" w:eastAsia="宋体" w:cs="Times New Roman"/>
          <w:b w:val="0"/>
          <w:bCs w:val="0"/>
          <w:kern w:val="2"/>
          <w:sz w:val="24"/>
          <w:szCs w:val="22"/>
          <w:lang w:val="en-US" w:eastAsia="zh-CN" w:bidi="ar-SA"/>
        </w:rPr>
        <w:t>臭气浓度</w:t>
      </w:r>
      <w:r>
        <w:rPr>
          <w:rFonts w:ascii="Times New Roman" w:hAnsi="Times New Roman" w:eastAsia="宋体" w:cs="Times New Roman"/>
          <w:b w:val="0"/>
          <w:bCs w:val="0"/>
          <w:kern w:val="2"/>
          <w:sz w:val="24"/>
          <w:szCs w:val="22"/>
          <w:lang w:val="en-US" w:eastAsia="zh-CN" w:bidi="ar-SA"/>
        </w:rPr>
        <w:t>由于无相应</w:t>
      </w:r>
      <w:r>
        <w:rPr>
          <w:rFonts w:hint="eastAsia" w:ascii="Times New Roman" w:hAnsi="Times New Roman" w:eastAsia="宋体" w:cs="Times New Roman"/>
          <w:b w:val="0"/>
          <w:bCs w:val="0"/>
          <w:kern w:val="2"/>
          <w:sz w:val="24"/>
          <w:szCs w:val="22"/>
          <w:lang w:val="en-US" w:eastAsia="zh-CN" w:bidi="ar-SA"/>
        </w:rPr>
        <w:t>环境质量</w:t>
      </w:r>
      <w:r>
        <w:rPr>
          <w:rFonts w:ascii="Times New Roman" w:hAnsi="Times New Roman" w:eastAsia="宋体" w:cs="Times New Roman"/>
          <w:b w:val="0"/>
          <w:bCs w:val="0"/>
          <w:kern w:val="2"/>
          <w:sz w:val="24"/>
          <w:szCs w:val="22"/>
          <w:lang w:val="en-US" w:eastAsia="zh-CN" w:bidi="ar-SA"/>
        </w:rPr>
        <w:t>标准</w:t>
      </w:r>
      <w:r>
        <w:rPr>
          <w:rFonts w:hint="eastAsia" w:ascii="Times New Roman" w:hAnsi="Times New Roman" w:eastAsia="宋体" w:cs="Times New Roman"/>
          <w:b w:val="0"/>
          <w:bCs w:val="0"/>
          <w:kern w:val="2"/>
          <w:sz w:val="24"/>
          <w:szCs w:val="22"/>
          <w:lang w:val="en-US" w:eastAsia="zh-CN" w:bidi="ar-SA"/>
        </w:rPr>
        <w:t>限值，本次作为本底值</w:t>
      </w:r>
      <w:r>
        <w:rPr>
          <w:rFonts w:ascii="Times New Roman" w:hAnsi="Times New Roman" w:eastAsia="宋体" w:cs="Times New Roman"/>
          <w:b w:val="0"/>
          <w:bCs w:val="0"/>
          <w:kern w:val="2"/>
          <w:sz w:val="24"/>
          <w:szCs w:val="22"/>
          <w:lang w:val="en-US" w:eastAsia="zh-CN" w:bidi="ar-SA"/>
        </w:rPr>
        <w:t>。</w:t>
      </w:r>
    </w:p>
    <w:p>
      <w:pPr>
        <w:pStyle w:val="6"/>
        <w:snapToGrid w:val="0"/>
        <w:spacing w:before="120" w:after="120" w:line="540" w:lineRule="exact"/>
        <w:contextualSpacing/>
        <w:rPr>
          <w:rFonts w:hint="default" w:ascii="Times New Roman" w:hAnsi="Times New Roman" w:eastAsia="宋体" w:cs="Times New Roman"/>
          <w:b/>
          <w:bCs/>
          <w:kern w:val="2"/>
          <w:sz w:val="24"/>
          <w:szCs w:val="22"/>
          <w:lang w:val="en-US" w:eastAsia="zh-CN" w:bidi="ar-SA"/>
        </w:rPr>
      </w:pPr>
      <w:r>
        <w:rPr>
          <w:rFonts w:hint="default" w:ascii="Times New Roman" w:hAnsi="Times New Roman" w:eastAsia="宋体" w:cs="Times New Roman"/>
          <w:b/>
          <w:bCs/>
          <w:kern w:val="2"/>
          <w:sz w:val="24"/>
          <w:szCs w:val="22"/>
          <w:lang w:val="en-US" w:eastAsia="zh-CN" w:bidi="ar-SA"/>
        </w:rPr>
        <w:t>3.2.1.3监测结果分析</w:t>
      </w:r>
    </w:p>
    <w:p>
      <w:pPr>
        <w:pStyle w:val="7"/>
        <w:spacing w:line="540" w:lineRule="exact"/>
        <w:ind w:firstLine="480"/>
        <w:rPr>
          <w:rFonts w:ascii="Times New Roman" w:hAnsi="Times New Roman" w:eastAsia="宋体"/>
        </w:rPr>
      </w:pPr>
      <w:r>
        <w:rPr>
          <w:rFonts w:ascii="Times New Roman" w:hAnsi="Times New Roman" w:eastAsia="宋体"/>
        </w:rPr>
        <w:t>（1）气象参数</w:t>
      </w:r>
    </w:p>
    <w:p>
      <w:pPr>
        <w:spacing w:line="540" w:lineRule="exact"/>
        <w:ind w:firstLine="480" w:firstLineChars="200"/>
        <w:rPr>
          <w:rFonts w:ascii="Times New Roman" w:hAnsi="Times New Roman"/>
          <w:sz w:val="24"/>
          <w:szCs w:val="22"/>
        </w:rPr>
      </w:pPr>
      <w:r>
        <w:rPr>
          <w:rFonts w:ascii="Times New Roman" w:hAnsi="Times New Roman"/>
          <w:sz w:val="24"/>
          <w:szCs w:val="22"/>
        </w:rPr>
        <w:t>环境空气质量现状监测期间气象参数见表3.2-</w:t>
      </w:r>
      <w:r>
        <w:rPr>
          <w:rFonts w:hint="eastAsia" w:ascii="Times New Roman" w:hAnsi="Times New Roman"/>
          <w:sz w:val="24"/>
          <w:szCs w:val="22"/>
        </w:rPr>
        <w:t>4</w:t>
      </w:r>
    </w:p>
    <w:p>
      <w:pPr>
        <w:widowControl/>
        <w:jc w:val="center"/>
        <w:rPr>
          <w:rFonts w:ascii="Times New Roman" w:hAnsi="Times New Roman"/>
          <w:b/>
          <w:sz w:val="24"/>
        </w:rPr>
      </w:pPr>
      <w:r>
        <w:rPr>
          <w:rFonts w:ascii="Times New Roman" w:hAnsi="Times New Roman"/>
          <w:b/>
          <w:sz w:val="24"/>
        </w:rPr>
        <w:t>表3.2-</w:t>
      </w:r>
      <w:r>
        <w:rPr>
          <w:rFonts w:hint="eastAsia" w:ascii="Times New Roman" w:hAnsi="Times New Roman"/>
          <w:b/>
          <w:sz w:val="24"/>
        </w:rPr>
        <w:t>4</w:t>
      </w:r>
      <w:r>
        <w:rPr>
          <w:rFonts w:ascii="Times New Roman" w:hAnsi="Times New Roman"/>
          <w:b/>
          <w:sz w:val="24"/>
        </w:rPr>
        <w:t xml:space="preserve">                 环境空气质量现状监测期间气象参数</w:t>
      </w:r>
    </w:p>
    <w:tbl>
      <w:tblPr>
        <w:tblStyle w:val="29"/>
        <w:tblW w:w="894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78"/>
        <w:gridCol w:w="1872"/>
        <w:gridCol w:w="1117"/>
        <w:gridCol w:w="1117"/>
        <w:gridCol w:w="1117"/>
        <w:gridCol w:w="1117"/>
        <w:gridCol w:w="11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restart"/>
            <w:tcBorders>
              <w:tl2br w:val="nil"/>
              <w:tr2bl w:val="nil"/>
            </w:tcBorders>
            <w:vAlign w:val="center"/>
          </w:tcPr>
          <w:p>
            <w:pPr>
              <w:spacing w:line="0" w:lineRule="atLeast"/>
              <w:jc w:val="center"/>
              <w:rPr>
                <w:rFonts w:ascii="Times New Roman" w:hAnsi="Times New Roman"/>
                <w:b/>
                <w:bCs/>
                <w:szCs w:val="21"/>
              </w:rPr>
            </w:pPr>
            <w:r>
              <w:rPr>
                <w:rFonts w:ascii="Times New Roman" w:hAnsi="Times New Roman"/>
                <w:b/>
                <w:bCs/>
                <w:szCs w:val="21"/>
              </w:rPr>
              <w:t>时间</w:t>
            </w:r>
          </w:p>
        </w:tc>
        <w:tc>
          <w:tcPr>
            <w:tcW w:w="1872" w:type="dxa"/>
            <w:vMerge w:val="restart"/>
            <w:tcBorders>
              <w:tl2br w:val="nil"/>
              <w:tr2bl w:val="nil"/>
            </w:tcBorders>
            <w:vAlign w:val="center"/>
          </w:tcPr>
          <w:p>
            <w:pPr>
              <w:spacing w:line="0" w:lineRule="atLeast"/>
              <w:jc w:val="center"/>
              <w:rPr>
                <w:rFonts w:ascii="Times New Roman" w:hAnsi="Times New Roman"/>
                <w:b/>
                <w:bCs/>
                <w:szCs w:val="21"/>
              </w:rPr>
            </w:pPr>
            <w:r>
              <w:rPr>
                <w:rFonts w:ascii="Times New Roman" w:hAnsi="Times New Roman"/>
                <w:b/>
                <w:bCs/>
                <w:szCs w:val="21"/>
              </w:rPr>
              <w:t>监测时间</w:t>
            </w:r>
          </w:p>
        </w:tc>
        <w:tc>
          <w:tcPr>
            <w:tcW w:w="5593" w:type="dxa"/>
            <w:gridSpan w:val="5"/>
            <w:tcBorders>
              <w:tl2br w:val="nil"/>
              <w:tr2bl w:val="nil"/>
            </w:tcBorders>
            <w:vAlign w:val="center"/>
          </w:tcPr>
          <w:p>
            <w:pPr>
              <w:spacing w:line="0" w:lineRule="atLeast"/>
              <w:jc w:val="center"/>
              <w:rPr>
                <w:rFonts w:ascii="Times New Roman" w:hAnsi="Times New Roman"/>
                <w:szCs w:val="21"/>
              </w:rPr>
            </w:pPr>
            <w:r>
              <w:rPr>
                <w:rFonts w:ascii="Times New Roman" w:hAnsi="Times New Roman"/>
                <w:b/>
                <w:bCs/>
                <w:szCs w:val="21"/>
              </w:rPr>
              <w:t>气象数据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793" w:hRule="exact"/>
          <w:jc w:val="center"/>
        </w:trPr>
        <w:tc>
          <w:tcPr>
            <w:tcW w:w="1478" w:type="dxa"/>
            <w:vMerge w:val="continue"/>
            <w:tcBorders>
              <w:tl2br w:val="nil"/>
              <w:tr2bl w:val="nil"/>
            </w:tcBorders>
            <w:vAlign w:val="center"/>
          </w:tcPr>
          <w:p>
            <w:pPr>
              <w:spacing w:line="0" w:lineRule="atLeast"/>
              <w:jc w:val="center"/>
              <w:rPr>
                <w:rFonts w:ascii="Times New Roman" w:hAnsi="Times New Roman"/>
                <w:b/>
                <w:bCs/>
                <w:szCs w:val="21"/>
              </w:rPr>
            </w:pPr>
          </w:p>
        </w:tc>
        <w:tc>
          <w:tcPr>
            <w:tcW w:w="1872" w:type="dxa"/>
            <w:vMerge w:val="continue"/>
            <w:tcBorders>
              <w:tl2br w:val="nil"/>
              <w:tr2bl w:val="nil"/>
            </w:tcBorders>
            <w:vAlign w:val="center"/>
          </w:tcPr>
          <w:p>
            <w:pPr>
              <w:spacing w:line="0" w:lineRule="atLeast"/>
              <w:jc w:val="center"/>
              <w:rPr>
                <w:rFonts w:ascii="Times New Roman" w:hAnsi="Times New Roman"/>
                <w:b/>
                <w:bCs/>
                <w:szCs w:val="21"/>
              </w:rPr>
            </w:pPr>
          </w:p>
        </w:tc>
        <w:tc>
          <w:tcPr>
            <w:tcW w:w="1117" w:type="dxa"/>
            <w:tcBorders>
              <w:tl2br w:val="nil"/>
              <w:tr2bl w:val="nil"/>
            </w:tcBorders>
            <w:vAlign w:val="center"/>
          </w:tcPr>
          <w:p>
            <w:pPr>
              <w:spacing w:line="0" w:lineRule="atLeast"/>
              <w:jc w:val="center"/>
              <w:rPr>
                <w:rFonts w:ascii="Times New Roman" w:hAnsi="Times New Roman"/>
                <w:bCs/>
                <w:szCs w:val="21"/>
              </w:rPr>
            </w:pPr>
            <w:r>
              <w:rPr>
                <w:rFonts w:ascii="Times New Roman" w:hAnsi="Times New Roman"/>
                <w:bCs/>
                <w:szCs w:val="21"/>
              </w:rPr>
              <w:t>气压（KPa）</w:t>
            </w:r>
          </w:p>
        </w:tc>
        <w:tc>
          <w:tcPr>
            <w:tcW w:w="1117" w:type="dxa"/>
            <w:tcBorders>
              <w:tl2br w:val="nil"/>
              <w:tr2bl w:val="nil"/>
            </w:tcBorders>
            <w:vAlign w:val="center"/>
          </w:tcPr>
          <w:p>
            <w:pPr>
              <w:spacing w:line="0" w:lineRule="atLeast"/>
              <w:jc w:val="center"/>
              <w:rPr>
                <w:rFonts w:ascii="Times New Roman" w:hAnsi="Times New Roman"/>
                <w:bCs/>
                <w:szCs w:val="21"/>
              </w:rPr>
            </w:pPr>
            <w:r>
              <w:rPr>
                <w:rFonts w:ascii="Times New Roman" w:hAnsi="Times New Roman"/>
                <w:bCs/>
                <w:szCs w:val="21"/>
              </w:rPr>
              <w:t>气温</w:t>
            </w:r>
          </w:p>
          <w:p>
            <w:pPr>
              <w:spacing w:line="0" w:lineRule="atLeast"/>
              <w:jc w:val="center"/>
              <w:rPr>
                <w:rFonts w:ascii="Times New Roman" w:hAnsi="Times New Roman"/>
                <w:bCs/>
                <w:szCs w:val="21"/>
              </w:rPr>
            </w:pPr>
            <w:r>
              <w:rPr>
                <w:rFonts w:ascii="Times New Roman" w:hAnsi="Times New Roman"/>
                <w:bCs/>
                <w:szCs w:val="21"/>
              </w:rPr>
              <w:t>（℃）</w:t>
            </w:r>
          </w:p>
        </w:tc>
        <w:tc>
          <w:tcPr>
            <w:tcW w:w="1117" w:type="dxa"/>
            <w:tcBorders>
              <w:tl2br w:val="nil"/>
              <w:tr2bl w:val="nil"/>
            </w:tcBorders>
            <w:vAlign w:val="center"/>
          </w:tcPr>
          <w:p>
            <w:pPr>
              <w:spacing w:line="0" w:lineRule="atLeast"/>
              <w:jc w:val="center"/>
              <w:rPr>
                <w:rFonts w:ascii="Times New Roman" w:hAnsi="Times New Roman"/>
                <w:bCs/>
                <w:szCs w:val="21"/>
              </w:rPr>
            </w:pPr>
            <w:r>
              <w:rPr>
                <w:rFonts w:ascii="Times New Roman" w:hAnsi="Times New Roman"/>
                <w:bCs/>
                <w:szCs w:val="21"/>
              </w:rPr>
              <w:t>湿</w:t>
            </w:r>
            <w:r>
              <w:rPr>
                <w:rFonts w:hint="eastAsia" w:ascii="Times New Roman" w:hAnsi="Times New Roman"/>
                <w:bCs/>
                <w:szCs w:val="21"/>
              </w:rPr>
              <w:t>度</w:t>
            </w:r>
          </w:p>
          <w:p>
            <w:pPr>
              <w:spacing w:line="0" w:lineRule="atLeast"/>
              <w:jc w:val="center"/>
              <w:rPr>
                <w:rFonts w:ascii="Times New Roman" w:hAnsi="Times New Roman"/>
                <w:bCs/>
                <w:szCs w:val="21"/>
              </w:rPr>
            </w:pPr>
            <w:r>
              <w:rPr>
                <w:rFonts w:ascii="Times New Roman" w:hAnsi="Times New Roman"/>
                <w:bCs/>
                <w:szCs w:val="21"/>
              </w:rPr>
              <w:t>（%RH）</w:t>
            </w:r>
          </w:p>
        </w:tc>
        <w:tc>
          <w:tcPr>
            <w:tcW w:w="1117" w:type="dxa"/>
            <w:tcBorders>
              <w:tl2br w:val="nil"/>
              <w:tr2bl w:val="nil"/>
            </w:tcBorders>
            <w:vAlign w:val="center"/>
          </w:tcPr>
          <w:p>
            <w:pPr>
              <w:spacing w:line="0" w:lineRule="atLeast"/>
              <w:jc w:val="center"/>
              <w:rPr>
                <w:rFonts w:ascii="Times New Roman" w:hAnsi="Times New Roman"/>
                <w:bCs/>
                <w:szCs w:val="21"/>
              </w:rPr>
            </w:pPr>
            <w:r>
              <w:rPr>
                <w:rFonts w:ascii="Times New Roman" w:hAnsi="Times New Roman"/>
                <w:bCs/>
                <w:szCs w:val="21"/>
              </w:rPr>
              <w:t>风向</w:t>
            </w:r>
          </w:p>
        </w:tc>
        <w:tc>
          <w:tcPr>
            <w:tcW w:w="1125" w:type="dxa"/>
            <w:tcBorders>
              <w:tl2br w:val="nil"/>
              <w:tr2bl w:val="nil"/>
            </w:tcBorders>
            <w:vAlign w:val="center"/>
          </w:tcPr>
          <w:p>
            <w:pPr>
              <w:spacing w:line="0" w:lineRule="atLeast"/>
              <w:jc w:val="center"/>
              <w:rPr>
                <w:rFonts w:ascii="Times New Roman" w:hAnsi="Times New Roman"/>
                <w:bCs/>
                <w:szCs w:val="21"/>
              </w:rPr>
            </w:pPr>
            <w:r>
              <w:rPr>
                <w:rFonts w:ascii="Times New Roman" w:hAnsi="Times New Roman"/>
                <w:bCs/>
                <w:szCs w:val="21"/>
              </w:rPr>
              <w:t>风速（m/s）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restart"/>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4月18日</w:t>
            </w: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8:00-9:00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88.7</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13</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21</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12:00-13:00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88.5</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15</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19</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16:00-17:00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88.3</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16</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21</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22:00-23:00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88.3</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16</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21</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restart"/>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4月19日</w:t>
            </w: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8:00-9:00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19</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12:00-13:00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87.6</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13</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25</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16:00-17:00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87.0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19</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23</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22:00-23:00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87.9</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12</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restart"/>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4月20日</w:t>
            </w: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8:00-9:00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88.9</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12</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0" w:lineRule="atLeas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12:00-13:00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87.5</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17</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28</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0" w:lineRule="atLeas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16:00-17:00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87.4</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18</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27</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0" w:lineRule="atLeas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22:00-23:00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89.0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restart"/>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4月21日</w:t>
            </w: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8:00-9:00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89.0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12:00-13:00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88.9</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14</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28</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16:00-17:00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88.6</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17</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27</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22:00-23:00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88.3</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12</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restart"/>
            <w:tcBorders>
              <w:tl2br w:val="nil"/>
              <w:tr2bl w:val="nil"/>
            </w:tcBorders>
            <w:vAlign w:val="center"/>
          </w:tcPr>
          <w:p>
            <w:pPr>
              <w:spacing w:line="240" w:lineRule="exact"/>
              <w:jc w:val="center"/>
              <w:rPr>
                <w:rFonts w:ascii="Times New Roman" w:hAnsi="Times New Roman"/>
                <w:szCs w:val="21"/>
              </w:rPr>
            </w:pPr>
          </w:p>
          <w:p>
            <w:pPr>
              <w:spacing w:line="240" w:lineRule="exact"/>
              <w:jc w:val="center"/>
              <w:rPr>
                <w:rFonts w:ascii="Times New Roman" w:hAnsi="Times New Roman"/>
                <w:szCs w:val="21"/>
              </w:rPr>
            </w:pPr>
            <w:r>
              <w:rPr>
                <w:rFonts w:hint="eastAsia" w:ascii="Times New Roman" w:hAnsi="Times New Roman"/>
                <w:szCs w:val="21"/>
              </w:rPr>
              <w:t>4月22日</w:t>
            </w: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8:00-9:00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88.6</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12:00-13:00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88.4</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14</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18</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16:00-17:00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88.2</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15</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before="240" w:after="60"/>
              <w:jc w:val="center"/>
              <w:outlineLvl w:val="0"/>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22:00-23:00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88.2</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15</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19</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restart"/>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4月23日</w:t>
            </w: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8:00-9:00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88.1</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19</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12:00-13:00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87.5</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13</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25</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16:00-17:00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87.0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19</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23</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240" w:lineRule="exac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22:00-23:00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87.9</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12</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restart"/>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4月24日</w:t>
            </w: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8:00-9:00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88.7</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12</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0" w:lineRule="atLeas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12:00-13:00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87.3</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17</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26</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0" w:lineRule="atLeas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16:00-17:00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87.2</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18</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25</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vMerge w:val="continue"/>
            <w:tcBorders>
              <w:tl2br w:val="nil"/>
              <w:tr2bl w:val="nil"/>
            </w:tcBorders>
            <w:vAlign w:val="center"/>
          </w:tcPr>
          <w:p>
            <w:pPr>
              <w:spacing w:line="0" w:lineRule="atLeast"/>
              <w:jc w:val="center"/>
              <w:rPr>
                <w:rFonts w:ascii="Times New Roman" w:hAnsi="Times New Roman"/>
                <w:szCs w:val="21"/>
              </w:rPr>
            </w:pPr>
          </w:p>
        </w:tc>
        <w:tc>
          <w:tcPr>
            <w:tcW w:w="1872" w:type="dxa"/>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22:00-23:00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89.0</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11</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24</w:t>
            </w:r>
          </w:p>
        </w:tc>
        <w:tc>
          <w:tcPr>
            <w:tcW w:w="111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西风</w:t>
            </w:r>
          </w:p>
        </w:tc>
        <w:tc>
          <w:tcPr>
            <w:tcW w:w="112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exact"/>
          <w:jc w:val="center"/>
        </w:trPr>
        <w:tc>
          <w:tcPr>
            <w:tcW w:w="1478" w:type="dxa"/>
            <w:tcBorders>
              <w:tl2br w:val="nil"/>
              <w:tr2bl w:val="nil"/>
            </w:tcBorders>
            <w:vAlign w:val="center"/>
          </w:tcPr>
          <w:p>
            <w:pPr>
              <w:spacing w:line="0" w:lineRule="atLeast"/>
              <w:jc w:val="center"/>
              <w:rPr>
                <w:rFonts w:ascii="Times New Roman" w:hAnsi="Times New Roman"/>
                <w:szCs w:val="21"/>
              </w:rPr>
            </w:pPr>
            <w:r>
              <w:rPr>
                <w:rFonts w:ascii="Times New Roman" w:hAnsi="Times New Roman"/>
                <w:szCs w:val="21"/>
              </w:rPr>
              <w:t>备注</w:t>
            </w:r>
          </w:p>
        </w:tc>
        <w:tc>
          <w:tcPr>
            <w:tcW w:w="7465" w:type="dxa"/>
            <w:gridSpan w:val="6"/>
            <w:tcBorders>
              <w:tl2br w:val="nil"/>
              <w:tr2bl w:val="nil"/>
            </w:tcBorders>
            <w:vAlign w:val="center"/>
          </w:tcPr>
          <w:p>
            <w:pPr>
              <w:spacing w:line="240" w:lineRule="exact"/>
              <w:jc w:val="center"/>
              <w:rPr>
                <w:rFonts w:ascii="Times New Roman" w:hAnsi="Times New Roman"/>
                <w:szCs w:val="21"/>
              </w:rPr>
            </w:pPr>
            <w:r>
              <w:rPr>
                <w:rFonts w:hint="eastAsia" w:ascii="Times New Roman" w:hAnsi="Times New Roman"/>
                <w:szCs w:val="21"/>
              </w:rPr>
              <w:t>检测仪器为YFY-QXY手持式气象站</w:t>
            </w:r>
          </w:p>
        </w:tc>
      </w:tr>
    </w:tbl>
    <w:p>
      <w:pPr>
        <w:pStyle w:val="7"/>
        <w:keepNext w:val="0"/>
        <w:keepLines w:val="0"/>
        <w:pageBreakBefore w:val="0"/>
        <w:widowControl w:val="0"/>
        <w:kinsoku/>
        <w:wordWrap/>
        <w:overflowPunct/>
        <w:topLinePunct w:val="0"/>
        <w:autoSpaceDE/>
        <w:autoSpaceDN/>
        <w:bidi w:val="0"/>
        <w:snapToGrid/>
        <w:spacing w:line="500" w:lineRule="exact"/>
        <w:ind w:left="0" w:leftChars="0" w:firstLine="480" w:firstLineChars="200"/>
        <w:textAlignment w:val="auto"/>
        <w:rPr>
          <w:rFonts w:hint="eastAsia" w:ascii="Times New Roman" w:hAnsi="Times New Roman"/>
          <w:b/>
          <w:sz w:val="24"/>
        </w:rPr>
      </w:pPr>
      <w:r>
        <w:rPr>
          <w:rFonts w:ascii="Times New Roman" w:hAnsi="Times New Roman" w:eastAsia="宋体"/>
        </w:rPr>
        <w:t>（</w:t>
      </w:r>
      <w:r>
        <w:rPr>
          <w:rFonts w:hint="eastAsia" w:ascii="Times New Roman" w:hAnsi="Times New Roman" w:eastAsia="宋体"/>
        </w:rPr>
        <w:t>2</w:t>
      </w:r>
      <w:r>
        <w:rPr>
          <w:rFonts w:ascii="Times New Roman" w:hAnsi="Times New Roman" w:eastAsia="宋体"/>
        </w:rPr>
        <w:t>）</w:t>
      </w:r>
      <w:r>
        <w:rPr>
          <w:rFonts w:hint="eastAsia" w:ascii="Times New Roman" w:hAnsi="Times New Roman" w:eastAsia="宋体"/>
        </w:rPr>
        <w:t>监测结果</w:t>
      </w:r>
    </w:p>
    <w:p>
      <w:pPr>
        <w:keepNext w:val="0"/>
        <w:keepLines w:val="0"/>
        <w:pageBreakBefore w:val="0"/>
        <w:widowControl w:val="0"/>
        <w:kinsoku/>
        <w:wordWrap/>
        <w:overflowPunct/>
        <w:topLinePunct w:val="0"/>
        <w:autoSpaceDE/>
        <w:autoSpaceDN/>
        <w:bidi w:val="0"/>
        <w:snapToGrid/>
        <w:spacing w:line="500" w:lineRule="exact"/>
        <w:jc w:val="center"/>
        <w:textAlignment w:val="auto"/>
        <w:rPr>
          <w:rFonts w:ascii="Times New Roman" w:hAnsi="Times New Roman"/>
          <w:b/>
          <w:sz w:val="24"/>
        </w:rPr>
      </w:pPr>
      <w:r>
        <w:rPr>
          <w:rFonts w:hint="eastAsia" w:ascii="Times New Roman" w:hAnsi="Times New Roman"/>
          <w:b/>
          <w:sz w:val="24"/>
        </w:rPr>
        <w:t>表3.2-5  监测结果一览表</w:t>
      </w:r>
    </w:p>
    <w:tbl>
      <w:tblPr>
        <w:tblStyle w:val="29"/>
        <w:tblW w:w="907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09"/>
        <w:gridCol w:w="1674"/>
        <w:gridCol w:w="1047"/>
        <w:gridCol w:w="1031"/>
        <w:gridCol w:w="958"/>
        <w:gridCol w:w="918"/>
        <w:gridCol w:w="14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83" w:type="dxa"/>
            <w:gridSpan w:val="2"/>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单位名称</w:t>
            </w:r>
          </w:p>
        </w:tc>
        <w:tc>
          <w:tcPr>
            <w:tcW w:w="5389" w:type="dxa"/>
            <w:gridSpan w:val="5"/>
            <w:tcBorders>
              <w:tl2br w:val="nil"/>
              <w:tr2bl w:val="nil"/>
            </w:tcBorders>
            <w:vAlign w:val="center"/>
          </w:tcPr>
          <w:p>
            <w:pPr>
              <w:spacing w:line="320" w:lineRule="exact"/>
              <w:jc w:val="center"/>
              <w:rPr>
                <w:sz w:val="22"/>
              </w:rPr>
            </w:pPr>
            <w:r>
              <w:rPr>
                <w:rFonts w:hint="eastAsia" w:ascii="Times New Roman" w:hAnsi="Times New Roman"/>
                <w:bCs/>
              </w:rPr>
              <w:t>宁夏腾发农业科技有限公司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83" w:type="dxa"/>
            <w:gridSpan w:val="2"/>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检测内容</w:t>
            </w:r>
          </w:p>
        </w:tc>
        <w:tc>
          <w:tcPr>
            <w:tcW w:w="5389" w:type="dxa"/>
            <w:gridSpan w:val="5"/>
            <w:tcBorders>
              <w:tl2br w:val="nil"/>
              <w:tr2bl w:val="nil"/>
            </w:tcBorders>
            <w:vAlign w:val="center"/>
          </w:tcPr>
          <w:p>
            <w:pPr>
              <w:spacing w:line="320" w:lineRule="exact"/>
              <w:jc w:val="center"/>
              <w:rPr>
                <w:rFonts w:ascii="Times New Roman" w:hAnsi="Times New Roman"/>
                <w:sz w:val="22"/>
              </w:rPr>
            </w:pPr>
            <w:r>
              <w:rPr>
                <w:rFonts w:hint="eastAsia" w:ascii="Times New Roman" w:hAnsi="Times New Roman"/>
                <w:bCs/>
              </w:rPr>
              <w:t>NH</w:t>
            </w:r>
            <w:r>
              <w:rPr>
                <w:rFonts w:hint="eastAsia" w:ascii="Times New Roman" w:hAnsi="Times New Roman"/>
                <w:bCs/>
                <w:vertAlign w:val="subscript"/>
              </w:rPr>
              <w:t>3</w:t>
            </w:r>
            <w:r>
              <w:rPr>
                <w:rFonts w:hint="eastAsia" w:ascii="Times New Roman" w:hAnsi="Times New Roman"/>
                <w:bCs/>
              </w:rPr>
              <w:t>、H</w:t>
            </w:r>
            <w:r>
              <w:rPr>
                <w:rFonts w:hint="eastAsia" w:ascii="Times New Roman" w:hAnsi="Times New Roman"/>
                <w:bCs/>
                <w:vertAlign w:val="subscript"/>
              </w:rPr>
              <w:t>2</w:t>
            </w:r>
            <w:r>
              <w:rPr>
                <w:rFonts w:hint="eastAsia" w:ascii="Times New Roman" w:hAnsi="Times New Roman"/>
                <w:bCs/>
              </w:rPr>
              <w:t>S、臭气浓度、TSP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restart"/>
            <w:tcBorders>
              <w:tl2br w:val="nil"/>
              <w:tr2bl w:val="nil"/>
            </w:tcBorders>
            <w:vAlign w:val="center"/>
          </w:tcPr>
          <w:p>
            <w:pPr>
              <w:spacing w:line="240" w:lineRule="exact"/>
              <w:jc w:val="center"/>
              <w:rPr>
                <w:rFonts w:ascii="Times New Roman" w:hAnsi="Times New Roman"/>
                <w:bCs/>
              </w:rPr>
            </w:pPr>
            <w:r>
              <w:rPr>
                <w:rFonts w:hint="eastAsia" w:ascii="Times New Roman" w:hAnsi="Times New Roman"/>
                <w:bCs/>
              </w:rPr>
              <w:t>采样日期</w:t>
            </w:r>
          </w:p>
        </w:tc>
        <w:tc>
          <w:tcPr>
            <w:tcW w:w="1674" w:type="dxa"/>
            <w:vMerge w:val="restart"/>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监测项目</w:t>
            </w:r>
          </w:p>
        </w:tc>
        <w:tc>
          <w:tcPr>
            <w:tcW w:w="3954" w:type="dxa"/>
            <w:gridSpan w:val="4"/>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检测结果(mg/m</w:t>
            </w:r>
            <w:r>
              <w:rPr>
                <w:rFonts w:hint="eastAsia" w:ascii="Times New Roman" w:hAnsi="Times New Roman"/>
                <w:bCs/>
                <w:vertAlign w:val="superscript"/>
              </w:rPr>
              <w:t>3</w:t>
            </w:r>
            <w:r>
              <w:rPr>
                <w:rFonts w:hint="eastAsia" w:ascii="Times New Roman" w:hAnsi="Times New Roman"/>
                <w:bCs/>
              </w:rPr>
              <w:t>)</w:t>
            </w:r>
          </w:p>
        </w:tc>
        <w:tc>
          <w:tcPr>
            <w:tcW w:w="1435" w:type="dxa"/>
            <w:tcBorders>
              <w:tl2br w:val="nil"/>
              <w:tr2bl w:val="nil"/>
            </w:tcBorders>
            <w:vAlign w:val="center"/>
          </w:tcPr>
          <w:p>
            <w:pPr>
              <w:spacing w:line="0" w:lineRule="atLeast"/>
              <w:jc w:val="center"/>
              <w:rPr>
                <w:rFonts w:ascii="Times New Roman" w:hAnsi="Times New Roman"/>
                <w:bC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szCs w:val="21"/>
              </w:rPr>
            </w:pPr>
          </w:p>
        </w:tc>
        <w:tc>
          <w:tcPr>
            <w:tcW w:w="1674" w:type="dxa"/>
            <w:vMerge w:val="continue"/>
            <w:tcBorders>
              <w:tl2br w:val="nil"/>
              <w:tr2bl w:val="nil"/>
            </w:tcBorders>
            <w:vAlign w:val="center"/>
          </w:tcPr>
          <w:p>
            <w:pPr>
              <w:jc w:val="center"/>
              <w:rPr>
                <w:sz w:val="22"/>
              </w:rPr>
            </w:pPr>
          </w:p>
        </w:tc>
        <w:tc>
          <w:tcPr>
            <w:tcW w:w="3954" w:type="dxa"/>
            <w:gridSpan w:val="4"/>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1#监测点位监测频次</w:t>
            </w:r>
          </w:p>
        </w:tc>
        <w:tc>
          <w:tcPr>
            <w:tcW w:w="1435" w:type="dxa"/>
            <w:vMerge w:val="restart"/>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标准限值(mg/m</w:t>
            </w:r>
            <w:r>
              <w:rPr>
                <w:rFonts w:hint="eastAsia" w:ascii="Times New Roman" w:hAnsi="Times New Roman"/>
                <w:bCs/>
                <w:vertAlign w:val="superscript"/>
              </w:rPr>
              <w:t>3</w:t>
            </w:r>
            <w:r>
              <w:rPr>
                <w:rFonts w:hint="eastAsia" w:ascii="Times New Roman" w:hAnsi="Times New Roman"/>
                <w:bC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szCs w:val="21"/>
              </w:rPr>
            </w:pPr>
          </w:p>
        </w:tc>
        <w:tc>
          <w:tcPr>
            <w:tcW w:w="1674" w:type="dxa"/>
            <w:vMerge w:val="continue"/>
            <w:tcBorders>
              <w:tl2br w:val="nil"/>
              <w:tr2bl w:val="nil"/>
            </w:tcBorders>
            <w:vAlign w:val="center"/>
          </w:tcPr>
          <w:p>
            <w:pPr>
              <w:jc w:val="center"/>
              <w:rPr>
                <w:sz w:val="22"/>
              </w:rPr>
            </w:pPr>
          </w:p>
        </w:tc>
        <w:tc>
          <w:tcPr>
            <w:tcW w:w="1047"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8:00</w:t>
            </w:r>
          </w:p>
        </w:tc>
        <w:tc>
          <w:tcPr>
            <w:tcW w:w="1031"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12:00</w:t>
            </w:r>
          </w:p>
        </w:tc>
        <w:tc>
          <w:tcPr>
            <w:tcW w:w="958"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16:00</w:t>
            </w:r>
          </w:p>
        </w:tc>
        <w:tc>
          <w:tcPr>
            <w:tcW w:w="918"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20:00</w:t>
            </w:r>
          </w:p>
        </w:tc>
        <w:tc>
          <w:tcPr>
            <w:tcW w:w="1435" w:type="dxa"/>
            <w:vMerge w:val="continue"/>
            <w:tcBorders>
              <w:tl2br w:val="nil"/>
              <w:tr2bl w:val="nil"/>
            </w:tcBorders>
            <w:vAlign w:val="center"/>
          </w:tcPr>
          <w:p>
            <w:pPr>
              <w:spacing w:line="0" w:lineRule="atLeast"/>
              <w:jc w:val="center"/>
              <w:rPr>
                <w:rFonts w:ascii="Times New Roman" w:hAnsi="Times New Roman"/>
                <w:bC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restart"/>
            <w:tcBorders>
              <w:tl2br w:val="nil"/>
              <w:tr2bl w:val="nil"/>
            </w:tcBorders>
            <w:vAlign w:val="center"/>
          </w:tcPr>
          <w:p>
            <w:pPr>
              <w:spacing w:line="240" w:lineRule="exact"/>
              <w:jc w:val="center"/>
              <w:rPr>
                <w:rFonts w:ascii="Times New Roman" w:hAnsi="Times New Roman"/>
                <w:sz w:val="22"/>
              </w:rPr>
            </w:pPr>
            <w:r>
              <w:rPr>
                <w:rFonts w:hint="eastAsia" w:ascii="Times New Roman" w:hAnsi="Times New Roman"/>
              </w:rPr>
              <w:t>4月18日</w:t>
            </w: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NH</w:t>
            </w:r>
            <w:r>
              <w:rPr>
                <w:rFonts w:hint="eastAsia" w:ascii="Times New Roman" w:hAnsi="Times New Roman"/>
                <w:sz w:val="22"/>
                <w:szCs w:val="21"/>
                <w:vertAlign w:val="subscript"/>
              </w:rPr>
              <w:t>3</w:t>
            </w:r>
          </w:p>
        </w:tc>
        <w:tc>
          <w:tcPr>
            <w:tcW w:w="1047"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H</w:t>
            </w:r>
            <w:r>
              <w:rPr>
                <w:rFonts w:hint="eastAsia" w:ascii="Times New Roman" w:hAnsi="Times New Roman"/>
                <w:sz w:val="22"/>
                <w:szCs w:val="21"/>
                <w:vertAlign w:val="subscript"/>
              </w:rPr>
              <w:t>2</w:t>
            </w:r>
            <w:r>
              <w:rPr>
                <w:rFonts w:hint="eastAsia" w:ascii="Times New Roman" w:hAnsi="Times New Roman"/>
                <w:sz w:val="22"/>
                <w:szCs w:val="21"/>
              </w:rPr>
              <w:t>S</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臭气浓度</w:t>
            </w:r>
          </w:p>
        </w:tc>
        <w:tc>
          <w:tcPr>
            <w:tcW w:w="1047"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＜10</w:t>
            </w:r>
          </w:p>
        </w:tc>
        <w:tc>
          <w:tcPr>
            <w:tcW w:w="1031"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＜10</w:t>
            </w:r>
          </w:p>
        </w:tc>
        <w:tc>
          <w:tcPr>
            <w:tcW w:w="958"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＜10</w:t>
            </w:r>
          </w:p>
        </w:tc>
        <w:tc>
          <w:tcPr>
            <w:tcW w:w="918"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＜10</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20无量纲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spacing w:line="240" w:lineRule="exact"/>
              <w:jc w:val="center"/>
              <w:rPr>
                <w:rFonts w:ascii="Times New Roman" w:hAnsi="Times New Roman"/>
                <w:szCs w:val="21"/>
              </w:rPr>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TSP</w:t>
            </w:r>
          </w:p>
        </w:tc>
        <w:tc>
          <w:tcPr>
            <w:tcW w:w="3954" w:type="dxa"/>
            <w:gridSpan w:val="4"/>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0.21（24小时平均值）</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restart"/>
            <w:tcBorders>
              <w:tl2br w:val="nil"/>
              <w:tr2bl w:val="nil"/>
            </w:tcBorders>
            <w:vAlign w:val="center"/>
          </w:tcPr>
          <w:p>
            <w:pPr>
              <w:spacing w:line="240" w:lineRule="exact"/>
              <w:jc w:val="center"/>
            </w:pPr>
            <w:r>
              <w:rPr>
                <w:rFonts w:hint="eastAsia" w:ascii="Times New Roman" w:hAnsi="Times New Roman"/>
              </w:rPr>
              <w:t>4月19日</w:t>
            </w: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NH</w:t>
            </w:r>
            <w:r>
              <w:rPr>
                <w:rFonts w:hint="eastAsia" w:ascii="Times New Roman" w:hAnsi="Times New Roman"/>
                <w:sz w:val="22"/>
                <w:szCs w:val="21"/>
                <w:vertAlign w:val="subscript"/>
              </w:rPr>
              <w:t>3</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H</w:t>
            </w:r>
            <w:r>
              <w:rPr>
                <w:rFonts w:hint="eastAsia" w:ascii="Times New Roman" w:hAnsi="Times New Roman"/>
                <w:sz w:val="22"/>
                <w:szCs w:val="21"/>
                <w:vertAlign w:val="subscript"/>
              </w:rPr>
              <w:t>2</w:t>
            </w:r>
            <w:r>
              <w:rPr>
                <w:rFonts w:hint="eastAsia" w:ascii="Times New Roman" w:hAnsi="Times New Roman"/>
                <w:sz w:val="22"/>
                <w:szCs w:val="21"/>
              </w:rPr>
              <w:t>S</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spacing w:line="240" w:lineRule="exact"/>
              <w:jc w:val="center"/>
              <w:rPr>
                <w:rFonts w:ascii="Times New Roman" w:hAnsi="Times New Roman"/>
                <w:szCs w:val="21"/>
              </w:rPr>
            </w:pPr>
          </w:p>
        </w:tc>
        <w:tc>
          <w:tcPr>
            <w:tcW w:w="1674"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臭气浓度</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20无量纲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TSP</w:t>
            </w:r>
          </w:p>
        </w:tc>
        <w:tc>
          <w:tcPr>
            <w:tcW w:w="3954" w:type="dxa"/>
            <w:gridSpan w:val="4"/>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0.14（24小时平均值）</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restart"/>
            <w:tcBorders>
              <w:tl2br w:val="nil"/>
              <w:tr2bl w:val="nil"/>
            </w:tcBorders>
            <w:vAlign w:val="center"/>
          </w:tcPr>
          <w:p>
            <w:pPr>
              <w:spacing w:line="240" w:lineRule="exact"/>
              <w:jc w:val="center"/>
              <w:rPr>
                <w:rFonts w:ascii="Times New Roman" w:hAnsi="Times New Roman"/>
                <w:sz w:val="22"/>
              </w:rPr>
            </w:pPr>
            <w:r>
              <w:rPr>
                <w:rFonts w:hint="eastAsia" w:ascii="Times New Roman" w:hAnsi="Times New Roman"/>
              </w:rPr>
              <w:t>4月20日</w:t>
            </w: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NH</w:t>
            </w:r>
            <w:r>
              <w:rPr>
                <w:rFonts w:hint="eastAsia" w:ascii="Times New Roman" w:hAnsi="Times New Roman"/>
                <w:sz w:val="22"/>
                <w:szCs w:val="21"/>
                <w:vertAlign w:val="subscript"/>
              </w:rPr>
              <w:t>3</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H</w:t>
            </w:r>
            <w:r>
              <w:rPr>
                <w:rFonts w:hint="eastAsia" w:ascii="Times New Roman" w:hAnsi="Times New Roman"/>
                <w:sz w:val="22"/>
                <w:szCs w:val="21"/>
                <w:vertAlign w:val="subscript"/>
              </w:rPr>
              <w:t>2</w:t>
            </w:r>
            <w:r>
              <w:rPr>
                <w:rFonts w:hint="eastAsia" w:ascii="Times New Roman" w:hAnsi="Times New Roman"/>
                <w:sz w:val="22"/>
                <w:szCs w:val="21"/>
              </w:rPr>
              <w:t>S</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臭气浓度</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20无量纲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TSP</w:t>
            </w:r>
          </w:p>
        </w:tc>
        <w:tc>
          <w:tcPr>
            <w:tcW w:w="3954" w:type="dxa"/>
            <w:gridSpan w:val="4"/>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0.14（24小时平均值）</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restart"/>
            <w:tcBorders>
              <w:tl2br w:val="nil"/>
              <w:tr2bl w:val="nil"/>
            </w:tcBorders>
            <w:vAlign w:val="center"/>
          </w:tcPr>
          <w:p/>
          <w:p>
            <w:pPr>
              <w:pStyle w:val="28"/>
            </w:pPr>
            <w:bookmarkStart w:id="485" w:name="_Toc25168"/>
            <w:r>
              <w:rPr>
                <w:rFonts w:hint="eastAsia" w:ascii="Times New Roman" w:hAnsi="Times New Roman"/>
                <w:b w:val="0"/>
                <w:bCs w:val="0"/>
                <w:sz w:val="21"/>
                <w:szCs w:val="21"/>
              </w:rPr>
              <w:t>4月21日</w:t>
            </w:r>
            <w:bookmarkEnd w:id="485"/>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NH</w:t>
            </w:r>
            <w:r>
              <w:rPr>
                <w:rFonts w:hint="eastAsia" w:ascii="Times New Roman" w:hAnsi="Times New Roman"/>
                <w:sz w:val="22"/>
                <w:szCs w:val="21"/>
                <w:vertAlign w:val="subscript"/>
              </w:rPr>
              <w:t>3</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H</w:t>
            </w:r>
            <w:r>
              <w:rPr>
                <w:rFonts w:hint="eastAsia" w:ascii="Times New Roman" w:hAnsi="Times New Roman"/>
                <w:sz w:val="22"/>
                <w:szCs w:val="21"/>
                <w:vertAlign w:val="subscript"/>
              </w:rPr>
              <w:t>2</w:t>
            </w:r>
            <w:r>
              <w:rPr>
                <w:rFonts w:hint="eastAsia" w:ascii="Times New Roman" w:hAnsi="Times New Roman"/>
                <w:sz w:val="22"/>
                <w:szCs w:val="21"/>
              </w:rPr>
              <w:t>S</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臭气浓度</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20无量纲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TSP</w:t>
            </w:r>
          </w:p>
        </w:tc>
        <w:tc>
          <w:tcPr>
            <w:tcW w:w="3954" w:type="dxa"/>
            <w:gridSpan w:val="4"/>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0.19（24小时平均值）</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restart"/>
            <w:tcBorders>
              <w:tl2br w:val="nil"/>
              <w:tr2bl w:val="nil"/>
            </w:tcBorders>
            <w:vAlign w:val="center"/>
          </w:tcPr>
          <w:p>
            <w:pPr>
              <w:jc w:val="center"/>
            </w:pPr>
            <w:r>
              <w:rPr>
                <w:rFonts w:hint="eastAsia" w:ascii="Times New Roman" w:hAnsi="Times New Roman"/>
              </w:rPr>
              <w:t>4月22日</w:t>
            </w: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NH</w:t>
            </w:r>
            <w:r>
              <w:rPr>
                <w:rFonts w:hint="eastAsia" w:ascii="Times New Roman" w:hAnsi="Times New Roman"/>
                <w:sz w:val="22"/>
                <w:szCs w:val="21"/>
                <w:vertAlign w:val="subscript"/>
              </w:rPr>
              <w:t>3</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pStyle w:val="28"/>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H</w:t>
            </w:r>
            <w:r>
              <w:rPr>
                <w:rFonts w:hint="eastAsia" w:ascii="Times New Roman" w:hAnsi="Times New Roman"/>
                <w:sz w:val="22"/>
                <w:szCs w:val="21"/>
                <w:vertAlign w:val="subscript"/>
              </w:rPr>
              <w:t>2</w:t>
            </w:r>
            <w:r>
              <w:rPr>
                <w:rFonts w:hint="eastAsia" w:ascii="Times New Roman" w:hAnsi="Times New Roman"/>
                <w:sz w:val="22"/>
                <w:szCs w:val="21"/>
              </w:rPr>
              <w:t>S</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pStyle w:val="28"/>
            </w:pPr>
          </w:p>
        </w:tc>
        <w:tc>
          <w:tcPr>
            <w:tcW w:w="1674"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臭气浓度</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20无量纲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TSP</w:t>
            </w:r>
          </w:p>
        </w:tc>
        <w:tc>
          <w:tcPr>
            <w:tcW w:w="3954" w:type="dxa"/>
            <w:gridSpan w:val="4"/>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0.22（24小时平均值）</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restart"/>
            <w:tcBorders>
              <w:tl2br w:val="nil"/>
              <w:tr2bl w:val="nil"/>
            </w:tcBorders>
            <w:vAlign w:val="center"/>
          </w:tcPr>
          <w:p>
            <w:pPr>
              <w:jc w:val="center"/>
              <w:rPr>
                <w:rFonts w:ascii="Times New Roman" w:hAnsi="Times New Roman"/>
                <w:sz w:val="22"/>
              </w:rPr>
            </w:pPr>
            <w:r>
              <w:rPr>
                <w:rFonts w:hint="eastAsia" w:ascii="Times New Roman" w:hAnsi="Times New Roman"/>
              </w:rPr>
              <w:t>4月23日</w:t>
            </w: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NH</w:t>
            </w:r>
            <w:r>
              <w:rPr>
                <w:rFonts w:hint="eastAsia" w:ascii="Times New Roman" w:hAnsi="Times New Roman"/>
                <w:sz w:val="22"/>
                <w:szCs w:val="21"/>
                <w:vertAlign w:val="subscript"/>
              </w:rPr>
              <w:t>3</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H</w:t>
            </w:r>
            <w:r>
              <w:rPr>
                <w:rFonts w:hint="eastAsia" w:ascii="Times New Roman" w:hAnsi="Times New Roman"/>
                <w:sz w:val="22"/>
                <w:szCs w:val="21"/>
                <w:vertAlign w:val="subscript"/>
              </w:rPr>
              <w:t>2</w:t>
            </w:r>
            <w:r>
              <w:rPr>
                <w:rFonts w:hint="eastAsia" w:ascii="Times New Roman" w:hAnsi="Times New Roman"/>
                <w:sz w:val="22"/>
                <w:szCs w:val="21"/>
              </w:rPr>
              <w:t>S</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臭气浓度</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20无量纲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jc w:val="center"/>
              <w:rPr>
                <w:rFonts w:ascii="Times New Roman" w:hAnsi="Times New Roman"/>
                <w:sz w:val="22"/>
              </w:rPr>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TSP</w:t>
            </w:r>
          </w:p>
        </w:tc>
        <w:tc>
          <w:tcPr>
            <w:tcW w:w="3954" w:type="dxa"/>
            <w:gridSpan w:val="4"/>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0.25（24小时平均值）</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restart"/>
            <w:tcBorders>
              <w:tl2br w:val="nil"/>
              <w:tr2bl w:val="nil"/>
            </w:tcBorders>
            <w:vAlign w:val="center"/>
          </w:tcPr>
          <w:p>
            <w:pPr>
              <w:pStyle w:val="28"/>
            </w:pPr>
            <w:bookmarkStart w:id="486" w:name="_Toc8169"/>
            <w:r>
              <w:rPr>
                <w:rFonts w:hint="eastAsia" w:ascii="Times New Roman" w:hAnsi="Times New Roman"/>
                <w:b w:val="0"/>
                <w:bCs w:val="0"/>
                <w:sz w:val="21"/>
                <w:szCs w:val="21"/>
              </w:rPr>
              <w:t>4月24日</w:t>
            </w:r>
            <w:bookmarkEnd w:id="486"/>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NH</w:t>
            </w:r>
            <w:r>
              <w:rPr>
                <w:rFonts w:hint="eastAsia" w:ascii="Times New Roman" w:hAnsi="Times New Roman"/>
                <w:sz w:val="22"/>
                <w:szCs w:val="21"/>
                <w:vertAlign w:val="subscript"/>
              </w:rPr>
              <w:t>3</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H</w:t>
            </w:r>
            <w:r>
              <w:rPr>
                <w:rFonts w:hint="eastAsia" w:ascii="Times New Roman" w:hAnsi="Times New Roman"/>
                <w:sz w:val="22"/>
                <w:szCs w:val="21"/>
                <w:vertAlign w:val="subscript"/>
              </w:rPr>
              <w:t>2</w:t>
            </w:r>
            <w:r>
              <w:rPr>
                <w:rFonts w:hint="eastAsia" w:ascii="Times New Roman" w:hAnsi="Times New Roman"/>
                <w:sz w:val="22"/>
                <w:szCs w:val="21"/>
              </w:rPr>
              <w:t>S</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ND</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tc>
        <w:tc>
          <w:tcPr>
            <w:tcW w:w="1674"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臭气浓度</w:t>
            </w:r>
          </w:p>
        </w:tc>
        <w:tc>
          <w:tcPr>
            <w:tcW w:w="1047"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031"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5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918" w:type="dxa"/>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＜10</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20无量纲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9" w:type="dxa"/>
            <w:vMerge w:val="continue"/>
            <w:tcBorders>
              <w:tl2br w:val="nil"/>
              <w:tr2bl w:val="nil"/>
            </w:tcBorders>
            <w:vAlign w:val="center"/>
          </w:tcPr>
          <w:p>
            <w:pPr>
              <w:pStyle w:val="28"/>
            </w:pPr>
          </w:p>
        </w:tc>
        <w:tc>
          <w:tcPr>
            <w:tcW w:w="1674" w:type="dxa"/>
            <w:tcBorders>
              <w:tl2br w:val="nil"/>
              <w:tr2bl w:val="nil"/>
            </w:tcBorders>
            <w:vAlign w:val="center"/>
          </w:tcPr>
          <w:p>
            <w:pPr>
              <w:jc w:val="center"/>
              <w:rPr>
                <w:rFonts w:ascii="Times New Roman" w:hAnsi="Times New Roman"/>
                <w:sz w:val="22"/>
                <w:szCs w:val="21"/>
              </w:rPr>
            </w:pPr>
            <w:r>
              <w:rPr>
                <w:rFonts w:hint="eastAsia" w:ascii="Times New Roman" w:hAnsi="Times New Roman"/>
                <w:sz w:val="22"/>
                <w:szCs w:val="21"/>
              </w:rPr>
              <w:t>TSP</w:t>
            </w:r>
          </w:p>
        </w:tc>
        <w:tc>
          <w:tcPr>
            <w:tcW w:w="3954" w:type="dxa"/>
            <w:gridSpan w:val="4"/>
            <w:tcBorders>
              <w:tl2br w:val="nil"/>
              <w:tr2bl w:val="nil"/>
            </w:tcBorders>
            <w:vAlign w:val="center"/>
          </w:tcPr>
          <w:p>
            <w:pPr>
              <w:spacing w:line="0" w:lineRule="atLeast"/>
              <w:jc w:val="center"/>
              <w:rPr>
                <w:rFonts w:ascii="Times New Roman" w:hAnsi="Times New Roman"/>
                <w:bCs/>
                <w:szCs w:val="21"/>
              </w:rPr>
            </w:pPr>
            <w:r>
              <w:rPr>
                <w:rFonts w:hint="eastAsia" w:ascii="Times New Roman" w:hAnsi="Times New Roman"/>
                <w:bCs/>
              </w:rPr>
              <w:t>0.15（24小时平均值）</w:t>
            </w:r>
          </w:p>
        </w:tc>
        <w:tc>
          <w:tcPr>
            <w:tcW w:w="1435" w:type="dxa"/>
            <w:tcBorders>
              <w:tl2br w:val="nil"/>
              <w:tr2bl w:val="nil"/>
            </w:tcBorders>
            <w:vAlign w:val="center"/>
          </w:tcPr>
          <w:p>
            <w:pPr>
              <w:jc w:val="center"/>
              <w:rPr>
                <w:rFonts w:ascii="Times New Roman" w:hAnsi="Times New Roman" w:eastAsia="等线"/>
                <w:sz w:val="22"/>
                <w:szCs w:val="21"/>
              </w:rPr>
            </w:pPr>
            <w:r>
              <w:rPr>
                <w:rFonts w:hint="eastAsia" w:ascii="Times New Roman" w:hAnsi="Times New Roman" w:eastAsia="等线"/>
                <w:sz w:val="22"/>
                <w:szCs w:val="21"/>
              </w:rPr>
              <w:t>/</w:t>
            </w:r>
          </w:p>
        </w:tc>
      </w:tr>
    </w:tbl>
    <w:p>
      <w:pPr>
        <w:pStyle w:val="7"/>
        <w:keepNext w:val="0"/>
        <w:keepLines w:val="0"/>
        <w:pageBreakBefore w:val="0"/>
        <w:widowControl w:val="0"/>
        <w:kinsoku/>
        <w:wordWrap/>
        <w:overflowPunct/>
        <w:topLinePunct w:val="0"/>
        <w:autoSpaceDE/>
        <w:autoSpaceDN/>
        <w:bidi w:val="0"/>
        <w:adjustRightInd w:val="0"/>
        <w:snapToGrid/>
        <w:spacing w:line="480" w:lineRule="exact"/>
        <w:ind w:firstLine="480"/>
        <w:textAlignment w:val="auto"/>
        <w:rPr>
          <w:rFonts w:ascii="Times New Roman" w:hAnsi="Times New Roman" w:eastAsia="宋体"/>
        </w:rPr>
      </w:pPr>
      <w:r>
        <w:rPr>
          <w:rFonts w:hint="eastAsia" w:ascii="Times New Roman" w:hAnsi="Times New Roman" w:eastAsia="宋体"/>
        </w:rPr>
        <w:t>（3）监测结论</w:t>
      </w:r>
    </w:p>
    <w:p>
      <w:pPr>
        <w:pStyle w:val="15"/>
        <w:keepNext w:val="0"/>
        <w:keepLines w:val="0"/>
        <w:pageBreakBefore w:val="0"/>
        <w:widowControl w:val="0"/>
        <w:kinsoku/>
        <w:wordWrap/>
        <w:overflowPunct/>
        <w:topLinePunct w:val="0"/>
        <w:autoSpaceDE/>
        <w:autoSpaceDN/>
        <w:bidi w:val="0"/>
        <w:adjustRightInd/>
        <w:snapToGrid/>
        <w:spacing w:after="0" w:line="480" w:lineRule="exact"/>
        <w:ind w:firstLine="480" w:firstLineChars="200"/>
        <w:textAlignment w:val="auto"/>
        <w:rPr>
          <w:rFonts w:eastAsia="宋体"/>
        </w:rPr>
      </w:pPr>
      <w:r>
        <w:rPr>
          <w:rFonts w:hint="eastAsia" w:ascii="Times New Roman" w:hAnsi="Times New Roman" w:eastAsia="宋体" w:cs="Times New Roman"/>
          <w:bCs/>
          <w:kern w:val="2"/>
          <w:sz w:val="24"/>
          <w:szCs w:val="24"/>
          <w:lang w:val="en-US" w:eastAsia="zh-CN" w:bidi="ar-SA"/>
        </w:rPr>
        <w:t>监测期间评价氨、硫化氢的</w:t>
      </w:r>
      <w:r>
        <w:rPr>
          <w:rFonts w:hint="eastAsia" w:ascii="Times New Roman" w:hAnsi="Times New Roman" w:cs="Times New Roman"/>
          <w:bCs/>
          <w:kern w:val="2"/>
          <w:sz w:val="24"/>
          <w:szCs w:val="24"/>
          <w:lang w:val="en-US" w:eastAsia="zh-CN" w:bidi="ar-SA"/>
        </w:rPr>
        <w:t>24</w:t>
      </w:r>
      <w:r>
        <w:rPr>
          <w:rFonts w:hint="eastAsia" w:ascii="Times New Roman" w:hAnsi="Times New Roman" w:eastAsia="宋体" w:cs="Times New Roman"/>
          <w:bCs/>
          <w:kern w:val="2"/>
          <w:sz w:val="24"/>
          <w:szCs w:val="24"/>
          <w:lang w:val="en-US" w:eastAsia="zh-CN" w:bidi="ar-SA"/>
        </w:rPr>
        <w:t>小时平均值均满足《环境影响评价技术导则 大气环境》(HJ2.2-2018)中附录D中限值，TSP的24小时平均值满足《环境空气质量标准》(GB3095-2012)及2018修改单中二级标准；臭气浓度由于无相应环境质量标准限值，本次作为本底值。</w:t>
      </w:r>
    </w:p>
    <w:p>
      <w:pPr>
        <w:pStyle w:val="52"/>
        <w:tabs>
          <w:tab w:val="left" w:pos="284"/>
        </w:tabs>
        <w:snapToGrid w:val="0"/>
        <w:spacing w:before="120" w:beforeLines="50" w:after="120" w:afterLines="50" w:line="540" w:lineRule="exact"/>
        <w:contextualSpacing/>
        <w:jc w:val="left"/>
        <w:rPr>
          <w:rFonts w:cs="Times New Roman"/>
          <w:bCs w:val="0"/>
          <w:snapToGrid w:val="0"/>
          <w:kern w:val="0"/>
          <w:sz w:val="28"/>
          <w:szCs w:val="28"/>
        </w:rPr>
      </w:pPr>
      <w:bookmarkStart w:id="487" w:name="_Toc801"/>
      <w:r>
        <w:rPr>
          <w:rFonts w:cs="Times New Roman"/>
          <w:bCs w:val="0"/>
          <w:snapToGrid w:val="0"/>
          <w:kern w:val="0"/>
          <w:sz w:val="28"/>
          <w:szCs w:val="28"/>
        </w:rPr>
        <w:t>3.2.2地表水环境质量现状监测与评价</w:t>
      </w:r>
      <w:bookmarkEnd w:id="483"/>
      <w:bookmarkEnd w:id="487"/>
    </w:p>
    <w:p>
      <w:pPr>
        <w:pStyle w:val="6"/>
        <w:snapToGrid w:val="0"/>
        <w:spacing w:before="120" w:after="120" w:line="540" w:lineRule="exact"/>
        <w:contextualSpacing/>
        <w:rPr>
          <w:sz w:val="24"/>
        </w:rPr>
      </w:pPr>
      <w:bookmarkStart w:id="488" w:name="_Toc23011"/>
      <w:bookmarkStart w:id="489" w:name="_Toc5452"/>
      <w:bookmarkStart w:id="490" w:name="_Toc484463482"/>
      <w:bookmarkStart w:id="491" w:name="_Toc7463"/>
      <w:r>
        <w:rPr>
          <w:rFonts w:ascii="Times New Roman" w:hAnsi="Times New Roman" w:eastAsia="宋体"/>
          <w:bCs w:val="0"/>
          <w:sz w:val="24"/>
        </w:rPr>
        <w:t>3.2.2.</w:t>
      </w:r>
      <w:r>
        <w:rPr>
          <w:rFonts w:hint="eastAsia" w:ascii="Times New Roman" w:hAnsi="Times New Roman" w:eastAsia="宋体"/>
          <w:bCs w:val="0"/>
          <w:sz w:val="24"/>
        </w:rPr>
        <w:t>1</w:t>
      </w:r>
      <w:r>
        <w:rPr>
          <w:rFonts w:ascii="Times New Roman" w:hAnsi="Times New Roman" w:eastAsia="宋体"/>
          <w:bCs w:val="0"/>
          <w:sz w:val="24"/>
        </w:rPr>
        <w:t>地表水环境质量现状监测</w:t>
      </w:r>
      <w:bookmarkEnd w:id="488"/>
      <w:bookmarkEnd w:id="489"/>
      <w:bookmarkEnd w:id="490"/>
    </w:p>
    <w:p>
      <w:pPr>
        <w:spacing w:line="540" w:lineRule="exact"/>
        <w:ind w:firstLine="480" w:firstLineChars="200"/>
        <w:rPr>
          <w:rFonts w:ascii="Times New Roman" w:hAnsi="Times New Roman"/>
          <w:sz w:val="24"/>
        </w:rPr>
      </w:pPr>
      <w:r>
        <w:rPr>
          <w:rFonts w:ascii="Times New Roman" w:hAnsi="Times New Roman"/>
          <w:sz w:val="24"/>
        </w:rPr>
        <w:t>本次地表水质量现状引用</w:t>
      </w:r>
      <w:r>
        <w:rPr>
          <w:rFonts w:hint="eastAsia" w:ascii="Times New Roman" w:hAnsi="Times New Roman"/>
          <w:sz w:val="24"/>
        </w:rPr>
        <w:t>固原市政府网站2021年环境质量报告中联财和峰台两个断面水质监测数据。</w:t>
      </w:r>
      <w:r>
        <w:rPr>
          <w:rFonts w:ascii="Times New Roman" w:hAnsi="Times New Roman"/>
          <w:sz w:val="24"/>
        </w:rPr>
        <w:t>根据导则要求，引用该资料可行。本项目建设地点位于</w:t>
      </w:r>
      <w:r>
        <w:rPr>
          <w:rFonts w:hint="eastAsia" w:ascii="Times New Roman" w:hAnsi="Times New Roman"/>
          <w:sz w:val="24"/>
        </w:rPr>
        <w:t>固原市隆德县神林乡神林村，</w:t>
      </w:r>
      <w:r>
        <w:rPr>
          <w:rFonts w:ascii="Times New Roman" w:hAnsi="Times New Roman"/>
          <w:sz w:val="24"/>
        </w:rPr>
        <w:t>与其属于同一水文地质单元，引用该监测数据可行。</w:t>
      </w:r>
    </w:p>
    <w:p>
      <w:pPr>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GB2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rPr>
        <w:t>监测因子</w:t>
      </w:r>
    </w:p>
    <w:p>
      <w:pPr>
        <w:spacing w:line="540" w:lineRule="exact"/>
        <w:ind w:firstLine="480" w:firstLineChars="200"/>
        <w:rPr>
          <w:rFonts w:ascii="Times New Roman" w:hAnsi="Times New Roman"/>
          <w:sz w:val="24"/>
        </w:rPr>
      </w:pPr>
      <w:r>
        <w:rPr>
          <w:rFonts w:ascii="Times New Roman" w:hAnsi="Times New Roman"/>
          <w:sz w:val="24"/>
        </w:rPr>
        <w:t>溶解氧、高锰酸盐指数、化学需氧量、五日生化需氧量、氨氮、总磷、氟化物。</w:t>
      </w:r>
    </w:p>
    <w:p>
      <w:pPr>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GB2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rPr>
        <w:t>评价标准</w:t>
      </w:r>
    </w:p>
    <w:p>
      <w:pPr>
        <w:spacing w:line="540" w:lineRule="exact"/>
        <w:ind w:firstLine="480" w:firstLineChars="200"/>
        <w:rPr>
          <w:rFonts w:ascii="Times New Roman" w:hAnsi="Times New Roman"/>
          <w:sz w:val="24"/>
        </w:rPr>
      </w:pPr>
      <w:r>
        <w:rPr>
          <w:rFonts w:hint="eastAsia" w:ascii="Times New Roman" w:hAnsi="Times New Roman"/>
          <w:sz w:val="24"/>
        </w:rPr>
        <w:t>峰台和联财断面</w:t>
      </w:r>
      <w:r>
        <w:rPr>
          <w:rFonts w:ascii="Times New Roman" w:hAnsi="Times New Roman"/>
          <w:sz w:val="24"/>
        </w:rPr>
        <w:t>水体评价执行《地表水环境质量标准》（GB3838-2002）中Ⅲ类标准。</w:t>
      </w:r>
    </w:p>
    <w:p>
      <w:pPr>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3 \* GB2 </w:instrText>
      </w:r>
      <w:r>
        <w:rPr>
          <w:rFonts w:ascii="Times New Roman" w:hAnsi="Times New Roman"/>
          <w:sz w:val="24"/>
        </w:rPr>
        <w:fldChar w:fldCharType="separate"/>
      </w:r>
      <w:r>
        <w:rPr>
          <w:rFonts w:ascii="Times New Roman" w:hAnsi="Times New Roman"/>
          <w:sz w:val="24"/>
        </w:rPr>
        <w:t>⑶</w:t>
      </w:r>
      <w:r>
        <w:rPr>
          <w:rFonts w:ascii="Times New Roman" w:hAnsi="Times New Roman"/>
          <w:sz w:val="24"/>
        </w:rPr>
        <w:fldChar w:fldCharType="end"/>
      </w:r>
      <w:r>
        <w:rPr>
          <w:rFonts w:ascii="Times New Roman" w:hAnsi="Times New Roman"/>
          <w:sz w:val="24"/>
        </w:rPr>
        <w:t>监测结果</w:t>
      </w:r>
    </w:p>
    <w:p>
      <w:pPr>
        <w:spacing w:line="540" w:lineRule="exact"/>
        <w:ind w:firstLine="480" w:firstLineChars="200"/>
        <w:rPr>
          <w:rFonts w:ascii="Times New Roman" w:hAnsi="Times New Roman"/>
          <w:sz w:val="24"/>
        </w:rPr>
      </w:pPr>
      <w:r>
        <w:rPr>
          <w:rFonts w:hint="eastAsia" w:ascii="Times New Roman" w:hAnsi="Times New Roman"/>
          <w:sz w:val="24"/>
        </w:rPr>
        <w:t>峰台和联财断面</w:t>
      </w:r>
      <w:r>
        <w:rPr>
          <w:rFonts w:ascii="Times New Roman" w:hAnsi="Times New Roman"/>
          <w:sz w:val="24"/>
        </w:rPr>
        <w:t>水体</w:t>
      </w:r>
      <w:r>
        <w:rPr>
          <w:rFonts w:ascii="Times New Roman" w:hAnsi="Times New Roman"/>
          <w:kern w:val="0"/>
          <w:sz w:val="24"/>
        </w:rPr>
        <w:t>执行《地表水环境质量标准》(GB3838-2002)</w:t>
      </w:r>
      <w:r>
        <w:rPr>
          <w:rFonts w:hint="eastAsia" w:ascii="Times New Roman" w:hAnsi="Times New Roman"/>
          <w:kern w:val="0"/>
          <w:sz w:val="24"/>
        </w:rPr>
        <w:t>中</w:t>
      </w:r>
      <w:r>
        <w:rPr>
          <w:rFonts w:ascii="Times New Roman" w:hAnsi="Times New Roman"/>
          <w:kern w:val="0"/>
          <w:sz w:val="24"/>
        </w:rPr>
        <w:fldChar w:fldCharType="begin"/>
      </w:r>
      <w:r>
        <w:rPr>
          <w:rFonts w:ascii="Times New Roman" w:hAnsi="Times New Roman"/>
          <w:kern w:val="0"/>
          <w:sz w:val="24"/>
        </w:rPr>
        <w:instrText xml:space="preserve"> = 3 \* ROMAN </w:instrText>
      </w:r>
      <w:r>
        <w:rPr>
          <w:rFonts w:ascii="Times New Roman" w:hAnsi="Times New Roman"/>
          <w:kern w:val="0"/>
          <w:sz w:val="24"/>
        </w:rPr>
        <w:fldChar w:fldCharType="separate"/>
      </w:r>
      <w:r>
        <w:rPr>
          <w:rFonts w:ascii="Times New Roman" w:hAnsi="Times New Roman"/>
          <w:kern w:val="0"/>
          <w:sz w:val="24"/>
        </w:rPr>
        <w:t>III</w:t>
      </w:r>
      <w:r>
        <w:rPr>
          <w:rFonts w:ascii="Times New Roman" w:hAnsi="Times New Roman"/>
          <w:kern w:val="0"/>
          <w:sz w:val="24"/>
        </w:rPr>
        <w:fldChar w:fldCharType="end"/>
      </w:r>
      <w:r>
        <w:rPr>
          <w:rFonts w:ascii="Times New Roman" w:hAnsi="Times New Roman"/>
          <w:kern w:val="0"/>
          <w:sz w:val="24"/>
        </w:rPr>
        <w:t>类水质标准具体监测结果见表</w:t>
      </w:r>
      <w:r>
        <w:rPr>
          <w:rFonts w:hint="eastAsia" w:ascii="Times New Roman" w:hAnsi="Times New Roman"/>
          <w:sz w:val="24"/>
        </w:rPr>
        <w:t>3.2-6、3.2-7</w:t>
      </w:r>
    </w:p>
    <w:p>
      <w:pPr>
        <w:spacing w:line="540" w:lineRule="exact"/>
        <w:jc w:val="center"/>
        <w:rPr>
          <w:rFonts w:ascii="Times New Roman" w:hAnsi="Times New Roman"/>
        </w:rPr>
      </w:pPr>
      <w:r>
        <w:rPr>
          <w:rFonts w:hint="eastAsia" w:ascii="Times New Roman" w:hAnsi="Times New Roman"/>
          <w:b/>
          <w:snapToGrid w:val="0"/>
          <w:kern w:val="0"/>
          <w:sz w:val="24"/>
        </w:rPr>
        <w:t>表</w:t>
      </w:r>
      <w:r>
        <w:rPr>
          <w:rFonts w:ascii="Times New Roman" w:hAnsi="Times New Roman"/>
          <w:b/>
          <w:snapToGrid w:val="0"/>
          <w:kern w:val="0"/>
          <w:sz w:val="24"/>
        </w:rPr>
        <w:t>3.2-</w:t>
      </w:r>
      <w:r>
        <w:rPr>
          <w:rFonts w:hint="eastAsia" w:ascii="Times New Roman" w:hAnsi="Times New Roman"/>
          <w:b/>
          <w:snapToGrid w:val="0"/>
          <w:kern w:val="0"/>
          <w:sz w:val="24"/>
        </w:rPr>
        <w:t>6      2021年联财断面</w:t>
      </w:r>
      <w:r>
        <w:rPr>
          <w:rFonts w:ascii="Times New Roman" w:hAnsi="Times New Roman"/>
          <w:b/>
          <w:sz w:val="24"/>
        </w:rPr>
        <w:t>地表水监测</w:t>
      </w:r>
      <w:r>
        <w:rPr>
          <w:rFonts w:hint="eastAsia" w:ascii="Times New Roman" w:hAnsi="Times New Roman"/>
          <w:b/>
          <w:sz w:val="24"/>
        </w:rPr>
        <w:t xml:space="preserve">数据统计表    </w:t>
      </w:r>
      <w:r>
        <w:rPr>
          <w:rFonts w:hint="eastAsia" w:ascii="Times New Roman" w:hAnsi="Times New Roman" w:cs="宋体"/>
          <w:b/>
          <w:sz w:val="24"/>
        </w:rPr>
        <w:t>单位：mg/L</w:t>
      </w:r>
    </w:p>
    <w:tbl>
      <w:tblPr>
        <w:tblStyle w:val="30"/>
        <w:tblW w:w="0" w:type="auto"/>
        <w:tblInd w:w="114"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40"/>
        <w:gridCol w:w="817"/>
        <w:gridCol w:w="1080"/>
        <w:gridCol w:w="1191"/>
        <w:gridCol w:w="759"/>
        <w:gridCol w:w="870"/>
        <w:gridCol w:w="1005"/>
        <w:gridCol w:w="1200"/>
        <w:gridCol w:w="12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vAlign w:val="center"/>
          </w:tcPr>
          <w:p>
            <w:pPr>
              <w:jc w:val="center"/>
              <w:rPr>
                <w:rFonts w:cs="Calibri"/>
                <w:b/>
                <w:bCs/>
              </w:rPr>
            </w:pPr>
            <w:r>
              <w:rPr>
                <w:rFonts w:hint="eastAsia" w:cs="Calibri"/>
                <w:b/>
                <w:bCs/>
              </w:rPr>
              <w:t>项目</w:t>
            </w:r>
          </w:p>
          <w:p>
            <w:pPr>
              <w:jc w:val="center"/>
              <w:rPr>
                <w:rFonts w:cs="Calibri"/>
                <w:b/>
                <w:bCs/>
              </w:rPr>
            </w:pPr>
            <w:r>
              <w:rPr>
                <w:rFonts w:hint="eastAsia" w:ascii="Times New Roman" w:hAnsi="Times New Roman" w:cs="Calibri"/>
                <w:b/>
                <w:bCs/>
              </w:rPr>
              <w:t>时间</w:t>
            </w:r>
          </w:p>
        </w:tc>
        <w:tc>
          <w:tcPr>
            <w:tcW w:w="817"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溶解氧</w:t>
            </w:r>
          </w:p>
        </w:tc>
        <w:tc>
          <w:tcPr>
            <w:tcW w:w="1080"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高锰酸盐指数</w:t>
            </w:r>
          </w:p>
        </w:tc>
        <w:tc>
          <w:tcPr>
            <w:tcW w:w="1191"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五日生化需氧量</w:t>
            </w:r>
          </w:p>
        </w:tc>
        <w:tc>
          <w:tcPr>
            <w:tcW w:w="759"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氨氮</w:t>
            </w:r>
          </w:p>
        </w:tc>
        <w:tc>
          <w:tcPr>
            <w:tcW w:w="870"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化学需氧量</w:t>
            </w:r>
          </w:p>
        </w:tc>
        <w:tc>
          <w:tcPr>
            <w:tcW w:w="1005"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总磷</w:t>
            </w:r>
          </w:p>
        </w:tc>
        <w:tc>
          <w:tcPr>
            <w:tcW w:w="1200"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氟化物</w:t>
            </w:r>
          </w:p>
        </w:tc>
        <w:tc>
          <w:tcPr>
            <w:tcW w:w="1216"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水质类别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1月</w:t>
            </w:r>
          </w:p>
        </w:tc>
        <w:tc>
          <w:tcPr>
            <w:tcW w:w="817" w:type="dxa"/>
            <w:tcBorders>
              <w:tl2br w:val="nil"/>
              <w:tr2bl w:val="nil"/>
            </w:tcBorders>
            <w:vAlign w:val="center"/>
          </w:tcPr>
          <w:p>
            <w:pPr>
              <w:jc w:val="center"/>
              <w:rPr>
                <w:rFonts w:ascii="Times New Roman" w:hAnsi="Times New Roman" w:cs="Calibri"/>
              </w:rPr>
            </w:pPr>
            <w:r>
              <w:rPr>
                <w:rFonts w:ascii="Times New Roman" w:hAnsi="Times New Roman" w:cs="Calibri"/>
              </w:rPr>
              <w:t>12.1</w:t>
            </w:r>
          </w:p>
        </w:tc>
        <w:tc>
          <w:tcPr>
            <w:tcW w:w="1080" w:type="dxa"/>
            <w:tcBorders>
              <w:tl2br w:val="nil"/>
              <w:tr2bl w:val="nil"/>
            </w:tcBorders>
            <w:vAlign w:val="center"/>
          </w:tcPr>
          <w:p>
            <w:pPr>
              <w:jc w:val="center"/>
              <w:rPr>
                <w:rFonts w:ascii="Times New Roman" w:hAnsi="Times New Roman" w:cs="Calibri"/>
              </w:rPr>
            </w:pPr>
            <w:r>
              <w:rPr>
                <w:rFonts w:ascii="Times New Roman" w:hAnsi="Times New Roman" w:cs="Calibri"/>
              </w:rPr>
              <w:t>2.3</w:t>
            </w:r>
          </w:p>
        </w:tc>
        <w:tc>
          <w:tcPr>
            <w:tcW w:w="1191" w:type="dxa"/>
            <w:tcBorders>
              <w:tl2br w:val="nil"/>
              <w:tr2bl w:val="nil"/>
            </w:tcBorders>
            <w:vAlign w:val="center"/>
          </w:tcPr>
          <w:p>
            <w:pPr>
              <w:jc w:val="center"/>
              <w:rPr>
                <w:rFonts w:ascii="Times New Roman" w:hAnsi="Times New Roman" w:cs="Calibri"/>
              </w:rPr>
            </w:pPr>
            <w:r>
              <w:rPr>
                <w:rFonts w:ascii="Times New Roman" w:hAnsi="Times New Roman" w:cs="Calibri"/>
              </w:rPr>
              <w:t>2.5</w:t>
            </w:r>
          </w:p>
        </w:tc>
        <w:tc>
          <w:tcPr>
            <w:tcW w:w="759" w:type="dxa"/>
            <w:tcBorders>
              <w:tl2br w:val="nil"/>
              <w:tr2bl w:val="nil"/>
            </w:tcBorders>
            <w:vAlign w:val="center"/>
          </w:tcPr>
          <w:p>
            <w:pPr>
              <w:jc w:val="center"/>
              <w:rPr>
                <w:rFonts w:ascii="Times New Roman" w:hAnsi="Times New Roman" w:cs="Calibri"/>
              </w:rPr>
            </w:pPr>
            <w:r>
              <w:rPr>
                <w:rFonts w:ascii="Times New Roman" w:hAnsi="Times New Roman" w:cs="Calibri"/>
              </w:rPr>
              <w:t>0.11</w:t>
            </w:r>
          </w:p>
        </w:tc>
        <w:tc>
          <w:tcPr>
            <w:tcW w:w="870" w:type="dxa"/>
            <w:tcBorders>
              <w:tl2br w:val="nil"/>
              <w:tr2bl w:val="nil"/>
            </w:tcBorders>
            <w:vAlign w:val="center"/>
          </w:tcPr>
          <w:p>
            <w:pPr>
              <w:jc w:val="center"/>
              <w:rPr>
                <w:rFonts w:ascii="Times New Roman" w:hAnsi="Times New Roman" w:cs="Calibri"/>
              </w:rPr>
            </w:pPr>
            <w:r>
              <w:rPr>
                <w:rFonts w:ascii="Times New Roman" w:hAnsi="Times New Roman" w:cs="Calibri"/>
              </w:rPr>
              <w:t>12</w:t>
            </w:r>
          </w:p>
        </w:tc>
        <w:tc>
          <w:tcPr>
            <w:tcW w:w="1005" w:type="dxa"/>
            <w:tcBorders>
              <w:tl2br w:val="nil"/>
              <w:tr2bl w:val="nil"/>
            </w:tcBorders>
            <w:vAlign w:val="center"/>
          </w:tcPr>
          <w:p>
            <w:pPr>
              <w:jc w:val="center"/>
              <w:rPr>
                <w:rFonts w:ascii="Times New Roman" w:hAnsi="Times New Roman" w:cs="Calibri"/>
              </w:rPr>
            </w:pPr>
            <w:r>
              <w:rPr>
                <w:rFonts w:ascii="Times New Roman" w:hAnsi="Times New Roman" w:cs="Calibri"/>
              </w:rPr>
              <w:t>0.03</w:t>
            </w:r>
          </w:p>
        </w:tc>
        <w:tc>
          <w:tcPr>
            <w:tcW w:w="1200" w:type="dxa"/>
            <w:tcBorders>
              <w:tl2br w:val="nil"/>
              <w:tr2bl w:val="nil"/>
            </w:tcBorders>
            <w:vAlign w:val="center"/>
          </w:tcPr>
          <w:p>
            <w:pPr>
              <w:jc w:val="center"/>
              <w:rPr>
                <w:rFonts w:ascii="Times New Roman" w:hAnsi="Times New Roman" w:cs="Calibri"/>
              </w:rPr>
            </w:pPr>
            <w:r>
              <w:rPr>
                <w:rFonts w:ascii="Times New Roman" w:hAnsi="Times New Roman" w:cs="Calibri"/>
              </w:rPr>
              <w:t>0.695</w:t>
            </w:r>
          </w:p>
        </w:tc>
        <w:tc>
          <w:tcPr>
            <w:tcW w:w="1216"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2月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9.9</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2.8</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0.1</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0.02</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1216"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3月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9.1</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2.5</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0.02</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0.03</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1216"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4月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9</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2.5</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1.9</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0.02.</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11</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0.03</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0.62</w:t>
            </w:r>
          </w:p>
        </w:tc>
        <w:tc>
          <w:tcPr>
            <w:tcW w:w="1216"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5月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7</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3.5</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0.03</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0.045</w:t>
            </w:r>
          </w:p>
        </w:tc>
        <w:tc>
          <w:tcPr>
            <w:tcW w:w="1200" w:type="dxa"/>
            <w:tcBorders>
              <w:tl2br w:val="nil"/>
              <w:tr2bl w:val="nil"/>
            </w:tcBorders>
          </w:tcPr>
          <w:p>
            <w:pPr>
              <w:jc w:val="center"/>
              <w:rPr>
                <w:rFonts w:ascii="Times New Roman" w:hAnsi="Times New Roman" w:cs="Calibri"/>
              </w:rPr>
            </w:pPr>
          </w:p>
        </w:tc>
        <w:tc>
          <w:tcPr>
            <w:tcW w:w="1216"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6月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9.0</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2.9</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2.2</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0.05</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11.5</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0.04</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0.658</w:t>
            </w:r>
          </w:p>
        </w:tc>
        <w:tc>
          <w:tcPr>
            <w:tcW w:w="1216"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7月</w:t>
            </w:r>
          </w:p>
        </w:tc>
        <w:tc>
          <w:tcPr>
            <w:tcW w:w="817"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6.4</w:t>
            </w:r>
          </w:p>
        </w:tc>
        <w:tc>
          <w:tcPr>
            <w:tcW w:w="1080"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3.9</w:t>
            </w:r>
          </w:p>
        </w:tc>
        <w:tc>
          <w:tcPr>
            <w:tcW w:w="1191"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3.2</w:t>
            </w:r>
          </w:p>
        </w:tc>
        <w:tc>
          <w:tcPr>
            <w:tcW w:w="759"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0.04</w:t>
            </w:r>
          </w:p>
        </w:tc>
        <w:tc>
          <w:tcPr>
            <w:tcW w:w="870"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14</w:t>
            </w:r>
          </w:p>
        </w:tc>
        <w:tc>
          <w:tcPr>
            <w:tcW w:w="1005"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0.13</w:t>
            </w:r>
          </w:p>
        </w:tc>
        <w:tc>
          <w:tcPr>
            <w:tcW w:w="1200"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0.515</w:t>
            </w:r>
          </w:p>
        </w:tc>
        <w:tc>
          <w:tcPr>
            <w:tcW w:w="1216" w:type="dxa"/>
            <w:tcBorders>
              <w:tl2br w:val="nil"/>
              <w:tr2bl w:val="nil"/>
            </w:tcBorders>
          </w:tcPr>
          <w:p>
            <w:pPr>
              <w:jc w:val="center"/>
              <w:rPr>
                <w:rFonts w:ascii="Times New Roman" w:hAnsi="Times New Roman" w:cs="Calibri"/>
              </w:rPr>
            </w:pPr>
            <w:r>
              <w:rPr>
                <w:rFonts w:hint="eastAsia" w:ascii="Times New Roman" w:hAnsi="Times New Roman" w:cs="Calibri"/>
              </w:rPr>
              <w:t>Ⅲ类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8月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6.5</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3.5</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0.07</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0.02</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1216"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9月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7.1</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2.8</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0.09</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0.01</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w:t>
            </w:r>
          </w:p>
        </w:tc>
        <w:tc>
          <w:tcPr>
            <w:tcW w:w="1216"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10月</w:t>
            </w:r>
          </w:p>
        </w:tc>
        <w:tc>
          <w:tcPr>
            <w:tcW w:w="817"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9.7</w:t>
            </w:r>
          </w:p>
        </w:tc>
        <w:tc>
          <w:tcPr>
            <w:tcW w:w="1080"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2.2</w:t>
            </w:r>
          </w:p>
        </w:tc>
        <w:tc>
          <w:tcPr>
            <w:tcW w:w="1191"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2.4</w:t>
            </w:r>
          </w:p>
        </w:tc>
        <w:tc>
          <w:tcPr>
            <w:tcW w:w="759"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0.07</w:t>
            </w:r>
          </w:p>
        </w:tc>
        <w:tc>
          <w:tcPr>
            <w:tcW w:w="870"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8</w:t>
            </w:r>
          </w:p>
        </w:tc>
        <w:tc>
          <w:tcPr>
            <w:tcW w:w="1005"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0.01</w:t>
            </w:r>
          </w:p>
        </w:tc>
        <w:tc>
          <w:tcPr>
            <w:tcW w:w="1200"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0.757</w:t>
            </w:r>
          </w:p>
        </w:tc>
        <w:tc>
          <w:tcPr>
            <w:tcW w:w="1216"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11月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9.7</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2.2</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2.4</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0.07</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8</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0.01</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0.757</w:t>
            </w:r>
          </w:p>
        </w:tc>
        <w:tc>
          <w:tcPr>
            <w:tcW w:w="1216" w:type="dxa"/>
            <w:tcBorders>
              <w:tl2br w:val="nil"/>
              <w:tr2bl w:val="nil"/>
            </w:tcBorders>
          </w:tcPr>
          <w:p>
            <w:pPr>
              <w:jc w:val="center"/>
              <w:rPr>
                <w:rFonts w:ascii="Times New Roman" w:hAnsi="Times New Roman" w:cs="Calibri"/>
              </w:rPr>
            </w:pPr>
            <w:r>
              <w:rPr>
                <w:rFonts w:hint="eastAsia"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12月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11.2</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3.8</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-1</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0.06</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-1</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0.08</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-1</w:t>
            </w:r>
          </w:p>
        </w:tc>
        <w:tc>
          <w:tcPr>
            <w:tcW w:w="1216" w:type="dxa"/>
            <w:tcBorders>
              <w:tl2br w:val="nil"/>
              <w:tr2bl w:val="nil"/>
            </w:tcBorders>
          </w:tcPr>
          <w:p>
            <w:pPr>
              <w:jc w:val="center"/>
              <w:rPr>
                <w:rFonts w:ascii="Times New Roman" w:hAnsi="Times New Roman" w:cs="Calibri"/>
              </w:rPr>
            </w:pPr>
            <w:r>
              <w:rPr>
                <w:rFonts w:hint="eastAsia" w:ascii="Times New Roman" w:hAnsi="Times New Roman" w:cs="Calibri"/>
              </w:rPr>
              <w:t>Ⅱ类</w:t>
            </w:r>
          </w:p>
        </w:tc>
      </w:tr>
    </w:tbl>
    <w:p>
      <w:pPr>
        <w:pStyle w:val="14"/>
        <w:ind w:firstLine="0" w:firstLineChars="0"/>
        <w:jc w:val="center"/>
        <w:rPr>
          <w:rFonts w:ascii="Times New Roman" w:hAnsi="Times New Roman"/>
        </w:rPr>
      </w:pPr>
      <w:r>
        <w:rPr>
          <w:rFonts w:hint="eastAsia" w:ascii="Times New Roman" w:hAnsi="Times New Roman"/>
          <w:b/>
          <w:snapToGrid w:val="0"/>
          <w:kern w:val="0"/>
          <w:sz w:val="24"/>
        </w:rPr>
        <w:t>表</w:t>
      </w:r>
      <w:r>
        <w:rPr>
          <w:rFonts w:ascii="Times New Roman" w:hAnsi="Times New Roman"/>
          <w:b/>
          <w:snapToGrid w:val="0"/>
          <w:kern w:val="0"/>
          <w:sz w:val="24"/>
        </w:rPr>
        <w:t>3.2-</w:t>
      </w:r>
      <w:r>
        <w:rPr>
          <w:rFonts w:hint="eastAsia" w:ascii="Times New Roman" w:hAnsi="Times New Roman"/>
          <w:b/>
          <w:snapToGrid w:val="0"/>
          <w:kern w:val="0"/>
          <w:sz w:val="24"/>
        </w:rPr>
        <w:t>7      2021年峰台断面</w:t>
      </w:r>
      <w:r>
        <w:rPr>
          <w:rFonts w:ascii="Times New Roman" w:hAnsi="Times New Roman"/>
          <w:b/>
          <w:sz w:val="24"/>
        </w:rPr>
        <w:t>地表水监测</w:t>
      </w:r>
      <w:r>
        <w:rPr>
          <w:rFonts w:hint="eastAsia" w:ascii="Times New Roman" w:hAnsi="Times New Roman"/>
          <w:b/>
          <w:sz w:val="24"/>
        </w:rPr>
        <w:t xml:space="preserve">数据统计表   </w:t>
      </w:r>
      <w:r>
        <w:rPr>
          <w:rFonts w:hint="eastAsia" w:ascii="Times New Roman" w:hAnsi="Times New Roman" w:cs="宋体"/>
          <w:b/>
          <w:sz w:val="24"/>
        </w:rPr>
        <w:t>单位：mg/L</w:t>
      </w:r>
    </w:p>
    <w:tbl>
      <w:tblPr>
        <w:tblStyle w:val="30"/>
        <w:tblW w:w="0" w:type="auto"/>
        <w:tblInd w:w="114"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40"/>
        <w:gridCol w:w="817"/>
        <w:gridCol w:w="1080"/>
        <w:gridCol w:w="1191"/>
        <w:gridCol w:w="759"/>
        <w:gridCol w:w="870"/>
        <w:gridCol w:w="1005"/>
        <w:gridCol w:w="1200"/>
        <w:gridCol w:w="12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vAlign w:val="center"/>
          </w:tcPr>
          <w:p>
            <w:pPr>
              <w:jc w:val="center"/>
              <w:rPr>
                <w:rFonts w:cs="Calibri"/>
                <w:b/>
                <w:bCs/>
              </w:rPr>
            </w:pPr>
            <w:r>
              <w:rPr>
                <w:rFonts w:hint="eastAsia" w:cs="Calibri"/>
                <w:b/>
                <w:bCs/>
              </w:rPr>
              <w:t>项目</w:t>
            </w:r>
          </w:p>
          <w:p>
            <w:pPr>
              <w:jc w:val="center"/>
              <w:rPr>
                <w:rFonts w:cs="Calibri"/>
                <w:b/>
                <w:bCs/>
              </w:rPr>
            </w:pPr>
            <w:r>
              <w:rPr>
                <w:rFonts w:hint="eastAsia" w:ascii="Times New Roman" w:hAnsi="Times New Roman" w:cs="Calibri"/>
                <w:b/>
                <w:bCs/>
              </w:rPr>
              <w:t>时间</w:t>
            </w:r>
          </w:p>
        </w:tc>
        <w:tc>
          <w:tcPr>
            <w:tcW w:w="817"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溶解氧</w:t>
            </w:r>
          </w:p>
        </w:tc>
        <w:tc>
          <w:tcPr>
            <w:tcW w:w="1080"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高锰酸盐指数</w:t>
            </w:r>
          </w:p>
        </w:tc>
        <w:tc>
          <w:tcPr>
            <w:tcW w:w="1191"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五日生化需氧量</w:t>
            </w:r>
          </w:p>
        </w:tc>
        <w:tc>
          <w:tcPr>
            <w:tcW w:w="759"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氨氮</w:t>
            </w:r>
          </w:p>
        </w:tc>
        <w:tc>
          <w:tcPr>
            <w:tcW w:w="870"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化学需氧量</w:t>
            </w:r>
          </w:p>
        </w:tc>
        <w:tc>
          <w:tcPr>
            <w:tcW w:w="1005"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总磷</w:t>
            </w:r>
          </w:p>
        </w:tc>
        <w:tc>
          <w:tcPr>
            <w:tcW w:w="1200"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氟化物</w:t>
            </w:r>
          </w:p>
        </w:tc>
        <w:tc>
          <w:tcPr>
            <w:tcW w:w="1201" w:type="dxa"/>
            <w:tcBorders>
              <w:tl2br w:val="nil"/>
              <w:tr2bl w:val="nil"/>
            </w:tcBorders>
            <w:vAlign w:val="center"/>
          </w:tcPr>
          <w:p>
            <w:pPr>
              <w:jc w:val="center"/>
              <w:rPr>
                <w:rFonts w:ascii="Times New Roman" w:hAnsi="Times New Roman" w:cs="Calibri"/>
                <w:b/>
                <w:bCs/>
              </w:rPr>
            </w:pPr>
            <w:r>
              <w:rPr>
                <w:rFonts w:hint="eastAsia" w:ascii="Times New Roman" w:hAnsi="Times New Roman" w:cs="Calibri"/>
                <w:b/>
                <w:bCs/>
              </w:rPr>
              <w:t>水质类别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1月</w:t>
            </w:r>
          </w:p>
        </w:tc>
        <w:tc>
          <w:tcPr>
            <w:tcW w:w="817" w:type="dxa"/>
            <w:tcBorders>
              <w:tl2br w:val="nil"/>
              <w:tr2bl w:val="nil"/>
            </w:tcBorders>
            <w:vAlign w:val="center"/>
          </w:tcPr>
          <w:p>
            <w:pPr>
              <w:jc w:val="center"/>
              <w:rPr>
                <w:rFonts w:ascii="Times New Roman" w:hAnsi="Times New Roman" w:cs="Calibri"/>
              </w:rPr>
            </w:pPr>
            <w:r>
              <w:rPr>
                <w:rFonts w:ascii="Times New Roman" w:hAnsi="Times New Roman" w:cs="Calibri"/>
              </w:rPr>
              <w:t>10.3</w:t>
            </w:r>
          </w:p>
        </w:tc>
        <w:tc>
          <w:tcPr>
            <w:tcW w:w="1080" w:type="dxa"/>
            <w:tcBorders>
              <w:tl2br w:val="nil"/>
              <w:tr2bl w:val="nil"/>
            </w:tcBorders>
            <w:vAlign w:val="center"/>
          </w:tcPr>
          <w:p>
            <w:pPr>
              <w:jc w:val="center"/>
              <w:rPr>
                <w:rFonts w:ascii="Times New Roman" w:hAnsi="Times New Roman" w:cs="Calibri"/>
              </w:rPr>
            </w:pPr>
            <w:r>
              <w:rPr>
                <w:rFonts w:ascii="Times New Roman" w:hAnsi="Times New Roman" w:cs="Calibri"/>
              </w:rPr>
              <w:t>0.9</w:t>
            </w:r>
          </w:p>
        </w:tc>
        <w:tc>
          <w:tcPr>
            <w:tcW w:w="1191" w:type="dxa"/>
            <w:tcBorders>
              <w:tl2br w:val="nil"/>
              <w:tr2bl w:val="nil"/>
            </w:tcBorders>
            <w:vAlign w:val="center"/>
          </w:tcPr>
          <w:p>
            <w:pPr>
              <w:jc w:val="center"/>
              <w:rPr>
                <w:rFonts w:ascii="Times New Roman" w:hAnsi="Times New Roman" w:cs="Calibri"/>
              </w:rPr>
            </w:pPr>
            <w:r>
              <w:rPr>
                <w:rFonts w:ascii="Times New Roman" w:hAnsi="Times New Roman" w:cs="Calibri"/>
              </w:rPr>
              <w:t>0.6</w:t>
            </w:r>
          </w:p>
        </w:tc>
        <w:tc>
          <w:tcPr>
            <w:tcW w:w="759" w:type="dxa"/>
            <w:tcBorders>
              <w:tl2br w:val="nil"/>
              <w:tr2bl w:val="nil"/>
            </w:tcBorders>
            <w:vAlign w:val="center"/>
          </w:tcPr>
          <w:p>
            <w:pPr>
              <w:jc w:val="center"/>
              <w:rPr>
                <w:rFonts w:ascii="Times New Roman" w:hAnsi="Times New Roman" w:cs="Calibri"/>
              </w:rPr>
            </w:pPr>
            <w:r>
              <w:rPr>
                <w:rFonts w:ascii="Times New Roman" w:hAnsi="Times New Roman" w:cs="Calibri"/>
              </w:rPr>
              <w:t>0.03L</w:t>
            </w:r>
          </w:p>
        </w:tc>
        <w:tc>
          <w:tcPr>
            <w:tcW w:w="870" w:type="dxa"/>
            <w:tcBorders>
              <w:tl2br w:val="nil"/>
              <w:tr2bl w:val="nil"/>
            </w:tcBorders>
            <w:vAlign w:val="center"/>
          </w:tcPr>
          <w:p>
            <w:pPr>
              <w:jc w:val="center"/>
              <w:rPr>
                <w:rFonts w:ascii="Times New Roman" w:hAnsi="Times New Roman" w:cs="Calibri"/>
              </w:rPr>
            </w:pPr>
            <w:r>
              <w:rPr>
                <w:rFonts w:ascii="Times New Roman" w:hAnsi="Times New Roman" w:cs="Calibri"/>
              </w:rPr>
              <w:t>4.0L</w:t>
            </w:r>
          </w:p>
        </w:tc>
        <w:tc>
          <w:tcPr>
            <w:tcW w:w="1005" w:type="dxa"/>
            <w:tcBorders>
              <w:tl2br w:val="nil"/>
              <w:tr2bl w:val="nil"/>
            </w:tcBorders>
            <w:vAlign w:val="center"/>
          </w:tcPr>
          <w:p>
            <w:pPr>
              <w:jc w:val="center"/>
              <w:rPr>
                <w:rFonts w:ascii="Times New Roman" w:hAnsi="Times New Roman" w:cs="Calibri"/>
              </w:rPr>
            </w:pPr>
            <w:r>
              <w:rPr>
                <w:rFonts w:ascii="Times New Roman" w:hAnsi="Times New Roman" w:cs="Calibri"/>
              </w:rPr>
              <w:t>0.01</w:t>
            </w:r>
          </w:p>
        </w:tc>
        <w:tc>
          <w:tcPr>
            <w:tcW w:w="1200" w:type="dxa"/>
            <w:tcBorders>
              <w:tl2br w:val="nil"/>
              <w:tr2bl w:val="nil"/>
            </w:tcBorders>
            <w:vAlign w:val="center"/>
          </w:tcPr>
          <w:p>
            <w:pPr>
              <w:jc w:val="center"/>
              <w:rPr>
                <w:rFonts w:ascii="Times New Roman" w:hAnsi="Times New Roman" w:cs="Calibri"/>
              </w:rPr>
            </w:pPr>
            <w:r>
              <w:rPr>
                <w:rFonts w:ascii="Times New Roman" w:hAnsi="Times New Roman" w:cs="Calibri"/>
              </w:rPr>
              <w:t>0.417</w:t>
            </w:r>
          </w:p>
        </w:tc>
        <w:tc>
          <w:tcPr>
            <w:tcW w:w="1201" w:type="dxa"/>
            <w:tcBorders>
              <w:tl2br w:val="nil"/>
              <w:tr2bl w:val="nil"/>
            </w:tcBorders>
            <w:vAlign w:val="center"/>
          </w:tcPr>
          <w:p>
            <w:pPr>
              <w:jc w:val="center"/>
              <w:rPr>
                <w:rFonts w:ascii="Times New Roman" w:hAnsi="Times New Roman" w:cs="Calibri"/>
              </w:rPr>
            </w:pPr>
            <w:r>
              <w:rPr>
                <w:rFonts w:ascii="Times New Roman" w:hAnsi="Times New Roman" w:cs="Calibri"/>
              </w:rPr>
              <w:t>Ⅰ类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2月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10.7</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0.5</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1.7</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0.6</w:t>
            </w:r>
          </w:p>
        </w:tc>
        <w:tc>
          <w:tcPr>
            <w:tcW w:w="870" w:type="dxa"/>
            <w:tcBorders>
              <w:tl2br w:val="nil"/>
              <w:tr2bl w:val="nil"/>
            </w:tcBorders>
          </w:tcPr>
          <w:p>
            <w:pPr>
              <w:jc w:val="center"/>
              <w:rPr>
                <w:rFonts w:ascii="Times New Roman" w:hAnsi="Times New Roman" w:cs="Calibri"/>
              </w:rPr>
            </w:pPr>
            <w:r>
              <w:rPr>
                <w:rFonts w:ascii="Times New Roman" w:hAnsi="Times New Roman" w:cs="Calibri"/>
              </w:rPr>
              <w:t>4.0L</w:t>
            </w:r>
          </w:p>
        </w:tc>
        <w:tc>
          <w:tcPr>
            <w:tcW w:w="1005" w:type="dxa"/>
            <w:tcBorders>
              <w:tl2br w:val="nil"/>
              <w:tr2bl w:val="nil"/>
            </w:tcBorders>
          </w:tcPr>
          <w:p>
            <w:pPr>
              <w:jc w:val="center"/>
              <w:rPr>
                <w:rFonts w:ascii="Times New Roman" w:hAnsi="Times New Roman" w:cs="Calibri"/>
              </w:rPr>
            </w:pPr>
            <w:r>
              <w:rPr>
                <w:rFonts w:ascii="Times New Roman" w:hAnsi="Times New Roman" w:cs="Calibri"/>
              </w:rPr>
              <w:t>0.01</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0.212</w:t>
            </w:r>
          </w:p>
        </w:tc>
        <w:tc>
          <w:tcPr>
            <w:tcW w:w="1201"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3月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11.6</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2.7</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0.5</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0.04</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18</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0.01</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0.686</w:t>
            </w:r>
          </w:p>
        </w:tc>
        <w:tc>
          <w:tcPr>
            <w:tcW w:w="1201" w:type="dxa"/>
            <w:tcBorders>
              <w:tl2br w:val="nil"/>
              <w:tr2bl w:val="nil"/>
            </w:tcBorders>
          </w:tcPr>
          <w:p>
            <w:pPr>
              <w:pStyle w:val="27"/>
              <w:jc w:val="center"/>
              <w:rPr>
                <w:rFonts w:ascii="Times New Roman" w:hAnsi="Times New Roman" w:cs="Calibri"/>
              </w:rPr>
            </w:pPr>
            <w:r>
              <w:rPr>
                <w:rFonts w:hint="eastAsia" w:ascii="Times New Roman" w:hAnsi="Times New Roman" w:cs="Calibri"/>
                <w:kern w:val="2"/>
                <w:sz w:val="21"/>
              </w:rPr>
              <w:t>Ⅲ类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4月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9.8</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2.3</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1.1</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0.04</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12</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0.02</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0.513</w:t>
            </w:r>
          </w:p>
        </w:tc>
        <w:tc>
          <w:tcPr>
            <w:tcW w:w="1201"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5月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12.6</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2.1</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0.5</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0.03</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4</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0.02</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0.62</w:t>
            </w:r>
          </w:p>
        </w:tc>
        <w:tc>
          <w:tcPr>
            <w:tcW w:w="1201"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6月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9.5</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1.6</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1.2</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0.16</w:t>
            </w:r>
          </w:p>
        </w:tc>
        <w:tc>
          <w:tcPr>
            <w:tcW w:w="870"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6</w:t>
            </w:r>
          </w:p>
        </w:tc>
        <w:tc>
          <w:tcPr>
            <w:tcW w:w="1005"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0.05</w:t>
            </w:r>
          </w:p>
        </w:tc>
        <w:tc>
          <w:tcPr>
            <w:tcW w:w="1200"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0.728</w:t>
            </w:r>
          </w:p>
        </w:tc>
        <w:tc>
          <w:tcPr>
            <w:tcW w:w="1201"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7月</w:t>
            </w:r>
          </w:p>
        </w:tc>
        <w:tc>
          <w:tcPr>
            <w:tcW w:w="817"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9.8</w:t>
            </w:r>
          </w:p>
        </w:tc>
        <w:tc>
          <w:tcPr>
            <w:tcW w:w="1080"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1.8</w:t>
            </w:r>
          </w:p>
        </w:tc>
        <w:tc>
          <w:tcPr>
            <w:tcW w:w="1191"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0.5L</w:t>
            </w:r>
          </w:p>
        </w:tc>
        <w:tc>
          <w:tcPr>
            <w:tcW w:w="759"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0.15</w:t>
            </w:r>
          </w:p>
        </w:tc>
        <w:tc>
          <w:tcPr>
            <w:tcW w:w="870"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10</w:t>
            </w:r>
          </w:p>
        </w:tc>
        <w:tc>
          <w:tcPr>
            <w:tcW w:w="1005"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0.01</w:t>
            </w:r>
          </w:p>
        </w:tc>
        <w:tc>
          <w:tcPr>
            <w:tcW w:w="1200"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0.927</w:t>
            </w:r>
          </w:p>
        </w:tc>
        <w:tc>
          <w:tcPr>
            <w:tcW w:w="1201"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8月</w:t>
            </w:r>
          </w:p>
        </w:tc>
        <w:tc>
          <w:tcPr>
            <w:tcW w:w="817"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8.5</w:t>
            </w:r>
          </w:p>
        </w:tc>
        <w:tc>
          <w:tcPr>
            <w:tcW w:w="1080"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1.3</w:t>
            </w:r>
          </w:p>
        </w:tc>
        <w:tc>
          <w:tcPr>
            <w:tcW w:w="1191"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0.7</w:t>
            </w:r>
          </w:p>
        </w:tc>
        <w:tc>
          <w:tcPr>
            <w:tcW w:w="759"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0.1</w:t>
            </w:r>
          </w:p>
        </w:tc>
        <w:tc>
          <w:tcPr>
            <w:tcW w:w="870"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10</w:t>
            </w:r>
          </w:p>
        </w:tc>
        <w:tc>
          <w:tcPr>
            <w:tcW w:w="1005"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0.02</w:t>
            </w:r>
          </w:p>
        </w:tc>
        <w:tc>
          <w:tcPr>
            <w:tcW w:w="1200"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0.583</w:t>
            </w:r>
          </w:p>
        </w:tc>
        <w:tc>
          <w:tcPr>
            <w:tcW w:w="1201"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9月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10.8</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2.0</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0.5</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0.15</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6</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0.02</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0.598</w:t>
            </w:r>
          </w:p>
        </w:tc>
        <w:tc>
          <w:tcPr>
            <w:tcW w:w="1201" w:type="dxa"/>
            <w:tcBorders>
              <w:tl2br w:val="nil"/>
              <w:tr2bl w:val="nil"/>
            </w:tcBorders>
          </w:tcPr>
          <w:p>
            <w:pPr>
              <w:jc w:val="center"/>
              <w:rPr>
                <w:rFonts w:ascii="Times New Roman" w:hAnsi="Times New Roman" w:cs="Calibri"/>
              </w:rPr>
            </w:pPr>
            <w:r>
              <w:rPr>
                <w:rFonts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10月</w:t>
            </w:r>
          </w:p>
        </w:tc>
        <w:tc>
          <w:tcPr>
            <w:tcW w:w="817"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9.9</w:t>
            </w:r>
          </w:p>
        </w:tc>
        <w:tc>
          <w:tcPr>
            <w:tcW w:w="1080"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1.9</w:t>
            </w:r>
          </w:p>
        </w:tc>
        <w:tc>
          <w:tcPr>
            <w:tcW w:w="1191"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0.8</w:t>
            </w:r>
          </w:p>
        </w:tc>
        <w:tc>
          <w:tcPr>
            <w:tcW w:w="759"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0.24</w:t>
            </w:r>
          </w:p>
        </w:tc>
        <w:tc>
          <w:tcPr>
            <w:tcW w:w="870"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8</w:t>
            </w:r>
          </w:p>
        </w:tc>
        <w:tc>
          <w:tcPr>
            <w:tcW w:w="1005"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0.01</w:t>
            </w:r>
          </w:p>
        </w:tc>
        <w:tc>
          <w:tcPr>
            <w:tcW w:w="1200" w:type="dxa"/>
            <w:tcBorders>
              <w:tl2br w:val="nil"/>
              <w:tr2bl w:val="nil"/>
            </w:tcBorders>
            <w:vAlign w:val="bottom"/>
          </w:tcPr>
          <w:p>
            <w:pPr>
              <w:jc w:val="center"/>
              <w:rPr>
                <w:rFonts w:ascii="Times New Roman" w:hAnsi="Times New Roman" w:cs="Calibri"/>
              </w:rPr>
            </w:pPr>
            <w:r>
              <w:rPr>
                <w:rFonts w:hint="eastAsia" w:ascii="Times New Roman" w:hAnsi="Times New Roman" w:cs="Calibri"/>
              </w:rPr>
              <w:t>0.601</w:t>
            </w:r>
          </w:p>
        </w:tc>
        <w:tc>
          <w:tcPr>
            <w:tcW w:w="1201" w:type="dxa"/>
            <w:tcBorders>
              <w:tl2br w:val="nil"/>
              <w:tr2bl w:val="nil"/>
            </w:tcBorders>
            <w:vAlign w:val="center"/>
          </w:tcPr>
          <w:p>
            <w:pPr>
              <w:jc w:val="center"/>
              <w:rPr>
                <w:rFonts w:ascii="Times New Roman" w:hAnsi="Times New Roman" w:cs="Calibri"/>
              </w:rPr>
            </w:pPr>
            <w:r>
              <w:rPr>
                <w:rFonts w:hint="eastAsia"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11月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9.9</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1.9</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0.8</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0.24</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8</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0.01</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0.601</w:t>
            </w:r>
          </w:p>
        </w:tc>
        <w:tc>
          <w:tcPr>
            <w:tcW w:w="1201" w:type="dxa"/>
            <w:tcBorders>
              <w:tl2br w:val="nil"/>
              <w:tr2bl w:val="nil"/>
            </w:tcBorders>
          </w:tcPr>
          <w:p>
            <w:pPr>
              <w:jc w:val="center"/>
              <w:rPr>
                <w:rFonts w:ascii="Times New Roman" w:hAnsi="Times New Roman" w:cs="Calibri"/>
              </w:rPr>
            </w:pPr>
            <w:r>
              <w:rPr>
                <w:rFonts w:hint="eastAsia" w:ascii="Times New Roman" w:hAnsi="Times New Roman" w:cs="Calibri"/>
              </w:rPr>
              <w:t>Ⅱ类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0" w:type="dxa"/>
            <w:tcBorders>
              <w:tl2br w:val="nil"/>
              <w:tr2bl w:val="nil"/>
            </w:tcBorders>
          </w:tcPr>
          <w:p>
            <w:pPr>
              <w:jc w:val="center"/>
              <w:rPr>
                <w:rFonts w:ascii="Times New Roman" w:hAnsi="Times New Roman" w:cs="Calibri"/>
              </w:rPr>
            </w:pPr>
            <w:r>
              <w:rPr>
                <w:rFonts w:hint="eastAsia" w:ascii="Times New Roman" w:hAnsi="Times New Roman" w:cs="Calibri"/>
              </w:rPr>
              <w:t>12月</w:t>
            </w:r>
          </w:p>
        </w:tc>
        <w:tc>
          <w:tcPr>
            <w:tcW w:w="817" w:type="dxa"/>
            <w:tcBorders>
              <w:tl2br w:val="nil"/>
              <w:tr2bl w:val="nil"/>
            </w:tcBorders>
          </w:tcPr>
          <w:p>
            <w:pPr>
              <w:jc w:val="center"/>
              <w:rPr>
                <w:rFonts w:ascii="Times New Roman" w:hAnsi="Times New Roman" w:cs="Calibri"/>
              </w:rPr>
            </w:pPr>
            <w:r>
              <w:rPr>
                <w:rFonts w:hint="eastAsia" w:ascii="Times New Roman" w:hAnsi="Times New Roman" w:cs="Calibri"/>
              </w:rPr>
              <w:t>13.7</w:t>
            </w:r>
          </w:p>
        </w:tc>
        <w:tc>
          <w:tcPr>
            <w:tcW w:w="1080" w:type="dxa"/>
            <w:tcBorders>
              <w:tl2br w:val="nil"/>
              <w:tr2bl w:val="nil"/>
            </w:tcBorders>
          </w:tcPr>
          <w:p>
            <w:pPr>
              <w:jc w:val="center"/>
              <w:rPr>
                <w:rFonts w:ascii="Times New Roman" w:hAnsi="Times New Roman" w:cs="Calibri"/>
              </w:rPr>
            </w:pPr>
            <w:r>
              <w:rPr>
                <w:rFonts w:hint="eastAsia" w:ascii="Times New Roman" w:hAnsi="Times New Roman" w:cs="Calibri"/>
              </w:rPr>
              <w:t>1.3</w:t>
            </w:r>
          </w:p>
        </w:tc>
        <w:tc>
          <w:tcPr>
            <w:tcW w:w="1191" w:type="dxa"/>
            <w:tcBorders>
              <w:tl2br w:val="nil"/>
              <w:tr2bl w:val="nil"/>
            </w:tcBorders>
          </w:tcPr>
          <w:p>
            <w:pPr>
              <w:jc w:val="center"/>
              <w:rPr>
                <w:rFonts w:ascii="Times New Roman" w:hAnsi="Times New Roman" w:cs="Calibri"/>
              </w:rPr>
            </w:pPr>
            <w:r>
              <w:rPr>
                <w:rFonts w:hint="eastAsia" w:ascii="Times New Roman" w:hAnsi="Times New Roman" w:cs="Calibri"/>
              </w:rPr>
              <w:t>0.9</w:t>
            </w:r>
          </w:p>
        </w:tc>
        <w:tc>
          <w:tcPr>
            <w:tcW w:w="759" w:type="dxa"/>
            <w:tcBorders>
              <w:tl2br w:val="nil"/>
              <w:tr2bl w:val="nil"/>
            </w:tcBorders>
          </w:tcPr>
          <w:p>
            <w:pPr>
              <w:jc w:val="center"/>
              <w:rPr>
                <w:rFonts w:ascii="Times New Roman" w:hAnsi="Times New Roman" w:cs="Calibri"/>
              </w:rPr>
            </w:pPr>
            <w:r>
              <w:rPr>
                <w:rFonts w:hint="eastAsia" w:ascii="Times New Roman" w:hAnsi="Times New Roman" w:cs="Calibri"/>
              </w:rPr>
              <w:t>0.19</w:t>
            </w:r>
          </w:p>
        </w:tc>
        <w:tc>
          <w:tcPr>
            <w:tcW w:w="870" w:type="dxa"/>
            <w:tcBorders>
              <w:tl2br w:val="nil"/>
              <w:tr2bl w:val="nil"/>
            </w:tcBorders>
          </w:tcPr>
          <w:p>
            <w:pPr>
              <w:jc w:val="center"/>
              <w:rPr>
                <w:rFonts w:ascii="Times New Roman" w:hAnsi="Times New Roman" w:cs="Calibri"/>
              </w:rPr>
            </w:pPr>
            <w:r>
              <w:rPr>
                <w:rFonts w:hint="eastAsia" w:ascii="Times New Roman" w:hAnsi="Times New Roman" w:cs="Calibri"/>
              </w:rPr>
              <w:t>6.00</w:t>
            </w:r>
          </w:p>
        </w:tc>
        <w:tc>
          <w:tcPr>
            <w:tcW w:w="1005" w:type="dxa"/>
            <w:tcBorders>
              <w:tl2br w:val="nil"/>
              <w:tr2bl w:val="nil"/>
            </w:tcBorders>
          </w:tcPr>
          <w:p>
            <w:pPr>
              <w:jc w:val="center"/>
              <w:rPr>
                <w:rFonts w:ascii="Times New Roman" w:hAnsi="Times New Roman" w:cs="Calibri"/>
              </w:rPr>
            </w:pPr>
            <w:r>
              <w:rPr>
                <w:rFonts w:hint="eastAsia" w:ascii="Times New Roman" w:hAnsi="Times New Roman" w:cs="Calibri"/>
              </w:rPr>
              <w:t>0.02</w:t>
            </w:r>
          </w:p>
        </w:tc>
        <w:tc>
          <w:tcPr>
            <w:tcW w:w="1200" w:type="dxa"/>
            <w:tcBorders>
              <w:tl2br w:val="nil"/>
              <w:tr2bl w:val="nil"/>
            </w:tcBorders>
          </w:tcPr>
          <w:p>
            <w:pPr>
              <w:jc w:val="center"/>
              <w:rPr>
                <w:rFonts w:ascii="Times New Roman" w:hAnsi="Times New Roman" w:cs="Calibri"/>
              </w:rPr>
            </w:pPr>
            <w:r>
              <w:rPr>
                <w:rFonts w:hint="eastAsia" w:ascii="Times New Roman" w:hAnsi="Times New Roman" w:cs="Calibri"/>
              </w:rPr>
              <w:t>0.674</w:t>
            </w:r>
          </w:p>
        </w:tc>
        <w:tc>
          <w:tcPr>
            <w:tcW w:w="1201" w:type="dxa"/>
            <w:tcBorders>
              <w:tl2br w:val="nil"/>
              <w:tr2bl w:val="nil"/>
            </w:tcBorders>
          </w:tcPr>
          <w:p>
            <w:pPr>
              <w:jc w:val="center"/>
              <w:rPr>
                <w:rFonts w:ascii="Times New Roman" w:hAnsi="Times New Roman" w:cs="Calibri"/>
              </w:rPr>
            </w:pPr>
            <w:r>
              <w:rPr>
                <w:rFonts w:hint="eastAsia" w:ascii="Times New Roman" w:hAnsi="Times New Roman" w:cs="Calibri"/>
              </w:rPr>
              <w:t>Ⅱ类</w:t>
            </w:r>
          </w:p>
        </w:tc>
      </w:tr>
    </w:tbl>
    <w:p>
      <w:pPr>
        <w:pStyle w:val="27"/>
        <w:spacing w:before="0" w:beforeAutospacing="0" w:after="0" w:afterAutospacing="0"/>
        <w:rPr>
          <w:rFonts w:ascii="Times New Roman" w:hAnsi="Times New Roman"/>
        </w:rPr>
      </w:pPr>
      <w:r>
        <w:rPr>
          <w:rFonts w:hint="eastAsia" w:ascii="Times New Roman" w:hAnsi="Times New Roman"/>
          <w:kern w:val="2"/>
          <w:sz w:val="21"/>
          <w:szCs w:val="21"/>
        </w:rPr>
        <w:t>备注：监测指标有电导率、水温、pH值、溶解氧、透明度、盐度、CODMn、CODCr、NH3-N、T-P、T-N、Cu、Zn、Pb、Cd、BOD5、T-As、T-Se、T-Hg、Cr6+、F-、CN-、挥发酚、石油类、LAS、S2-、Chl_a、NO3-、NO2-、流量30项，其中未检出或者监测值达到《地表水环境质量标准》GB3838-2002中Ⅱ类水标准限值的指标未统计，仅对主要污染物溶解氧、高锰酸盐指数、五日生化需氧量、氨氮、化学需氧量、总磷、氟化物7项指标进行统计。</w:t>
      </w:r>
    </w:p>
    <w:p>
      <w:pPr>
        <w:spacing w:line="540" w:lineRule="exact"/>
        <w:ind w:firstLine="480" w:firstLineChars="200"/>
        <w:rPr>
          <w:rFonts w:ascii="Times New Roman" w:hAnsi="Times New Roman"/>
          <w:sz w:val="24"/>
        </w:rPr>
      </w:pPr>
      <w:r>
        <w:rPr>
          <w:rFonts w:ascii="Times New Roman" w:hAnsi="Times New Roman"/>
          <w:sz w:val="24"/>
        </w:rPr>
        <w:t>由上表可知：</w:t>
      </w:r>
      <w:r>
        <w:rPr>
          <w:rFonts w:hint="eastAsia" w:ascii="Times New Roman" w:hAnsi="Times New Roman"/>
          <w:sz w:val="24"/>
        </w:rPr>
        <w:t>2021年度渝河峰台和联财断面水质均满足</w:t>
      </w:r>
      <w:r>
        <w:rPr>
          <w:rFonts w:ascii="Times New Roman" w:hAnsi="Times New Roman"/>
          <w:sz w:val="24"/>
        </w:rPr>
        <w:t>《地表水环境质量标准》（GB3838-2002）中Ⅲ类标准。</w:t>
      </w:r>
    </w:p>
    <w:bookmarkEnd w:id="491"/>
    <w:p>
      <w:pPr>
        <w:pStyle w:val="5"/>
        <w:spacing w:before="120" w:after="120" w:line="540" w:lineRule="exact"/>
        <w:rPr>
          <w:rFonts w:ascii="Times New Roman" w:hAnsi="Times New Roman"/>
          <w:bCs w:val="0"/>
        </w:rPr>
      </w:pPr>
      <w:bookmarkStart w:id="492" w:name="_Toc16449"/>
      <w:bookmarkStart w:id="493" w:name="_Toc10340"/>
      <w:bookmarkStart w:id="494" w:name="_Toc3687"/>
      <w:r>
        <w:rPr>
          <w:rFonts w:ascii="Times New Roman" w:hAnsi="Times New Roman"/>
          <w:bCs w:val="0"/>
        </w:rPr>
        <w:t>3.2.3地下水环境质量现状监测与评价</w:t>
      </w:r>
      <w:bookmarkEnd w:id="492"/>
      <w:bookmarkEnd w:id="493"/>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根据《环境影响评价技术导则 地下水环境》（HJ610-2016），三级评价要求：基本掌握调查评价区的地下水补径排条件和地下水环境质量现状。</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宁夏</w:t>
      </w:r>
      <w:r>
        <w:rPr>
          <w:rFonts w:hint="eastAsia" w:ascii="Times New Roman" w:hAnsi="Times New Roman"/>
          <w:sz w:val="24"/>
        </w:rPr>
        <w:t>盛博智环境检测</w:t>
      </w:r>
      <w:r>
        <w:rPr>
          <w:rFonts w:ascii="Times New Roman" w:hAnsi="Times New Roman"/>
          <w:sz w:val="24"/>
        </w:rPr>
        <w:t>有限公司于202</w:t>
      </w:r>
      <w:r>
        <w:rPr>
          <w:rFonts w:hint="eastAsia" w:ascii="Times New Roman" w:hAnsi="Times New Roman"/>
          <w:sz w:val="24"/>
        </w:rPr>
        <w:t>2</w:t>
      </w:r>
      <w:r>
        <w:rPr>
          <w:rFonts w:ascii="Times New Roman" w:hAnsi="Times New Roman"/>
          <w:sz w:val="24"/>
        </w:rPr>
        <w:t>年</w:t>
      </w:r>
      <w:r>
        <w:rPr>
          <w:rFonts w:hint="eastAsia" w:ascii="Times New Roman" w:hAnsi="Times New Roman"/>
          <w:sz w:val="24"/>
        </w:rPr>
        <w:t>4</w:t>
      </w:r>
      <w:r>
        <w:rPr>
          <w:rFonts w:ascii="Times New Roman" w:hAnsi="Times New Roman"/>
          <w:sz w:val="24"/>
        </w:rPr>
        <w:t>月</w:t>
      </w:r>
      <w:r>
        <w:rPr>
          <w:rFonts w:hint="eastAsia" w:ascii="Times New Roman" w:hAnsi="Times New Roman"/>
          <w:sz w:val="24"/>
        </w:rPr>
        <w:t>18</w:t>
      </w:r>
      <w:r>
        <w:rPr>
          <w:rFonts w:ascii="Times New Roman" w:hAnsi="Times New Roman"/>
          <w:sz w:val="24"/>
        </w:rPr>
        <w:t>日分别在</w:t>
      </w:r>
      <w:r>
        <w:rPr>
          <w:rFonts w:hint="eastAsia" w:ascii="Times New Roman" w:hAnsi="Times New Roman"/>
          <w:sz w:val="24"/>
        </w:rPr>
        <w:t>神林乡神林村、厂区内、神林乡双村</w:t>
      </w:r>
      <w:r>
        <w:rPr>
          <w:rFonts w:hint="eastAsia" w:ascii="Times New Roman" w:hAnsi="Times New Roman"/>
          <w:sz w:val="24"/>
          <w:lang w:eastAsia="zh-CN"/>
        </w:rPr>
        <w:t>和阎家庄子</w:t>
      </w:r>
      <w:r>
        <w:rPr>
          <w:rFonts w:ascii="Times New Roman" w:hAnsi="Times New Roman"/>
          <w:sz w:val="24"/>
        </w:rPr>
        <w:t>附近设</w:t>
      </w:r>
      <w:r>
        <w:rPr>
          <w:rFonts w:ascii="Times New Roman" w:hAnsi="Times New Roman"/>
          <w:sz w:val="24"/>
          <w:highlight w:val="none"/>
        </w:rPr>
        <w:t>置</w:t>
      </w:r>
      <w:r>
        <w:rPr>
          <w:rFonts w:hint="eastAsia" w:ascii="Times New Roman" w:hAnsi="Times New Roman"/>
          <w:sz w:val="24"/>
          <w:highlight w:val="none"/>
          <w:lang w:val="en-US" w:eastAsia="zh-CN"/>
        </w:rPr>
        <w:t>7</w:t>
      </w:r>
      <w:r>
        <w:rPr>
          <w:rFonts w:ascii="Times New Roman" w:hAnsi="Times New Roman"/>
          <w:sz w:val="24"/>
          <w:highlight w:val="none"/>
        </w:rPr>
        <w:t>个检测点位对</w:t>
      </w:r>
      <w:r>
        <w:rPr>
          <w:rFonts w:ascii="Times New Roman" w:hAnsi="Times New Roman"/>
          <w:sz w:val="24"/>
        </w:rPr>
        <w:t>地下水进行检测分析，各监测点位置位于本次评价范围内。</w:t>
      </w:r>
    </w:p>
    <w:p>
      <w:pPr>
        <w:spacing w:line="540" w:lineRule="exact"/>
        <w:ind w:firstLine="480" w:firstLineChars="200"/>
        <w:rPr>
          <w:rFonts w:ascii="Times New Roman" w:hAnsi="Times New Roman"/>
          <w:sz w:val="24"/>
        </w:rPr>
      </w:pPr>
      <w:r>
        <w:rPr>
          <w:rFonts w:ascii="Times New Roman" w:hAnsi="Times New Roman"/>
          <w:sz w:val="24"/>
        </w:rPr>
        <w:t>（1）监测点位布设</w:t>
      </w:r>
    </w:p>
    <w:p>
      <w:pPr>
        <w:adjustRightInd w:val="0"/>
        <w:snapToGrid w:val="0"/>
        <w:spacing w:line="540" w:lineRule="exact"/>
        <w:ind w:firstLine="480" w:firstLineChars="200"/>
        <w:rPr>
          <w:rFonts w:ascii="Times New Roman" w:hAnsi="Times New Roman"/>
          <w:b/>
          <w:bCs/>
          <w:snapToGrid w:val="0"/>
          <w:sz w:val="24"/>
        </w:rPr>
      </w:pPr>
      <w:r>
        <w:rPr>
          <w:rFonts w:ascii="Times New Roman" w:hAnsi="Times New Roman"/>
          <w:sz w:val="24"/>
        </w:rPr>
        <w:t>地下水监测点位见表3.2-</w:t>
      </w:r>
      <w:r>
        <w:rPr>
          <w:rFonts w:hint="eastAsia" w:ascii="Times New Roman" w:hAnsi="Times New Roman"/>
          <w:sz w:val="24"/>
        </w:rPr>
        <w:t>8</w:t>
      </w:r>
      <w:r>
        <w:rPr>
          <w:rFonts w:hint="eastAsia" w:ascii="Times New Roman" w:hAnsi="Times New Roman"/>
          <w:sz w:val="24"/>
          <w:lang w:eastAsia="zh-CN"/>
        </w:rPr>
        <w:t>。</w:t>
      </w:r>
    </w:p>
    <w:p>
      <w:pPr>
        <w:autoSpaceDE w:val="0"/>
        <w:adjustRightInd w:val="0"/>
        <w:snapToGrid w:val="0"/>
        <w:jc w:val="center"/>
        <w:rPr>
          <w:rFonts w:ascii="Times New Roman" w:hAnsi="Times New Roman"/>
          <w:b/>
          <w:bCs/>
          <w:snapToGrid w:val="0"/>
          <w:sz w:val="24"/>
        </w:rPr>
      </w:pPr>
    </w:p>
    <w:p>
      <w:pPr>
        <w:autoSpaceDE w:val="0"/>
        <w:adjustRightInd w:val="0"/>
        <w:snapToGrid w:val="0"/>
        <w:jc w:val="center"/>
        <w:rPr>
          <w:rFonts w:ascii="Times New Roman" w:hAnsi="Times New Roman"/>
          <w:b/>
          <w:bCs/>
          <w:snapToGrid w:val="0"/>
          <w:sz w:val="24"/>
        </w:rPr>
      </w:pPr>
      <w:r>
        <w:rPr>
          <w:rFonts w:ascii="Times New Roman" w:hAnsi="Times New Roman"/>
          <w:b/>
          <w:bCs/>
          <w:snapToGrid w:val="0"/>
          <w:sz w:val="24"/>
        </w:rPr>
        <w:t>表3.2-</w:t>
      </w:r>
      <w:r>
        <w:rPr>
          <w:rFonts w:hint="eastAsia" w:ascii="Times New Roman" w:hAnsi="Times New Roman"/>
          <w:b/>
          <w:bCs/>
          <w:snapToGrid w:val="0"/>
          <w:sz w:val="24"/>
        </w:rPr>
        <w:t>8</w:t>
      </w:r>
      <w:r>
        <w:rPr>
          <w:rFonts w:ascii="Times New Roman" w:hAnsi="Times New Roman"/>
          <w:b/>
          <w:bCs/>
          <w:snapToGrid w:val="0"/>
          <w:sz w:val="24"/>
        </w:rPr>
        <w:t xml:space="preserve">    地下水现状监测点位一览表</w:t>
      </w:r>
    </w:p>
    <w:tbl>
      <w:tblPr>
        <w:tblStyle w:val="29"/>
        <w:tblW w:w="8701"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0" w:type="dxa"/>
          <w:bottom w:w="0" w:type="dxa"/>
          <w:right w:w="0" w:type="dxa"/>
        </w:tblCellMar>
      </w:tblPr>
      <w:tblGrid>
        <w:gridCol w:w="700"/>
        <w:gridCol w:w="1545"/>
        <w:gridCol w:w="1905"/>
        <w:gridCol w:w="1187"/>
        <w:gridCol w:w="1146"/>
        <w:gridCol w:w="1363"/>
        <w:gridCol w:w="855"/>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00" w:type="dxa"/>
            <w:tcBorders>
              <w:top w:val="single" w:color="auto" w:sz="12" w:space="0"/>
              <w:left w:val="single" w:color="auto" w:sz="12" w:space="0"/>
              <w:bottom w:val="single" w:color="auto" w:sz="8" w:space="0"/>
              <w:right w:val="single" w:color="auto" w:sz="8" w:space="0"/>
            </w:tcBorders>
            <w:vAlign w:val="center"/>
          </w:tcPr>
          <w:p>
            <w:pPr>
              <w:adjustRightInd w:val="0"/>
              <w:snapToGrid w:val="0"/>
              <w:jc w:val="center"/>
              <w:rPr>
                <w:rFonts w:ascii="Times New Roman" w:hAnsi="Times New Roman"/>
                <w:bCs/>
                <w:szCs w:val="21"/>
              </w:rPr>
            </w:pPr>
            <w:r>
              <w:rPr>
                <w:rFonts w:ascii="Times New Roman" w:hAnsi="Times New Roman"/>
                <w:bCs/>
                <w:szCs w:val="21"/>
              </w:rPr>
              <w:t>序号</w:t>
            </w:r>
          </w:p>
        </w:tc>
        <w:tc>
          <w:tcPr>
            <w:tcW w:w="1545" w:type="dxa"/>
            <w:tcBorders>
              <w:top w:val="single" w:color="auto" w:sz="12" w:space="0"/>
              <w:left w:val="single" w:color="auto" w:sz="8" w:space="0"/>
              <w:bottom w:val="single" w:color="auto" w:sz="8" w:space="0"/>
              <w:right w:val="single" w:color="auto" w:sz="8" w:space="0"/>
            </w:tcBorders>
            <w:vAlign w:val="center"/>
          </w:tcPr>
          <w:p>
            <w:pPr>
              <w:adjustRightInd w:val="0"/>
              <w:snapToGrid w:val="0"/>
              <w:jc w:val="center"/>
              <w:rPr>
                <w:rFonts w:ascii="Times New Roman" w:hAnsi="Times New Roman"/>
                <w:bCs/>
                <w:szCs w:val="21"/>
              </w:rPr>
            </w:pPr>
            <w:r>
              <w:rPr>
                <w:rFonts w:ascii="Times New Roman" w:hAnsi="Times New Roman"/>
                <w:bCs/>
                <w:szCs w:val="21"/>
              </w:rPr>
              <w:t>点位名称</w:t>
            </w:r>
          </w:p>
        </w:tc>
        <w:tc>
          <w:tcPr>
            <w:tcW w:w="1905" w:type="dxa"/>
            <w:tcBorders>
              <w:top w:val="single" w:color="auto" w:sz="12" w:space="0"/>
              <w:left w:val="single" w:color="auto" w:sz="8" w:space="0"/>
              <w:bottom w:val="single" w:color="auto" w:sz="8" w:space="0"/>
              <w:right w:val="single" w:color="auto" w:sz="8" w:space="0"/>
            </w:tcBorders>
            <w:vAlign w:val="center"/>
          </w:tcPr>
          <w:p>
            <w:pPr>
              <w:adjustRightInd w:val="0"/>
              <w:snapToGrid w:val="0"/>
              <w:jc w:val="center"/>
              <w:rPr>
                <w:rFonts w:ascii="Times New Roman" w:hAnsi="Times New Roman"/>
                <w:bCs/>
                <w:szCs w:val="21"/>
              </w:rPr>
            </w:pPr>
            <w:r>
              <w:rPr>
                <w:rFonts w:ascii="Times New Roman" w:hAnsi="Times New Roman"/>
                <w:bCs/>
                <w:szCs w:val="21"/>
              </w:rPr>
              <w:t>坐标</w:t>
            </w:r>
          </w:p>
        </w:tc>
        <w:tc>
          <w:tcPr>
            <w:tcW w:w="1187" w:type="dxa"/>
            <w:tcBorders>
              <w:top w:val="single" w:color="auto" w:sz="12" w:space="0"/>
              <w:left w:val="single" w:color="auto" w:sz="8" w:space="0"/>
              <w:bottom w:val="single" w:color="auto" w:sz="8" w:space="0"/>
              <w:right w:val="single" w:color="auto" w:sz="8" w:space="0"/>
            </w:tcBorders>
            <w:vAlign w:val="center"/>
          </w:tcPr>
          <w:p>
            <w:pPr>
              <w:adjustRightInd w:val="0"/>
              <w:snapToGrid w:val="0"/>
              <w:jc w:val="center"/>
              <w:rPr>
                <w:rFonts w:hint="eastAsia" w:ascii="Times New Roman" w:hAnsi="Times New Roman" w:eastAsia="宋体"/>
                <w:bCs/>
                <w:szCs w:val="21"/>
                <w:lang w:eastAsia="zh-CN"/>
              </w:rPr>
            </w:pPr>
            <w:r>
              <w:rPr>
                <w:rFonts w:hint="eastAsia" w:ascii="Times New Roman" w:hAnsi="Times New Roman"/>
                <w:bCs/>
                <w:szCs w:val="21"/>
                <w:lang w:eastAsia="zh-CN"/>
              </w:rPr>
              <w:t>监测类型</w:t>
            </w:r>
          </w:p>
        </w:tc>
        <w:tc>
          <w:tcPr>
            <w:tcW w:w="1146" w:type="dxa"/>
            <w:tcBorders>
              <w:top w:val="single" w:color="auto" w:sz="12" w:space="0"/>
              <w:left w:val="single" w:color="auto" w:sz="8" w:space="0"/>
              <w:bottom w:val="single" w:color="auto" w:sz="8" w:space="0"/>
              <w:right w:val="single" w:color="auto" w:sz="8" w:space="0"/>
            </w:tcBorders>
            <w:vAlign w:val="center"/>
          </w:tcPr>
          <w:p>
            <w:pPr>
              <w:adjustRightInd w:val="0"/>
              <w:snapToGrid w:val="0"/>
              <w:jc w:val="center"/>
              <w:rPr>
                <w:rFonts w:hint="eastAsia" w:ascii="Times New Roman" w:hAnsi="Times New Roman" w:eastAsia="宋体"/>
                <w:bCs/>
                <w:szCs w:val="21"/>
                <w:lang w:eastAsia="zh-CN"/>
              </w:rPr>
            </w:pPr>
            <w:r>
              <w:rPr>
                <w:rFonts w:hint="eastAsia" w:ascii="Times New Roman" w:hAnsi="Times New Roman"/>
                <w:bCs/>
                <w:szCs w:val="21"/>
                <w:lang w:eastAsia="zh-CN"/>
              </w:rPr>
              <w:t>想对厂址方位</w:t>
            </w:r>
          </w:p>
        </w:tc>
        <w:tc>
          <w:tcPr>
            <w:tcW w:w="1363" w:type="dxa"/>
            <w:tcBorders>
              <w:top w:val="single" w:color="auto" w:sz="12" w:space="0"/>
              <w:left w:val="single" w:color="auto" w:sz="8" w:space="0"/>
              <w:bottom w:val="single" w:color="auto" w:sz="8" w:space="0"/>
              <w:right w:val="single" w:color="auto" w:sz="8" w:space="0"/>
            </w:tcBorders>
            <w:vAlign w:val="center"/>
          </w:tcPr>
          <w:p>
            <w:pPr>
              <w:adjustRightInd w:val="0"/>
              <w:snapToGrid w:val="0"/>
              <w:jc w:val="center"/>
              <w:rPr>
                <w:rFonts w:hint="default" w:ascii="Times New Roman" w:hAnsi="Times New Roman" w:eastAsia="宋体"/>
                <w:bCs/>
                <w:szCs w:val="21"/>
                <w:lang w:val="en-US" w:eastAsia="zh-CN"/>
              </w:rPr>
            </w:pPr>
            <w:r>
              <w:rPr>
                <w:rFonts w:hint="eastAsia" w:ascii="Times New Roman" w:hAnsi="Times New Roman"/>
                <w:bCs/>
                <w:szCs w:val="21"/>
                <w:lang w:val="en-US" w:eastAsia="zh-CN"/>
              </w:rPr>
              <w:t>相对厂界距离（m）</w:t>
            </w:r>
          </w:p>
        </w:tc>
        <w:tc>
          <w:tcPr>
            <w:tcW w:w="855" w:type="dxa"/>
            <w:tcBorders>
              <w:top w:val="single" w:color="auto" w:sz="12" w:space="0"/>
              <w:left w:val="single" w:color="auto" w:sz="8" w:space="0"/>
              <w:bottom w:val="single" w:color="auto" w:sz="8" w:space="0"/>
              <w:right w:val="single" w:color="auto" w:sz="12" w:space="0"/>
            </w:tcBorders>
            <w:vAlign w:val="center"/>
          </w:tcPr>
          <w:p>
            <w:pPr>
              <w:adjustRightInd w:val="0"/>
              <w:snapToGrid w:val="0"/>
              <w:jc w:val="center"/>
              <w:rPr>
                <w:rFonts w:ascii="Times New Roman" w:hAnsi="Times New Roman"/>
                <w:bCs/>
                <w:szCs w:val="21"/>
              </w:rPr>
            </w:pPr>
            <w:r>
              <w:rPr>
                <w:rFonts w:ascii="Times New Roman" w:hAnsi="Times New Roman"/>
                <w:bCs/>
                <w:szCs w:val="21"/>
              </w:rPr>
              <w:t>检测频次</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cantSplit/>
          <w:trHeight w:val="537" w:hRule="atLeast"/>
          <w:jc w:val="center"/>
        </w:trPr>
        <w:tc>
          <w:tcPr>
            <w:tcW w:w="700" w:type="dxa"/>
            <w:tcBorders>
              <w:top w:val="single" w:color="auto" w:sz="8" w:space="0"/>
              <w:left w:val="single" w:color="auto" w:sz="12" w:space="0"/>
              <w:bottom w:val="single" w:color="auto" w:sz="8" w:space="0"/>
              <w:right w:val="single" w:color="auto" w:sz="8" w:space="0"/>
            </w:tcBorders>
            <w:vAlign w:val="center"/>
          </w:tcPr>
          <w:p>
            <w:pPr>
              <w:adjustRightInd w:val="0"/>
              <w:snapToGrid w:val="0"/>
              <w:jc w:val="center"/>
              <w:rPr>
                <w:rFonts w:ascii="Times New Roman" w:hAnsi="Times New Roman"/>
                <w:szCs w:val="21"/>
              </w:rPr>
            </w:pPr>
            <w:r>
              <w:rPr>
                <w:rFonts w:ascii="Times New Roman" w:hAnsi="Times New Roman"/>
                <w:szCs w:val="21"/>
              </w:rPr>
              <w:t>1</w:t>
            </w:r>
            <w:r>
              <w:rPr>
                <w:rFonts w:ascii="Times New Roman" w:hAnsi="Times New Roman"/>
                <w:szCs w:val="21"/>
                <w:vertAlign w:val="superscript"/>
              </w:rPr>
              <w:t>#</w:t>
            </w:r>
          </w:p>
        </w:tc>
        <w:tc>
          <w:tcPr>
            <w:tcW w:w="1545" w:type="dxa"/>
            <w:tcBorders>
              <w:top w:val="single" w:color="auto" w:sz="8" w:space="0"/>
              <w:left w:val="single" w:color="auto" w:sz="8" w:space="0"/>
              <w:bottom w:val="single" w:color="auto" w:sz="8" w:space="0"/>
              <w:right w:val="single" w:color="auto" w:sz="8" w:space="0"/>
            </w:tcBorders>
            <w:vAlign w:val="center"/>
          </w:tcPr>
          <w:p>
            <w:pPr>
              <w:pStyle w:val="12"/>
              <w:jc w:val="center"/>
              <w:rPr>
                <w:rFonts w:ascii="Times New Roman" w:hAnsi="Times New Roman"/>
                <w:sz w:val="21"/>
                <w:szCs w:val="21"/>
              </w:rPr>
            </w:pPr>
            <w:r>
              <w:rPr>
                <w:rFonts w:hint="eastAsia" w:ascii="Times New Roman" w:hAnsi="Times New Roman"/>
                <w:sz w:val="21"/>
                <w:szCs w:val="21"/>
              </w:rPr>
              <w:t>神林村</w:t>
            </w:r>
          </w:p>
        </w:tc>
        <w:tc>
          <w:tcPr>
            <w:tcW w:w="190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sz w:val="21"/>
                <w:szCs w:val="21"/>
                <w:lang w:val="en-US" w:eastAsia="zh-CN"/>
              </w:rPr>
            </w:pPr>
            <w:r>
              <w:rPr>
                <w:rFonts w:hint="eastAsia" w:ascii="Times New Roman" w:hAnsi="Times New Roman"/>
                <w:sz w:val="21"/>
                <w:szCs w:val="21"/>
              </w:rPr>
              <w:t>E:</w:t>
            </w:r>
            <w:r>
              <w:rPr>
                <w:rFonts w:ascii="Times New Roman" w:hAnsi="Times New Roman"/>
                <w:sz w:val="21"/>
                <w:szCs w:val="21"/>
              </w:rPr>
              <w:t>10</w:t>
            </w:r>
            <w:r>
              <w:rPr>
                <w:rFonts w:hint="eastAsia" w:ascii="Times New Roman" w:hAnsi="Times New Roman"/>
                <w:sz w:val="21"/>
                <w:szCs w:val="21"/>
              </w:rPr>
              <w:t>5</w:t>
            </w:r>
            <w:r>
              <w:rPr>
                <w:rFonts w:ascii="Times New Roman" w:hAnsi="Times New Roman"/>
                <w:sz w:val="21"/>
                <w:szCs w:val="21"/>
              </w:rPr>
              <w:t>°</w:t>
            </w:r>
            <w:r>
              <w:rPr>
                <w:rFonts w:hint="eastAsia" w:ascii="Times New Roman" w:hAnsi="Times New Roman"/>
                <w:sz w:val="21"/>
                <w:szCs w:val="21"/>
              </w:rPr>
              <w:t>55</w:t>
            </w:r>
            <w:r>
              <w:rPr>
                <w:rFonts w:ascii="Times New Roman" w:hAnsi="Times New Roman"/>
                <w:sz w:val="21"/>
                <w:szCs w:val="21"/>
              </w:rPr>
              <w:t>′</w:t>
            </w:r>
            <w:r>
              <w:rPr>
                <w:rFonts w:hint="eastAsia" w:ascii="Times New Roman" w:hAnsi="Times New Roman"/>
                <w:sz w:val="21"/>
                <w:szCs w:val="21"/>
              </w:rPr>
              <w:t>40.71</w:t>
            </w:r>
            <w:r>
              <w:rPr>
                <w:rFonts w:ascii="Times New Roman" w:hAnsi="Times New Roman"/>
                <w:sz w:val="21"/>
                <w:szCs w:val="21"/>
              </w:rPr>
              <w:t>″</w:t>
            </w:r>
            <w:r>
              <w:rPr>
                <w:rFonts w:hint="eastAsia" w:ascii="Times New Roman" w:hAnsi="Times New Roman"/>
                <w:sz w:val="21"/>
                <w:szCs w:val="21"/>
                <w:lang w:val="en-US" w:eastAsia="zh-CN"/>
              </w:rPr>
              <w:t xml:space="preserve"> </w:t>
            </w:r>
          </w:p>
          <w:p>
            <w:pPr>
              <w:pStyle w:val="12"/>
              <w:jc w:val="center"/>
              <w:rPr>
                <w:rFonts w:ascii="Times New Roman" w:hAnsi="Times New Roman"/>
                <w:sz w:val="21"/>
                <w:szCs w:val="21"/>
              </w:rPr>
            </w:pPr>
            <w:r>
              <w:rPr>
                <w:rFonts w:hint="eastAsia" w:ascii="Times New Roman" w:hAnsi="Times New Roman"/>
                <w:sz w:val="21"/>
                <w:szCs w:val="21"/>
                <w:lang w:val="en-US" w:eastAsia="zh-CN"/>
              </w:rPr>
              <w:t xml:space="preserve"> </w:t>
            </w:r>
            <w:r>
              <w:rPr>
                <w:rFonts w:hint="eastAsia" w:ascii="Times New Roman" w:hAnsi="Times New Roman"/>
                <w:sz w:val="21"/>
                <w:szCs w:val="21"/>
              </w:rPr>
              <w:t>N:35</w:t>
            </w:r>
            <w:r>
              <w:rPr>
                <w:rFonts w:ascii="Times New Roman" w:hAnsi="Times New Roman"/>
                <w:sz w:val="21"/>
                <w:szCs w:val="21"/>
              </w:rPr>
              <w:t>°</w:t>
            </w:r>
            <w:r>
              <w:rPr>
                <w:rFonts w:hint="eastAsia" w:ascii="Times New Roman" w:hAnsi="Times New Roman"/>
                <w:sz w:val="21"/>
                <w:szCs w:val="21"/>
              </w:rPr>
              <w:t>34</w:t>
            </w:r>
            <w:r>
              <w:rPr>
                <w:rFonts w:ascii="Times New Roman" w:hAnsi="Times New Roman"/>
                <w:sz w:val="21"/>
                <w:szCs w:val="21"/>
              </w:rPr>
              <w:t>′</w:t>
            </w:r>
            <w:r>
              <w:rPr>
                <w:rFonts w:hint="eastAsia" w:ascii="Times New Roman" w:hAnsi="Times New Roman"/>
                <w:sz w:val="21"/>
                <w:szCs w:val="21"/>
              </w:rPr>
              <w:t>43.78</w:t>
            </w:r>
            <w:r>
              <w:rPr>
                <w:rFonts w:ascii="Times New Roman" w:hAnsi="Times New Roman"/>
                <w:sz w:val="21"/>
                <w:szCs w:val="21"/>
              </w:rPr>
              <w:t>″</w:t>
            </w:r>
          </w:p>
        </w:tc>
        <w:tc>
          <w:tcPr>
            <w:tcW w:w="1187"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eastAsia" w:ascii="Times New Roman" w:hAnsi="Times New Roman" w:eastAsia="宋体"/>
                <w:position w:val="6"/>
                <w:szCs w:val="21"/>
                <w:lang w:eastAsia="zh-CN"/>
              </w:rPr>
            </w:pPr>
            <w:r>
              <w:rPr>
                <w:rFonts w:hint="eastAsia" w:ascii="Times New Roman" w:hAnsi="Times New Roman"/>
                <w:position w:val="6"/>
                <w:szCs w:val="21"/>
                <w:lang w:eastAsia="zh-CN"/>
              </w:rPr>
              <w:t>水质水位</w:t>
            </w:r>
          </w:p>
        </w:tc>
        <w:tc>
          <w:tcPr>
            <w:tcW w:w="1146"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default" w:ascii="Times New Roman" w:hAnsi="Times New Roman" w:eastAsia="宋体"/>
                <w:position w:val="6"/>
                <w:szCs w:val="21"/>
                <w:lang w:val="en-US" w:eastAsia="zh-CN"/>
              </w:rPr>
            </w:pPr>
            <w:r>
              <w:rPr>
                <w:rFonts w:hint="eastAsia" w:ascii="Times New Roman" w:hAnsi="Times New Roman"/>
                <w:position w:val="6"/>
                <w:szCs w:val="21"/>
                <w:lang w:val="en-US" w:eastAsia="zh-CN"/>
              </w:rPr>
              <w:t>NE</w:t>
            </w:r>
          </w:p>
        </w:tc>
        <w:tc>
          <w:tcPr>
            <w:tcW w:w="1363" w:type="dxa"/>
            <w:tcBorders>
              <w:top w:val="single" w:color="auto" w:sz="8" w:space="0"/>
              <w:left w:val="single" w:color="auto" w:sz="8" w:space="0"/>
              <w:right w:val="single" w:color="auto" w:sz="8" w:space="0"/>
            </w:tcBorders>
            <w:vAlign w:val="center"/>
          </w:tcPr>
          <w:p>
            <w:pPr>
              <w:adjustRightInd w:val="0"/>
              <w:snapToGrid w:val="0"/>
              <w:jc w:val="center"/>
              <w:rPr>
                <w:rFonts w:hint="default" w:ascii="Times New Roman" w:hAnsi="Times New Roman" w:eastAsia="宋体"/>
                <w:position w:val="6"/>
                <w:szCs w:val="21"/>
                <w:lang w:val="en-US" w:eastAsia="zh-CN"/>
              </w:rPr>
            </w:pPr>
            <w:r>
              <w:rPr>
                <w:rFonts w:hint="eastAsia" w:ascii="Times New Roman" w:hAnsi="Times New Roman"/>
                <w:position w:val="6"/>
                <w:szCs w:val="21"/>
                <w:lang w:val="en-US" w:eastAsia="zh-CN"/>
              </w:rPr>
              <w:t>855</w:t>
            </w:r>
          </w:p>
        </w:tc>
        <w:tc>
          <w:tcPr>
            <w:tcW w:w="855" w:type="dxa"/>
            <w:vMerge w:val="restart"/>
            <w:tcBorders>
              <w:top w:val="single" w:color="auto" w:sz="8" w:space="0"/>
              <w:left w:val="single" w:color="auto" w:sz="8" w:space="0"/>
              <w:right w:val="single" w:color="auto" w:sz="12" w:space="0"/>
            </w:tcBorders>
            <w:vAlign w:val="center"/>
          </w:tcPr>
          <w:p>
            <w:pPr>
              <w:adjustRightInd w:val="0"/>
              <w:snapToGrid w:val="0"/>
              <w:jc w:val="center"/>
              <w:rPr>
                <w:rFonts w:ascii="Times New Roman" w:hAnsi="Times New Roman"/>
                <w:position w:val="6"/>
                <w:szCs w:val="21"/>
              </w:rPr>
            </w:pPr>
            <w:r>
              <w:rPr>
                <w:rFonts w:ascii="Times New Roman" w:hAnsi="Times New Roman"/>
                <w:position w:val="6"/>
                <w:szCs w:val="21"/>
              </w:rPr>
              <w:t>1频次/天</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cantSplit/>
          <w:trHeight w:val="552" w:hRule="atLeast"/>
          <w:jc w:val="center"/>
        </w:trPr>
        <w:tc>
          <w:tcPr>
            <w:tcW w:w="700" w:type="dxa"/>
            <w:tcBorders>
              <w:top w:val="single" w:color="auto" w:sz="8" w:space="0"/>
              <w:left w:val="single" w:color="auto" w:sz="12" w:space="0"/>
              <w:bottom w:val="single" w:color="auto" w:sz="8" w:space="0"/>
              <w:right w:val="single" w:color="auto" w:sz="8" w:space="0"/>
            </w:tcBorders>
            <w:vAlign w:val="center"/>
          </w:tcPr>
          <w:p>
            <w:pPr>
              <w:adjustRightInd w:val="0"/>
              <w:snapToGrid w:val="0"/>
              <w:jc w:val="center"/>
              <w:rPr>
                <w:rFonts w:ascii="Times New Roman" w:hAnsi="Times New Roman"/>
                <w:szCs w:val="21"/>
              </w:rPr>
            </w:pPr>
            <w:r>
              <w:rPr>
                <w:rFonts w:ascii="Times New Roman" w:hAnsi="Times New Roman"/>
                <w:szCs w:val="21"/>
              </w:rPr>
              <w:t>2</w:t>
            </w:r>
            <w:r>
              <w:rPr>
                <w:rFonts w:ascii="Times New Roman" w:hAnsi="Times New Roman"/>
                <w:szCs w:val="21"/>
                <w:vertAlign w:val="superscript"/>
              </w:rPr>
              <w:t>#</w:t>
            </w:r>
          </w:p>
        </w:tc>
        <w:tc>
          <w:tcPr>
            <w:tcW w:w="154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eastAsia="宋体"/>
                <w:sz w:val="21"/>
                <w:szCs w:val="21"/>
                <w:highlight w:val="none"/>
                <w:lang w:eastAsia="zh-CN"/>
              </w:rPr>
            </w:pPr>
            <w:r>
              <w:rPr>
                <w:rFonts w:hint="eastAsia" w:ascii="Times New Roman" w:hAnsi="Times New Roman"/>
                <w:sz w:val="21"/>
                <w:szCs w:val="21"/>
                <w:highlight w:val="none"/>
                <w:lang w:eastAsia="zh-CN"/>
              </w:rPr>
              <w:t>厂址处</w:t>
            </w:r>
          </w:p>
        </w:tc>
        <w:tc>
          <w:tcPr>
            <w:tcW w:w="190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sz w:val="21"/>
                <w:szCs w:val="21"/>
                <w:highlight w:val="none"/>
                <w:lang w:val="en-US" w:eastAsia="zh-CN"/>
              </w:rPr>
            </w:pPr>
            <w:r>
              <w:rPr>
                <w:rFonts w:hint="eastAsia" w:ascii="Times New Roman" w:hAnsi="Times New Roman"/>
                <w:sz w:val="21"/>
                <w:szCs w:val="21"/>
                <w:highlight w:val="none"/>
              </w:rPr>
              <w:t>E:</w:t>
            </w:r>
            <w:r>
              <w:rPr>
                <w:rFonts w:ascii="Times New Roman" w:hAnsi="Times New Roman"/>
                <w:sz w:val="21"/>
                <w:szCs w:val="21"/>
                <w:highlight w:val="none"/>
              </w:rPr>
              <w:t>10</w:t>
            </w:r>
            <w:r>
              <w:rPr>
                <w:rFonts w:hint="eastAsia" w:ascii="Times New Roman" w:hAnsi="Times New Roman"/>
                <w:sz w:val="21"/>
                <w:szCs w:val="21"/>
                <w:highlight w:val="none"/>
              </w:rPr>
              <w:t>5</w:t>
            </w:r>
            <w:r>
              <w:rPr>
                <w:rFonts w:ascii="Times New Roman" w:hAnsi="Times New Roman"/>
                <w:sz w:val="21"/>
                <w:szCs w:val="21"/>
                <w:highlight w:val="none"/>
              </w:rPr>
              <w:t>°</w:t>
            </w:r>
            <w:r>
              <w:rPr>
                <w:rFonts w:hint="eastAsia" w:ascii="Times New Roman" w:hAnsi="Times New Roman"/>
                <w:sz w:val="21"/>
                <w:szCs w:val="21"/>
                <w:highlight w:val="none"/>
              </w:rPr>
              <w:t>55</w:t>
            </w:r>
            <w:r>
              <w:rPr>
                <w:rFonts w:ascii="Times New Roman" w:hAnsi="Times New Roman"/>
                <w:sz w:val="21"/>
                <w:szCs w:val="21"/>
                <w:highlight w:val="none"/>
              </w:rPr>
              <w:t>′</w:t>
            </w:r>
            <w:r>
              <w:rPr>
                <w:rFonts w:hint="eastAsia" w:ascii="Times New Roman" w:hAnsi="Times New Roman"/>
                <w:sz w:val="21"/>
                <w:szCs w:val="21"/>
                <w:highlight w:val="none"/>
                <w:lang w:val="en-US" w:eastAsia="zh-CN"/>
              </w:rPr>
              <w:t>20.12</w:t>
            </w:r>
            <w:r>
              <w:rPr>
                <w:rFonts w:ascii="Times New Roman" w:hAnsi="Times New Roman"/>
                <w:sz w:val="21"/>
                <w:szCs w:val="21"/>
                <w:highlight w:val="none"/>
              </w:rPr>
              <w:t>″</w:t>
            </w:r>
            <w:r>
              <w:rPr>
                <w:rFonts w:hint="eastAsia" w:ascii="Times New Roman" w:hAnsi="Times New Roman"/>
                <w:sz w:val="21"/>
                <w:szCs w:val="21"/>
                <w:highlight w:val="none"/>
                <w:lang w:val="en-US" w:eastAsia="zh-CN"/>
              </w:rPr>
              <w:t xml:space="preserve"> </w:t>
            </w:r>
          </w:p>
          <w:p>
            <w:pPr>
              <w:pStyle w:val="12"/>
              <w:jc w:val="center"/>
              <w:rPr>
                <w:rFonts w:ascii="Times New Roman" w:hAnsi="Times New Roman"/>
                <w:sz w:val="21"/>
                <w:szCs w:val="21"/>
                <w:highlight w:val="none"/>
              </w:rPr>
            </w:pPr>
            <w:r>
              <w:rPr>
                <w:rFonts w:hint="eastAsia" w:ascii="Times New Roman" w:hAnsi="Times New Roman"/>
                <w:sz w:val="21"/>
                <w:szCs w:val="21"/>
                <w:highlight w:val="none"/>
                <w:lang w:val="en-US" w:eastAsia="zh-CN"/>
              </w:rPr>
              <w:t xml:space="preserve"> </w:t>
            </w:r>
            <w:r>
              <w:rPr>
                <w:rFonts w:hint="eastAsia" w:ascii="Times New Roman" w:hAnsi="Times New Roman"/>
                <w:sz w:val="21"/>
                <w:szCs w:val="21"/>
                <w:highlight w:val="none"/>
              </w:rPr>
              <w:t>N:</w:t>
            </w:r>
            <w:r>
              <w:rPr>
                <w:rFonts w:ascii="Times New Roman" w:hAnsi="Times New Roman"/>
                <w:sz w:val="21"/>
                <w:szCs w:val="21"/>
                <w:highlight w:val="none"/>
              </w:rPr>
              <w:t>3</w:t>
            </w:r>
            <w:r>
              <w:rPr>
                <w:rFonts w:hint="eastAsia" w:ascii="Times New Roman" w:hAnsi="Times New Roman"/>
                <w:sz w:val="21"/>
                <w:szCs w:val="21"/>
                <w:highlight w:val="none"/>
              </w:rPr>
              <w:t>5</w:t>
            </w:r>
            <w:r>
              <w:rPr>
                <w:rFonts w:ascii="Times New Roman" w:hAnsi="Times New Roman"/>
                <w:sz w:val="21"/>
                <w:szCs w:val="21"/>
                <w:highlight w:val="none"/>
              </w:rPr>
              <w:t>°</w:t>
            </w:r>
            <w:r>
              <w:rPr>
                <w:rFonts w:hint="eastAsia" w:ascii="Times New Roman" w:hAnsi="Times New Roman"/>
                <w:sz w:val="21"/>
                <w:szCs w:val="21"/>
                <w:highlight w:val="none"/>
              </w:rPr>
              <w:t>34</w:t>
            </w:r>
            <w:r>
              <w:rPr>
                <w:rFonts w:ascii="Times New Roman" w:hAnsi="Times New Roman"/>
                <w:sz w:val="21"/>
                <w:szCs w:val="21"/>
                <w:highlight w:val="none"/>
              </w:rPr>
              <w:t>′</w:t>
            </w:r>
            <w:r>
              <w:rPr>
                <w:rFonts w:hint="eastAsia" w:ascii="Times New Roman" w:hAnsi="Times New Roman"/>
                <w:sz w:val="21"/>
                <w:szCs w:val="21"/>
                <w:highlight w:val="none"/>
                <w:lang w:val="en-US" w:eastAsia="zh-CN"/>
              </w:rPr>
              <w:t>26.28</w:t>
            </w:r>
            <w:r>
              <w:rPr>
                <w:rFonts w:ascii="Times New Roman" w:hAnsi="Times New Roman"/>
                <w:sz w:val="21"/>
                <w:szCs w:val="21"/>
                <w:highlight w:val="none"/>
              </w:rPr>
              <w:t>″</w:t>
            </w:r>
          </w:p>
        </w:tc>
        <w:tc>
          <w:tcPr>
            <w:tcW w:w="1187" w:type="dxa"/>
            <w:tcBorders>
              <w:top w:val="single" w:color="auto" w:sz="8" w:space="0"/>
              <w:left w:val="single" w:color="auto" w:sz="8" w:space="0"/>
              <w:bottom w:val="single" w:color="auto" w:sz="8" w:space="0"/>
              <w:right w:val="single" w:color="auto" w:sz="8" w:space="0"/>
            </w:tcBorders>
            <w:vAlign w:val="center"/>
          </w:tcPr>
          <w:p>
            <w:pPr>
              <w:widowControl/>
              <w:jc w:val="center"/>
              <w:rPr>
                <w:rFonts w:ascii="Times New Roman" w:hAnsi="Times New Roman"/>
                <w:position w:val="6"/>
                <w:szCs w:val="21"/>
                <w:highlight w:val="none"/>
              </w:rPr>
            </w:pPr>
            <w:r>
              <w:rPr>
                <w:rFonts w:hint="eastAsia" w:ascii="Times New Roman" w:hAnsi="Times New Roman"/>
                <w:position w:val="6"/>
                <w:szCs w:val="21"/>
                <w:highlight w:val="none"/>
                <w:lang w:eastAsia="zh-CN"/>
              </w:rPr>
              <w:t>水质水位</w:t>
            </w:r>
          </w:p>
        </w:tc>
        <w:tc>
          <w:tcPr>
            <w:tcW w:w="1146" w:type="dxa"/>
            <w:tcBorders>
              <w:top w:val="single" w:color="auto" w:sz="8" w:space="0"/>
              <w:left w:val="single" w:color="auto" w:sz="8" w:space="0"/>
              <w:bottom w:val="single" w:color="auto" w:sz="8" w:space="0"/>
              <w:right w:val="single" w:color="auto" w:sz="8" w:space="0"/>
            </w:tcBorders>
            <w:vAlign w:val="center"/>
          </w:tcPr>
          <w:p>
            <w:pPr>
              <w:widowControl/>
              <w:jc w:val="center"/>
              <w:rPr>
                <w:rFonts w:hint="eastAsia" w:ascii="Times New Roman" w:hAnsi="Times New Roman" w:eastAsia="宋体"/>
                <w:position w:val="6"/>
                <w:szCs w:val="21"/>
                <w:highlight w:val="none"/>
                <w:lang w:eastAsia="zh-CN"/>
              </w:rPr>
            </w:pPr>
            <w:r>
              <w:rPr>
                <w:rFonts w:hint="eastAsia" w:ascii="Times New Roman" w:hAnsi="Times New Roman"/>
                <w:sz w:val="21"/>
                <w:szCs w:val="21"/>
                <w:highlight w:val="none"/>
                <w:lang w:eastAsia="zh-CN"/>
              </w:rPr>
              <w:t>厂址处</w:t>
            </w:r>
          </w:p>
        </w:tc>
        <w:tc>
          <w:tcPr>
            <w:tcW w:w="1363" w:type="dxa"/>
            <w:tcBorders>
              <w:left w:val="single" w:color="auto" w:sz="8" w:space="0"/>
              <w:right w:val="single" w:color="auto" w:sz="8" w:space="0"/>
            </w:tcBorders>
            <w:vAlign w:val="center"/>
          </w:tcPr>
          <w:p>
            <w:pPr>
              <w:widowControl/>
              <w:jc w:val="center"/>
              <w:rPr>
                <w:rFonts w:hint="eastAsia" w:ascii="Times New Roman" w:hAnsi="Times New Roman" w:eastAsia="宋体"/>
                <w:position w:val="6"/>
                <w:szCs w:val="21"/>
                <w:lang w:val="en-US" w:eastAsia="zh-CN"/>
              </w:rPr>
            </w:pPr>
            <w:r>
              <w:rPr>
                <w:rFonts w:hint="eastAsia" w:ascii="Times New Roman" w:hAnsi="Times New Roman"/>
                <w:position w:val="6"/>
                <w:szCs w:val="21"/>
                <w:lang w:val="en-US" w:eastAsia="zh-CN"/>
              </w:rPr>
              <w:t>0</w:t>
            </w:r>
          </w:p>
        </w:tc>
        <w:tc>
          <w:tcPr>
            <w:tcW w:w="855" w:type="dxa"/>
            <w:vMerge w:val="continue"/>
            <w:tcBorders>
              <w:left w:val="single" w:color="auto" w:sz="8" w:space="0"/>
              <w:right w:val="single" w:color="auto" w:sz="12" w:space="0"/>
            </w:tcBorders>
            <w:vAlign w:val="center"/>
          </w:tcPr>
          <w:p>
            <w:pPr>
              <w:widowControl/>
              <w:jc w:val="left"/>
              <w:rPr>
                <w:rFonts w:ascii="Times New Roman" w:hAnsi="Times New Roman"/>
                <w:position w:val="6"/>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00" w:type="dxa"/>
            <w:tcBorders>
              <w:top w:val="single" w:color="auto" w:sz="8" w:space="0"/>
              <w:left w:val="single" w:color="auto" w:sz="12" w:space="0"/>
              <w:bottom w:val="single" w:color="auto" w:sz="8" w:space="0"/>
              <w:right w:val="single" w:color="auto" w:sz="8" w:space="0"/>
            </w:tcBorders>
            <w:vAlign w:val="center"/>
          </w:tcPr>
          <w:p>
            <w:pPr>
              <w:adjustRightInd w:val="0"/>
              <w:snapToGrid w:val="0"/>
              <w:jc w:val="center"/>
              <w:rPr>
                <w:rFonts w:ascii="Times New Roman" w:hAnsi="Times New Roman"/>
                <w:szCs w:val="21"/>
              </w:rPr>
            </w:pPr>
            <w:r>
              <w:rPr>
                <w:rFonts w:ascii="Times New Roman" w:hAnsi="Times New Roman"/>
                <w:szCs w:val="21"/>
              </w:rPr>
              <w:t>3</w:t>
            </w:r>
            <w:r>
              <w:rPr>
                <w:rFonts w:ascii="Times New Roman" w:hAnsi="Times New Roman"/>
                <w:szCs w:val="21"/>
                <w:vertAlign w:val="superscript"/>
              </w:rPr>
              <w:t>#</w:t>
            </w:r>
          </w:p>
        </w:tc>
        <w:tc>
          <w:tcPr>
            <w:tcW w:w="1545" w:type="dxa"/>
            <w:tcBorders>
              <w:top w:val="single" w:color="auto" w:sz="8" w:space="0"/>
              <w:left w:val="single" w:color="auto" w:sz="8" w:space="0"/>
              <w:bottom w:val="single" w:color="auto" w:sz="8" w:space="0"/>
              <w:right w:val="single" w:color="auto" w:sz="8" w:space="0"/>
            </w:tcBorders>
            <w:vAlign w:val="center"/>
          </w:tcPr>
          <w:p>
            <w:pPr>
              <w:pStyle w:val="12"/>
              <w:jc w:val="center"/>
              <w:rPr>
                <w:rFonts w:ascii="Times New Roman" w:hAnsi="Times New Roman"/>
                <w:sz w:val="21"/>
                <w:szCs w:val="21"/>
              </w:rPr>
            </w:pPr>
            <w:r>
              <w:rPr>
                <w:rFonts w:hint="eastAsia" w:ascii="Times New Roman" w:hAnsi="Times New Roman"/>
                <w:sz w:val="21"/>
                <w:szCs w:val="21"/>
              </w:rPr>
              <w:t>神林乡双村</w:t>
            </w:r>
          </w:p>
        </w:tc>
        <w:tc>
          <w:tcPr>
            <w:tcW w:w="190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sz w:val="21"/>
                <w:szCs w:val="21"/>
                <w:lang w:val="en-US" w:eastAsia="zh-CN"/>
              </w:rPr>
            </w:pPr>
            <w:r>
              <w:rPr>
                <w:rFonts w:hint="eastAsia" w:ascii="Times New Roman" w:hAnsi="Times New Roman"/>
                <w:sz w:val="21"/>
                <w:szCs w:val="21"/>
              </w:rPr>
              <w:t>E:</w:t>
            </w:r>
            <w:r>
              <w:rPr>
                <w:rFonts w:ascii="Times New Roman" w:hAnsi="Times New Roman"/>
                <w:sz w:val="21"/>
                <w:szCs w:val="21"/>
              </w:rPr>
              <w:t>10</w:t>
            </w:r>
            <w:r>
              <w:rPr>
                <w:rFonts w:hint="eastAsia" w:ascii="Times New Roman" w:hAnsi="Times New Roman"/>
                <w:sz w:val="21"/>
                <w:szCs w:val="21"/>
              </w:rPr>
              <w:t>5</w:t>
            </w:r>
            <w:r>
              <w:rPr>
                <w:rFonts w:ascii="Times New Roman" w:hAnsi="Times New Roman"/>
                <w:sz w:val="21"/>
                <w:szCs w:val="21"/>
              </w:rPr>
              <w:t>°</w:t>
            </w:r>
            <w:r>
              <w:rPr>
                <w:rFonts w:hint="eastAsia" w:ascii="Times New Roman" w:hAnsi="Times New Roman"/>
                <w:sz w:val="21"/>
                <w:szCs w:val="21"/>
              </w:rPr>
              <w:t>53</w:t>
            </w:r>
            <w:r>
              <w:rPr>
                <w:rFonts w:ascii="Times New Roman" w:hAnsi="Times New Roman"/>
                <w:sz w:val="21"/>
                <w:szCs w:val="21"/>
              </w:rPr>
              <w:t>′</w:t>
            </w:r>
            <w:r>
              <w:rPr>
                <w:rFonts w:hint="eastAsia" w:ascii="Times New Roman" w:hAnsi="Times New Roman"/>
                <w:sz w:val="21"/>
                <w:szCs w:val="21"/>
              </w:rPr>
              <w:t>52.48</w:t>
            </w:r>
            <w:r>
              <w:rPr>
                <w:rFonts w:ascii="Times New Roman" w:hAnsi="Times New Roman"/>
                <w:sz w:val="21"/>
                <w:szCs w:val="21"/>
              </w:rPr>
              <w:t>″</w:t>
            </w:r>
            <w:r>
              <w:rPr>
                <w:rFonts w:hint="eastAsia" w:ascii="Times New Roman" w:hAnsi="Times New Roman"/>
                <w:sz w:val="21"/>
                <w:szCs w:val="21"/>
                <w:lang w:val="en-US" w:eastAsia="zh-CN"/>
              </w:rPr>
              <w:t xml:space="preserve"> </w:t>
            </w:r>
          </w:p>
          <w:p>
            <w:pPr>
              <w:pStyle w:val="12"/>
              <w:jc w:val="center"/>
              <w:rPr>
                <w:rFonts w:ascii="Times New Roman" w:hAnsi="Times New Roman"/>
                <w:sz w:val="21"/>
                <w:szCs w:val="21"/>
              </w:rPr>
            </w:pPr>
            <w:r>
              <w:rPr>
                <w:rFonts w:hint="eastAsia" w:ascii="Times New Roman" w:hAnsi="Times New Roman"/>
                <w:sz w:val="21"/>
                <w:szCs w:val="21"/>
                <w:lang w:val="en-US" w:eastAsia="zh-CN"/>
              </w:rPr>
              <w:t xml:space="preserve"> </w:t>
            </w:r>
            <w:r>
              <w:rPr>
                <w:rFonts w:hint="eastAsia" w:ascii="Times New Roman" w:hAnsi="Times New Roman"/>
                <w:sz w:val="21"/>
                <w:szCs w:val="21"/>
              </w:rPr>
              <w:t>N:</w:t>
            </w:r>
            <w:r>
              <w:rPr>
                <w:rFonts w:ascii="Times New Roman" w:hAnsi="Times New Roman"/>
                <w:sz w:val="21"/>
                <w:szCs w:val="21"/>
              </w:rPr>
              <w:t>3</w:t>
            </w:r>
            <w:r>
              <w:rPr>
                <w:rFonts w:hint="eastAsia" w:ascii="Times New Roman" w:hAnsi="Times New Roman"/>
                <w:sz w:val="21"/>
                <w:szCs w:val="21"/>
              </w:rPr>
              <w:t>5</w:t>
            </w:r>
            <w:r>
              <w:rPr>
                <w:rFonts w:ascii="Times New Roman" w:hAnsi="Times New Roman"/>
                <w:sz w:val="21"/>
                <w:szCs w:val="21"/>
              </w:rPr>
              <w:t>°</w:t>
            </w:r>
            <w:r>
              <w:rPr>
                <w:rFonts w:hint="eastAsia" w:ascii="Times New Roman" w:hAnsi="Times New Roman"/>
                <w:sz w:val="21"/>
                <w:szCs w:val="21"/>
              </w:rPr>
              <w:t>33</w:t>
            </w:r>
            <w:r>
              <w:rPr>
                <w:rFonts w:ascii="Times New Roman" w:hAnsi="Times New Roman"/>
                <w:sz w:val="21"/>
                <w:szCs w:val="21"/>
              </w:rPr>
              <w:t>′</w:t>
            </w:r>
            <w:r>
              <w:rPr>
                <w:rFonts w:hint="eastAsia" w:ascii="Times New Roman" w:hAnsi="Times New Roman"/>
                <w:sz w:val="21"/>
                <w:szCs w:val="21"/>
              </w:rPr>
              <w:t>59.60</w:t>
            </w:r>
            <w:r>
              <w:rPr>
                <w:rFonts w:ascii="Times New Roman" w:hAnsi="Times New Roman"/>
                <w:sz w:val="21"/>
                <w:szCs w:val="21"/>
              </w:rPr>
              <w:t>″</w:t>
            </w:r>
          </w:p>
        </w:tc>
        <w:tc>
          <w:tcPr>
            <w:tcW w:w="1187" w:type="dxa"/>
            <w:tcBorders>
              <w:top w:val="single" w:color="auto" w:sz="8" w:space="0"/>
              <w:left w:val="single" w:color="auto" w:sz="8" w:space="0"/>
              <w:bottom w:val="single" w:color="auto" w:sz="8" w:space="0"/>
              <w:right w:val="single" w:color="auto" w:sz="8" w:space="0"/>
            </w:tcBorders>
            <w:vAlign w:val="center"/>
          </w:tcPr>
          <w:p>
            <w:pPr>
              <w:widowControl/>
              <w:jc w:val="center"/>
              <w:rPr>
                <w:rFonts w:ascii="Times New Roman" w:hAnsi="Times New Roman"/>
                <w:position w:val="6"/>
                <w:szCs w:val="21"/>
              </w:rPr>
            </w:pPr>
            <w:r>
              <w:rPr>
                <w:rFonts w:hint="eastAsia" w:ascii="Times New Roman" w:hAnsi="Times New Roman"/>
                <w:position w:val="6"/>
                <w:szCs w:val="21"/>
                <w:lang w:eastAsia="zh-CN"/>
              </w:rPr>
              <w:t>水质水位</w:t>
            </w:r>
          </w:p>
        </w:tc>
        <w:tc>
          <w:tcPr>
            <w:tcW w:w="1146" w:type="dxa"/>
            <w:tcBorders>
              <w:top w:val="single" w:color="auto" w:sz="8" w:space="0"/>
              <w:left w:val="single" w:color="auto" w:sz="8" w:space="0"/>
              <w:bottom w:val="single" w:color="auto" w:sz="8" w:space="0"/>
              <w:right w:val="single" w:color="auto" w:sz="8" w:space="0"/>
            </w:tcBorders>
            <w:vAlign w:val="center"/>
          </w:tcPr>
          <w:p>
            <w:pPr>
              <w:widowControl/>
              <w:jc w:val="center"/>
              <w:rPr>
                <w:rFonts w:hint="eastAsia" w:ascii="Times New Roman" w:hAnsi="Times New Roman" w:eastAsia="宋体"/>
                <w:position w:val="6"/>
                <w:szCs w:val="21"/>
                <w:lang w:val="en-US" w:eastAsia="zh-CN"/>
              </w:rPr>
            </w:pPr>
            <w:r>
              <w:rPr>
                <w:rFonts w:hint="eastAsia" w:ascii="Times New Roman" w:hAnsi="Times New Roman"/>
                <w:position w:val="6"/>
                <w:szCs w:val="21"/>
                <w:lang w:val="en-US" w:eastAsia="zh-CN"/>
              </w:rPr>
              <w:t>W</w:t>
            </w:r>
          </w:p>
        </w:tc>
        <w:tc>
          <w:tcPr>
            <w:tcW w:w="1363" w:type="dxa"/>
            <w:tcBorders>
              <w:left w:val="single" w:color="auto" w:sz="8" w:space="0"/>
              <w:right w:val="single" w:color="auto" w:sz="8" w:space="0"/>
            </w:tcBorders>
            <w:vAlign w:val="center"/>
          </w:tcPr>
          <w:p>
            <w:pPr>
              <w:widowControl/>
              <w:jc w:val="center"/>
              <w:rPr>
                <w:rFonts w:hint="default" w:ascii="Times New Roman" w:hAnsi="Times New Roman" w:eastAsia="宋体"/>
                <w:position w:val="6"/>
                <w:szCs w:val="21"/>
                <w:lang w:val="en-US" w:eastAsia="zh-CN"/>
              </w:rPr>
            </w:pPr>
            <w:r>
              <w:rPr>
                <w:rFonts w:hint="eastAsia" w:ascii="Times New Roman" w:hAnsi="Times New Roman"/>
                <w:position w:val="6"/>
                <w:szCs w:val="21"/>
                <w:lang w:val="en-US" w:eastAsia="zh-CN"/>
              </w:rPr>
              <w:t>1900</w:t>
            </w:r>
          </w:p>
        </w:tc>
        <w:tc>
          <w:tcPr>
            <w:tcW w:w="855" w:type="dxa"/>
            <w:vMerge w:val="continue"/>
            <w:tcBorders>
              <w:left w:val="single" w:color="auto" w:sz="8" w:space="0"/>
              <w:right w:val="single" w:color="auto" w:sz="12" w:space="0"/>
            </w:tcBorders>
            <w:vAlign w:val="center"/>
          </w:tcPr>
          <w:p>
            <w:pPr>
              <w:widowControl/>
              <w:jc w:val="left"/>
              <w:rPr>
                <w:rFonts w:ascii="Times New Roman" w:hAnsi="Times New Roman"/>
                <w:position w:val="6"/>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00" w:type="dxa"/>
            <w:tcBorders>
              <w:top w:val="single" w:color="auto" w:sz="8" w:space="0"/>
              <w:left w:val="single" w:color="auto" w:sz="12" w:space="0"/>
              <w:bottom w:val="single" w:color="auto" w:sz="8" w:space="0"/>
              <w:right w:val="single" w:color="auto" w:sz="8" w:space="0"/>
            </w:tcBorders>
            <w:vAlign w:val="center"/>
          </w:tcPr>
          <w:p>
            <w:pPr>
              <w:adjustRightInd w:val="0"/>
              <w:snapToGrid w:val="0"/>
              <w:jc w:val="center"/>
              <w:rPr>
                <w:rFonts w:hint="default" w:ascii="Times New Roman" w:hAnsi="Times New Roman" w:eastAsia="宋体"/>
                <w:szCs w:val="21"/>
                <w:lang w:val="en-US" w:eastAsia="zh-CN"/>
              </w:rPr>
            </w:pPr>
            <w:r>
              <w:rPr>
                <w:rFonts w:hint="eastAsia" w:ascii="Times New Roman" w:hAnsi="Times New Roman"/>
                <w:szCs w:val="21"/>
                <w:lang w:val="en-US" w:eastAsia="zh-CN"/>
              </w:rPr>
              <w:t>4</w:t>
            </w:r>
            <w:r>
              <w:rPr>
                <w:rFonts w:hint="eastAsia" w:ascii="Times New Roman" w:hAnsi="Times New Roman"/>
                <w:szCs w:val="21"/>
                <w:vertAlign w:val="superscript"/>
                <w:lang w:val="en-US" w:eastAsia="zh-CN"/>
              </w:rPr>
              <w:t>#</w:t>
            </w:r>
          </w:p>
        </w:tc>
        <w:tc>
          <w:tcPr>
            <w:tcW w:w="154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sz w:val="21"/>
                <w:szCs w:val="21"/>
              </w:rPr>
            </w:pPr>
            <w:r>
              <w:rPr>
                <w:rFonts w:hint="eastAsia" w:ascii="Times New Roman" w:hAnsi="Times New Roman"/>
                <w:sz w:val="21"/>
                <w:szCs w:val="21"/>
              </w:rPr>
              <w:t>神林村</w:t>
            </w:r>
          </w:p>
        </w:tc>
        <w:tc>
          <w:tcPr>
            <w:tcW w:w="190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sz w:val="21"/>
                <w:szCs w:val="21"/>
                <w:lang w:val="en-US" w:eastAsia="zh-CN"/>
              </w:rPr>
            </w:pPr>
            <w:r>
              <w:rPr>
                <w:rFonts w:hint="eastAsia" w:ascii="Times New Roman" w:hAnsi="Times New Roman"/>
                <w:sz w:val="21"/>
                <w:szCs w:val="21"/>
              </w:rPr>
              <w:t>E:</w:t>
            </w:r>
            <w:r>
              <w:rPr>
                <w:rFonts w:ascii="Times New Roman" w:hAnsi="Times New Roman"/>
                <w:sz w:val="21"/>
                <w:szCs w:val="21"/>
              </w:rPr>
              <w:t>10</w:t>
            </w:r>
            <w:r>
              <w:rPr>
                <w:rFonts w:hint="eastAsia" w:ascii="Times New Roman" w:hAnsi="Times New Roman"/>
                <w:sz w:val="21"/>
                <w:szCs w:val="21"/>
              </w:rPr>
              <w:t>5</w:t>
            </w:r>
            <w:r>
              <w:rPr>
                <w:rFonts w:ascii="Times New Roman" w:hAnsi="Times New Roman"/>
                <w:sz w:val="21"/>
                <w:szCs w:val="21"/>
              </w:rPr>
              <w:t>°</w:t>
            </w:r>
            <w:r>
              <w:rPr>
                <w:rFonts w:hint="eastAsia" w:ascii="Times New Roman" w:hAnsi="Times New Roman"/>
                <w:sz w:val="21"/>
                <w:szCs w:val="21"/>
              </w:rPr>
              <w:t>5</w:t>
            </w:r>
            <w:r>
              <w:rPr>
                <w:rFonts w:hint="eastAsia" w:ascii="Times New Roman" w:hAnsi="Times New Roman"/>
                <w:sz w:val="21"/>
                <w:szCs w:val="21"/>
                <w:lang w:val="en-US" w:eastAsia="zh-CN"/>
              </w:rPr>
              <w:t>5</w:t>
            </w:r>
            <w:r>
              <w:rPr>
                <w:rFonts w:ascii="Times New Roman" w:hAnsi="Times New Roman"/>
                <w:sz w:val="21"/>
                <w:szCs w:val="21"/>
              </w:rPr>
              <w:t>′</w:t>
            </w:r>
            <w:r>
              <w:rPr>
                <w:rFonts w:hint="eastAsia" w:ascii="Times New Roman" w:hAnsi="Times New Roman"/>
                <w:sz w:val="21"/>
                <w:szCs w:val="21"/>
                <w:lang w:val="en-US" w:eastAsia="zh-CN"/>
              </w:rPr>
              <w:t>20.62</w:t>
            </w:r>
            <w:r>
              <w:rPr>
                <w:rFonts w:ascii="Times New Roman" w:hAnsi="Times New Roman"/>
                <w:sz w:val="21"/>
                <w:szCs w:val="21"/>
              </w:rPr>
              <w:t>″</w:t>
            </w:r>
            <w:r>
              <w:rPr>
                <w:rFonts w:hint="eastAsia" w:ascii="Times New Roman" w:hAnsi="Times New Roman"/>
                <w:sz w:val="21"/>
                <w:szCs w:val="21"/>
                <w:lang w:val="en-US" w:eastAsia="zh-CN"/>
              </w:rPr>
              <w:t xml:space="preserve"> </w:t>
            </w:r>
          </w:p>
          <w:p>
            <w:pPr>
              <w:pStyle w:val="12"/>
              <w:jc w:val="center"/>
              <w:rPr>
                <w:rFonts w:hint="eastAsia" w:ascii="Times New Roman" w:hAnsi="Times New Roman"/>
                <w:sz w:val="21"/>
                <w:szCs w:val="21"/>
              </w:rPr>
            </w:pPr>
            <w:r>
              <w:rPr>
                <w:rFonts w:hint="eastAsia" w:ascii="Times New Roman" w:hAnsi="Times New Roman"/>
                <w:sz w:val="21"/>
                <w:szCs w:val="21"/>
                <w:lang w:val="en-US" w:eastAsia="zh-CN"/>
              </w:rPr>
              <w:t xml:space="preserve"> </w:t>
            </w:r>
            <w:r>
              <w:rPr>
                <w:rFonts w:hint="eastAsia" w:ascii="Times New Roman" w:hAnsi="Times New Roman"/>
                <w:sz w:val="21"/>
                <w:szCs w:val="21"/>
              </w:rPr>
              <w:t>N:</w:t>
            </w:r>
            <w:r>
              <w:rPr>
                <w:rFonts w:ascii="Times New Roman" w:hAnsi="Times New Roman"/>
                <w:sz w:val="21"/>
                <w:szCs w:val="21"/>
              </w:rPr>
              <w:t>3</w:t>
            </w:r>
            <w:r>
              <w:rPr>
                <w:rFonts w:hint="eastAsia" w:ascii="Times New Roman" w:hAnsi="Times New Roman"/>
                <w:sz w:val="21"/>
                <w:szCs w:val="21"/>
              </w:rPr>
              <w:t>5</w:t>
            </w:r>
            <w:r>
              <w:rPr>
                <w:rFonts w:ascii="Times New Roman" w:hAnsi="Times New Roman"/>
                <w:sz w:val="21"/>
                <w:szCs w:val="21"/>
              </w:rPr>
              <w:t>°</w:t>
            </w:r>
            <w:r>
              <w:rPr>
                <w:rFonts w:hint="eastAsia" w:ascii="Times New Roman" w:hAnsi="Times New Roman"/>
                <w:sz w:val="21"/>
                <w:szCs w:val="21"/>
              </w:rPr>
              <w:t>3</w:t>
            </w:r>
            <w:r>
              <w:rPr>
                <w:rFonts w:hint="eastAsia" w:ascii="Times New Roman" w:hAnsi="Times New Roman"/>
                <w:sz w:val="21"/>
                <w:szCs w:val="21"/>
                <w:lang w:val="en-US" w:eastAsia="zh-CN"/>
              </w:rPr>
              <w:t>4</w:t>
            </w:r>
            <w:r>
              <w:rPr>
                <w:rFonts w:ascii="Times New Roman" w:hAnsi="Times New Roman"/>
                <w:sz w:val="21"/>
                <w:szCs w:val="21"/>
              </w:rPr>
              <w:t>′</w:t>
            </w:r>
            <w:r>
              <w:rPr>
                <w:rFonts w:hint="eastAsia" w:ascii="Times New Roman" w:hAnsi="Times New Roman"/>
                <w:sz w:val="21"/>
                <w:szCs w:val="21"/>
                <w:lang w:val="en-US" w:eastAsia="zh-CN"/>
              </w:rPr>
              <w:t>43.51</w:t>
            </w:r>
            <w:r>
              <w:rPr>
                <w:rFonts w:ascii="Times New Roman" w:hAnsi="Times New Roman"/>
                <w:sz w:val="21"/>
                <w:szCs w:val="21"/>
              </w:rPr>
              <w:t>″</w:t>
            </w:r>
          </w:p>
        </w:tc>
        <w:tc>
          <w:tcPr>
            <w:tcW w:w="1187" w:type="dxa"/>
            <w:tcBorders>
              <w:top w:val="single" w:color="auto" w:sz="8" w:space="0"/>
              <w:left w:val="single" w:color="auto" w:sz="8" w:space="0"/>
              <w:bottom w:val="single" w:color="auto" w:sz="8" w:space="0"/>
              <w:right w:val="single" w:color="auto" w:sz="8" w:space="0"/>
            </w:tcBorders>
            <w:vAlign w:val="center"/>
          </w:tcPr>
          <w:p>
            <w:pPr>
              <w:widowControl/>
              <w:jc w:val="center"/>
              <w:rPr>
                <w:rFonts w:ascii="Times New Roman" w:hAnsi="Times New Roman"/>
                <w:position w:val="6"/>
                <w:szCs w:val="21"/>
              </w:rPr>
            </w:pPr>
            <w:r>
              <w:rPr>
                <w:rFonts w:hint="eastAsia" w:ascii="Times New Roman" w:hAnsi="Times New Roman"/>
                <w:position w:val="6"/>
                <w:szCs w:val="21"/>
                <w:lang w:eastAsia="zh-CN"/>
              </w:rPr>
              <w:t>水位</w:t>
            </w:r>
          </w:p>
        </w:tc>
        <w:tc>
          <w:tcPr>
            <w:tcW w:w="1146" w:type="dxa"/>
            <w:tcBorders>
              <w:top w:val="single" w:color="auto" w:sz="8" w:space="0"/>
              <w:left w:val="single" w:color="auto" w:sz="8" w:space="0"/>
              <w:bottom w:val="single" w:color="auto" w:sz="8" w:space="0"/>
              <w:right w:val="single" w:color="auto" w:sz="8" w:space="0"/>
            </w:tcBorders>
            <w:vAlign w:val="center"/>
          </w:tcPr>
          <w:p>
            <w:pPr>
              <w:widowControl/>
              <w:jc w:val="center"/>
              <w:rPr>
                <w:rFonts w:hint="eastAsia" w:ascii="Times New Roman" w:hAnsi="Times New Roman" w:eastAsia="宋体"/>
                <w:position w:val="6"/>
                <w:szCs w:val="21"/>
                <w:lang w:val="en-US" w:eastAsia="zh-CN"/>
              </w:rPr>
            </w:pPr>
            <w:r>
              <w:rPr>
                <w:rFonts w:hint="eastAsia" w:ascii="Times New Roman" w:hAnsi="Times New Roman"/>
                <w:position w:val="6"/>
                <w:szCs w:val="21"/>
                <w:lang w:val="en-US" w:eastAsia="zh-CN"/>
              </w:rPr>
              <w:t>N</w:t>
            </w:r>
          </w:p>
        </w:tc>
        <w:tc>
          <w:tcPr>
            <w:tcW w:w="1363" w:type="dxa"/>
            <w:tcBorders>
              <w:left w:val="single" w:color="auto" w:sz="8" w:space="0"/>
              <w:right w:val="single" w:color="auto" w:sz="8" w:space="0"/>
            </w:tcBorders>
            <w:vAlign w:val="center"/>
          </w:tcPr>
          <w:p>
            <w:pPr>
              <w:widowControl/>
              <w:jc w:val="center"/>
              <w:rPr>
                <w:rFonts w:hint="default" w:ascii="Times New Roman" w:hAnsi="Times New Roman" w:eastAsia="宋体"/>
                <w:position w:val="6"/>
                <w:szCs w:val="21"/>
                <w:lang w:val="en-US" w:eastAsia="zh-CN"/>
              </w:rPr>
            </w:pPr>
            <w:r>
              <w:rPr>
                <w:rFonts w:hint="eastAsia" w:ascii="Times New Roman" w:hAnsi="Times New Roman"/>
                <w:position w:val="6"/>
                <w:szCs w:val="21"/>
                <w:lang w:val="en-US" w:eastAsia="zh-CN"/>
              </w:rPr>
              <w:t>586</w:t>
            </w:r>
          </w:p>
        </w:tc>
        <w:tc>
          <w:tcPr>
            <w:tcW w:w="855" w:type="dxa"/>
            <w:vMerge w:val="continue"/>
            <w:tcBorders>
              <w:left w:val="single" w:color="auto" w:sz="8" w:space="0"/>
              <w:right w:val="single" w:color="auto" w:sz="12" w:space="0"/>
            </w:tcBorders>
            <w:vAlign w:val="center"/>
          </w:tcPr>
          <w:p>
            <w:pPr>
              <w:widowControl/>
              <w:jc w:val="left"/>
              <w:rPr>
                <w:rFonts w:ascii="Times New Roman" w:hAnsi="Times New Roman"/>
                <w:position w:val="6"/>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00" w:type="dxa"/>
            <w:tcBorders>
              <w:top w:val="single" w:color="auto" w:sz="8" w:space="0"/>
              <w:left w:val="single" w:color="auto" w:sz="12" w:space="0"/>
              <w:bottom w:val="single" w:color="auto" w:sz="8" w:space="0"/>
              <w:right w:val="single" w:color="auto" w:sz="8" w:space="0"/>
            </w:tcBorders>
            <w:vAlign w:val="center"/>
          </w:tcPr>
          <w:p>
            <w:pPr>
              <w:adjustRightInd w:val="0"/>
              <w:snapToGrid w:val="0"/>
              <w:jc w:val="center"/>
              <w:rPr>
                <w:rFonts w:hint="default" w:ascii="Times New Roman" w:hAnsi="Times New Roman" w:eastAsia="宋体"/>
                <w:szCs w:val="21"/>
                <w:lang w:val="en-US" w:eastAsia="zh-CN"/>
              </w:rPr>
            </w:pPr>
            <w:r>
              <w:rPr>
                <w:rFonts w:hint="eastAsia" w:ascii="Times New Roman" w:hAnsi="Times New Roman"/>
                <w:szCs w:val="21"/>
                <w:lang w:val="en-US" w:eastAsia="zh-CN"/>
              </w:rPr>
              <w:t>5</w:t>
            </w:r>
            <w:r>
              <w:rPr>
                <w:rFonts w:hint="eastAsia" w:ascii="Times New Roman" w:hAnsi="Times New Roman"/>
                <w:szCs w:val="21"/>
                <w:vertAlign w:val="superscript"/>
                <w:lang w:val="en-US" w:eastAsia="zh-CN"/>
              </w:rPr>
              <w:t>#</w:t>
            </w:r>
          </w:p>
        </w:tc>
        <w:tc>
          <w:tcPr>
            <w:tcW w:w="154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sz w:val="21"/>
                <w:szCs w:val="21"/>
              </w:rPr>
            </w:pPr>
            <w:r>
              <w:rPr>
                <w:rFonts w:hint="eastAsia" w:ascii="Times New Roman" w:hAnsi="Times New Roman"/>
                <w:sz w:val="21"/>
                <w:szCs w:val="21"/>
              </w:rPr>
              <w:t>神林村</w:t>
            </w:r>
          </w:p>
        </w:tc>
        <w:tc>
          <w:tcPr>
            <w:tcW w:w="190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sz w:val="21"/>
                <w:szCs w:val="21"/>
                <w:lang w:val="en-US" w:eastAsia="zh-CN"/>
              </w:rPr>
            </w:pPr>
            <w:r>
              <w:rPr>
                <w:rFonts w:hint="eastAsia" w:ascii="Times New Roman" w:hAnsi="Times New Roman"/>
                <w:sz w:val="21"/>
                <w:szCs w:val="21"/>
              </w:rPr>
              <w:t>E:</w:t>
            </w:r>
            <w:r>
              <w:rPr>
                <w:rFonts w:ascii="Times New Roman" w:hAnsi="Times New Roman"/>
                <w:sz w:val="21"/>
                <w:szCs w:val="21"/>
              </w:rPr>
              <w:t>10</w:t>
            </w:r>
            <w:r>
              <w:rPr>
                <w:rFonts w:hint="eastAsia" w:ascii="Times New Roman" w:hAnsi="Times New Roman"/>
                <w:sz w:val="21"/>
                <w:szCs w:val="21"/>
              </w:rPr>
              <w:t>5</w:t>
            </w:r>
            <w:r>
              <w:rPr>
                <w:rFonts w:ascii="Times New Roman" w:hAnsi="Times New Roman"/>
                <w:sz w:val="21"/>
                <w:szCs w:val="21"/>
              </w:rPr>
              <w:t>°</w:t>
            </w:r>
            <w:r>
              <w:rPr>
                <w:rFonts w:hint="eastAsia" w:ascii="Times New Roman" w:hAnsi="Times New Roman"/>
                <w:sz w:val="21"/>
                <w:szCs w:val="21"/>
              </w:rPr>
              <w:t>5</w:t>
            </w:r>
            <w:r>
              <w:rPr>
                <w:rFonts w:hint="eastAsia" w:ascii="Times New Roman" w:hAnsi="Times New Roman"/>
                <w:sz w:val="21"/>
                <w:szCs w:val="21"/>
                <w:lang w:val="en-US" w:eastAsia="zh-CN"/>
              </w:rPr>
              <w:t>5</w:t>
            </w:r>
            <w:r>
              <w:rPr>
                <w:rFonts w:ascii="Times New Roman" w:hAnsi="Times New Roman"/>
                <w:sz w:val="21"/>
                <w:szCs w:val="21"/>
              </w:rPr>
              <w:t>′</w:t>
            </w:r>
            <w:r>
              <w:rPr>
                <w:rFonts w:hint="eastAsia" w:ascii="Times New Roman" w:hAnsi="Times New Roman"/>
                <w:sz w:val="21"/>
                <w:szCs w:val="21"/>
                <w:lang w:val="en-US" w:eastAsia="zh-CN"/>
              </w:rPr>
              <w:t>29.73</w:t>
            </w:r>
            <w:r>
              <w:rPr>
                <w:rFonts w:ascii="Times New Roman" w:hAnsi="Times New Roman"/>
                <w:sz w:val="21"/>
                <w:szCs w:val="21"/>
              </w:rPr>
              <w:t>″</w:t>
            </w:r>
            <w:r>
              <w:rPr>
                <w:rFonts w:hint="eastAsia" w:ascii="Times New Roman" w:hAnsi="Times New Roman"/>
                <w:sz w:val="21"/>
                <w:szCs w:val="21"/>
                <w:lang w:val="en-US" w:eastAsia="zh-CN"/>
              </w:rPr>
              <w:t xml:space="preserve"> </w:t>
            </w:r>
          </w:p>
          <w:p>
            <w:pPr>
              <w:pStyle w:val="12"/>
              <w:jc w:val="center"/>
              <w:rPr>
                <w:rFonts w:hint="eastAsia" w:ascii="Times New Roman" w:hAnsi="Times New Roman"/>
                <w:sz w:val="21"/>
                <w:szCs w:val="21"/>
              </w:rPr>
            </w:pPr>
            <w:r>
              <w:rPr>
                <w:rFonts w:hint="eastAsia" w:ascii="Times New Roman" w:hAnsi="Times New Roman"/>
                <w:sz w:val="21"/>
                <w:szCs w:val="21"/>
                <w:lang w:val="en-US" w:eastAsia="zh-CN"/>
              </w:rPr>
              <w:t xml:space="preserve"> </w:t>
            </w:r>
            <w:r>
              <w:rPr>
                <w:rFonts w:hint="eastAsia" w:ascii="Times New Roman" w:hAnsi="Times New Roman"/>
                <w:sz w:val="21"/>
                <w:szCs w:val="21"/>
              </w:rPr>
              <w:t>N:</w:t>
            </w:r>
            <w:r>
              <w:rPr>
                <w:rFonts w:ascii="Times New Roman" w:hAnsi="Times New Roman"/>
                <w:sz w:val="21"/>
                <w:szCs w:val="21"/>
              </w:rPr>
              <w:t>3</w:t>
            </w:r>
            <w:r>
              <w:rPr>
                <w:rFonts w:hint="eastAsia" w:ascii="Times New Roman" w:hAnsi="Times New Roman"/>
                <w:sz w:val="21"/>
                <w:szCs w:val="21"/>
              </w:rPr>
              <w:t>5</w:t>
            </w:r>
            <w:r>
              <w:rPr>
                <w:rFonts w:ascii="Times New Roman" w:hAnsi="Times New Roman"/>
                <w:sz w:val="21"/>
                <w:szCs w:val="21"/>
              </w:rPr>
              <w:t>°</w:t>
            </w:r>
            <w:r>
              <w:rPr>
                <w:rFonts w:hint="eastAsia" w:ascii="Times New Roman" w:hAnsi="Times New Roman"/>
                <w:sz w:val="21"/>
                <w:szCs w:val="21"/>
              </w:rPr>
              <w:t>3</w:t>
            </w:r>
            <w:r>
              <w:rPr>
                <w:rFonts w:hint="eastAsia" w:ascii="Times New Roman" w:hAnsi="Times New Roman"/>
                <w:sz w:val="21"/>
                <w:szCs w:val="21"/>
                <w:lang w:val="en-US" w:eastAsia="zh-CN"/>
              </w:rPr>
              <w:t>4</w:t>
            </w:r>
            <w:r>
              <w:rPr>
                <w:rFonts w:ascii="Times New Roman" w:hAnsi="Times New Roman"/>
                <w:sz w:val="21"/>
                <w:szCs w:val="21"/>
              </w:rPr>
              <w:t>′</w:t>
            </w:r>
            <w:r>
              <w:rPr>
                <w:rFonts w:hint="eastAsia" w:ascii="Times New Roman" w:hAnsi="Times New Roman"/>
                <w:sz w:val="21"/>
                <w:szCs w:val="21"/>
                <w:lang w:val="en-US" w:eastAsia="zh-CN"/>
              </w:rPr>
              <w:t>42.51</w:t>
            </w:r>
            <w:r>
              <w:rPr>
                <w:rFonts w:ascii="Times New Roman" w:hAnsi="Times New Roman"/>
                <w:sz w:val="21"/>
                <w:szCs w:val="21"/>
              </w:rPr>
              <w:t>″</w:t>
            </w:r>
          </w:p>
        </w:tc>
        <w:tc>
          <w:tcPr>
            <w:tcW w:w="1187" w:type="dxa"/>
            <w:tcBorders>
              <w:top w:val="single" w:color="auto" w:sz="8" w:space="0"/>
              <w:left w:val="single" w:color="auto" w:sz="8" w:space="0"/>
              <w:bottom w:val="single" w:color="auto" w:sz="8" w:space="0"/>
              <w:right w:val="single" w:color="auto" w:sz="8" w:space="0"/>
            </w:tcBorders>
            <w:vAlign w:val="center"/>
          </w:tcPr>
          <w:p>
            <w:pPr>
              <w:widowControl/>
              <w:jc w:val="center"/>
              <w:rPr>
                <w:rFonts w:ascii="Times New Roman" w:hAnsi="Times New Roman"/>
                <w:position w:val="6"/>
                <w:szCs w:val="21"/>
              </w:rPr>
            </w:pPr>
            <w:r>
              <w:rPr>
                <w:rFonts w:hint="eastAsia" w:ascii="Times New Roman" w:hAnsi="Times New Roman"/>
                <w:position w:val="6"/>
                <w:szCs w:val="21"/>
                <w:lang w:eastAsia="zh-CN"/>
              </w:rPr>
              <w:t>水位</w:t>
            </w:r>
          </w:p>
        </w:tc>
        <w:tc>
          <w:tcPr>
            <w:tcW w:w="1146" w:type="dxa"/>
            <w:tcBorders>
              <w:top w:val="single" w:color="auto" w:sz="8" w:space="0"/>
              <w:left w:val="single" w:color="auto" w:sz="8" w:space="0"/>
              <w:bottom w:val="single" w:color="auto" w:sz="8" w:space="0"/>
              <w:right w:val="single" w:color="auto" w:sz="8" w:space="0"/>
            </w:tcBorders>
            <w:vAlign w:val="center"/>
          </w:tcPr>
          <w:p>
            <w:pPr>
              <w:widowControl/>
              <w:jc w:val="center"/>
              <w:rPr>
                <w:rFonts w:hint="default" w:ascii="Times New Roman" w:hAnsi="Times New Roman" w:eastAsia="宋体"/>
                <w:position w:val="6"/>
                <w:szCs w:val="21"/>
                <w:lang w:val="en-US" w:eastAsia="zh-CN"/>
              </w:rPr>
            </w:pPr>
            <w:r>
              <w:rPr>
                <w:rFonts w:hint="eastAsia" w:ascii="Times New Roman" w:hAnsi="Times New Roman"/>
                <w:position w:val="6"/>
                <w:szCs w:val="21"/>
                <w:lang w:val="en-US" w:eastAsia="zh-CN"/>
              </w:rPr>
              <w:t>NE</w:t>
            </w:r>
          </w:p>
        </w:tc>
        <w:tc>
          <w:tcPr>
            <w:tcW w:w="1363" w:type="dxa"/>
            <w:tcBorders>
              <w:left w:val="single" w:color="auto" w:sz="8" w:space="0"/>
              <w:right w:val="single" w:color="auto" w:sz="8" w:space="0"/>
            </w:tcBorders>
            <w:vAlign w:val="center"/>
          </w:tcPr>
          <w:p>
            <w:pPr>
              <w:widowControl/>
              <w:jc w:val="center"/>
              <w:rPr>
                <w:rFonts w:hint="default" w:ascii="Times New Roman" w:hAnsi="Times New Roman" w:eastAsia="宋体"/>
                <w:position w:val="6"/>
                <w:szCs w:val="21"/>
                <w:lang w:val="en-US" w:eastAsia="zh-CN"/>
              </w:rPr>
            </w:pPr>
            <w:r>
              <w:rPr>
                <w:rFonts w:hint="eastAsia" w:ascii="Times New Roman" w:hAnsi="Times New Roman"/>
                <w:position w:val="6"/>
                <w:szCs w:val="21"/>
                <w:lang w:val="en-US" w:eastAsia="zh-CN"/>
              </w:rPr>
              <w:t>558</w:t>
            </w:r>
          </w:p>
        </w:tc>
        <w:tc>
          <w:tcPr>
            <w:tcW w:w="855" w:type="dxa"/>
            <w:vMerge w:val="continue"/>
            <w:tcBorders>
              <w:left w:val="single" w:color="auto" w:sz="8" w:space="0"/>
              <w:right w:val="single" w:color="auto" w:sz="12" w:space="0"/>
            </w:tcBorders>
            <w:vAlign w:val="center"/>
          </w:tcPr>
          <w:p>
            <w:pPr>
              <w:widowControl/>
              <w:jc w:val="left"/>
              <w:rPr>
                <w:rFonts w:ascii="Times New Roman" w:hAnsi="Times New Roman"/>
                <w:position w:val="6"/>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00" w:type="dxa"/>
            <w:tcBorders>
              <w:top w:val="single" w:color="auto" w:sz="8" w:space="0"/>
              <w:left w:val="single" w:color="auto" w:sz="12" w:space="0"/>
              <w:bottom w:val="single" w:color="auto" w:sz="8" w:space="0"/>
              <w:right w:val="single" w:color="auto" w:sz="8" w:space="0"/>
            </w:tcBorders>
            <w:vAlign w:val="center"/>
          </w:tcPr>
          <w:p>
            <w:pPr>
              <w:adjustRightInd w:val="0"/>
              <w:snapToGrid w:val="0"/>
              <w:jc w:val="center"/>
              <w:rPr>
                <w:rFonts w:hint="default" w:ascii="Times New Roman" w:hAnsi="Times New Roman" w:eastAsia="宋体"/>
                <w:szCs w:val="21"/>
                <w:lang w:val="en-US" w:eastAsia="zh-CN"/>
              </w:rPr>
            </w:pPr>
            <w:r>
              <w:rPr>
                <w:rFonts w:hint="eastAsia" w:ascii="Times New Roman" w:hAnsi="Times New Roman"/>
                <w:szCs w:val="21"/>
                <w:lang w:val="en-US" w:eastAsia="zh-CN"/>
              </w:rPr>
              <w:t>6</w:t>
            </w:r>
            <w:r>
              <w:rPr>
                <w:rFonts w:hint="eastAsia" w:ascii="Times New Roman" w:hAnsi="Times New Roman"/>
                <w:szCs w:val="21"/>
                <w:vertAlign w:val="superscript"/>
                <w:lang w:val="en-US" w:eastAsia="zh-CN"/>
              </w:rPr>
              <w:t>#</w:t>
            </w:r>
          </w:p>
        </w:tc>
        <w:tc>
          <w:tcPr>
            <w:tcW w:w="154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eastAsia="宋体"/>
                <w:sz w:val="21"/>
                <w:szCs w:val="21"/>
                <w:lang w:eastAsia="zh-CN"/>
              </w:rPr>
            </w:pPr>
            <w:r>
              <w:rPr>
                <w:rFonts w:hint="eastAsia" w:ascii="Times New Roman" w:hAnsi="Times New Roman"/>
                <w:sz w:val="21"/>
                <w:szCs w:val="21"/>
                <w:lang w:eastAsia="zh-CN"/>
              </w:rPr>
              <w:t>阎家庄子</w:t>
            </w:r>
          </w:p>
        </w:tc>
        <w:tc>
          <w:tcPr>
            <w:tcW w:w="190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sz w:val="21"/>
                <w:szCs w:val="21"/>
                <w:lang w:val="en-US" w:eastAsia="zh-CN"/>
              </w:rPr>
            </w:pPr>
            <w:r>
              <w:rPr>
                <w:rFonts w:hint="eastAsia" w:ascii="Times New Roman" w:hAnsi="Times New Roman"/>
                <w:sz w:val="21"/>
                <w:szCs w:val="21"/>
              </w:rPr>
              <w:t>E:</w:t>
            </w:r>
            <w:r>
              <w:rPr>
                <w:rFonts w:ascii="Times New Roman" w:hAnsi="Times New Roman"/>
                <w:sz w:val="21"/>
                <w:szCs w:val="21"/>
              </w:rPr>
              <w:t>10</w:t>
            </w:r>
            <w:r>
              <w:rPr>
                <w:rFonts w:hint="eastAsia" w:ascii="Times New Roman" w:hAnsi="Times New Roman"/>
                <w:sz w:val="21"/>
                <w:szCs w:val="21"/>
              </w:rPr>
              <w:t>5</w:t>
            </w:r>
            <w:r>
              <w:rPr>
                <w:rFonts w:ascii="Times New Roman" w:hAnsi="Times New Roman"/>
                <w:sz w:val="21"/>
                <w:szCs w:val="21"/>
              </w:rPr>
              <w:t>°</w:t>
            </w:r>
            <w:r>
              <w:rPr>
                <w:rFonts w:hint="eastAsia" w:ascii="Times New Roman" w:hAnsi="Times New Roman"/>
                <w:sz w:val="21"/>
                <w:szCs w:val="21"/>
              </w:rPr>
              <w:t>5</w:t>
            </w:r>
            <w:r>
              <w:rPr>
                <w:rFonts w:hint="eastAsia" w:ascii="Times New Roman" w:hAnsi="Times New Roman"/>
                <w:sz w:val="21"/>
                <w:szCs w:val="21"/>
                <w:lang w:val="en-US" w:eastAsia="zh-CN"/>
              </w:rPr>
              <w:t>5</w:t>
            </w:r>
            <w:r>
              <w:rPr>
                <w:rFonts w:ascii="Times New Roman" w:hAnsi="Times New Roman"/>
                <w:sz w:val="21"/>
                <w:szCs w:val="21"/>
              </w:rPr>
              <w:t>′</w:t>
            </w:r>
            <w:r>
              <w:rPr>
                <w:rFonts w:hint="eastAsia" w:ascii="Times New Roman" w:hAnsi="Times New Roman"/>
                <w:sz w:val="21"/>
                <w:szCs w:val="21"/>
                <w:lang w:val="en-US" w:eastAsia="zh-CN"/>
              </w:rPr>
              <w:t>0.84</w:t>
            </w:r>
            <w:r>
              <w:rPr>
                <w:rFonts w:ascii="Times New Roman" w:hAnsi="Times New Roman"/>
                <w:sz w:val="21"/>
                <w:szCs w:val="21"/>
              </w:rPr>
              <w:t>″</w:t>
            </w:r>
            <w:r>
              <w:rPr>
                <w:rFonts w:hint="eastAsia" w:ascii="Times New Roman" w:hAnsi="Times New Roman"/>
                <w:sz w:val="21"/>
                <w:szCs w:val="21"/>
                <w:lang w:val="en-US" w:eastAsia="zh-CN"/>
              </w:rPr>
              <w:t xml:space="preserve"> </w:t>
            </w:r>
          </w:p>
          <w:p>
            <w:pPr>
              <w:pStyle w:val="12"/>
              <w:jc w:val="center"/>
              <w:rPr>
                <w:rFonts w:hint="eastAsia" w:ascii="Times New Roman" w:hAnsi="Times New Roman"/>
                <w:sz w:val="21"/>
                <w:szCs w:val="21"/>
              </w:rPr>
            </w:pPr>
            <w:r>
              <w:rPr>
                <w:rFonts w:hint="eastAsia" w:ascii="Times New Roman" w:hAnsi="Times New Roman"/>
                <w:sz w:val="21"/>
                <w:szCs w:val="21"/>
                <w:lang w:val="en-US" w:eastAsia="zh-CN"/>
              </w:rPr>
              <w:t xml:space="preserve"> </w:t>
            </w:r>
            <w:r>
              <w:rPr>
                <w:rFonts w:hint="eastAsia" w:ascii="Times New Roman" w:hAnsi="Times New Roman"/>
                <w:sz w:val="21"/>
                <w:szCs w:val="21"/>
              </w:rPr>
              <w:t>N:</w:t>
            </w:r>
            <w:r>
              <w:rPr>
                <w:rFonts w:ascii="Times New Roman" w:hAnsi="Times New Roman"/>
                <w:sz w:val="21"/>
                <w:szCs w:val="21"/>
              </w:rPr>
              <w:t>3</w:t>
            </w:r>
            <w:r>
              <w:rPr>
                <w:rFonts w:hint="eastAsia" w:ascii="Times New Roman" w:hAnsi="Times New Roman"/>
                <w:sz w:val="21"/>
                <w:szCs w:val="21"/>
              </w:rPr>
              <w:t>5</w:t>
            </w:r>
            <w:r>
              <w:rPr>
                <w:rFonts w:ascii="Times New Roman" w:hAnsi="Times New Roman"/>
                <w:sz w:val="21"/>
                <w:szCs w:val="21"/>
              </w:rPr>
              <w:t>°</w:t>
            </w:r>
            <w:r>
              <w:rPr>
                <w:rFonts w:hint="eastAsia" w:ascii="Times New Roman" w:hAnsi="Times New Roman"/>
                <w:sz w:val="21"/>
                <w:szCs w:val="21"/>
              </w:rPr>
              <w:t>3</w:t>
            </w:r>
            <w:r>
              <w:rPr>
                <w:rFonts w:hint="eastAsia" w:ascii="Times New Roman" w:hAnsi="Times New Roman"/>
                <w:sz w:val="21"/>
                <w:szCs w:val="21"/>
                <w:lang w:val="en-US" w:eastAsia="zh-CN"/>
              </w:rPr>
              <w:t>4</w:t>
            </w:r>
            <w:r>
              <w:rPr>
                <w:rFonts w:ascii="Times New Roman" w:hAnsi="Times New Roman"/>
                <w:sz w:val="21"/>
                <w:szCs w:val="21"/>
              </w:rPr>
              <w:t>′</w:t>
            </w:r>
            <w:r>
              <w:rPr>
                <w:rFonts w:hint="eastAsia" w:ascii="Times New Roman" w:hAnsi="Times New Roman"/>
                <w:sz w:val="21"/>
                <w:szCs w:val="21"/>
                <w:lang w:val="en-US" w:eastAsia="zh-CN"/>
              </w:rPr>
              <w:t>53.32</w:t>
            </w:r>
            <w:r>
              <w:rPr>
                <w:rFonts w:ascii="Times New Roman" w:hAnsi="Times New Roman"/>
                <w:sz w:val="21"/>
                <w:szCs w:val="21"/>
              </w:rPr>
              <w:t>″</w:t>
            </w:r>
          </w:p>
        </w:tc>
        <w:tc>
          <w:tcPr>
            <w:tcW w:w="1187" w:type="dxa"/>
            <w:tcBorders>
              <w:top w:val="single" w:color="auto" w:sz="8" w:space="0"/>
              <w:left w:val="single" w:color="auto" w:sz="8" w:space="0"/>
              <w:bottom w:val="single" w:color="auto" w:sz="8" w:space="0"/>
              <w:right w:val="single" w:color="auto" w:sz="8" w:space="0"/>
            </w:tcBorders>
            <w:vAlign w:val="center"/>
          </w:tcPr>
          <w:p>
            <w:pPr>
              <w:widowControl/>
              <w:jc w:val="center"/>
              <w:rPr>
                <w:rFonts w:ascii="Times New Roman" w:hAnsi="Times New Roman"/>
                <w:position w:val="6"/>
                <w:szCs w:val="21"/>
              </w:rPr>
            </w:pPr>
            <w:r>
              <w:rPr>
                <w:rFonts w:hint="eastAsia" w:ascii="Times New Roman" w:hAnsi="Times New Roman"/>
                <w:position w:val="6"/>
                <w:szCs w:val="21"/>
                <w:lang w:eastAsia="zh-CN"/>
              </w:rPr>
              <w:t>水位</w:t>
            </w:r>
          </w:p>
        </w:tc>
        <w:tc>
          <w:tcPr>
            <w:tcW w:w="1146" w:type="dxa"/>
            <w:tcBorders>
              <w:top w:val="single" w:color="auto" w:sz="8" w:space="0"/>
              <w:left w:val="single" w:color="auto" w:sz="8" w:space="0"/>
              <w:bottom w:val="single" w:color="auto" w:sz="8" w:space="0"/>
              <w:right w:val="single" w:color="auto" w:sz="8" w:space="0"/>
            </w:tcBorders>
            <w:vAlign w:val="center"/>
          </w:tcPr>
          <w:p>
            <w:pPr>
              <w:widowControl/>
              <w:jc w:val="center"/>
              <w:rPr>
                <w:rFonts w:hint="default" w:ascii="Times New Roman" w:hAnsi="Times New Roman" w:eastAsia="宋体"/>
                <w:position w:val="6"/>
                <w:szCs w:val="21"/>
                <w:lang w:val="en-US" w:eastAsia="zh-CN"/>
              </w:rPr>
            </w:pPr>
            <w:r>
              <w:rPr>
                <w:rFonts w:hint="eastAsia" w:ascii="Times New Roman" w:hAnsi="Times New Roman"/>
                <w:position w:val="6"/>
                <w:szCs w:val="21"/>
                <w:lang w:val="en-US" w:eastAsia="zh-CN"/>
              </w:rPr>
              <w:t>N</w:t>
            </w:r>
          </w:p>
        </w:tc>
        <w:tc>
          <w:tcPr>
            <w:tcW w:w="1363" w:type="dxa"/>
            <w:tcBorders>
              <w:left w:val="single" w:color="auto" w:sz="8" w:space="0"/>
              <w:right w:val="single" w:color="auto" w:sz="8" w:space="0"/>
            </w:tcBorders>
            <w:vAlign w:val="center"/>
          </w:tcPr>
          <w:p>
            <w:pPr>
              <w:widowControl/>
              <w:jc w:val="center"/>
              <w:rPr>
                <w:rFonts w:hint="default" w:ascii="Times New Roman" w:hAnsi="Times New Roman" w:eastAsia="宋体"/>
                <w:position w:val="6"/>
                <w:szCs w:val="21"/>
                <w:lang w:val="en-US" w:eastAsia="zh-CN"/>
              </w:rPr>
            </w:pPr>
            <w:r>
              <w:rPr>
                <w:rFonts w:hint="eastAsia" w:ascii="Times New Roman" w:hAnsi="Times New Roman"/>
                <w:position w:val="6"/>
                <w:szCs w:val="21"/>
                <w:lang w:val="en-US" w:eastAsia="zh-CN"/>
              </w:rPr>
              <w:t>980</w:t>
            </w:r>
          </w:p>
        </w:tc>
        <w:tc>
          <w:tcPr>
            <w:tcW w:w="855" w:type="dxa"/>
            <w:vMerge w:val="continue"/>
            <w:tcBorders>
              <w:left w:val="single" w:color="auto" w:sz="8" w:space="0"/>
              <w:right w:val="single" w:color="auto" w:sz="12" w:space="0"/>
            </w:tcBorders>
            <w:vAlign w:val="center"/>
          </w:tcPr>
          <w:p>
            <w:pPr>
              <w:widowControl/>
              <w:jc w:val="left"/>
              <w:rPr>
                <w:rFonts w:ascii="Times New Roman" w:hAnsi="Times New Roman"/>
                <w:position w:val="6"/>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00" w:type="dxa"/>
            <w:tcBorders>
              <w:top w:val="single" w:color="auto" w:sz="8" w:space="0"/>
              <w:left w:val="single" w:color="auto" w:sz="12" w:space="0"/>
              <w:bottom w:val="single" w:color="auto" w:sz="8" w:space="0"/>
              <w:right w:val="single" w:color="auto" w:sz="8" w:space="0"/>
            </w:tcBorders>
            <w:vAlign w:val="center"/>
          </w:tcPr>
          <w:p>
            <w:pPr>
              <w:adjustRightInd w:val="0"/>
              <w:snapToGrid w:val="0"/>
              <w:jc w:val="center"/>
              <w:rPr>
                <w:rFonts w:hint="default" w:ascii="Times New Roman" w:hAnsi="Times New Roman" w:eastAsia="宋体"/>
                <w:szCs w:val="21"/>
                <w:lang w:val="en-US" w:eastAsia="zh-CN"/>
              </w:rPr>
            </w:pPr>
            <w:r>
              <w:rPr>
                <w:rFonts w:hint="eastAsia" w:ascii="Times New Roman" w:hAnsi="Times New Roman"/>
                <w:szCs w:val="21"/>
                <w:lang w:val="en-US" w:eastAsia="zh-CN"/>
              </w:rPr>
              <w:t>7</w:t>
            </w:r>
            <w:r>
              <w:rPr>
                <w:rFonts w:hint="eastAsia" w:ascii="Times New Roman" w:hAnsi="Times New Roman"/>
                <w:szCs w:val="21"/>
                <w:vertAlign w:val="superscript"/>
                <w:lang w:val="en-US" w:eastAsia="zh-CN"/>
              </w:rPr>
              <w:t>#</w:t>
            </w:r>
          </w:p>
        </w:tc>
        <w:tc>
          <w:tcPr>
            <w:tcW w:w="154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eastAsia="宋体"/>
                <w:sz w:val="21"/>
                <w:szCs w:val="21"/>
                <w:lang w:eastAsia="zh-CN"/>
              </w:rPr>
            </w:pPr>
            <w:r>
              <w:rPr>
                <w:rFonts w:hint="eastAsia" w:ascii="Times New Roman" w:hAnsi="Times New Roman"/>
                <w:sz w:val="21"/>
                <w:szCs w:val="21"/>
                <w:lang w:eastAsia="zh-CN"/>
              </w:rPr>
              <w:t>阎家庄子</w:t>
            </w:r>
          </w:p>
        </w:tc>
        <w:tc>
          <w:tcPr>
            <w:tcW w:w="1905" w:type="dxa"/>
            <w:tcBorders>
              <w:top w:val="single" w:color="auto" w:sz="8" w:space="0"/>
              <w:left w:val="single" w:color="auto" w:sz="8" w:space="0"/>
              <w:bottom w:val="single" w:color="auto" w:sz="8" w:space="0"/>
              <w:right w:val="single" w:color="auto" w:sz="8" w:space="0"/>
            </w:tcBorders>
            <w:vAlign w:val="center"/>
          </w:tcPr>
          <w:p>
            <w:pPr>
              <w:pStyle w:val="12"/>
              <w:jc w:val="center"/>
              <w:rPr>
                <w:rFonts w:hint="eastAsia" w:ascii="Times New Roman" w:hAnsi="Times New Roman"/>
                <w:sz w:val="21"/>
                <w:szCs w:val="21"/>
                <w:lang w:val="en-US" w:eastAsia="zh-CN"/>
              </w:rPr>
            </w:pPr>
            <w:r>
              <w:rPr>
                <w:rFonts w:hint="eastAsia" w:ascii="Times New Roman" w:hAnsi="Times New Roman"/>
                <w:sz w:val="21"/>
                <w:szCs w:val="21"/>
              </w:rPr>
              <w:t>E:</w:t>
            </w:r>
            <w:r>
              <w:rPr>
                <w:rFonts w:ascii="Times New Roman" w:hAnsi="Times New Roman"/>
                <w:sz w:val="21"/>
                <w:szCs w:val="21"/>
              </w:rPr>
              <w:t>10</w:t>
            </w:r>
            <w:r>
              <w:rPr>
                <w:rFonts w:hint="eastAsia" w:ascii="Times New Roman" w:hAnsi="Times New Roman"/>
                <w:sz w:val="21"/>
                <w:szCs w:val="21"/>
              </w:rPr>
              <w:t>5</w:t>
            </w:r>
            <w:r>
              <w:rPr>
                <w:rFonts w:ascii="Times New Roman" w:hAnsi="Times New Roman"/>
                <w:sz w:val="21"/>
                <w:szCs w:val="21"/>
              </w:rPr>
              <w:t>°</w:t>
            </w:r>
            <w:r>
              <w:rPr>
                <w:rFonts w:hint="eastAsia" w:ascii="Times New Roman" w:hAnsi="Times New Roman"/>
                <w:sz w:val="21"/>
                <w:szCs w:val="21"/>
              </w:rPr>
              <w:t>5</w:t>
            </w:r>
            <w:r>
              <w:rPr>
                <w:rFonts w:hint="eastAsia" w:ascii="Times New Roman" w:hAnsi="Times New Roman"/>
                <w:sz w:val="21"/>
                <w:szCs w:val="21"/>
                <w:lang w:val="en-US" w:eastAsia="zh-CN"/>
              </w:rPr>
              <w:t>5</w:t>
            </w:r>
            <w:r>
              <w:rPr>
                <w:rFonts w:ascii="Times New Roman" w:hAnsi="Times New Roman"/>
                <w:sz w:val="21"/>
                <w:szCs w:val="21"/>
              </w:rPr>
              <w:t>′</w:t>
            </w:r>
            <w:r>
              <w:rPr>
                <w:rFonts w:hint="eastAsia" w:ascii="Times New Roman" w:hAnsi="Times New Roman"/>
                <w:sz w:val="21"/>
                <w:szCs w:val="21"/>
              </w:rPr>
              <w:t>5</w:t>
            </w:r>
            <w:r>
              <w:rPr>
                <w:rFonts w:hint="eastAsia" w:ascii="Times New Roman" w:hAnsi="Times New Roman"/>
                <w:sz w:val="21"/>
                <w:szCs w:val="21"/>
                <w:lang w:val="en-US" w:eastAsia="zh-CN"/>
              </w:rPr>
              <w:t>.48</w:t>
            </w:r>
            <w:r>
              <w:rPr>
                <w:rFonts w:ascii="Times New Roman" w:hAnsi="Times New Roman"/>
                <w:sz w:val="21"/>
                <w:szCs w:val="21"/>
              </w:rPr>
              <w:t>″</w:t>
            </w:r>
            <w:r>
              <w:rPr>
                <w:rFonts w:hint="eastAsia" w:ascii="Times New Roman" w:hAnsi="Times New Roman"/>
                <w:sz w:val="21"/>
                <w:szCs w:val="21"/>
                <w:lang w:val="en-US" w:eastAsia="zh-CN"/>
              </w:rPr>
              <w:t xml:space="preserve"> </w:t>
            </w:r>
          </w:p>
          <w:p>
            <w:pPr>
              <w:pStyle w:val="12"/>
              <w:jc w:val="center"/>
              <w:rPr>
                <w:rFonts w:hint="eastAsia" w:ascii="Times New Roman" w:hAnsi="Times New Roman"/>
                <w:sz w:val="21"/>
                <w:szCs w:val="21"/>
              </w:rPr>
            </w:pPr>
            <w:r>
              <w:rPr>
                <w:rFonts w:hint="eastAsia" w:ascii="Times New Roman" w:hAnsi="Times New Roman"/>
                <w:sz w:val="21"/>
                <w:szCs w:val="21"/>
                <w:lang w:val="en-US" w:eastAsia="zh-CN"/>
              </w:rPr>
              <w:t xml:space="preserve"> </w:t>
            </w:r>
            <w:r>
              <w:rPr>
                <w:rFonts w:hint="eastAsia" w:ascii="Times New Roman" w:hAnsi="Times New Roman"/>
                <w:sz w:val="21"/>
                <w:szCs w:val="21"/>
              </w:rPr>
              <w:t>N:</w:t>
            </w:r>
            <w:r>
              <w:rPr>
                <w:rFonts w:ascii="Times New Roman" w:hAnsi="Times New Roman"/>
                <w:sz w:val="21"/>
                <w:szCs w:val="21"/>
              </w:rPr>
              <w:t>3</w:t>
            </w:r>
            <w:r>
              <w:rPr>
                <w:rFonts w:hint="eastAsia" w:ascii="Times New Roman" w:hAnsi="Times New Roman"/>
                <w:sz w:val="21"/>
                <w:szCs w:val="21"/>
              </w:rPr>
              <w:t>5</w:t>
            </w:r>
            <w:r>
              <w:rPr>
                <w:rFonts w:ascii="Times New Roman" w:hAnsi="Times New Roman"/>
                <w:sz w:val="21"/>
                <w:szCs w:val="21"/>
              </w:rPr>
              <w:t>°</w:t>
            </w:r>
            <w:r>
              <w:rPr>
                <w:rFonts w:hint="eastAsia" w:ascii="Times New Roman" w:hAnsi="Times New Roman"/>
                <w:sz w:val="21"/>
                <w:szCs w:val="21"/>
              </w:rPr>
              <w:t>3</w:t>
            </w:r>
            <w:r>
              <w:rPr>
                <w:rFonts w:hint="eastAsia" w:ascii="Times New Roman" w:hAnsi="Times New Roman"/>
                <w:sz w:val="21"/>
                <w:szCs w:val="21"/>
                <w:lang w:val="en-US" w:eastAsia="zh-CN"/>
              </w:rPr>
              <w:t>4</w:t>
            </w:r>
            <w:r>
              <w:rPr>
                <w:rFonts w:ascii="Times New Roman" w:hAnsi="Times New Roman"/>
                <w:sz w:val="21"/>
                <w:szCs w:val="21"/>
              </w:rPr>
              <w:t>′</w:t>
            </w:r>
            <w:r>
              <w:rPr>
                <w:rFonts w:hint="eastAsia" w:ascii="Times New Roman" w:hAnsi="Times New Roman"/>
                <w:sz w:val="21"/>
                <w:szCs w:val="21"/>
              </w:rPr>
              <w:t>5</w:t>
            </w:r>
            <w:r>
              <w:rPr>
                <w:rFonts w:hint="eastAsia" w:ascii="Times New Roman" w:hAnsi="Times New Roman"/>
                <w:sz w:val="21"/>
                <w:szCs w:val="21"/>
                <w:lang w:val="en-US" w:eastAsia="zh-CN"/>
              </w:rPr>
              <w:t>7.03</w:t>
            </w:r>
            <w:r>
              <w:rPr>
                <w:rFonts w:ascii="Times New Roman" w:hAnsi="Times New Roman"/>
                <w:sz w:val="21"/>
                <w:szCs w:val="21"/>
              </w:rPr>
              <w:t>″</w:t>
            </w:r>
          </w:p>
        </w:tc>
        <w:tc>
          <w:tcPr>
            <w:tcW w:w="1187" w:type="dxa"/>
            <w:tcBorders>
              <w:top w:val="single" w:color="auto" w:sz="8" w:space="0"/>
              <w:left w:val="single" w:color="auto" w:sz="8" w:space="0"/>
              <w:bottom w:val="single" w:color="auto" w:sz="8" w:space="0"/>
              <w:right w:val="single" w:color="auto" w:sz="8" w:space="0"/>
            </w:tcBorders>
            <w:vAlign w:val="center"/>
          </w:tcPr>
          <w:p>
            <w:pPr>
              <w:widowControl/>
              <w:jc w:val="center"/>
              <w:rPr>
                <w:rFonts w:ascii="Times New Roman" w:hAnsi="Times New Roman"/>
                <w:position w:val="6"/>
                <w:szCs w:val="21"/>
              </w:rPr>
            </w:pPr>
            <w:r>
              <w:rPr>
                <w:rFonts w:hint="eastAsia" w:ascii="Times New Roman" w:hAnsi="Times New Roman"/>
                <w:position w:val="6"/>
                <w:szCs w:val="21"/>
                <w:lang w:eastAsia="zh-CN"/>
              </w:rPr>
              <w:t>水位</w:t>
            </w:r>
          </w:p>
        </w:tc>
        <w:tc>
          <w:tcPr>
            <w:tcW w:w="1146" w:type="dxa"/>
            <w:tcBorders>
              <w:top w:val="single" w:color="auto" w:sz="8" w:space="0"/>
              <w:left w:val="single" w:color="auto" w:sz="8" w:space="0"/>
              <w:bottom w:val="single" w:color="auto" w:sz="8" w:space="0"/>
              <w:right w:val="single" w:color="auto" w:sz="8" w:space="0"/>
            </w:tcBorders>
            <w:vAlign w:val="center"/>
          </w:tcPr>
          <w:p>
            <w:pPr>
              <w:widowControl/>
              <w:jc w:val="center"/>
              <w:rPr>
                <w:rFonts w:hint="default" w:ascii="Times New Roman" w:hAnsi="Times New Roman" w:eastAsia="宋体"/>
                <w:position w:val="6"/>
                <w:szCs w:val="21"/>
                <w:lang w:val="en-US" w:eastAsia="zh-CN"/>
              </w:rPr>
            </w:pPr>
            <w:r>
              <w:rPr>
                <w:rFonts w:hint="eastAsia" w:ascii="Times New Roman" w:hAnsi="Times New Roman"/>
                <w:position w:val="6"/>
                <w:szCs w:val="21"/>
                <w:lang w:val="en-US" w:eastAsia="zh-CN"/>
              </w:rPr>
              <w:t>N</w:t>
            </w:r>
          </w:p>
        </w:tc>
        <w:tc>
          <w:tcPr>
            <w:tcW w:w="1363" w:type="dxa"/>
            <w:tcBorders>
              <w:left w:val="single" w:color="auto" w:sz="8" w:space="0"/>
              <w:bottom w:val="single" w:color="auto" w:sz="8" w:space="0"/>
              <w:right w:val="single" w:color="auto" w:sz="8" w:space="0"/>
            </w:tcBorders>
            <w:vAlign w:val="center"/>
          </w:tcPr>
          <w:p>
            <w:pPr>
              <w:widowControl/>
              <w:jc w:val="center"/>
              <w:rPr>
                <w:rFonts w:hint="default" w:ascii="Times New Roman" w:hAnsi="Times New Roman" w:eastAsia="宋体"/>
                <w:position w:val="6"/>
                <w:szCs w:val="21"/>
                <w:lang w:val="en-US" w:eastAsia="zh-CN"/>
              </w:rPr>
            </w:pPr>
            <w:r>
              <w:rPr>
                <w:rFonts w:hint="eastAsia" w:ascii="Times New Roman" w:hAnsi="Times New Roman"/>
                <w:position w:val="6"/>
                <w:szCs w:val="21"/>
                <w:lang w:val="en-US" w:eastAsia="zh-CN"/>
              </w:rPr>
              <w:t>960</w:t>
            </w:r>
          </w:p>
        </w:tc>
        <w:tc>
          <w:tcPr>
            <w:tcW w:w="855" w:type="dxa"/>
            <w:vMerge w:val="continue"/>
            <w:tcBorders>
              <w:left w:val="single" w:color="auto" w:sz="8" w:space="0"/>
              <w:bottom w:val="single" w:color="auto" w:sz="8" w:space="0"/>
              <w:right w:val="single" w:color="auto" w:sz="12" w:space="0"/>
            </w:tcBorders>
            <w:vAlign w:val="center"/>
          </w:tcPr>
          <w:p>
            <w:pPr>
              <w:widowControl/>
              <w:jc w:val="left"/>
              <w:rPr>
                <w:rFonts w:ascii="Times New Roman" w:hAnsi="Times New Roman"/>
                <w:position w:val="6"/>
                <w:szCs w:val="21"/>
              </w:rPr>
            </w:pPr>
          </w:p>
        </w:tc>
      </w:tr>
    </w:tbl>
    <w:p>
      <w:pPr>
        <w:rPr>
          <w:rFonts w:hint="eastAsia" w:ascii="Times New Roman" w:hAnsi="Times New Roman" w:eastAsia="宋体"/>
          <w:lang w:eastAsia="zh-CN"/>
        </w:rPr>
      </w:pPr>
    </w:p>
    <w:p>
      <w:pPr>
        <w:ind w:firstLine="481" w:firstLineChars="200"/>
        <w:rPr>
          <w:rFonts w:ascii="Times New Roman" w:hAnsi="Times New Roman"/>
          <w:sz w:val="24"/>
        </w:rPr>
      </w:pPr>
      <w:r>
        <w:rPr>
          <w:rFonts w:hint="eastAsia"/>
          <w:b/>
          <w:bCs/>
          <w:sz w:val="24"/>
        </w:rPr>
        <w:drawing>
          <wp:anchor distT="0" distB="0" distL="114300" distR="114300" simplePos="0" relativeHeight="251685888" behindDoc="0" locked="0" layoutInCell="1" allowOverlap="1">
            <wp:simplePos x="0" y="0"/>
            <wp:positionH relativeFrom="column">
              <wp:posOffset>4533265</wp:posOffset>
            </wp:positionH>
            <wp:positionV relativeFrom="paragraph">
              <wp:posOffset>3171825</wp:posOffset>
            </wp:positionV>
            <wp:extent cx="1189990" cy="284480"/>
            <wp:effectExtent l="0" t="0" r="10160" b="1270"/>
            <wp:wrapNone/>
            <wp:docPr id="78" name="图片 78" descr="d81db369720682942125d032b4188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d81db369720682942125d032b4188dc"/>
                    <pic:cNvPicPr>
                      <a:picLocks noChangeAspect="1"/>
                    </pic:cNvPicPr>
                  </pic:nvPicPr>
                  <pic:blipFill>
                    <a:blip r:embed="rId15"/>
                    <a:stretch>
                      <a:fillRect/>
                    </a:stretch>
                  </pic:blipFill>
                  <pic:spPr>
                    <a:xfrm>
                      <a:off x="0" y="0"/>
                      <a:ext cx="1189990" cy="284480"/>
                    </a:xfrm>
                    <a:prstGeom prst="rect">
                      <a:avLst/>
                    </a:prstGeom>
                  </pic:spPr>
                </pic:pic>
              </a:graphicData>
            </a:graphic>
          </wp:anchor>
        </w:drawing>
      </w:r>
      <w:r>
        <w:rPr>
          <w:rFonts w:hint="eastAsia" w:ascii="Times New Roman" w:hAnsi="Times New Roman" w:eastAsia="宋体"/>
          <w:lang w:eastAsia="zh-CN"/>
        </w:rPr>
        <w:drawing>
          <wp:inline distT="0" distB="0" distL="114300" distR="114300">
            <wp:extent cx="5417185" cy="3462020"/>
            <wp:effectExtent l="0" t="0" r="12065" b="5080"/>
            <wp:docPr id="56" name="图片 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descr="图片2"/>
                    <pic:cNvPicPr>
                      <a:picLocks noChangeAspect="1"/>
                    </pic:cNvPicPr>
                  </pic:nvPicPr>
                  <pic:blipFill>
                    <a:blip r:embed="rId35"/>
                    <a:stretch>
                      <a:fillRect/>
                    </a:stretch>
                  </pic:blipFill>
                  <pic:spPr>
                    <a:xfrm>
                      <a:off x="0" y="0"/>
                      <a:ext cx="5417185" cy="34620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default" w:ascii="Times New Roman" w:hAnsi="Times New Roman" w:eastAsia="宋体"/>
          <w:b/>
          <w:bCs/>
          <w:sz w:val="24"/>
          <w:lang w:val="en-US" w:eastAsia="zh-CN"/>
        </w:rPr>
      </w:pPr>
      <w:r>
        <w:rPr>
          <w:rFonts w:hint="eastAsia" w:ascii="Times New Roman" w:hAnsi="Times New Roman"/>
          <w:b/>
          <w:bCs/>
          <w:sz w:val="24"/>
          <w:lang w:eastAsia="zh-CN"/>
        </w:rPr>
        <w:t>图</w:t>
      </w:r>
      <w:r>
        <w:rPr>
          <w:rFonts w:hint="eastAsia" w:ascii="Times New Roman" w:hAnsi="Times New Roman"/>
          <w:b/>
          <w:bCs/>
          <w:sz w:val="24"/>
          <w:lang w:val="en-US" w:eastAsia="zh-CN"/>
        </w:rPr>
        <w:t>3.2-2  地下水监测点位图</w:t>
      </w:r>
    </w:p>
    <w:p>
      <w:pPr>
        <w:ind w:firstLine="480" w:firstLineChars="200"/>
        <w:rPr>
          <w:rFonts w:ascii="Times New Roman" w:hAnsi="Times New Roman"/>
          <w:sz w:val="24"/>
        </w:rPr>
      </w:pPr>
      <w:r>
        <w:rPr>
          <w:rFonts w:ascii="Times New Roman" w:hAnsi="Times New Roman"/>
          <w:sz w:val="24"/>
        </w:rPr>
        <w:t>⑵监测因子</w:t>
      </w:r>
    </w:p>
    <w:p>
      <w:pPr>
        <w:spacing w:line="540" w:lineRule="exact"/>
        <w:ind w:firstLine="480" w:firstLineChars="200"/>
        <w:rPr>
          <w:rFonts w:ascii="Times New Roman" w:hAnsi="Times New Roman"/>
          <w:sz w:val="24"/>
        </w:rPr>
      </w:pPr>
      <w:r>
        <w:rPr>
          <w:rFonts w:ascii="Times New Roman" w:hAnsi="Times New Roman"/>
          <w:sz w:val="24"/>
        </w:rPr>
        <w:t>PH、氨氮、硝酸盐、亚硝酸盐氮、挥发性酚类、氰化物、砷、汞、六价铬、总硬度、铅、氟化物、镉、铁、锰、溶解性总固体、高锰酸盐指数、硫酸盐、氯化物、总大肠菌群、细菌总数</w:t>
      </w:r>
      <w:r>
        <w:rPr>
          <w:rFonts w:hint="eastAsia" w:ascii="Times New Roman" w:hAnsi="Times New Roman"/>
          <w:sz w:val="24"/>
        </w:rPr>
        <w:t>以及K</w:t>
      </w:r>
      <w:r>
        <w:rPr>
          <w:rFonts w:hint="eastAsia" w:ascii="Times New Roman" w:hAnsi="Times New Roman"/>
          <w:sz w:val="24"/>
          <w:vertAlign w:val="superscript"/>
        </w:rPr>
        <w:t>+</w:t>
      </w:r>
      <w:r>
        <w:rPr>
          <w:rFonts w:hint="eastAsia" w:ascii="Times New Roman" w:hAnsi="Times New Roman"/>
          <w:sz w:val="24"/>
        </w:rPr>
        <w:t>、Ca</w:t>
      </w:r>
      <w:r>
        <w:rPr>
          <w:rFonts w:hint="eastAsia" w:ascii="Times New Roman" w:hAnsi="Times New Roman"/>
          <w:sz w:val="24"/>
          <w:vertAlign w:val="superscript"/>
        </w:rPr>
        <w:t>2+</w:t>
      </w:r>
      <w:r>
        <w:rPr>
          <w:rFonts w:hint="eastAsia" w:ascii="Times New Roman" w:hAnsi="Times New Roman"/>
          <w:sz w:val="24"/>
        </w:rPr>
        <w:t>、Na</w:t>
      </w:r>
      <w:r>
        <w:rPr>
          <w:rFonts w:hint="eastAsia" w:ascii="Times New Roman" w:hAnsi="Times New Roman"/>
          <w:sz w:val="24"/>
          <w:vertAlign w:val="superscript"/>
        </w:rPr>
        <w:t>+</w:t>
      </w:r>
      <w:r>
        <w:rPr>
          <w:rFonts w:hint="eastAsia" w:ascii="Times New Roman" w:hAnsi="Times New Roman"/>
          <w:sz w:val="24"/>
        </w:rPr>
        <w:t>、Mg</w:t>
      </w:r>
      <w:r>
        <w:rPr>
          <w:rFonts w:hint="eastAsia" w:ascii="Times New Roman" w:hAnsi="Times New Roman"/>
          <w:sz w:val="24"/>
          <w:vertAlign w:val="superscript"/>
        </w:rPr>
        <w:t>2+</w:t>
      </w:r>
      <w:r>
        <w:rPr>
          <w:rFonts w:hint="eastAsia" w:ascii="Times New Roman" w:hAnsi="Times New Roman"/>
          <w:sz w:val="24"/>
        </w:rPr>
        <w:t>、CO</w:t>
      </w:r>
      <w:r>
        <w:rPr>
          <w:rFonts w:hint="eastAsia" w:ascii="Times New Roman" w:hAnsi="Times New Roman"/>
          <w:sz w:val="24"/>
          <w:vertAlign w:val="subscript"/>
        </w:rPr>
        <w:t>3</w:t>
      </w:r>
      <w:r>
        <w:rPr>
          <w:rFonts w:hint="eastAsia" w:ascii="Times New Roman" w:hAnsi="Times New Roman"/>
          <w:sz w:val="24"/>
          <w:vertAlign w:val="superscript"/>
        </w:rPr>
        <w:t>2-</w:t>
      </w:r>
      <w:r>
        <w:rPr>
          <w:rFonts w:hint="eastAsia" w:ascii="Times New Roman" w:hAnsi="Times New Roman"/>
          <w:sz w:val="24"/>
        </w:rPr>
        <w:t>、HCO</w:t>
      </w:r>
      <w:r>
        <w:rPr>
          <w:rFonts w:hint="eastAsia" w:ascii="Times New Roman" w:hAnsi="Times New Roman"/>
          <w:sz w:val="24"/>
          <w:vertAlign w:val="subscript"/>
        </w:rPr>
        <w:t>3</w:t>
      </w:r>
      <w:r>
        <w:rPr>
          <w:rFonts w:hint="eastAsia" w:ascii="Times New Roman" w:hAnsi="Times New Roman"/>
          <w:sz w:val="24"/>
          <w:vertAlign w:val="superscript"/>
        </w:rPr>
        <w:t>-</w:t>
      </w:r>
      <w:r>
        <w:rPr>
          <w:rFonts w:hint="eastAsia" w:ascii="Times New Roman" w:hAnsi="Times New Roman"/>
          <w:sz w:val="24"/>
        </w:rPr>
        <w:t>、Cl</w:t>
      </w:r>
      <w:r>
        <w:rPr>
          <w:rFonts w:hint="eastAsia" w:ascii="Times New Roman" w:hAnsi="Times New Roman"/>
          <w:sz w:val="24"/>
          <w:vertAlign w:val="superscript"/>
        </w:rPr>
        <w:t>-</w:t>
      </w:r>
      <w:r>
        <w:rPr>
          <w:rFonts w:hint="eastAsia" w:ascii="Times New Roman" w:hAnsi="Times New Roman"/>
          <w:sz w:val="24"/>
        </w:rPr>
        <w:t>、SO</w:t>
      </w:r>
      <w:r>
        <w:rPr>
          <w:rFonts w:hint="eastAsia" w:ascii="Times New Roman" w:hAnsi="Times New Roman"/>
          <w:sz w:val="24"/>
          <w:vertAlign w:val="subscript"/>
        </w:rPr>
        <w:t>4</w:t>
      </w:r>
      <w:r>
        <w:rPr>
          <w:rFonts w:hint="eastAsia" w:ascii="Times New Roman" w:hAnsi="Times New Roman"/>
          <w:sz w:val="24"/>
          <w:vertAlign w:val="superscript"/>
        </w:rPr>
        <w:t>2-</w:t>
      </w:r>
      <w:r>
        <w:rPr>
          <w:rFonts w:hint="eastAsia" w:ascii="Times New Roman" w:hAnsi="Times New Roman"/>
          <w:sz w:val="24"/>
        </w:rPr>
        <w:t>，共计</w:t>
      </w:r>
      <w:r>
        <w:rPr>
          <w:rFonts w:ascii="Times New Roman" w:hAnsi="Times New Roman"/>
          <w:sz w:val="24"/>
        </w:rPr>
        <w:t>29</w:t>
      </w:r>
      <w:r>
        <w:rPr>
          <w:rFonts w:hint="eastAsia" w:ascii="Times New Roman" w:hAnsi="Times New Roman"/>
          <w:sz w:val="24"/>
        </w:rPr>
        <w:t>项。</w:t>
      </w:r>
    </w:p>
    <w:p>
      <w:pPr>
        <w:spacing w:line="540" w:lineRule="exact"/>
        <w:ind w:firstLine="480" w:firstLineChars="200"/>
        <w:rPr>
          <w:rFonts w:ascii="Times New Roman" w:hAnsi="Times New Roman"/>
          <w:sz w:val="24"/>
        </w:rPr>
      </w:pPr>
      <w:r>
        <w:rPr>
          <w:rFonts w:ascii="Times New Roman" w:hAnsi="Times New Roman"/>
          <w:sz w:val="24"/>
        </w:rPr>
        <w:t>⑶监测时间及频次</w:t>
      </w:r>
    </w:p>
    <w:p>
      <w:pPr>
        <w:spacing w:line="540" w:lineRule="exact"/>
        <w:ind w:firstLine="480" w:firstLineChars="200"/>
        <w:rPr>
          <w:rFonts w:ascii="Times New Roman" w:hAnsi="Times New Roman"/>
          <w:sz w:val="24"/>
        </w:rPr>
      </w:pPr>
      <w:r>
        <w:rPr>
          <w:rFonts w:ascii="Times New Roman" w:hAnsi="Times New Roman"/>
          <w:sz w:val="24"/>
        </w:rPr>
        <w:t>2022年4月18日，检测分析1天，检测频率为采样1次。</w:t>
      </w:r>
    </w:p>
    <w:p>
      <w:pPr>
        <w:spacing w:line="540" w:lineRule="exact"/>
        <w:ind w:firstLine="480" w:firstLineChars="200"/>
        <w:rPr>
          <w:rFonts w:ascii="Times New Roman" w:hAnsi="Times New Roman"/>
          <w:sz w:val="24"/>
        </w:rPr>
      </w:pPr>
      <w:r>
        <w:rPr>
          <w:rFonts w:ascii="Times New Roman" w:hAnsi="Times New Roman"/>
          <w:sz w:val="24"/>
        </w:rPr>
        <w:t>⑷监测分析方法</w:t>
      </w:r>
    </w:p>
    <w:p>
      <w:pPr>
        <w:pStyle w:val="2"/>
        <w:widowControl/>
        <w:spacing w:line="540" w:lineRule="exact"/>
        <w:ind w:firstLine="480" w:firstLineChars="200"/>
        <w:jc w:val="center"/>
        <w:rPr>
          <w:rFonts w:ascii="Times New Roman" w:hAnsi="Times New Roman"/>
          <w:b/>
          <w:bCs/>
          <w:snapToGrid w:val="0"/>
          <w:sz w:val="24"/>
        </w:rPr>
      </w:pPr>
      <w:r>
        <w:rPr>
          <w:rFonts w:ascii="Times New Roman" w:hAnsi="Times New Roman"/>
          <w:sz w:val="24"/>
        </w:rPr>
        <w:t>本项目地下水监测和分析方法按照《地下水质量标准》（GB/T14848-2017）和国家环保总局颁布的《水和废水监测分析方法》（第四版）中的要求的方法执行，详见3.2-</w:t>
      </w:r>
      <w:r>
        <w:rPr>
          <w:rFonts w:hint="eastAsia" w:ascii="Times New Roman" w:hAnsi="Times New Roman"/>
          <w:sz w:val="24"/>
        </w:rPr>
        <w:t>9</w:t>
      </w:r>
      <w:r>
        <w:rPr>
          <w:rFonts w:ascii="Times New Roman" w:hAnsi="Times New Roman"/>
          <w:sz w:val="24"/>
        </w:rPr>
        <w:t>。</w:t>
      </w:r>
    </w:p>
    <w:p>
      <w:pPr>
        <w:pStyle w:val="2"/>
        <w:widowControl/>
        <w:ind w:firstLine="481" w:firstLineChars="200"/>
        <w:jc w:val="center"/>
        <w:rPr>
          <w:rFonts w:ascii="Times New Roman" w:hAnsi="Times New Roman"/>
          <w:b/>
          <w:bCs/>
          <w:snapToGrid w:val="0"/>
          <w:sz w:val="24"/>
        </w:rPr>
      </w:pPr>
      <w:r>
        <w:rPr>
          <w:rFonts w:ascii="Times New Roman" w:hAnsi="Times New Roman"/>
          <w:b/>
          <w:bCs/>
          <w:snapToGrid w:val="0"/>
          <w:sz w:val="24"/>
        </w:rPr>
        <w:t>表3.2-</w:t>
      </w:r>
      <w:r>
        <w:rPr>
          <w:rFonts w:hint="eastAsia" w:ascii="Times New Roman" w:hAnsi="Times New Roman"/>
          <w:b/>
          <w:bCs/>
          <w:snapToGrid w:val="0"/>
          <w:sz w:val="24"/>
        </w:rPr>
        <w:t>9</w:t>
      </w:r>
      <w:r>
        <w:rPr>
          <w:rFonts w:ascii="Times New Roman" w:hAnsi="Times New Roman"/>
          <w:b/>
          <w:bCs/>
          <w:snapToGrid w:val="0"/>
          <w:sz w:val="24"/>
        </w:rPr>
        <w:t xml:space="preserve"> </w:t>
      </w:r>
      <w:r>
        <w:rPr>
          <w:rFonts w:hint="eastAsia" w:ascii="Times New Roman" w:hAnsi="Times New Roman"/>
          <w:b/>
          <w:bCs/>
          <w:snapToGrid w:val="0"/>
          <w:sz w:val="24"/>
          <w:lang w:val="en-US" w:eastAsia="zh-CN"/>
        </w:rPr>
        <w:t xml:space="preserve"> </w:t>
      </w:r>
      <w:r>
        <w:rPr>
          <w:rFonts w:ascii="Times New Roman" w:hAnsi="Times New Roman"/>
          <w:b/>
          <w:bCs/>
          <w:snapToGrid w:val="0"/>
          <w:sz w:val="24"/>
        </w:rPr>
        <w:t xml:space="preserve"> 地下水检测分析方法一览表</w:t>
      </w:r>
    </w:p>
    <w:tbl>
      <w:tblPr>
        <w:tblStyle w:val="29"/>
        <w:tblW w:w="90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500"/>
        <w:gridCol w:w="3225"/>
        <w:gridCol w:w="1480"/>
        <w:gridCol w:w="21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spacing w:line="0" w:lineRule="atLeast"/>
              <w:jc w:val="center"/>
              <w:rPr>
                <w:rFonts w:ascii="Times New Roman" w:hAnsi="Times New Roman"/>
                <w:b/>
                <w:bCs/>
              </w:rPr>
            </w:pPr>
            <w:r>
              <w:rPr>
                <w:rFonts w:ascii="Times New Roman" w:hAnsi="Times New Roman"/>
                <w:b/>
                <w:bCs/>
              </w:rPr>
              <w:t>序号</w:t>
            </w:r>
          </w:p>
        </w:tc>
        <w:tc>
          <w:tcPr>
            <w:tcW w:w="1500" w:type="dxa"/>
            <w:tcBorders>
              <w:tl2br w:val="nil"/>
              <w:tr2bl w:val="nil"/>
            </w:tcBorders>
            <w:vAlign w:val="center"/>
          </w:tcPr>
          <w:p>
            <w:pPr>
              <w:spacing w:line="0" w:lineRule="atLeast"/>
              <w:jc w:val="center"/>
              <w:rPr>
                <w:rFonts w:ascii="Times New Roman" w:hAnsi="Times New Roman"/>
                <w:b/>
                <w:bCs/>
              </w:rPr>
            </w:pPr>
            <w:r>
              <w:rPr>
                <w:rFonts w:ascii="Times New Roman" w:hAnsi="Times New Roman"/>
                <w:b/>
                <w:bCs/>
              </w:rPr>
              <w:t>检测项目</w:t>
            </w:r>
          </w:p>
        </w:tc>
        <w:tc>
          <w:tcPr>
            <w:tcW w:w="3225" w:type="dxa"/>
            <w:tcBorders>
              <w:tl2br w:val="nil"/>
              <w:tr2bl w:val="nil"/>
            </w:tcBorders>
            <w:vAlign w:val="center"/>
          </w:tcPr>
          <w:p>
            <w:pPr>
              <w:spacing w:line="0" w:lineRule="atLeast"/>
              <w:jc w:val="center"/>
              <w:rPr>
                <w:rFonts w:ascii="Times New Roman" w:hAnsi="Times New Roman"/>
                <w:b/>
                <w:bCs/>
              </w:rPr>
            </w:pPr>
            <w:r>
              <w:rPr>
                <w:rFonts w:ascii="Times New Roman" w:hAnsi="Times New Roman"/>
                <w:b/>
                <w:bCs/>
              </w:rPr>
              <w:t>分析方法</w:t>
            </w:r>
          </w:p>
        </w:tc>
        <w:tc>
          <w:tcPr>
            <w:tcW w:w="1480" w:type="dxa"/>
            <w:tcBorders>
              <w:tl2br w:val="nil"/>
              <w:tr2bl w:val="nil"/>
            </w:tcBorders>
            <w:vAlign w:val="center"/>
          </w:tcPr>
          <w:p>
            <w:pPr>
              <w:spacing w:line="0" w:lineRule="atLeast"/>
              <w:jc w:val="center"/>
              <w:rPr>
                <w:rFonts w:ascii="Times New Roman" w:hAnsi="Times New Roman"/>
                <w:b/>
                <w:bCs/>
              </w:rPr>
            </w:pPr>
            <w:r>
              <w:rPr>
                <w:rFonts w:ascii="Times New Roman" w:hAnsi="Times New Roman"/>
                <w:b/>
                <w:bCs/>
              </w:rPr>
              <w:t>最低检出限</w:t>
            </w:r>
          </w:p>
        </w:tc>
        <w:tc>
          <w:tcPr>
            <w:tcW w:w="2154" w:type="dxa"/>
            <w:tcBorders>
              <w:tl2br w:val="nil"/>
              <w:tr2bl w:val="nil"/>
            </w:tcBorders>
            <w:vAlign w:val="center"/>
          </w:tcPr>
          <w:p>
            <w:pPr>
              <w:spacing w:line="0" w:lineRule="atLeast"/>
              <w:jc w:val="center"/>
              <w:rPr>
                <w:rFonts w:ascii="Times New Roman" w:hAnsi="Times New Roman"/>
                <w:b/>
                <w:bCs/>
              </w:rPr>
            </w:pPr>
            <w:r>
              <w:rPr>
                <w:rFonts w:ascii="Times New Roman" w:hAnsi="Times New Roman"/>
                <w:b/>
                <w:bCs/>
              </w:rPr>
              <w:t>分析方法依据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szCs w:val="21"/>
              </w:rPr>
            </w:pPr>
            <w:r>
              <w:rPr>
                <w:rFonts w:ascii="Times New Roman" w:hAnsi="Times New Roman"/>
              </w:rPr>
              <w:t>1</w:t>
            </w:r>
          </w:p>
        </w:tc>
        <w:tc>
          <w:tcPr>
            <w:tcW w:w="1500" w:type="dxa"/>
            <w:tcBorders>
              <w:tl2br w:val="nil"/>
              <w:tr2bl w:val="nil"/>
            </w:tcBorders>
            <w:vAlign w:val="center"/>
          </w:tcPr>
          <w:p>
            <w:pPr>
              <w:widowControl/>
              <w:spacing w:line="0" w:lineRule="atLeast"/>
              <w:jc w:val="center"/>
              <w:rPr>
                <w:rFonts w:ascii="Times New Roman" w:hAnsi="Times New Roman"/>
                <w:szCs w:val="21"/>
              </w:rPr>
            </w:pPr>
            <w:r>
              <w:rPr>
                <w:rFonts w:hint="eastAsia"/>
              </w:rPr>
              <w:t>p</w:t>
            </w:r>
            <w:r>
              <w:rPr>
                <w:rFonts w:ascii="Times New Roman" w:hAnsi="Times New Roman"/>
              </w:rPr>
              <w:t>H</w:t>
            </w:r>
          </w:p>
        </w:tc>
        <w:tc>
          <w:tcPr>
            <w:tcW w:w="3225" w:type="dxa"/>
            <w:tcBorders>
              <w:tl2br w:val="nil"/>
              <w:tr2bl w:val="nil"/>
            </w:tcBorders>
            <w:vAlign w:val="center"/>
          </w:tcPr>
          <w:p>
            <w:pPr>
              <w:widowControl/>
              <w:spacing w:line="0" w:lineRule="atLeast"/>
              <w:jc w:val="center"/>
              <w:rPr>
                <w:rFonts w:ascii="Times New Roman" w:hAnsi="Times New Roman"/>
                <w:szCs w:val="21"/>
              </w:rPr>
            </w:pPr>
            <w:r>
              <w:rPr>
                <w:rFonts w:ascii="Times New Roman" w:hAnsi="Times New Roman"/>
              </w:rPr>
              <w:t>电极法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rPr>
              <w:t>/</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HJ1147-2020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szCs w:val="21"/>
              </w:rPr>
            </w:pPr>
            <w:r>
              <w:rPr>
                <w:rFonts w:ascii="Times New Roman" w:hAnsi="Times New Roman"/>
              </w:rPr>
              <w:t>2</w:t>
            </w:r>
          </w:p>
        </w:tc>
        <w:tc>
          <w:tcPr>
            <w:tcW w:w="1500" w:type="dxa"/>
            <w:tcBorders>
              <w:tl2br w:val="nil"/>
              <w:tr2bl w:val="nil"/>
            </w:tcBorders>
            <w:vAlign w:val="center"/>
          </w:tcPr>
          <w:p>
            <w:pPr>
              <w:widowControl/>
              <w:spacing w:line="0" w:lineRule="atLeast"/>
              <w:jc w:val="center"/>
              <w:rPr>
                <w:rFonts w:ascii="Times New Roman" w:hAnsi="Times New Roman"/>
                <w:szCs w:val="21"/>
              </w:rPr>
            </w:pPr>
            <w:r>
              <w:rPr>
                <w:rFonts w:ascii="Times New Roman" w:hAnsi="Times New Roman"/>
              </w:rPr>
              <w:t>总硬度</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hint="eastAsia" w:ascii="Times New Roman" w:hAnsi="Times New Roman"/>
                <w:kern w:val="2"/>
                <w:szCs w:val="21"/>
              </w:rPr>
              <w:t>EDTA滴定法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rPr>
              <w:t>0.05mmol/L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GB 7477-87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ascii="Times New Roman" w:hAnsi="Times New Roman"/>
              </w:rPr>
              <w:t>3</w:t>
            </w:r>
          </w:p>
        </w:tc>
        <w:tc>
          <w:tcPr>
            <w:tcW w:w="150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rPr>
              <w:t>溶解性总固体</w:t>
            </w:r>
          </w:p>
        </w:tc>
        <w:tc>
          <w:tcPr>
            <w:tcW w:w="3225" w:type="dxa"/>
            <w:tcBorders>
              <w:tl2br w:val="nil"/>
              <w:tr2bl w:val="nil"/>
            </w:tcBorders>
            <w:vAlign w:val="center"/>
          </w:tcPr>
          <w:p>
            <w:pPr>
              <w:pStyle w:val="17"/>
              <w:snapToGrid w:val="0"/>
              <w:jc w:val="center"/>
              <w:rPr>
                <w:rFonts w:ascii="Times New Roman" w:hAnsi="Times New Roman"/>
                <w:kern w:val="2"/>
                <w:szCs w:val="21"/>
              </w:rPr>
            </w:pPr>
            <w:r>
              <w:rPr>
                <w:rFonts w:hint="eastAsia" w:ascii="Times New Roman" w:hAnsi="Times New Roman"/>
                <w:kern w:val="2"/>
                <w:szCs w:val="21"/>
              </w:rPr>
              <w:t>称量</w:t>
            </w:r>
            <w:r>
              <w:rPr>
                <w:rFonts w:ascii="Times New Roman" w:hAnsi="Times New Roman"/>
                <w:kern w:val="2"/>
                <w:szCs w:val="21"/>
              </w:rPr>
              <w:t>法</w:t>
            </w:r>
          </w:p>
        </w:tc>
        <w:tc>
          <w:tcPr>
            <w:tcW w:w="1480" w:type="dxa"/>
            <w:tcBorders>
              <w:tl2br w:val="nil"/>
              <w:tr2bl w:val="nil"/>
            </w:tcBorders>
            <w:vAlign w:val="center"/>
          </w:tcPr>
          <w:p>
            <w:pPr>
              <w:jc w:val="center"/>
              <w:rPr>
                <w:rFonts w:ascii="Times New Roman" w:hAnsi="Times New Roman"/>
                <w:szCs w:val="21"/>
              </w:rPr>
            </w:pPr>
            <w:r>
              <w:rPr>
                <w:rFonts w:hint="eastAsia" w:ascii="Times New Roman" w:hAnsi="Times New Roman"/>
              </w:rPr>
              <w:t>/</w:t>
            </w:r>
          </w:p>
        </w:tc>
        <w:tc>
          <w:tcPr>
            <w:tcW w:w="2154" w:type="dxa"/>
            <w:tcBorders>
              <w:tl2br w:val="nil"/>
              <w:tr2bl w:val="nil"/>
            </w:tcBorders>
            <w:vAlign w:val="center"/>
          </w:tcPr>
          <w:p>
            <w:pPr>
              <w:spacing w:before="100" w:beforeAutospacing="1" w:after="100" w:afterAutospacing="1" w:line="240" w:lineRule="atLeast"/>
              <w:jc w:val="center"/>
              <w:rPr>
                <w:rFonts w:ascii="Times New Roman" w:hAnsi="Times New Roman"/>
                <w:szCs w:val="21"/>
              </w:rPr>
            </w:pPr>
            <w:r>
              <w:rPr>
                <w:rFonts w:ascii="Times New Roman" w:hAnsi="Times New Roman"/>
              </w:rPr>
              <w:t>GB/T 5750.4-2006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ascii="Times New Roman" w:hAnsi="Times New Roman"/>
              </w:rPr>
              <w:t>4</w:t>
            </w:r>
          </w:p>
        </w:tc>
        <w:tc>
          <w:tcPr>
            <w:tcW w:w="1500" w:type="dxa"/>
            <w:tcBorders>
              <w:tl2br w:val="nil"/>
              <w:tr2bl w:val="nil"/>
            </w:tcBorders>
            <w:vAlign w:val="center"/>
          </w:tcPr>
          <w:p>
            <w:pPr>
              <w:spacing w:line="0" w:lineRule="atLeast"/>
              <w:jc w:val="center"/>
              <w:rPr>
                <w:rFonts w:ascii="Times New Roman" w:hAnsi="Times New Roman"/>
                <w:szCs w:val="21"/>
              </w:rPr>
            </w:pPr>
            <w:r>
              <w:rPr>
                <w:rFonts w:ascii="Times New Roman" w:hAnsi="Times New Roman"/>
              </w:rPr>
              <w:t>硫酸盐</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ascii="Times New Roman" w:hAnsi="Times New Roman"/>
                <w:kern w:val="2"/>
                <w:szCs w:val="21"/>
              </w:rPr>
              <w:t>铬酸钡分光光度法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rPr>
              <w:t>8</w:t>
            </w:r>
            <w:r>
              <w:rPr>
                <w:rFonts w:ascii="Times New Roman" w:hAnsi="Times New Roman"/>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HJ/T342-2007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ascii="Times New Roman" w:hAnsi="Times New Roman"/>
              </w:rPr>
              <w:t>5</w:t>
            </w:r>
          </w:p>
        </w:tc>
        <w:tc>
          <w:tcPr>
            <w:tcW w:w="1500" w:type="dxa"/>
            <w:tcBorders>
              <w:tl2br w:val="nil"/>
              <w:tr2bl w:val="nil"/>
            </w:tcBorders>
            <w:vAlign w:val="center"/>
          </w:tcPr>
          <w:p>
            <w:pPr>
              <w:widowControl/>
              <w:spacing w:line="0" w:lineRule="atLeast"/>
              <w:jc w:val="center"/>
              <w:rPr>
                <w:rFonts w:ascii="Times New Roman" w:hAnsi="Times New Roman"/>
                <w:szCs w:val="21"/>
              </w:rPr>
            </w:pPr>
            <w:r>
              <w:rPr>
                <w:rFonts w:hint="eastAsia" w:ascii="Times New Roman" w:hAnsi="Times New Roman"/>
              </w:rPr>
              <w:t>氯化物</w:t>
            </w:r>
          </w:p>
        </w:tc>
        <w:tc>
          <w:tcPr>
            <w:tcW w:w="3225" w:type="dxa"/>
            <w:tcBorders>
              <w:tl2br w:val="nil"/>
              <w:tr2bl w:val="nil"/>
            </w:tcBorders>
            <w:vAlign w:val="center"/>
          </w:tcPr>
          <w:p>
            <w:pPr>
              <w:pStyle w:val="17"/>
              <w:snapToGrid w:val="0"/>
              <w:jc w:val="center"/>
              <w:rPr>
                <w:rFonts w:ascii="Times New Roman" w:hAnsi="Times New Roman"/>
                <w:kern w:val="2"/>
                <w:szCs w:val="21"/>
              </w:rPr>
            </w:pPr>
            <w:r>
              <w:rPr>
                <w:rFonts w:hint="eastAsia" w:ascii="Times New Roman" w:hAnsi="Times New Roman"/>
                <w:kern w:val="2"/>
                <w:szCs w:val="21"/>
              </w:rPr>
              <w:t>硝酸银滴定法</w:t>
            </w:r>
          </w:p>
        </w:tc>
        <w:tc>
          <w:tcPr>
            <w:tcW w:w="1480" w:type="dxa"/>
            <w:tcBorders>
              <w:tl2br w:val="nil"/>
              <w:tr2bl w:val="nil"/>
            </w:tcBorders>
            <w:vAlign w:val="center"/>
          </w:tcPr>
          <w:p>
            <w:pPr>
              <w:jc w:val="center"/>
              <w:rPr>
                <w:rFonts w:ascii="Times New Roman" w:hAnsi="Times New Roman"/>
                <w:szCs w:val="21"/>
              </w:rPr>
            </w:pPr>
            <w:r>
              <w:rPr>
                <w:rFonts w:hint="eastAsia" w:ascii="Times New Roman" w:hAnsi="Times New Roman"/>
              </w:rPr>
              <w:t>10</w:t>
            </w:r>
            <w:r>
              <w:rPr>
                <w:rFonts w:ascii="Times New Roman" w:hAnsi="Times New Roman"/>
              </w:rPr>
              <w:t>mg/L</w:t>
            </w:r>
          </w:p>
        </w:tc>
        <w:tc>
          <w:tcPr>
            <w:tcW w:w="2154" w:type="dxa"/>
            <w:tcBorders>
              <w:tl2br w:val="nil"/>
              <w:tr2bl w:val="nil"/>
            </w:tcBorders>
            <w:vAlign w:val="center"/>
          </w:tcPr>
          <w:p>
            <w:pPr>
              <w:spacing w:before="100" w:beforeAutospacing="1" w:after="100" w:afterAutospacing="1" w:line="240" w:lineRule="atLeast"/>
              <w:jc w:val="center"/>
              <w:rPr>
                <w:rFonts w:ascii="Times New Roman" w:hAnsi="Times New Roman"/>
                <w:szCs w:val="21"/>
              </w:rPr>
            </w:pPr>
            <w:r>
              <w:rPr>
                <w:rFonts w:hint="eastAsia" w:ascii="Times New Roman" w:hAnsi="Times New Roman"/>
              </w:rPr>
              <w:t>GB/T 11896-1989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ascii="Times New Roman" w:hAnsi="Times New Roman"/>
              </w:rPr>
              <w:t>6</w:t>
            </w:r>
          </w:p>
        </w:tc>
        <w:tc>
          <w:tcPr>
            <w:tcW w:w="150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铁</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ascii="Times New Roman" w:hAnsi="Times New Roman"/>
                <w:kern w:val="2"/>
                <w:szCs w:val="21"/>
              </w:rPr>
              <w:t>火焰原子吸收分光光度法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szCs w:val="21"/>
              </w:rPr>
              <w:t>0.03</w:t>
            </w:r>
            <w:r>
              <w:rPr>
                <w:rFonts w:ascii="Times New Roman" w:hAnsi="Times New Roman"/>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GB11911-89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7</w:t>
            </w:r>
          </w:p>
        </w:tc>
        <w:tc>
          <w:tcPr>
            <w:tcW w:w="1500" w:type="dxa"/>
            <w:tcBorders>
              <w:tl2br w:val="nil"/>
              <w:tr2bl w:val="nil"/>
            </w:tcBorders>
            <w:vAlign w:val="center"/>
          </w:tcPr>
          <w:p>
            <w:pPr>
              <w:widowControl/>
              <w:spacing w:line="0" w:lineRule="atLeast"/>
              <w:jc w:val="center"/>
              <w:rPr>
                <w:rFonts w:ascii="Times New Roman" w:hAnsi="Times New Roman"/>
                <w:szCs w:val="21"/>
              </w:rPr>
            </w:pPr>
            <w:r>
              <w:rPr>
                <w:rFonts w:ascii="Times New Roman" w:hAnsi="Times New Roman"/>
              </w:rPr>
              <w:t>锰</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ascii="Times New Roman" w:hAnsi="Times New Roman"/>
                <w:kern w:val="2"/>
                <w:szCs w:val="21"/>
              </w:rPr>
              <w:t>火焰原子吸收分光光度法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rPr>
              <w:t>0.01</w:t>
            </w:r>
            <w:r>
              <w:rPr>
                <w:rFonts w:ascii="Times New Roman" w:hAnsi="Times New Roman"/>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GB11911-89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8</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挥发性酚类</w:t>
            </w:r>
          </w:p>
        </w:tc>
        <w:tc>
          <w:tcPr>
            <w:tcW w:w="3225" w:type="dxa"/>
            <w:tcBorders>
              <w:tl2br w:val="nil"/>
              <w:tr2bl w:val="nil"/>
            </w:tcBorders>
            <w:vAlign w:val="center"/>
          </w:tcPr>
          <w:p>
            <w:pPr>
              <w:pStyle w:val="17"/>
              <w:jc w:val="center"/>
              <w:rPr>
                <w:rFonts w:ascii="Times New Roman" w:hAnsi="Times New Roman"/>
                <w:kern w:val="2"/>
                <w:szCs w:val="21"/>
              </w:rPr>
            </w:pPr>
            <w:r>
              <w:rPr>
                <w:rFonts w:ascii="Times New Roman" w:hAnsi="Times New Roman"/>
                <w:kern w:val="2"/>
                <w:szCs w:val="21"/>
              </w:rPr>
              <w:t>4-氨基安替比林</w:t>
            </w:r>
            <w:r>
              <w:rPr>
                <w:rFonts w:hint="eastAsia" w:ascii="Times New Roman" w:hAnsi="Times New Roman"/>
                <w:kern w:val="2"/>
                <w:szCs w:val="21"/>
              </w:rPr>
              <w:t>萃取</w:t>
            </w:r>
            <w:r>
              <w:rPr>
                <w:rFonts w:ascii="Times New Roman" w:hAnsi="Times New Roman"/>
                <w:kern w:val="2"/>
                <w:szCs w:val="21"/>
              </w:rPr>
              <w:t>分光光度法</w:t>
            </w:r>
          </w:p>
        </w:tc>
        <w:tc>
          <w:tcPr>
            <w:tcW w:w="1480" w:type="dxa"/>
            <w:tcBorders>
              <w:tl2br w:val="nil"/>
              <w:tr2bl w:val="nil"/>
            </w:tcBorders>
            <w:vAlign w:val="center"/>
          </w:tcPr>
          <w:p>
            <w:pPr>
              <w:jc w:val="center"/>
              <w:rPr>
                <w:rFonts w:ascii="Times New Roman" w:hAnsi="Times New Roman"/>
                <w:szCs w:val="21"/>
              </w:rPr>
            </w:pPr>
            <w:r>
              <w:rPr>
                <w:rFonts w:hint="eastAsia" w:ascii="Times New Roman" w:hAnsi="Times New Roman"/>
              </w:rPr>
              <w:t>0.0003</w:t>
            </w:r>
            <w:r>
              <w:rPr>
                <w:rFonts w:ascii="Times New Roman" w:hAnsi="Times New Roman"/>
              </w:rPr>
              <w:t>mg/L</w:t>
            </w:r>
          </w:p>
        </w:tc>
        <w:tc>
          <w:tcPr>
            <w:tcW w:w="2154" w:type="dxa"/>
            <w:tcBorders>
              <w:tl2br w:val="nil"/>
              <w:tr2bl w:val="nil"/>
            </w:tcBorders>
            <w:vAlign w:val="center"/>
          </w:tcPr>
          <w:p>
            <w:pPr>
              <w:spacing w:before="100" w:beforeAutospacing="1" w:after="100" w:afterAutospacing="1" w:line="240" w:lineRule="atLeast"/>
              <w:jc w:val="center"/>
              <w:rPr>
                <w:rFonts w:ascii="Times New Roman" w:hAnsi="Times New Roman"/>
                <w:szCs w:val="21"/>
              </w:rPr>
            </w:pPr>
            <w:r>
              <w:rPr>
                <w:rFonts w:ascii="Times New Roman" w:hAnsi="Times New Roman"/>
              </w:rPr>
              <w:t>HJ 503-2009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9</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氨氮</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hint="eastAsia" w:ascii="Times New Roman" w:hAnsi="Times New Roman"/>
                <w:kern w:val="2"/>
                <w:szCs w:val="21"/>
              </w:rPr>
              <w:t>纳氏试剂分光光度法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rPr>
              <w:t>0.025</w:t>
            </w:r>
            <w:r>
              <w:rPr>
                <w:rFonts w:ascii="Times New Roman" w:hAnsi="Times New Roman"/>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HJ 535-2009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10</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亚硝酸盐</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hint="eastAsia" w:ascii="Times New Roman" w:hAnsi="Times New Roman"/>
                <w:kern w:val="2"/>
                <w:szCs w:val="21"/>
              </w:rPr>
              <w:t>N-（1-萘基）-乙二胺</w:t>
            </w:r>
            <w:r>
              <w:rPr>
                <w:rFonts w:ascii="Times New Roman" w:hAnsi="Times New Roman"/>
                <w:kern w:val="2"/>
                <w:szCs w:val="21"/>
              </w:rPr>
              <w:t>光度法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rPr>
              <w:t>0.003</w:t>
            </w:r>
            <w:r>
              <w:rPr>
                <w:rFonts w:ascii="Times New Roman" w:hAnsi="Times New Roman"/>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GB/T 7493-1987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11</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硝酸盐</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hint="eastAsia" w:ascii="Times New Roman" w:hAnsi="Times New Roman"/>
                <w:kern w:val="2"/>
                <w:szCs w:val="21"/>
              </w:rPr>
              <w:t>酚二磺酸分光光度法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rPr>
              <w:t>0.02</w:t>
            </w:r>
            <w:r>
              <w:rPr>
                <w:rFonts w:ascii="Times New Roman" w:hAnsi="Times New Roman"/>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GB/T 7480-1987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12</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氰化物</w:t>
            </w:r>
          </w:p>
        </w:tc>
        <w:tc>
          <w:tcPr>
            <w:tcW w:w="3225" w:type="dxa"/>
            <w:tcBorders>
              <w:tl2br w:val="nil"/>
              <w:tr2bl w:val="nil"/>
            </w:tcBorders>
            <w:vAlign w:val="center"/>
          </w:tcPr>
          <w:p>
            <w:pPr>
              <w:pStyle w:val="17"/>
              <w:snapToGrid w:val="0"/>
              <w:jc w:val="center"/>
              <w:rPr>
                <w:rFonts w:ascii="Times New Roman" w:hAnsi="Times New Roman"/>
                <w:kern w:val="2"/>
                <w:szCs w:val="21"/>
              </w:rPr>
            </w:pPr>
            <w:r>
              <w:rPr>
                <w:rFonts w:hint="eastAsia" w:ascii="Times New Roman" w:hAnsi="Times New Roman"/>
                <w:kern w:val="2"/>
                <w:szCs w:val="21"/>
              </w:rPr>
              <w:t>异烟酸-巴比妥酸分光光度法</w:t>
            </w:r>
          </w:p>
        </w:tc>
        <w:tc>
          <w:tcPr>
            <w:tcW w:w="1480" w:type="dxa"/>
            <w:tcBorders>
              <w:tl2br w:val="nil"/>
              <w:tr2bl w:val="nil"/>
            </w:tcBorders>
            <w:vAlign w:val="center"/>
          </w:tcPr>
          <w:p>
            <w:pPr>
              <w:jc w:val="center"/>
              <w:rPr>
                <w:rFonts w:ascii="Times New Roman" w:hAnsi="Times New Roman"/>
                <w:szCs w:val="21"/>
              </w:rPr>
            </w:pPr>
            <w:r>
              <w:rPr>
                <w:rFonts w:hint="eastAsia" w:ascii="Times New Roman" w:hAnsi="Times New Roman"/>
              </w:rPr>
              <w:t>0.002</w:t>
            </w:r>
            <w:r>
              <w:rPr>
                <w:rFonts w:ascii="Times New Roman" w:hAnsi="Times New Roman"/>
              </w:rPr>
              <w:t>mg/L</w:t>
            </w:r>
          </w:p>
        </w:tc>
        <w:tc>
          <w:tcPr>
            <w:tcW w:w="2154" w:type="dxa"/>
            <w:tcBorders>
              <w:tl2br w:val="nil"/>
              <w:tr2bl w:val="nil"/>
            </w:tcBorders>
            <w:vAlign w:val="center"/>
          </w:tcPr>
          <w:p>
            <w:pPr>
              <w:spacing w:before="100" w:beforeAutospacing="1" w:after="100" w:afterAutospacing="1" w:line="240" w:lineRule="atLeast"/>
              <w:jc w:val="center"/>
              <w:rPr>
                <w:rFonts w:ascii="Times New Roman" w:hAnsi="Times New Roman"/>
                <w:szCs w:val="21"/>
              </w:rPr>
            </w:pPr>
            <w:r>
              <w:rPr>
                <w:rFonts w:hint="eastAsia" w:ascii="Times New Roman" w:hAnsi="Times New Roman"/>
              </w:rPr>
              <w:t>GB/T5750.5-2006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13</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氟化物</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hint="eastAsia" w:ascii="Times New Roman" w:hAnsi="Times New Roman"/>
                <w:kern w:val="2"/>
                <w:szCs w:val="21"/>
              </w:rPr>
              <w:t>离子选择电极法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rPr>
              <w:t>0.05</w:t>
            </w:r>
            <w:r>
              <w:rPr>
                <w:rFonts w:ascii="Times New Roman" w:hAnsi="Times New Roman"/>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GB7484-87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14</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Hg</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hint="eastAsia" w:ascii="Times New Roman" w:hAnsi="Times New Roman"/>
                <w:kern w:val="2"/>
                <w:szCs w:val="21"/>
              </w:rPr>
              <w:t>原子荧光法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rPr>
              <w:t>0.00004</w:t>
            </w:r>
            <w:r>
              <w:rPr>
                <w:rFonts w:ascii="Times New Roman" w:hAnsi="Times New Roman"/>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HJ694-2014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15</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As</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hint="eastAsia" w:ascii="Times New Roman" w:hAnsi="Times New Roman"/>
                <w:kern w:val="2"/>
                <w:szCs w:val="21"/>
              </w:rPr>
              <w:t>原子荧光法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rPr>
              <w:t>0.0003</w:t>
            </w:r>
            <w:r>
              <w:rPr>
                <w:rFonts w:ascii="Times New Roman" w:hAnsi="Times New Roman"/>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HJ694-2014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16</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镉</w:t>
            </w:r>
          </w:p>
        </w:tc>
        <w:tc>
          <w:tcPr>
            <w:tcW w:w="3225" w:type="dxa"/>
            <w:tcBorders>
              <w:tl2br w:val="nil"/>
              <w:tr2bl w:val="nil"/>
            </w:tcBorders>
            <w:vAlign w:val="center"/>
          </w:tcPr>
          <w:p>
            <w:pPr>
              <w:pStyle w:val="17"/>
              <w:snapToGrid w:val="0"/>
              <w:jc w:val="center"/>
              <w:rPr>
                <w:rFonts w:ascii="Times New Roman" w:hAnsi="Times New Roman"/>
                <w:kern w:val="2"/>
                <w:szCs w:val="21"/>
              </w:rPr>
            </w:pPr>
            <w:r>
              <w:rPr>
                <w:rFonts w:hint="eastAsia" w:ascii="Times New Roman" w:hAnsi="Times New Roman"/>
                <w:kern w:val="2"/>
                <w:szCs w:val="21"/>
              </w:rPr>
              <w:t>原子吸收分光光度法</w:t>
            </w:r>
          </w:p>
        </w:tc>
        <w:tc>
          <w:tcPr>
            <w:tcW w:w="1480" w:type="dxa"/>
            <w:tcBorders>
              <w:tl2br w:val="nil"/>
              <w:tr2bl w:val="nil"/>
            </w:tcBorders>
            <w:vAlign w:val="center"/>
          </w:tcPr>
          <w:p>
            <w:pPr>
              <w:jc w:val="center"/>
              <w:rPr>
                <w:rFonts w:ascii="Times New Roman" w:hAnsi="Times New Roman"/>
                <w:szCs w:val="21"/>
              </w:rPr>
            </w:pPr>
            <w:r>
              <w:rPr>
                <w:rFonts w:hint="eastAsia"/>
              </w:rPr>
              <w:t>0.05</w:t>
            </w:r>
            <w:r>
              <w:rPr>
                <w:rFonts w:ascii="Times New Roman" w:hAnsi="Times New Roman"/>
              </w:rPr>
              <w:t>mg/L</w:t>
            </w:r>
          </w:p>
        </w:tc>
        <w:tc>
          <w:tcPr>
            <w:tcW w:w="2154" w:type="dxa"/>
            <w:tcBorders>
              <w:tl2br w:val="nil"/>
              <w:tr2bl w:val="nil"/>
            </w:tcBorders>
            <w:vAlign w:val="center"/>
          </w:tcPr>
          <w:p>
            <w:pPr>
              <w:spacing w:before="100" w:beforeAutospacing="1" w:after="100" w:afterAutospacing="1" w:line="240" w:lineRule="atLeast"/>
              <w:jc w:val="center"/>
              <w:rPr>
                <w:rFonts w:ascii="Times New Roman" w:hAnsi="Times New Roman"/>
                <w:szCs w:val="21"/>
              </w:rPr>
            </w:pPr>
            <w:r>
              <w:rPr>
                <w:rFonts w:ascii="Times New Roman" w:hAnsi="Times New Roman"/>
              </w:rPr>
              <w:t>GB</w:t>
            </w:r>
            <w:r>
              <w:rPr>
                <w:rFonts w:hint="eastAsia" w:ascii="Times New Roman" w:hAnsi="Times New Roman"/>
              </w:rPr>
              <w:t>7475-87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17</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六价铬</w:t>
            </w:r>
          </w:p>
        </w:tc>
        <w:tc>
          <w:tcPr>
            <w:tcW w:w="3225" w:type="dxa"/>
            <w:tcBorders>
              <w:tl2br w:val="nil"/>
              <w:tr2bl w:val="nil"/>
            </w:tcBorders>
            <w:vAlign w:val="center"/>
          </w:tcPr>
          <w:p>
            <w:pPr>
              <w:pStyle w:val="17"/>
              <w:snapToGrid w:val="0"/>
              <w:spacing w:line="0" w:lineRule="atLeast"/>
              <w:jc w:val="center"/>
              <w:rPr>
                <w:rFonts w:ascii="Times New Roman" w:hAnsi="Times New Roman"/>
                <w:color w:val="000000"/>
                <w:kern w:val="2"/>
                <w:szCs w:val="21"/>
              </w:rPr>
            </w:pPr>
            <w:r>
              <w:rPr>
                <w:rFonts w:hint="eastAsia" w:ascii="Times New Roman" w:hAnsi="Times New Roman"/>
                <w:color w:val="000000"/>
                <w:kern w:val="2"/>
                <w:szCs w:val="21"/>
              </w:rPr>
              <w:t>二苯碳酰二肼分光光度法</w:t>
            </w:r>
          </w:p>
        </w:tc>
        <w:tc>
          <w:tcPr>
            <w:tcW w:w="1480" w:type="dxa"/>
            <w:tcBorders>
              <w:tl2br w:val="nil"/>
              <w:tr2bl w:val="nil"/>
            </w:tcBorders>
            <w:vAlign w:val="center"/>
          </w:tcPr>
          <w:p>
            <w:pPr>
              <w:spacing w:line="0" w:lineRule="atLeast"/>
              <w:jc w:val="center"/>
              <w:rPr>
                <w:rFonts w:ascii="Times New Roman" w:hAnsi="Times New Roman"/>
                <w:b/>
                <w:bCs/>
                <w:color w:val="000000"/>
                <w:szCs w:val="21"/>
              </w:rPr>
            </w:pPr>
            <w:r>
              <w:rPr>
                <w:rFonts w:hint="eastAsia"/>
                <w:color w:val="000000"/>
              </w:rPr>
              <w:t>0.004</w:t>
            </w:r>
            <w:r>
              <w:rPr>
                <w:rFonts w:ascii="Times New Roman" w:hAnsi="Times New Roman"/>
                <w:color w:val="000000"/>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GB/T5750.6-2006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18</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铅</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hint="eastAsia" w:ascii="Times New Roman" w:hAnsi="Times New Roman"/>
                <w:kern w:val="2"/>
                <w:szCs w:val="21"/>
              </w:rPr>
              <w:t>原子吸收分光光度法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rPr>
              <w:t>0.2</w:t>
            </w:r>
            <w:r>
              <w:rPr>
                <w:rFonts w:ascii="Times New Roman" w:hAnsi="Times New Roman"/>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GB7475-87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19</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耗氧量</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hint="eastAsia" w:ascii="Times New Roman" w:hAnsi="Times New Roman"/>
                <w:kern w:val="2"/>
                <w:szCs w:val="21"/>
              </w:rPr>
              <w:t>酸性法</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rPr>
              <w:t>0.5</w:t>
            </w:r>
            <w:r>
              <w:rPr>
                <w:rFonts w:ascii="Times New Roman" w:hAnsi="Times New Roman"/>
              </w:rPr>
              <w:t>mg/L</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GB11892-89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20</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总大肠菌群</w:t>
            </w:r>
          </w:p>
        </w:tc>
        <w:tc>
          <w:tcPr>
            <w:tcW w:w="3225" w:type="dxa"/>
            <w:tcBorders>
              <w:tl2br w:val="nil"/>
              <w:tr2bl w:val="nil"/>
            </w:tcBorders>
            <w:vAlign w:val="center"/>
          </w:tcPr>
          <w:p>
            <w:pPr>
              <w:pStyle w:val="17"/>
              <w:snapToGrid w:val="0"/>
              <w:spacing w:line="0" w:lineRule="atLeast"/>
              <w:jc w:val="center"/>
              <w:rPr>
                <w:rFonts w:ascii="Times New Roman" w:hAnsi="Times New Roman"/>
                <w:color w:val="000000"/>
                <w:kern w:val="2"/>
                <w:szCs w:val="21"/>
              </w:rPr>
            </w:pPr>
            <w:r>
              <w:rPr>
                <w:rFonts w:hint="eastAsia" w:ascii="Times New Roman" w:hAnsi="Times New Roman"/>
                <w:color w:val="000000"/>
                <w:kern w:val="2"/>
                <w:szCs w:val="21"/>
              </w:rPr>
              <w:t xml:space="preserve">多管发酵法 </w:t>
            </w:r>
          </w:p>
        </w:tc>
        <w:tc>
          <w:tcPr>
            <w:tcW w:w="1480" w:type="dxa"/>
            <w:tcBorders>
              <w:tl2br w:val="nil"/>
              <w:tr2bl w:val="nil"/>
            </w:tcBorders>
            <w:vAlign w:val="center"/>
          </w:tcPr>
          <w:p>
            <w:pPr>
              <w:spacing w:line="0" w:lineRule="atLeast"/>
              <w:jc w:val="center"/>
              <w:rPr>
                <w:rFonts w:ascii="Times New Roman" w:hAnsi="Times New Roman"/>
                <w:b/>
                <w:bCs/>
                <w:color w:val="000000"/>
                <w:szCs w:val="21"/>
              </w:rPr>
            </w:pPr>
            <w:r>
              <w:rPr>
                <w:rFonts w:hint="eastAsia" w:ascii="Times New Roman" w:hAnsi="Times New Roman"/>
                <w:color w:val="000000"/>
                <w:szCs w:val="21"/>
              </w:rPr>
              <w:t xml:space="preserve">/ </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GB/T5750.12-2006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ascii="Times New Roman" w:hAnsi="Times New Roman"/>
              </w:rPr>
            </w:pPr>
            <w:r>
              <w:rPr>
                <w:rFonts w:hint="eastAsia" w:ascii="Times New Roman" w:hAnsi="Times New Roman"/>
              </w:rPr>
              <w:t>21</w:t>
            </w:r>
          </w:p>
        </w:tc>
        <w:tc>
          <w:tcPr>
            <w:tcW w:w="150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细菌总数</w:t>
            </w:r>
          </w:p>
        </w:tc>
        <w:tc>
          <w:tcPr>
            <w:tcW w:w="3225" w:type="dxa"/>
            <w:tcBorders>
              <w:tl2br w:val="nil"/>
              <w:tr2bl w:val="nil"/>
            </w:tcBorders>
            <w:vAlign w:val="center"/>
          </w:tcPr>
          <w:p>
            <w:pPr>
              <w:pStyle w:val="17"/>
              <w:snapToGrid w:val="0"/>
              <w:spacing w:line="0" w:lineRule="atLeast"/>
              <w:jc w:val="center"/>
              <w:rPr>
                <w:rFonts w:ascii="Times New Roman" w:hAnsi="Times New Roman"/>
                <w:kern w:val="2"/>
                <w:szCs w:val="21"/>
              </w:rPr>
            </w:pPr>
            <w:r>
              <w:rPr>
                <w:rFonts w:hint="eastAsia" w:ascii="Times New Roman" w:hAnsi="Times New Roman"/>
                <w:color w:val="000000"/>
                <w:kern w:val="2"/>
                <w:szCs w:val="21"/>
              </w:rPr>
              <w:t xml:space="preserve"> 平皿计数法 </w:t>
            </w:r>
          </w:p>
        </w:tc>
        <w:tc>
          <w:tcPr>
            <w:tcW w:w="1480"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color w:val="000000"/>
                <w:szCs w:val="21"/>
              </w:rPr>
              <w:t xml:space="preserve">/ </w:t>
            </w:r>
          </w:p>
        </w:tc>
        <w:tc>
          <w:tcPr>
            <w:tcW w:w="2154" w:type="dxa"/>
            <w:tcBorders>
              <w:tl2br w:val="nil"/>
              <w:tr2bl w:val="nil"/>
            </w:tcBorders>
            <w:vAlign w:val="center"/>
          </w:tcPr>
          <w:p>
            <w:pPr>
              <w:spacing w:line="0" w:lineRule="atLeast"/>
              <w:jc w:val="center"/>
              <w:rPr>
                <w:rFonts w:ascii="Times New Roman" w:hAnsi="Times New Roman"/>
                <w:color w:val="000000"/>
                <w:szCs w:val="21"/>
              </w:rPr>
            </w:pPr>
            <w:r>
              <w:rPr>
                <w:rFonts w:hint="eastAsia" w:ascii="Times New Roman" w:hAnsi="Times New Roman"/>
                <w:color w:val="000000"/>
                <w:szCs w:val="21"/>
              </w:rPr>
              <w:t>HJ1000-2018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hint="default" w:ascii="Times New Roman" w:hAnsi="Times New Roman" w:eastAsia="宋体"/>
                <w:lang w:val="en-US" w:eastAsia="zh-CN"/>
              </w:rPr>
            </w:pPr>
            <w:r>
              <w:rPr>
                <w:rFonts w:hint="eastAsia" w:ascii="Times New Roman" w:hAnsi="Times New Roman"/>
                <w:lang w:val="en-US" w:eastAsia="zh-CN"/>
              </w:rPr>
              <w:t>22</w:t>
            </w:r>
          </w:p>
        </w:tc>
        <w:tc>
          <w:tcPr>
            <w:tcW w:w="1500" w:type="dxa"/>
            <w:tcBorders>
              <w:tl2br w:val="nil"/>
              <w:tr2bl w:val="nil"/>
            </w:tcBorders>
            <w:vAlign w:val="center"/>
          </w:tcPr>
          <w:p>
            <w:pPr>
              <w:pStyle w:val="79"/>
              <w:adjustRightInd w:val="0"/>
              <w:spacing w:line="240" w:lineRule="exact"/>
              <w:ind w:left="0" w:leftChars="0" w:right="0" w:rightChars="0"/>
              <w:rPr>
                <w:rFonts w:hint="eastAsia" w:ascii="Times New Roman" w:hAnsi="Times New Roman" w:eastAsia="宋体" w:cs="Times New Roman"/>
                <w:spacing w:val="0"/>
                <w:kern w:val="2"/>
                <w:sz w:val="21"/>
                <w:szCs w:val="21"/>
                <w:lang w:val="en-US" w:eastAsia="zh-CN" w:bidi="ar-SA"/>
              </w:rPr>
            </w:pPr>
            <w:r>
              <w:rPr>
                <w:rFonts w:ascii="Times New Roman" w:hAnsi="Times New Roman"/>
                <w:spacing w:val="0"/>
                <w:sz w:val="21"/>
                <w:szCs w:val="21"/>
              </w:rPr>
              <w:t>K</w:t>
            </w:r>
            <w:r>
              <w:rPr>
                <w:rFonts w:ascii="Times New Roman" w:hAnsi="Times New Roman"/>
                <w:spacing w:val="0"/>
                <w:sz w:val="21"/>
                <w:szCs w:val="21"/>
                <w:vertAlign w:val="superscript"/>
              </w:rPr>
              <w:t>+</w:t>
            </w:r>
          </w:p>
        </w:tc>
        <w:tc>
          <w:tcPr>
            <w:tcW w:w="3225" w:type="dxa"/>
            <w:vMerge w:val="restart"/>
            <w:tcBorders>
              <w:tl2br w:val="nil"/>
              <w:tr2bl w:val="nil"/>
            </w:tcBorders>
            <w:vAlign w:val="center"/>
          </w:tcPr>
          <w:p>
            <w:pPr>
              <w:pStyle w:val="17"/>
              <w:snapToGrid w:val="0"/>
              <w:spacing w:line="0" w:lineRule="atLeast"/>
              <w:jc w:val="center"/>
              <w:rPr>
                <w:rFonts w:hint="eastAsia" w:ascii="Times New Roman" w:hAnsi="Times New Roman" w:eastAsia="宋体"/>
                <w:color w:val="000000"/>
                <w:kern w:val="2"/>
                <w:szCs w:val="21"/>
                <w:lang w:eastAsia="zh-CN"/>
              </w:rPr>
            </w:pPr>
            <w:r>
              <w:rPr>
                <w:rFonts w:hint="eastAsia" w:ascii="Times New Roman" w:hAnsi="Times New Roman"/>
                <w:color w:val="000000"/>
                <w:kern w:val="2"/>
                <w:szCs w:val="21"/>
                <w:lang w:eastAsia="zh-CN"/>
              </w:rPr>
              <w:t>离子色谱仪</w:t>
            </w:r>
          </w:p>
        </w:tc>
        <w:tc>
          <w:tcPr>
            <w:tcW w:w="1480" w:type="dxa"/>
            <w:tcBorders>
              <w:tl2br w:val="nil"/>
              <w:tr2bl w:val="nil"/>
            </w:tcBorders>
            <w:vAlign w:val="center"/>
          </w:tcPr>
          <w:p>
            <w:pPr>
              <w:adjustRightInd w:val="0"/>
              <w:spacing w:line="240" w:lineRule="exact"/>
              <w:jc w:val="center"/>
              <w:rPr>
                <w:rFonts w:hint="eastAsia" w:ascii="Calibri" w:hAnsi="Calibri" w:eastAsia="宋体" w:cs="Times New Roman"/>
                <w:kern w:val="2"/>
                <w:sz w:val="21"/>
                <w:szCs w:val="21"/>
                <w:lang w:val="en-US" w:eastAsia="zh-CN" w:bidi="ar-SA"/>
              </w:rPr>
            </w:pPr>
            <w:r>
              <w:rPr>
                <w:rFonts w:cs="Times New Roman"/>
                <w:kern w:val="0"/>
                <w:sz w:val="21"/>
                <w:szCs w:val="21"/>
              </w:rPr>
              <w:t>0.02</w:t>
            </w:r>
            <w:r>
              <w:rPr>
                <w:rFonts w:cs="Times New Roman"/>
                <w:bCs/>
                <w:sz w:val="21"/>
                <w:szCs w:val="21"/>
              </w:rPr>
              <w:t>mg/L</w:t>
            </w:r>
          </w:p>
        </w:tc>
        <w:tc>
          <w:tcPr>
            <w:tcW w:w="2154" w:type="dxa"/>
            <w:vMerge w:val="restart"/>
            <w:tcBorders>
              <w:tl2br w:val="nil"/>
              <w:tr2bl w:val="nil"/>
            </w:tcBorders>
            <w:vAlign w:val="center"/>
          </w:tcPr>
          <w:p>
            <w:pPr>
              <w:pStyle w:val="17"/>
              <w:snapToGrid w:val="0"/>
              <w:spacing w:line="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olor w:val="000000"/>
                <w:kern w:val="2"/>
                <w:szCs w:val="21"/>
              </w:rPr>
              <w:t>HJ812-2016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hint="default" w:ascii="Times New Roman" w:hAnsi="Times New Roman" w:eastAsia="宋体"/>
                <w:lang w:val="en-US" w:eastAsia="zh-CN"/>
              </w:rPr>
            </w:pPr>
            <w:r>
              <w:rPr>
                <w:rFonts w:hint="eastAsia" w:ascii="Times New Roman" w:hAnsi="Times New Roman"/>
                <w:lang w:val="en-US" w:eastAsia="zh-CN"/>
              </w:rPr>
              <w:t>23</w:t>
            </w:r>
          </w:p>
        </w:tc>
        <w:tc>
          <w:tcPr>
            <w:tcW w:w="1500" w:type="dxa"/>
            <w:tcBorders>
              <w:tl2br w:val="nil"/>
              <w:tr2bl w:val="nil"/>
            </w:tcBorders>
            <w:vAlign w:val="center"/>
          </w:tcPr>
          <w:p>
            <w:pPr>
              <w:pStyle w:val="79"/>
              <w:adjustRightInd w:val="0"/>
              <w:spacing w:line="240" w:lineRule="exact"/>
              <w:ind w:left="0" w:leftChars="0" w:right="0" w:rightChars="0"/>
              <w:rPr>
                <w:rFonts w:hint="eastAsia" w:ascii="Times New Roman" w:hAnsi="Times New Roman" w:eastAsia="宋体" w:cs="Times New Roman"/>
                <w:spacing w:val="0"/>
                <w:kern w:val="2"/>
                <w:sz w:val="21"/>
                <w:szCs w:val="21"/>
                <w:lang w:val="en-US" w:eastAsia="zh-CN" w:bidi="ar-SA"/>
              </w:rPr>
            </w:pPr>
            <w:r>
              <w:rPr>
                <w:rFonts w:ascii="Times New Roman" w:hAnsi="Times New Roman"/>
                <w:spacing w:val="0"/>
                <w:sz w:val="21"/>
                <w:szCs w:val="21"/>
              </w:rPr>
              <w:t>Ca</w:t>
            </w:r>
            <w:r>
              <w:rPr>
                <w:rFonts w:ascii="Times New Roman" w:hAnsi="Times New Roman"/>
                <w:spacing w:val="0"/>
                <w:sz w:val="21"/>
                <w:szCs w:val="21"/>
                <w:vertAlign w:val="superscript"/>
              </w:rPr>
              <w:t>2+</w:t>
            </w:r>
          </w:p>
        </w:tc>
        <w:tc>
          <w:tcPr>
            <w:tcW w:w="3225" w:type="dxa"/>
            <w:vMerge w:val="continue"/>
            <w:tcBorders>
              <w:tl2br w:val="nil"/>
              <w:tr2bl w:val="nil"/>
            </w:tcBorders>
            <w:vAlign w:val="center"/>
          </w:tcPr>
          <w:p>
            <w:pPr>
              <w:pStyle w:val="17"/>
              <w:snapToGrid w:val="0"/>
              <w:spacing w:line="0" w:lineRule="atLeast"/>
              <w:jc w:val="center"/>
              <w:rPr>
                <w:rFonts w:hint="eastAsia" w:ascii="Times New Roman" w:hAnsi="Times New Roman"/>
                <w:color w:val="000000"/>
                <w:kern w:val="2"/>
                <w:szCs w:val="21"/>
              </w:rPr>
            </w:pPr>
          </w:p>
        </w:tc>
        <w:tc>
          <w:tcPr>
            <w:tcW w:w="1480" w:type="dxa"/>
            <w:tcBorders>
              <w:tl2br w:val="nil"/>
              <w:tr2bl w:val="nil"/>
            </w:tcBorders>
            <w:vAlign w:val="center"/>
          </w:tcPr>
          <w:p>
            <w:pPr>
              <w:adjustRightInd w:val="0"/>
              <w:spacing w:line="240" w:lineRule="exact"/>
              <w:jc w:val="center"/>
              <w:rPr>
                <w:rFonts w:hint="eastAsia" w:ascii="Calibri" w:hAnsi="Calibri" w:eastAsia="宋体" w:cs="Times New Roman"/>
                <w:kern w:val="2"/>
                <w:sz w:val="21"/>
                <w:szCs w:val="21"/>
                <w:lang w:val="en-US" w:eastAsia="zh-CN" w:bidi="ar-SA"/>
              </w:rPr>
            </w:pPr>
            <w:r>
              <w:rPr>
                <w:rFonts w:cs="Times New Roman"/>
                <w:kern w:val="0"/>
                <w:sz w:val="21"/>
                <w:szCs w:val="21"/>
              </w:rPr>
              <w:t>0.03</w:t>
            </w:r>
            <w:r>
              <w:rPr>
                <w:rFonts w:cs="Times New Roman"/>
                <w:bCs/>
                <w:sz w:val="21"/>
                <w:szCs w:val="21"/>
              </w:rPr>
              <w:t>mg/L</w:t>
            </w:r>
          </w:p>
        </w:tc>
        <w:tc>
          <w:tcPr>
            <w:tcW w:w="2154" w:type="dxa"/>
            <w:vMerge w:val="continue"/>
            <w:tcBorders>
              <w:tl2br w:val="nil"/>
              <w:tr2bl w:val="nil"/>
            </w:tcBorders>
            <w:vAlign w:val="center"/>
          </w:tcPr>
          <w:p>
            <w:pPr>
              <w:spacing w:line="0" w:lineRule="atLeast"/>
              <w:jc w:val="center"/>
              <w:rPr>
                <w:rFonts w:hint="eastAsia" w:ascii="Times New Roman" w:hAnsi="Times New Roman"/>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hint="default" w:ascii="Times New Roman" w:hAnsi="Times New Roman" w:eastAsia="宋体"/>
                <w:lang w:val="en-US" w:eastAsia="zh-CN"/>
              </w:rPr>
            </w:pPr>
            <w:r>
              <w:rPr>
                <w:rFonts w:hint="eastAsia" w:ascii="Times New Roman" w:hAnsi="Times New Roman"/>
                <w:lang w:val="en-US" w:eastAsia="zh-CN"/>
              </w:rPr>
              <w:t>24</w:t>
            </w:r>
          </w:p>
        </w:tc>
        <w:tc>
          <w:tcPr>
            <w:tcW w:w="1500" w:type="dxa"/>
            <w:tcBorders>
              <w:tl2br w:val="nil"/>
              <w:tr2bl w:val="nil"/>
            </w:tcBorders>
            <w:vAlign w:val="center"/>
          </w:tcPr>
          <w:p>
            <w:pPr>
              <w:pStyle w:val="79"/>
              <w:adjustRightInd w:val="0"/>
              <w:spacing w:line="240" w:lineRule="exact"/>
              <w:ind w:left="0" w:leftChars="0" w:right="0" w:rightChars="0"/>
              <w:rPr>
                <w:rFonts w:hint="eastAsia" w:ascii="Times New Roman" w:hAnsi="Times New Roman" w:eastAsia="宋体" w:cs="Times New Roman"/>
                <w:spacing w:val="0"/>
                <w:kern w:val="2"/>
                <w:sz w:val="21"/>
                <w:szCs w:val="21"/>
                <w:lang w:val="en-US" w:eastAsia="zh-CN" w:bidi="ar-SA"/>
              </w:rPr>
            </w:pPr>
            <w:r>
              <w:rPr>
                <w:rFonts w:ascii="Times New Roman" w:hAnsi="Times New Roman"/>
                <w:spacing w:val="0"/>
                <w:sz w:val="21"/>
                <w:szCs w:val="21"/>
              </w:rPr>
              <w:t>Na</w:t>
            </w:r>
            <w:r>
              <w:rPr>
                <w:rFonts w:ascii="Times New Roman" w:hAnsi="Times New Roman"/>
                <w:spacing w:val="0"/>
                <w:sz w:val="21"/>
                <w:szCs w:val="21"/>
                <w:vertAlign w:val="superscript"/>
              </w:rPr>
              <w:t>+</w:t>
            </w:r>
          </w:p>
        </w:tc>
        <w:tc>
          <w:tcPr>
            <w:tcW w:w="3225" w:type="dxa"/>
            <w:vMerge w:val="continue"/>
            <w:tcBorders>
              <w:tl2br w:val="nil"/>
              <w:tr2bl w:val="nil"/>
            </w:tcBorders>
            <w:vAlign w:val="center"/>
          </w:tcPr>
          <w:p>
            <w:pPr>
              <w:pStyle w:val="17"/>
              <w:snapToGrid w:val="0"/>
              <w:spacing w:line="0" w:lineRule="atLeast"/>
              <w:jc w:val="center"/>
              <w:rPr>
                <w:rFonts w:hint="eastAsia" w:ascii="Times New Roman" w:hAnsi="Times New Roman"/>
                <w:color w:val="000000"/>
                <w:kern w:val="2"/>
                <w:szCs w:val="21"/>
              </w:rPr>
            </w:pPr>
          </w:p>
        </w:tc>
        <w:tc>
          <w:tcPr>
            <w:tcW w:w="1480" w:type="dxa"/>
            <w:tcBorders>
              <w:tl2br w:val="nil"/>
              <w:tr2bl w:val="nil"/>
            </w:tcBorders>
            <w:vAlign w:val="center"/>
          </w:tcPr>
          <w:p>
            <w:pPr>
              <w:adjustRightInd w:val="0"/>
              <w:spacing w:line="240" w:lineRule="exact"/>
              <w:jc w:val="center"/>
              <w:rPr>
                <w:rFonts w:hint="eastAsia" w:ascii="Calibri" w:hAnsi="Calibri" w:eastAsia="宋体" w:cs="Times New Roman"/>
                <w:kern w:val="2"/>
                <w:sz w:val="21"/>
                <w:szCs w:val="21"/>
                <w:lang w:val="en-US" w:eastAsia="zh-CN" w:bidi="ar-SA"/>
              </w:rPr>
            </w:pPr>
            <w:r>
              <w:rPr>
                <w:rFonts w:cs="Times New Roman"/>
                <w:kern w:val="0"/>
                <w:sz w:val="21"/>
                <w:szCs w:val="21"/>
              </w:rPr>
              <w:t>0.02</w:t>
            </w:r>
            <w:r>
              <w:rPr>
                <w:rFonts w:cs="Times New Roman"/>
                <w:bCs/>
                <w:sz w:val="21"/>
                <w:szCs w:val="21"/>
              </w:rPr>
              <w:t>mg/L</w:t>
            </w:r>
          </w:p>
        </w:tc>
        <w:tc>
          <w:tcPr>
            <w:tcW w:w="2154" w:type="dxa"/>
            <w:vMerge w:val="continue"/>
            <w:tcBorders>
              <w:tl2br w:val="nil"/>
              <w:tr2bl w:val="nil"/>
            </w:tcBorders>
            <w:vAlign w:val="center"/>
          </w:tcPr>
          <w:p>
            <w:pPr>
              <w:spacing w:line="0" w:lineRule="atLeast"/>
              <w:jc w:val="center"/>
              <w:rPr>
                <w:rFonts w:hint="eastAsia" w:ascii="Times New Roman" w:hAnsi="Times New Roman"/>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hint="default" w:ascii="Times New Roman" w:hAnsi="Times New Roman" w:eastAsia="宋体"/>
                <w:lang w:val="en-US" w:eastAsia="zh-CN"/>
              </w:rPr>
            </w:pPr>
            <w:r>
              <w:rPr>
                <w:rFonts w:hint="eastAsia" w:ascii="Times New Roman" w:hAnsi="Times New Roman"/>
                <w:lang w:val="en-US" w:eastAsia="zh-CN"/>
              </w:rPr>
              <w:t>25</w:t>
            </w:r>
          </w:p>
        </w:tc>
        <w:tc>
          <w:tcPr>
            <w:tcW w:w="1500" w:type="dxa"/>
            <w:tcBorders>
              <w:tl2br w:val="nil"/>
              <w:tr2bl w:val="nil"/>
            </w:tcBorders>
            <w:vAlign w:val="center"/>
          </w:tcPr>
          <w:p>
            <w:pPr>
              <w:pStyle w:val="79"/>
              <w:adjustRightInd w:val="0"/>
              <w:spacing w:line="240" w:lineRule="exact"/>
              <w:ind w:left="0" w:leftChars="0" w:right="0" w:rightChars="0"/>
              <w:rPr>
                <w:rFonts w:hint="eastAsia" w:ascii="Times New Roman" w:hAnsi="Times New Roman" w:eastAsia="宋体" w:cs="Times New Roman"/>
                <w:spacing w:val="0"/>
                <w:kern w:val="2"/>
                <w:sz w:val="21"/>
                <w:szCs w:val="21"/>
                <w:lang w:val="en-US" w:eastAsia="zh-CN" w:bidi="ar-SA"/>
              </w:rPr>
            </w:pPr>
            <w:r>
              <w:rPr>
                <w:rFonts w:ascii="Times New Roman" w:hAnsi="Times New Roman"/>
                <w:spacing w:val="0"/>
                <w:sz w:val="21"/>
                <w:szCs w:val="21"/>
              </w:rPr>
              <w:t>Mg</w:t>
            </w:r>
            <w:r>
              <w:rPr>
                <w:rFonts w:ascii="Times New Roman" w:hAnsi="Times New Roman"/>
                <w:spacing w:val="0"/>
                <w:sz w:val="21"/>
                <w:szCs w:val="21"/>
                <w:vertAlign w:val="superscript"/>
              </w:rPr>
              <w:t>2+</w:t>
            </w:r>
          </w:p>
        </w:tc>
        <w:tc>
          <w:tcPr>
            <w:tcW w:w="3225" w:type="dxa"/>
            <w:vMerge w:val="continue"/>
            <w:tcBorders>
              <w:tl2br w:val="nil"/>
              <w:tr2bl w:val="nil"/>
            </w:tcBorders>
            <w:vAlign w:val="center"/>
          </w:tcPr>
          <w:p>
            <w:pPr>
              <w:pStyle w:val="17"/>
              <w:snapToGrid w:val="0"/>
              <w:spacing w:line="0" w:lineRule="atLeast"/>
              <w:jc w:val="center"/>
              <w:rPr>
                <w:rFonts w:hint="eastAsia" w:ascii="Times New Roman" w:hAnsi="Times New Roman"/>
                <w:color w:val="000000"/>
                <w:kern w:val="2"/>
                <w:szCs w:val="21"/>
              </w:rPr>
            </w:pPr>
          </w:p>
        </w:tc>
        <w:tc>
          <w:tcPr>
            <w:tcW w:w="1480" w:type="dxa"/>
            <w:tcBorders>
              <w:tl2br w:val="nil"/>
              <w:tr2bl w:val="nil"/>
            </w:tcBorders>
            <w:vAlign w:val="center"/>
          </w:tcPr>
          <w:p>
            <w:pPr>
              <w:adjustRightInd w:val="0"/>
              <w:spacing w:line="240" w:lineRule="exact"/>
              <w:jc w:val="center"/>
              <w:rPr>
                <w:rFonts w:hint="eastAsia" w:ascii="Calibri" w:hAnsi="Calibri" w:eastAsia="宋体" w:cs="Times New Roman"/>
                <w:kern w:val="2"/>
                <w:sz w:val="21"/>
                <w:szCs w:val="21"/>
                <w:lang w:val="en-US" w:eastAsia="zh-CN" w:bidi="ar-SA"/>
              </w:rPr>
            </w:pPr>
            <w:r>
              <w:rPr>
                <w:rFonts w:cs="Times New Roman"/>
                <w:kern w:val="0"/>
                <w:sz w:val="21"/>
                <w:szCs w:val="21"/>
              </w:rPr>
              <w:t>0.02</w:t>
            </w:r>
            <w:r>
              <w:rPr>
                <w:rFonts w:cs="Times New Roman"/>
                <w:bCs/>
                <w:sz w:val="21"/>
                <w:szCs w:val="21"/>
              </w:rPr>
              <w:t>mg/L</w:t>
            </w:r>
          </w:p>
        </w:tc>
        <w:tc>
          <w:tcPr>
            <w:tcW w:w="2154" w:type="dxa"/>
            <w:vMerge w:val="continue"/>
            <w:tcBorders>
              <w:tl2br w:val="nil"/>
              <w:tr2bl w:val="nil"/>
            </w:tcBorders>
            <w:vAlign w:val="center"/>
          </w:tcPr>
          <w:p>
            <w:pPr>
              <w:spacing w:line="0" w:lineRule="atLeast"/>
              <w:jc w:val="center"/>
              <w:rPr>
                <w:rFonts w:hint="eastAsia" w:ascii="Times New Roman" w:hAnsi="Times New Roman"/>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hint="default" w:ascii="Times New Roman" w:hAnsi="Times New Roman" w:eastAsia="宋体"/>
                <w:lang w:val="en-US" w:eastAsia="zh-CN"/>
              </w:rPr>
            </w:pPr>
            <w:r>
              <w:rPr>
                <w:rFonts w:hint="eastAsia" w:ascii="Times New Roman" w:hAnsi="Times New Roman"/>
                <w:lang w:val="en-US" w:eastAsia="zh-CN"/>
              </w:rPr>
              <w:t>26</w:t>
            </w:r>
          </w:p>
        </w:tc>
        <w:tc>
          <w:tcPr>
            <w:tcW w:w="1500" w:type="dxa"/>
            <w:tcBorders>
              <w:tl2br w:val="nil"/>
              <w:tr2bl w:val="nil"/>
            </w:tcBorders>
            <w:vAlign w:val="center"/>
          </w:tcPr>
          <w:p>
            <w:pPr>
              <w:pStyle w:val="79"/>
              <w:adjustRightInd w:val="0"/>
              <w:spacing w:line="240" w:lineRule="exact"/>
              <w:ind w:left="0" w:leftChars="0" w:right="0" w:rightChars="0"/>
              <w:rPr>
                <w:rFonts w:hint="eastAsia" w:ascii="Times New Roman" w:hAnsi="Times New Roman" w:eastAsia="宋体" w:cs="Times New Roman"/>
                <w:spacing w:val="0"/>
                <w:kern w:val="2"/>
                <w:sz w:val="21"/>
                <w:szCs w:val="21"/>
                <w:lang w:val="en-US" w:eastAsia="zh-CN" w:bidi="ar-SA"/>
              </w:rPr>
            </w:pPr>
            <w:r>
              <w:rPr>
                <w:rFonts w:ascii="Times New Roman" w:hAnsi="Times New Roman"/>
                <w:spacing w:val="0"/>
                <w:sz w:val="21"/>
                <w:szCs w:val="21"/>
              </w:rPr>
              <w:t>CO</w:t>
            </w:r>
            <w:r>
              <w:rPr>
                <w:rFonts w:ascii="Times New Roman" w:hAnsi="Times New Roman"/>
                <w:spacing w:val="0"/>
                <w:sz w:val="21"/>
                <w:szCs w:val="21"/>
                <w:vertAlign w:val="subscript"/>
              </w:rPr>
              <w:t>3</w:t>
            </w:r>
            <w:r>
              <w:rPr>
                <w:rFonts w:ascii="Times New Roman" w:hAnsi="Times New Roman"/>
                <w:spacing w:val="0"/>
                <w:sz w:val="21"/>
                <w:szCs w:val="21"/>
                <w:vertAlign w:val="superscript"/>
              </w:rPr>
              <w:t>2-</w:t>
            </w:r>
          </w:p>
        </w:tc>
        <w:tc>
          <w:tcPr>
            <w:tcW w:w="3225" w:type="dxa"/>
            <w:vMerge w:val="restart"/>
            <w:tcBorders>
              <w:tl2br w:val="nil"/>
              <w:tr2bl w:val="nil"/>
            </w:tcBorders>
            <w:vAlign w:val="center"/>
          </w:tcPr>
          <w:p>
            <w:pPr>
              <w:pStyle w:val="17"/>
              <w:snapToGrid w:val="0"/>
              <w:spacing w:line="0" w:lineRule="atLeast"/>
              <w:jc w:val="center"/>
              <w:rPr>
                <w:rFonts w:hint="default" w:ascii="Times New Roman" w:hAnsi="Times New Roman" w:eastAsia="宋体"/>
                <w:color w:val="000000"/>
                <w:kern w:val="2"/>
                <w:szCs w:val="21"/>
                <w:lang w:val="en-US" w:eastAsia="zh-CN"/>
              </w:rPr>
            </w:pPr>
            <w:r>
              <w:rPr>
                <w:rFonts w:hint="eastAsia" w:ascii="Times New Roman" w:hAnsi="Times New Roman"/>
                <w:color w:val="000000"/>
                <w:kern w:val="2"/>
                <w:szCs w:val="21"/>
              </w:rPr>
              <w:t>碳酸根、重碳酸根和氢氧根离子的测定 滴定法</w:t>
            </w:r>
          </w:p>
        </w:tc>
        <w:tc>
          <w:tcPr>
            <w:tcW w:w="1480" w:type="dxa"/>
            <w:vMerge w:val="restart"/>
            <w:tcBorders>
              <w:tl2br w:val="nil"/>
              <w:tr2bl w:val="nil"/>
            </w:tcBorders>
            <w:vAlign w:val="center"/>
          </w:tcPr>
          <w:p>
            <w:pPr>
              <w:adjustRightInd w:val="0"/>
              <w:spacing w:line="240" w:lineRule="exact"/>
              <w:jc w:val="center"/>
              <w:rPr>
                <w:bCs/>
                <w:sz w:val="21"/>
                <w:szCs w:val="21"/>
              </w:rPr>
            </w:pPr>
            <w:r>
              <w:rPr>
                <w:rFonts w:cs="Times New Roman"/>
                <w:kern w:val="0"/>
                <w:sz w:val="21"/>
                <w:szCs w:val="21"/>
              </w:rPr>
              <w:t>5</w:t>
            </w:r>
            <w:r>
              <w:rPr>
                <w:rFonts w:cs="Times New Roman"/>
                <w:bCs/>
                <w:sz w:val="21"/>
                <w:szCs w:val="21"/>
              </w:rPr>
              <w:t>mg/L</w:t>
            </w:r>
          </w:p>
          <w:p>
            <w:pPr>
              <w:adjustRightInd w:val="0"/>
              <w:spacing w:line="240" w:lineRule="exact"/>
              <w:jc w:val="center"/>
              <w:rPr>
                <w:rFonts w:ascii="Calibri" w:hAnsi="Calibri" w:eastAsia="宋体" w:cs="Times New Roman"/>
                <w:kern w:val="2"/>
                <w:sz w:val="21"/>
                <w:szCs w:val="21"/>
                <w:lang w:val="en-US" w:eastAsia="zh-CN" w:bidi="ar-SA"/>
              </w:rPr>
            </w:pPr>
            <w:r>
              <w:rPr>
                <w:rFonts w:cs="Times New Roman"/>
                <w:bCs/>
                <w:sz w:val="21"/>
                <w:szCs w:val="21"/>
              </w:rPr>
              <w:t>(定量限)</w:t>
            </w:r>
          </w:p>
          <w:p>
            <w:pPr>
              <w:spacing w:line="0" w:lineRule="atLeast"/>
              <w:jc w:val="center"/>
              <w:rPr>
                <w:rFonts w:hint="eastAsia" w:ascii="Times New Roman" w:hAnsi="Times New Roman"/>
                <w:color w:val="000000"/>
                <w:szCs w:val="21"/>
              </w:rPr>
            </w:pPr>
          </w:p>
        </w:tc>
        <w:tc>
          <w:tcPr>
            <w:tcW w:w="2154" w:type="dxa"/>
            <w:vMerge w:val="restart"/>
            <w:tcBorders>
              <w:tl2br w:val="nil"/>
              <w:tr2bl w:val="nil"/>
            </w:tcBorders>
            <w:vAlign w:val="center"/>
          </w:tcPr>
          <w:p>
            <w:pPr>
              <w:pStyle w:val="17"/>
              <w:snapToGrid w:val="0"/>
              <w:spacing w:line="0" w:lineRule="atLeast"/>
              <w:jc w:val="center"/>
              <w:rPr>
                <w:rFonts w:hint="eastAsia" w:ascii="Times New Roman" w:hAnsi="Times New Roman"/>
                <w:color w:val="000000"/>
                <w:kern w:val="2"/>
                <w:szCs w:val="21"/>
              </w:rPr>
            </w:pPr>
            <w:r>
              <w:rPr>
                <w:rFonts w:hint="eastAsia" w:ascii="Times New Roman" w:hAnsi="Times New Roman"/>
                <w:color w:val="000000"/>
                <w:kern w:val="2"/>
                <w:szCs w:val="21"/>
              </w:rPr>
              <w:t xml:space="preserve"> </w:t>
            </w:r>
          </w:p>
          <w:p>
            <w:pPr>
              <w:spacing w:line="0" w:lineRule="atLeast"/>
              <w:jc w:val="center"/>
              <w:rPr>
                <w:rFonts w:hint="eastAsia" w:ascii="Times New Roman" w:hAnsi="Times New Roman"/>
                <w:color w:val="000000"/>
                <w:szCs w:val="21"/>
              </w:rPr>
            </w:pPr>
            <w:r>
              <w:rPr>
                <w:rFonts w:hint="eastAsia" w:ascii="Times New Roman" w:hAnsi="Times New Roman"/>
                <w:color w:val="000000"/>
                <w:kern w:val="2"/>
                <w:szCs w:val="21"/>
              </w:rPr>
              <w:t>DZ/T 0064.49-2021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hint="default" w:ascii="Times New Roman" w:hAnsi="Times New Roman" w:eastAsia="宋体"/>
                <w:lang w:val="en-US" w:eastAsia="zh-CN"/>
              </w:rPr>
            </w:pPr>
            <w:r>
              <w:rPr>
                <w:rFonts w:hint="eastAsia" w:ascii="Times New Roman" w:hAnsi="Times New Roman"/>
                <w:lang w:val="en-US" w:eastAsia="zh-CN"/>
              </w:rPr>
              <w:t>27</w:t>
            </w:r>
          </w:p>
        </w:tc>
        <w:tc>
          <w:tcPr>
            <w:tcW w:w="1500" w:type="dxa"/>
            <w:tcBorders>
              <w:tl2br w:val="nil"/>
              <w:tr2bl w:val="nil"/>
            </w:tcBorders>
            <w:vAlign w:val="center"/>
          </w:tcPr>
          <w:p>
            <w:pPr>
              <w:pStyle w:val="79"/>
              <w:adjustRightInd w:val="0"/>
              <w:spacing w:line="240" w:lineRule="exact"/>
              <w:ind w:left="0" w:leftChars="0" w:right="0" w:rightChars="0"/>
              <w:rPr>
                <w:rFonts w:hint="eastAsia" w:ascii="Times New Roman" w:hAnsi="Times New Roman" w:eastAsia="宋体" w:cs="Times New Roman"/>
                <w:spacing w:val="0"/>
                <w:kern w:val="2"/>
                <w:sz w:val="21"/>
                <w:szCs w:val="21"/>
                <w:lang w:val="en-US" w:eastAsia="zh-CN" w:bidi="ar-SA"/>
              </w:rPr>
            </w:pPr>
            <w:r>
              <w:rPr>
                <w:rFonts w:ascii="Times New Roman" w:hAnsi="Times New Roman"/>
                <w:spacing w:val="0"/>
                <w:sz w:val="21"/>
                <w:szCs w:val="21"/>
              </w:rPr>
              <w:t>HCO</w:t>
            </w:r>
            <w:r>
              <w:rPr>
                <w:rFonts w:ascii="Times New Roman" w:hAnsi="Times New Roman"/>
                <w:spacing w:val="0"/>
                <w:sz w:val="21"/>
                <w:szCs w:val="21"/>
                <w:vertAlign w:val="superscript"/>
              </w:rPr>
              <w:t>3-</w:t>
            </w:r>
          </w:p>
        </w:tc>
        <w:tc>
          <w:tcPr>
            <w:tcW w:w="3225" w:type="dxa"/>
            <w:vMerge w:val="continue"/>
            <w:tcBorders>
              <w:tl2br w:val="nil"/>
              <w:tr2bl w:val="nil"/>
            </w:tcBorders>
            <w:vAlign w:val="center"/>
          </w:tcPr>
          <w:p>
            <w:pPr>
              <w:pStyle w:val="17"/>
              <w:snapToGrid w:val="0"/>
              <w:spacing w:line="0" w:lineRule="atLeast"/>
              <w:jc w:val="center"/>
              <w:rPr>
                <w:rFonts w:hint="eastAsia" w:ascii="Times New Roman" w:hAnsi="Times New Roman"/>
                <w:color w:val="000000"/>
                <w:kern w:val="2"/>
                <w:szCs w:val="21"/>
              </w:rPr>
            </w:pPr>
          </w:p>
        </w:tc>
        <w:tc>
          <w:tcPr>
            <w:tcW w:w="1480" w:type="dxa"/>
            <w:vMerge w:val="continue"/>
            <w:tcBorders>
              <w:tl2br w:val="nil"/>
              <w:tr2bl w:val="nil"/>
            </w:tcBorders>
            <w:vAlign w:val="center"/>
          </w:tcPr>
          <w:p>
            <w:pPr>
              <w:spacing w:line="0" w:lineRule="atLeast"/>
              <w:jc w:val="center"/>
              <w:rPr>
                <w:rFonts w:hint="eastAsia" w:ascii="Times New Roman" w:hAnsi="Times New Roman"/>
                <w:color w:val="000000"/>
                <w:szCs w:val="21"/>
              </w:rPr>
            </w:pPr>
          </w:p>
        </w:tc>
        <w:tc>
          <w:tcPr>
            <w:tcW w:w="2154" w:type="dxa"/>
            <w:vMerge w:val="continue"/>
            <w:tcBorders>
              <w:tl2br w:val="nil"/>
              <w:tr2bl w:val="nil"/>
            </w:tcBorders>
            <w:vAlign w:val="center"/>
          </w:tcPr>
          <w:p>
            <w:pPr>
              <w:spacing w:line="0" w:lineRule="atLeast"/>
              <w:jc w:val="center"/>
              <w:rPr>
                <w:rFonts w:hint="eastAsia" w:ascii="Times New Roman" w:hAnsi="Times New Roman"/>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hint="default" w:ascii="Times New Roman" w:hAnsi="Times New Roman" w:eastAsia="宋体"/>
                <w:lang w:val="en-US" w:eastAsia="zh-CN"/>
              </w:rPr>
            </w:pPr>
            <w:r>
              <w:rPr>
                <w:rFonts w:hint="eastAsia" w:ascii="Times New Roman" w:hAnsi="Times New Roman"/>
                <w:lang w:val="en-US" w:eastAsia="zh-CN"/>
              </w:rPr>
              <w:t>28</w:t>
            </w:r>
          </w:p>
        </w:tc>
        <w:tc>
          <w:tcPr>
            <w:tcW w:w="1500" w:type="dxa"/>
            <w:tcBorders>
              <w:tl2br w:val="nil"/>
              <w:tr2bl w:val="nil"/>
            </w:tcBorders>
            <w:vAlign w:val="center"/>
          </w:tcPr>
          <w:p>
            <w:pPr>
              <w:pStyle w:val="79"/>
              <w:adjustRightInd w:val="0"/>
              <w:spacing w:line="240" w:lineRule="exact"/>
              <w:ind w:left="0" w:leftChars="0" w:right="0" w:rightChars="0"/>
              <w:rPr>
                <w:rFonts w:hint="eastAsia" w:ascii="Times New Roman" w:hAnsi="Times New Roman" w:eastAsia="宋体" w:cs="Times New Roman"/>
                <w:spacing w:val="0"/>
                <w:kern w:val="2"/>
                <w:sz w:val="21"/>
                <w:szCs w:val="21"/>
                <w:lang w:val="en-US" w:eastAsia="zh-CN" w:bidi="ar-SA"/>
              </w:rPr>
            </w:pPr>
            <w:r>
              <w:rPr>
                <w:rFonts w:ascii="Times New Roman" w:hAnsi="Times New Roman"/>
                <w:spacing w:val="0"/>
                <w:sz w:val="21"/>
                <w:szCs w:val="21"/>
              </w:rPr>
              <w:t>Cl</w:t>
            </w:r>
            <w:r>
              <w:rPr>
                <w:rFonts w:ascii="Times New Roman" w:hAnsi="Times New Roman"/>
                <w:spacing w:val="0"/>
                <w:sz w:val="21"/>
                <w:szCs w:val="21"/>
                <w:vertAlign w:val="superscript"/>
              </w:rPr>
              <w:t>-</w:t>
            </w:r>
          </w:p>
        </w:tc>
        <w:tc>
          <w:tcPr>
            <w:tcW w:w="3225" w:type="dxa"/>
            <w:vMerge w:val="restart"/>
            <w:tcBorders>
              <w:tl2br w:val="nil"/>
              <w:tr2bl w:val="nil"/>
            </w:tcBorders>
            <w:vAlign w:val="center"/>
          </w:tcPr>
          <w:p>
            <w:pPr>
              <w:pStyle w:val="17"/>
              <w:snapToGrid w:val="0"/>
              <w:spacing w:line="0" w:lineRule="atLeast"/>
              <w:jc w:val="center"/>
              <w:rPr>
                <w:rFonts w:hint="eastAsia" w:ascii="Times New Roman" w:hAnsi="Times New Roman" w:eastAsia="宋体"/>
                <w:color w:val="000000"/>
                <w:kern w:val="2"/>
                <w:szCs w:val="21"/>
                <w:lang w:eastAsia="zh-CN"/>
              </w:rPr>
            </w:pPr>
            <w:r>
              <w:rPr>
                <w:rFonts w:hint="eastAsia" w:ascii="Times New Roman" w:hAnsi="Times New Roman"/>
                <w:color w:val="000000"/>
                <w:kern w:val="2"/>
                <w:szCs w:val="21"/>
                <w:lang w:eastAsia="zh-CN"/>
              </w:rPr>
              <w:t>离子色谱仪</w:t>
            </w:r>
          </w:p>
        </w:tc>
        <w:tc>
          <w:tcPr>
            <w:tcW w:w="1480" w:type="dxa"/>
            <w:vMerge w:val="restart"/>
            <w:tcBorders>
              <w:tl2br w:val="nil"/>
              <w:tr2bl w:val="nil"/>
            </w:tcBorders>
            <w:vAlign w:val="center"/>
          </w:tcPr>
          <w:p>
            <w:pPr>
              <w:adjustRightInd w:val="0"/>
              <w:spacing w:line="240" w:lineRule="exact"/>
              <w:jc w:val="center"/>
              <w:rPr>
                <w:rFonts w:hint="eastAsia" w:ascii="Calibri" w:hAnsi="Calibri" w:eastAsia="宋体" w:cs="Times New Roman"/>
                <w:kern w:val="2"/>
                <w:sz w:val="21"/>
                <w:szCs w:val="21"/>
                <w:lang w:val="en-US" w:eastAsia="zh-CN" w:bidi="ar-SA"/>
              </w:rPr>
            </w:pPr>
            <w:r>
              <w:rPr>
                <w:rFonts w:cs="Times New Roman"/>
                <w:sz w:val="21"/>
                <w:szCs w:val="21"/>
              </w:rPr>
              <w:t>0.007</w:t>
            </w:r>
            <w:r>
              <w:rPr>
                <w:rFonts w:cs="Times New Roman"/>
                <w:bCs/>
                <w:sz w:val="21"/>
                <w:szCs w:val="21"/>
              </w:rPr>
              <w:t>mg/L</w:t>
            </w:r>
          </w:p>
        </w:tc>
        <w:tc>
          <w:tcPr>
            <w:tcW w:w="2154" w:type="dxa"/>
            <w:vMerge w:val="restart"/>
            <w:tcBorders>
              <w:tl2br w:val="nil"/>
              <w:tr2bl w:val="nil"/>
            </w:tcBorders>
            <w:vAlign w:val="center"/>
          </w:tcPr>
          <w:p>
            <w:pPr>
              <w:spacing w:line="0" w:lineRule="atLeast"/>
              <w:jc w:val="center"/>
              <w:rPr>
                <w:rFonts w:hint="eastAsia" w:ascii="Times New Roman" w:hAnsi="Times New Roman"/>
                <w:color w:val="000000"/>
                <w:szCs w:val="21"/>
              </w:rPr>
            </w:pPr>
            <w:r>
              <w:rPr>
                <w:rFonts w:hint="eastAsia" w:ascii="Times New Roman" w:hAnsi="Times New Roman"/>
                <w:color w:val="000000"/>
                <w:kern w:val="2"/>
                <w:szCs w:val="21"/>
              </w:rPr>
              <w:t>HJ84-2016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38" w:type="dxa"/>
            <w:tcBorders>
              <w:tl2br w:val="nil"/>
              <w:tr2bl w:val="nil"/>
            </w:tcBorders>
            <w:vAlign w:val="center"/>
          </w:tcPr>
          <w:p>
            <w:pPr>
              <w:jc w:val="center"/>
              <w:rPr>
                <w:rFonts w:hint="default" w:ascii="Times New Roman" w:hAnsi="Times New Roman" w:eastAsia="宋体"/>
                <w:lang w:val="en-US" w:eastAsia="zh-CN"/>
              </w:rPr>
            </w:pPr>
            <w:r>
              <w:rPr>
                <w:rFonts w:hint="eastAsia" w:ascii="Times New Roman" w:hAnsi="Times New Roman"/>
                <w:lang w:val="en-US" w:eastAsia="zh-CN"/>
              </w:rPr>
              <w:t>29</w:t>
            </w:r>
          </w:p>
        </w:tc>
        <w:tc>
          <w:tcPr>
            <w:tcW w:w="1500" w:type="dxa"/>
            <w:tcBorders>
              <w:tl2br w:val="nil"/>
              <w:tr2bl w:val="nil"/>
            </w:tcBorders>
            <w:vAlign w:val="center"/>
          </w:tcPr>
          <w:p>
            <w:pPr>
              <w:pStyle w:val="79"/>
              <w:adjustRightInd w:val="0"/>
              <w:spacing w:line="240" w:lineRule="exact"/>
              <w:ind w:left="0" w:leftChars="0" w:right="0" w:rightChars="0"/>
              <w:rPr>
                <w:rFonts w:hint="eastAsia" w:ascii="Times New Roman" w:hAnsi="Times New Roman" w:eastAsia="宋体" w:cs="Times New Roman"/>
                <w:spacing w:val="0"/>
                <w:kern w:val="2"/>
                <w:sz w:val="21"/>
                <w:szCs w:val="21"/>
                <w:lang w:val="en-US" w:eastAsia="zh-CN" w:bidi="ar-SA"/>
              </w:rPr>
            </w:pPr>
            <w:r>
              <w:rPr>
                <w:rFonts w:ascii="Times New Roman" w:hAnsi="Times New Roman"/>
                <w:spacing w:val="0"/>
                <w:sz w:val="21"/>
                <w:szCs w:val="21"/>
              </w:rPr>
              <w:t>SO</w:t>
            </w:r>
            <w:r>
              <w:rPr>
                <w:rFonts w:ascii="Times New Roman" w:hAnsi="Times New Roman"/>
                <w:spacing w:val="0"/>
                <w:sz w:val="21"/>
                <w:szCs w:val="21"/>
                <w:vertAlign w:val="subscript"/>
              </w:rPr>
              <w:t>4</w:t>
            </w:r>
            <w:r>
              <w:rPr>
                <w:rFonts w:ascii="Times New Roman" w:hAnsi="Times New Roman"/>
                <w:spacing w:val="0"/>
                <w:sz w:val="21"/>
                <w:szCs w:val="21"/>
                <w:vertAlign w:val="superscript"/>
              </w:rPr>
              <w:t>2-</w:t>
            </w:r>
          </w:p>
        </w:tc>
        <w:tc>
          <w:tcPr>
            <w:tcW w:w="3225" w:type="dxa"/>
            <w:vMerge w:val="continue"/>
            <w:tcBorders>
              <w:tl2br w:val="nil"/>
              <w:tr2bl w:val="nil"/>
            </w:tcBorders>
            <w:vAlign w:val="center"/>
          </w:tcPr>
          <w:p>
            <w:pPr>
              <w:pStyle w:val="17"/>
              <w:snapToGrid w:val="0"/>
              <w:spacing w:line="0" w:lineRule="atLeast"/>
              <w:jc w:val="center"/>
              <w:rPr>
                <w:rFonts w:hint="eastAsia" w:ascii="Times New Roman" w:hAnsi="Times New Roman"/>
                <w:color w:val="000000"/>
                <w:kern w:val="2"/>
                <w:szCs w:val="21"/>
              </w:rPr>
            </w:pPr>
          </w:p>
        </w:tc>
        <w:tc>
          <w:tcPr>
            <w:tcW w:w="1480" w:type="dxa"/>
            <w:vMerge w:val="continue"/>
            <w:tcBorders>
              <w:tl2br w:val="nil"/>
              <w:tr2bl w:val="nil"/>
            </w:tcBorders>
            <w:vAlign w:val="center"/>
          </w:tcPr>
          <w:p>
            <w:pPr>
              <w:spacing w:line="0" w:lineRule="atLeast"/>
              <w:jc w:val="center"/>
              <w:rPr>
                <w:rFonts w:hint="eastAsia" w:ascii="Times New Roman" w:hAnsi="Times New Roman"/>
                <w:color w:val="000000"/>
                <w:szCs w:val="21"/>
              </w:rPr>
            </w:pPr>
          </w:p>
        </w:tc>
        <w:tc>
          <w:tcPr>
            <w:tcW w:w="2154" w:type="dxa"/>
            <w:vMerge w:val="continue"/>
            <w:tcBorders>
              <w:tl2br w:val="nil"/>
              <w:tr2bl w:val="nil"/>
            </w:tcBorders>
            <w:vAlign w:val="center"/>
          </w:tcPr>
          <w:p>
            <w:pPr>
              <w:spacing w:line="0" w:lineRule="atLeast"/>
              <w:jc w:val="center"/>
              <w:rPr>
                <w:rFonts w:hint="eastAsia" w:ascii="Times New Roman" w:hAnsi="Times New Roman"/>
                <w:color w:val="000000"/>
                <w:szCs w:val="21"/>
              </w:rPr>
            </w:pPr>
          </w:p>
        </w:tc>
      </w:tr>
    </w:tbl>
    <w:p>
      <w:pPr>
        <w:pStyle w:val="2"/>
        <w:widowControl/>
        <w:jc w:val="both"/>
        <w:rPr>
          <w:rFonts w:ascii="Times New Roman" w:hAnsi="Times New Roman"/>
          <w:b/>
          <w:bCs/>
          <w:snapToGrid w:val="0"/>
          <w:sz w:val="24"/>
        </w:rPr>
      </w:pPr>
    </w:p>
    <w:p>
      <w:pPr>
        <w:spacing w:line="540" w:lineRule="exact"/>
        <w:ind w:firstLine="480" w:firstLineChars="200"/>
        <w:rPr>
          <w:rFonts w:hint="eastAsia"/>
          <w:lang w:val="en-US" w:eastAsia="zh-CN"/>
        </w:rPr>
      </w:pPr>
      <w:r>
        <w:rPr>
          <w:rFonts w:ascii="Times New Roman" w:hAnsi="Times New Roman"/>
          <w:sz w:val="24"/>
        </w:rPr>
        <w:t>⑸</w:t>
      </w:r>
      <w:r>
        <w:rPr>
          <w:rFonts w:hint="eastAsia" w:ascii="Times New Roman" w:hAnsi="Times New Roman"/>
          <w:sz w:val="24"/>
          <w:lang w:eastAsia="zh-CN"/>
        </w:rPr>
        <w:t>评价标准与评价方法</w:t>
      </w:r>
    </w:p>
    <w:p>
      <w:pPr>
        <w:spacing w:line="540" w:lineRule="exact"/>
        <w:ind w:firstLine="480" w:firstLineChars="200"/>
        <w:rPr>
          <w:rFonts w:hint="eastAsia" w:ascii="Times New Roman" w:hAnsi="Times New Roman"/>
          <w:sz w:val="24"/>
        </w:rPr>
      </w:pPr>
      <w:r>
        <w:rPr>
          <w:rFonts w:hint="eastAsia" w:ascii="Times New Roman" w:hAnsi="Times New Roman"/>
          <w:sz w:val="24"/>
        </w:rPr>
        <w:t>地下水环境质量评价执行《地下水质量标准》(GB/T14848-2017)中Ⅲ类标准，地下水水质现状评价采用标准指数法，其公式如下：</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eastAsia" w:ascii="Times New Roman" w:hAnsi="Times New Roman"/>
          <w:sz w:val="24"/>
        </w:rPr>
      </w:pPr>
      <w:r>
        <w:rPr>
          <w:rFonts w:hint="eastAsia" w:cs="Times New Roman"/>
          <w:szCs w:val="24"/>
        </w:rPr>
        <w:object>
          <v:shape id="_x0000_i1025" o:spt="75" type="#_x0000_t75" style="height:36pt;width:50.25pt;" o:ole="t" filled="f" o:preferrelative="t" stroked="f" coordsize="21600,21600">
            <v:path/>
            <v:fill on="f" focussize="0,0"/>
            <v:stroke on="f" joinstyle="miter"/>
            <v:imagedata r:id="rId37" o:title=""/>
            <o:lock v:ext="edit" aspectratio="t"/>
            <w10:wrap type="none"/>
            <w10:anchorlock/>
          </v:shape>
          <o:OLEObject Type="Embed" ProgID="Equation.3" ShapeID="_x0000_i1025" DrawAspect="Content" ObjectID="_1468075725" r:id="rId36">
            <o:LockedField>false</o:LockedField>
          </o:OLEObject>
        </w:object>
      </w:r>
    </w:p>
    <w:p>
      <w:pPr>
        <w:spacing w:line="540" w:lineRule="exact"/>
        <w:ind w:firstLine="480" w:firstLineChars="200"/>
        <w:rPr>
          <w:rFonts w:hint="eastAsia" w:ascii="Times New Roman" w:hAnsi="Times New Roman"/>
          <w:sz w:val="24"/>
        </w:rPr>
      </w:pPr>
      <w:r>
        <w:rPr>
          <w:rFonts w:hint="eastAsia" w:ascii="Times New Roman" w:hAnsi="Times New Roman"/>
          <w:sz w:val="24"/>
        </w:rPr>
        <w:t>式中：Si，j-单项水质参数i在第j点的标准指数；</w:t>
      </w:r>
    </w:p>
    <w:p>
      <w:pPr>
        <w:spacing w:line="540" w:lineRule="exact"/>
        <w:ind w:firstLine="480" w:firstLineChars="200"/>
        <w:rPr>
          <w:rFonts w:hint="eastAsia" w:ascii="Times New Roman" w:hAnsi="Times New Roman"/>
          <w:sz w:val="24"/>
        </w:rPr>
      </w:pPr>
      <w:r>
        <w:rPr>
          <w:rFonts w:hint="eastAsia" w:ascii="Times New Roman" w:hAnsi="Times New Roman"/>
          <w:sz w:val="24"/>
        </w:rPr>
        <w:t>Ci，j-单项水质参数i在第j点的实测浓度；</w:t>
      </w:r>
    </w:p>
    <w:p>
      <w:pPr>
        <w:spacing w:line="540" w:lineRule="exact"/>
        <w:ind w:firstLine="480" w:firstLineChars="200"/>
        <w:rPr>
          <w:rFonts w:hint="eastAsia" w:ascii="Times New Roman" w:hAnsi="Times New Roman"/>
          <w:sz w:val="24"/>
        </w:rPr>
      </w:pPr>
      <w:r>
        <w:rPr>
          <w:rFonts w:hint="eastAsia" w:ascii="Times New Roman" w:hAnsi="Times New Roman"/>
          <w:sz w:val="24"/>
        </w:rPr>
        <w:t>Csi-单项水质参数i在第j点的评价标准。</w:t>
      </w:r>
    </w:p>
    <w:p>
      <w:pPr>
        <w:spacing w:line="540" w:lineRule="exact"/>
        <w:ind w:firstLine="480" w:firstLineChars="200"/>
        <w:rPr>
          <w:rFonts w:hint="eastAsia" w:ascii="Times New Roman" w:hAnsi="Times New Roman"/>
          <w:sz w:val="24"/>
        </w:rPr>
      </w:pP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eastAsia" w:cs="Times New Roman"/>
          <w:szCs w:val="24"/>
          <w:lang w:val="en-US" w:eastAsia="zh-CN"/>
        </w:rPr>
      </w:pPr>
      <w:r>
        <w:rPr>
          <w:rFonts w:cs="Times New Roman"/>
          <w:szCs w:val="24"/>
        </w:rPr>
        <w:drawing>
          <wp:inline distT="0" distB="0" distL="0" distR="0">
            <wp:extent cx="1704975" cy="40005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704975" cy="4000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eastAsia" w:ascii="Times New Roman" w:hAnsi="Times New Roman"/>
          <w:sz w:val="24"/>
        </w:rPr>
      </w:pPr>
      <w:r>
        <w:rPr>
          <w:rFonts w:cs="Times New Roman"/>
          <w:szCs w:val="24"/>
        </w:rPr>
        <w:drawing>
          <wp:inline distT="0" distB="0" distL="0" distR="0">
            <wp:extent cx="1724025" cy="409575"/>
            <wp:effectExtent l="0" t="0" r="0" b="889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724025" cy="409575"/>
                    </a:xfrm>
                    <a:prstGeom prst="rect">
                      <a:avLst/>
                    </a:prstGeom>
                    <a:noFill/>
                    <a:ln>
                      <a:noFill/>
                    </a:ln>
                  </pic:spPr>
                </pic:pic>
              </a:graphicData>
            </a:graphic>
          </wp:inline>
        </w:drawing>
      </w:r>
    </w:p>
    <w:p>
      <w:pPr>
        <w:spacing w:line="540" w:lineRule="exact"/>
        <w:ind w:firstLine="480" w:firstLineChars="200"/>
        <w:rPr>
          <w:rFonts w:hint="eastAsia" w:ascii="Times New Roman" w:hAnsi="Times New Roman"/>
          <w:sz w:val="24"/>
        </w:rPr>
      </w:pPr>
      <w:r>
        <w:rPr>
          <w:rFonts w:hint="eastAsia" w:ascii="Times New Roman" w:hAnsi="Times New Roman"/>
          <w:sz w:val="24"/>
        </w:rPr>
        <w:t>式中：pH</w:t>
      </w:r>
      <w:r>
        <w:rPr>
          <w:rFonts w:hint="eastAsia" w:ascii="Times New Roman" w:hAnsi="Times New Roman"/>
          <w:sz w:val="24"/>
          <w:vertAlign w:val="subscript"/>
        </w:rPr>
        <w:t>sd</w:t>
      </w:r>
      <w:r>
        <w:rPr>
          <w:rFonts w:hint="eastAsia" w:ascii="Times New Roman" w:hAnsi="Times New Roman"/>
          <w:sz w:val="24"/>
        </w:rPr>
        <w:t>-pH值标准规定的下限值；</w:t>
      </w:r>
    </w:p>
    <w:p>
      <w:pPr>
        <w:spacing w:line="540" w:lineRule="exact"/>
        <w:ind w:firstLine="1200" w:firstLineChars="500"/>
        <w:rPr>
          <w:rFonts w:hint="eastAsia" w:ascii="Times New Roman" w:hAnsi="Times New Roman"/>
          <w:sz w:val="24"/>
        </w:rPr>
      </w:pPr>
      <w:r>
        <w:rPr>
          <w:rFonts w:hint="eastAsia" w:ascii="Times New Roman" w:hAnsi="Times New Roman"/>
          <w:sz w:val="24"/>
        </w:rPr>
        <w:t>pH</w:t>
      </w:r>
      <w:r>
        <w:rPr>
          <w:rFonts w:hint="eastAsia" w:ascii="Times New Roman" w:hAnsi="Times New Roman"/>
          <w:sz w:val="24"/>
          <w:vertAlign w:val="subscript"/>
        </w:rPr>
        <w:t>su</w:t>
      </w:r>
      <w:r>
        <w:rPr>
          <w:rFonts w:hint="eastAsia" w:ascii="Times New Roman" w:hAnsi="Times New Roman"/>
          <w:sz w:val="24"/>
        </w:rPr>
        <w:t>-pH值标准规定的上限值；</w:t>
      </w:r>
    </w:p>
    <w:p>
      <w:pPr>
        <w:spacing w:line="540" w:lineRule="exact"/>
        <w:ind w:firstLine="1200" w:firstLineChars="500"/>
        <w:rPr>
          <w:rFonts w:hint="eastAsia" w:ascii="Times New Roman" w:hAnsi="Times New Roman"/>
          <w:sz w:val="24"/>
          <w:lang w:eastAsia="zh-CN"/>
        </w:rPr>
      </w:pPr>
      <w:r>
        <w:rPr>
          <w:rFonts w:hint="eastAsia" w:ascii="Times New Roman" w:hAnsi="Times New Roman"/>
          <w:sz w:val="24"/>
        </w:rPr>
        <w:t>T-水温(℃</w:t>
      </w:r>
      <w:r>
        <w:rPr>
          <w:rFonts w:hint="eastAsia" w:ascii="Times New Roman" w:hAnsi="Times New Roman"/>
          <w:sz w:val="24"/>
          <w:lang w:eastAsia="zh-CN"/>
        </w:rPr>
        <w:t>）</w:t>
      </w:r>
    </w:p>
    <w:p>
      <w:pPr>
        <w:spacing w:line="540" w:lineRule="exact"/>
        <w:ind w:firstLine="480" w:firstLineChars="200"/>
        <w:rPr>
          <w:rFonts w:ascii="Times New Roman" w:hAnsi="Times New Roman"/>
          <w:sz w:val="24"/>
        </w:rPr>
      </w:pPr>
      <w:r>
        <w:rPr>
          <w:rFonts w:hint="eastAsia" w:ascii="Times New Roman" w:hAnsi="Times New Roman"/>
          <w:sz w:val="24"/>
        </w:rPr>
        <w:t>标准指数大于1，表明该断面的环境质量劣于评价标准等级，反之则满足评价标准。</w:t>
      </w:r>
    </w:p>
    <w:p>
      <w:pPr>
        <w:numPr>
          <w:ilvl w:val="0"/>
          <w:numId w:val="3"/>
        </w:numPr>
        <w:spacing w:line="540" w:lineRule="exact"/>
        <w:ind w:firstLine="480" w:firstLineChars="200"/>
        <w:rPr>
          <w:rFonts w:hint="eastAsia" w:ascii="Times New Roman" w:hAnsi="Times New Roman"/>
          <w:sz w:val="24"/>
          <w:lang w:eastAsia="zh-CN"/>
        </w:rPr>
      </w:pPr>
      <w:r>
        <w:rPr>
          <w:rFonts w:hint="eastAsia" w:ascii="Times New Roman" w:hAnsi="Times New Roman"/>
          <w:sz w:val="24"/>
          <w:lang w:eastAsia="zh-CN"/>
        </w:rPr>
        <w:t>地下水化学类型分析</w:t>
      </w:r>
    </w:p>
    <w:p>
      <w:pPr>
        <w:spacing w:line="540" w:lineRule="exact"/>
        <w:ind w:firstLine="480" w:firstLineChars="200"/>
        <w:rPr>
          <w:rFonts w:hint="eastAsia" w:ascii="Times New Roman" w:hAnsi="Times New Roman"/>
          <w:sz w:val="24"/>
        </w:rPr>
      </w:pPr>
      <w:r>
        <w:rPr>
          <w:rFonts w:hint="eastAsia" w:ascii="Times New Roman" w:hAnsi="Times New Roman"/>
          <w:sz w:val="24"/>
        </w:rPr>
        <w:t>①监测结果</w:t>
      </w:r>
    </w:p>
    <w:p>
      <w:pPr>
        <w:spacing w:line="540" w:lineRule="exact"/>
        <w:ind w:firstLine="480" w:firstLineChars="200"/>
        <w:rPr>
          <w:rFonts w:hint="eastAsia" w:ascii="Times New Roman" w:hAnsi="Times New Roman"/>
          <w:sz w:val="24"/>
        </w:rPr>
      </w:pPr>
      <w:r>
        <w:rPr>
          <w:rFonts w:hint="eastAsia" w:ascii="Times New Roman" w:hAnsi="Times New Roman"/>
          <w:sz w:val="24"/>
        </w:rPr>
        <w:t>评价区地下水阴阳离子监测结果见表</w:t>
      </w:r>
      <w:r>
        <w:rPr>
          <w:rFonts w:hint="eastAsia" w:ascii="Times New Roman" w:hAnsi="Times New Roman"/>
          <w:sz w:val="24"/>
          <w:lang w:val="en-US" w:eastAsia="zh-CN"/>
        </w:rPr>
        <w:t>3.2-10</w:t>
      </w:r>
      <w:r>
        <w:rPr>
          <w:rFonts w:hint="eastAsia" w:ascii="Times New Roman" w:hAnsi="Times New Roman"/>
          <w:sz w:val="24"/>
        </w:rPr>
        <w:t>。</w:t>
      </w:r>
    </w:p>
    <w:p>
      <w:pPr>
        <w:pStyle w:val="2"/>
        <w:rPr>
          <w:rFonts w:hint="eastAsia"/>
        </w:rPr>
      </w:pPr>
    </w:p>
    <w:p>
      <w:pPr>
        <w:adjustRightInd w:val="0"/>
        <w:snapToGrid w:val="0"/>
        <w:jc w:val="center"/>
        <w:rPr>
          <w:rFonts w:hint="default" w:ascii="Times New Roman" w:hAnsi="Times New Roman" w:eastAsia="宋体" w:cs="Times New Roman"/>
          <w:b/>
          <w:bCs/>
          <w:color w:val="FF0000"/>
          <w:sz w:val="24"/>
          <w:szCs w:val="24"/>
        </w:rPr>
      </w:pPr>
      <w:r>
        <w:rPr>
          <w:rFonts w:hint="default" w:ascii="Times New Roman" w:hAnsi="Times New Roman" w:eastAsia="宋体" w:cs="Times New Roman"/>
          <w:b/>
          <w:bCs/>
          <w:color w:val="FF0000"/>
          <w:sz w:val="24"/>
          <w:szCs w:val="24"/>
        </w:rPr>
        <w:t>表</w:t>
      </w:r>
      <w:r>
        <w:rPr>
          <w:rFonts w:hint="default" w:ascii="Times New Roman" w:hAnsi="Times New Roman" w:eastAsia="宋体" w:cs="Times New Roman"/>
          <w:b/>
          <w:bCs/>
          <w:color w:val="FF0000"/>
          <w:sz w:val="24"/>
          <w:szCs w:val="24"/>
          <w:lang w:val="en-US" w:eastAsia="zh-CN"/>
        </w:rPr>
        <w:t>3.2-10</w:t>
      </w:r>
      <w:r>
        <w:rPr>
          <w:rFonts w:hint="default" w:ascii="Times New Roman" w:hAnsi="Times New Roman" w:eastAsia="宋体" w:cs="Times New Roman"/>
          <w:b/>
          <w:bCs/>
          <w:color w:val="FF0000"/>
          <w:sz w:val="24"/>
          <w:szCs w:val="24"/>
        </w:rPr>
        <w:t xml:space="preserve">   评价区地下水中阴阳离子监测结果表    单位：mg/L </w:t>
      </w:r>
    </w:p>
    <w:tbl>
      <w:tblPr>
        <w:tblStyle w:val="29"/>
        <w:tblW w:w="907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9"/>
        <w:gridCol w:w="1702"/>
        <w:gridCol w:w="1536"/>
        <w:gridCol w:w="1709"/>
        <w:gridCol w:w="1709"/>
        <w:gridCol w:w="17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6" w:hRule="atLeast"/>
          <w:jc w:val="center"/>
        </w:trPr>
        <w:tc>
          <w:tcPr>
            <w:tcW w:w="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编号</w:t>
            </w:r>
          </w:p>
        </w:tc>
        <w:tc>
          <w:tcPr>
            <w:tcW w:w="1702"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监测项目</w:t>
            </w:r>
          </w:p>
        </w:tc>
        <w:tc>
          <w:tcPr>
            <w:tcW w:w="1536"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1#监测井</w:t>
            </w:r>
          </w:p>
        </w:tc>
        <w:tc>
          <w:tcPr>
            <w:tcW w:w="1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2#监测井</w:t>
            </w:r>
          </w:p>
        </w:tc>
        <w:tc>
          <w:tcPr>
            <w:tcW w:w="1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3#监测井</w:t>
            </w:r>
          </w:p>
        </w:tc>
        <w:tc>
          <w:tcPr>
            <w:tcW w:w="1705"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4#监测井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6" w:hRule="atLeast"/>
          <w:jc w:val="center"/>
        </w:trPr>
        <w:tc>
          <w:tcPr>
            <w:tcW w:w="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1</w:t>
            </w:r>
          </w:p>
        </w:tc>
        <w:tc>
          <w:tcPr>
            <w:tcW w:w="1702"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kern w:val="0"/>
                <w:sz w:val="21"/>
                <w:szCs w:val="21"/>
              </w:rPr>
              <w:t>K</w:t>
            </w:r>
            <w:r>
              <w:rPr>
                <w:rFonts w:hint="default" w:ascii="Times New Roman" w:hAnsi="Times New Roman" w:eastAsia="宋体" w:cs="Times New Roman"/>
                <w:color w:val="FF0000"/>
                <w:kern w:val="0"/>
                <w:sz w:val="21"/>
                <w:szCs w:val="21"/>
                <w:vertAlign w:val="superscript"/>
              </w:rPr>
              <w:t>+</w:t>
            </w:r>
          </w:p>
        </w:tc>
        <w:tc>
          <w:tcPr>
            <w:tcW w:w="1536"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19.2</w:t>
            </w:r>
          </w:p>
        </w:tc>
        <w:tc>
          <w:tcPr>
            <w:tcW w:w="1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1.02</w:t>
            </w:r>
          </w:p>
        </w:tc>
        <w:tc>
          <w:tcPr>
            <w:tcW w:w="1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0.825</w:t>
            </w:r>
          </w:p>
        </w:tc>
        <w:tc>
          <w:tcPr>
            <w:tcW w:w="1705"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0.950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6" w:hRule="atLeast"/>
          <w:jc w:val="center"/>
        </w:trPr>
        <w:tc>
          <w:tcPr>
            <w:tcW w:w="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2</w:t>
            </w:r>
          </w:p>
        </w:tc>
        <w:tc>
          <w:tcPr>
            <w:tcW w:w="1702"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kern w:val="0"/>
                <w:sz w:val="21"/>
                <w:szCs w:val="21"/>
              </w:rPr>
              <w:t>Ca</w:t>
            </w:r>
            <w:r>
              <w:rPr>
                <w:rFonts w:hint="default" w:ascii="Times New Roman" w:hAnsi="Times New Roman" w:eastAsia="宋体" w:cs="Times New Roman"/>
                <w:color w:val="FF0000"/>
                <w:kern w:val="0"/>
                <w:sz w:val="21"/>
                <w:szCs w:val="21"/>
                <w:vertAlign w:val="superscript"/>
              </w:rPr>
              <w:t>2+</w:t>
            </w:r>
          </w:p>
        </w:tc>
        <w:tc>
          <w:tcPr>
            <w:tcW w:w="1536"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99.2</w:t>
            </w:r>
          </w:p>
        </w:tc>
        <w:tc>
          <w:tcPr>
            <w:tcW w:w="1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57.9</w:t>
            </w:r>
          </w:p>
        </w:tc>
        <w:tc>
          <w:tcPr>
            <w:tcW w:w="1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158</w:t>
            </w:r>
          </w:p>
        </w:tc>
        <w:tc>
          <w:tcPr>
            <w:tcW w:w="1705"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63.6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6" w:hRule="atLeast"/>
          <w:jc w:val="center"/>
        </w:trPr>
        <w:tc>
          <w:tcPr>
            <w:tcW w:w="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3</w:t>
            </w:r>
          </w:p>
        </w:tc>
        <w:tc>
          <w:tcPr>
            <w:tcW w:w="1702"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kern w:val="0"/>
                <w:sz w:val="21"/>
                <w:szCs w:val="21"/>
              </w:rPr>
              <w:t>Na</w:t>
            </w:r>
            <w:r>
              <w:rPr>
                <w:rFonts w:hint="default" w:ascii="Times New Roman" w:hAnsi="Times New Roman" w:eastAsia="宋体" w:cs="Times New Roman"/>
                <w:color w:val="FF0000"/>
                <w:kern w:val="0"/>
                <w:sz w:val="21"/>
                <w:szCs w:val="21"/>
                <w:vertAlign w:val="superscript"/>
              </w:rPr>
              <w:t>+</w:t>
            </w:r>
          </w:p>
        </w:tc>
        <w:tc>
          <w:tcPr>
            <w:tcW w:w="1536"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43.2</w:t>
            </w:r>
          </w:p>
        </w:tc>
        <w:tc>
          <w:tcPr>
            <w:tcW w:w="1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280</w:t>
            </w:r>
          </w:p>
        </w:tc>
        <w:tc>
          <w:tcPr>
            <w:tcW w:w="1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758</w:t>
            </w:r>
          </w:p>
        </w:tc>
        <w:tc>
          <w:tcPr>
            <w:tcW w:w="1705"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245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6" w:hRule="atLeast"/>
          <w:jc w:val="center"/>
        </w:trPr>
        <w:tc>
          <w:tcPr>
            <w:tcW w:w="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4</w:t>
            </w:r>
          </w:p>
        </w:tc>
        <w:tc>
          <w:tcPr>
            <w:tcW w:w="1702"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kern w:val="0"/>
                <w:sz w:val="21"/>
                <w:szCs w:val="21"/>
              </w:rPr>
              <w:t>Mg</w:t>
            </w:r>
            <w:r>
              <w:rPr>
                <w:rFonts w:hint="default" w:ascii="Times New Roman" w:hAnsi="Times New Roman" w:eastAsia="宋体" w:cs="Times New Roman"/>
                <w:color w:val="FF0000"/>
                <w:kern w:val="0"/>
                <w:sz w:val="21"/>
                <w:szCs w:val="21"/>
                <w:vertAlign w:val="superscript"/>
              </w:rPr>
              <w:t>2+</w:t>
            </w:r>
          </w:p>
        </w:tc>
        <w:tc>
          <w:tcPr>
            <w:tcW w:w="1536"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16.0</w:t>
            </w:r>
          </w:p>
        </w:tc>
        <w:tc>
          <w:tcPr>
            <w:tcW w:w="1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67.0</w:t>
            </w:r>
          </w:p>
        </w:tc>
        <w:tc>
          <w:tcPr>
            <w:tcW w:w="1709"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365</w:t>
            </w:r>
          </w:p>
        </w:tc>
        <w:tc>
          <w:tcPr>
            <w:tcW w:w="1705"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83.5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6" w:hRule="atLeast"/>
          <w:jc w:val="center"/>
        </w:trPr>
        <w:tc>
          <w:tcPr>
            <w:tcW w:w="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5</w:t>
            </w:r>
          </w:p>
        </w:tc>
        <w:tc>
          <w:tcPr>
            <w:tcW w:w="1702" w:type="dxa"/>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氨氮</w:t>
            </w:r>
          </w:p>
        </w:tc>
        <w:tc>
          <w:tcPr>
            <w:tcW w:w="1536"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0.053</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0.115</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0.083</w:t>
            </w:r>
          </w:p>
        </w:tc>
        <w:tc>
          <w:tcPr>
            <w:tcW w:w="1705"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0.418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w:t>
            </w:r>
          </w:p>
        </w:tc>
        <w:tc>
          <w:tcPr>
            <w:tcW w:w="1702"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rPr>
              <w:t>CO</w:t>
            </w:r>
            <w:r>
              <w:rPr>
                <w:rFonts w:hint="default" w:ascii="Times New Roman" w:hAnsi="Times New Roman" w:eastAsia="宋体" w:cs="Times New Roman"/>
                <w:color w:val="FF0000"/>
                <w:kern w:val="0"/>
                <w:sz w:val="21"/>
                <w:szCs w:val="21"/>
                <w:vertAlign w:val="subscript"/>
              </w:rPr>
              <w:t>3</w:t>
            </w:r>
            <w:r>
              <w:rPr>
                <w:rFonts w:hint="default" w:ascii="Times New Roman" w:hAnsi="Times New Roman" w:eastAsia="宋体" w:cs="Times New Roman"/>
                <w:color w:val="FF0000"/>
                <w:kern w:val="0"/>
                <w:sz w:val="21"/>
                <w:szCs w:val="21"/>
                <w:vertAlign w:val="superscript"/>
              </w:rPr>
              <w:t>2-</w:t>
            </w:r>
          </w:p>
        </w:tc>
        <w:tc>
          <w:tcPr>
            <w:tcW w:w="1536"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ND</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ND</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ND</w:t>
            </w:r>
          </w:p>
        </w:tc>
        <w:tc>
          <w:tcPr>
            <w:tcW w:w="1705"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w:t>
            </w:r>
          </w:p>
        </w:tc>
        <w:tc>
          <w:tcPr>
            <w:tcW w:w="1702"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rPr>
              <w:t>HCO</w:t>
            </w:r>
            <w:r>
              <w:rPr>
                <w:rFonts w:hint="default" w:ascii="Times New Roman" w:hAnsi="Times New Roman" w:eastAsia="宋体" w:cs="Times New Roman"/>
                <w:color w:val="FF0000"/>
                <w:kern w:val="0"/>
                <w:sz w:val="21"/>
                <w:szCs w:val="21"/>
                <w:vertAlign w:val="subscript"/>
              </w:rPr>
              <w:t>3</w:t>
            </w:r>
            <w:r>
              <w:rPr>
                <w:rFonts w:hint="default" w:ascii="Times New Roman" w:hAnsi="Times New Roman" w:eastAsia="宋体" w:cs="Times New Roman"/>
                <w:color w:val="FF0000"/>
                <w:kern w:val="0"/>
                <w:sz w:val="21"/>
                <w:szCs w:val="21"/>
                <w:vertAlign w:val="superscript"/>
              </w:rPr>
              <w:t>-</w:t>
            </w:r>
          </w:p>
        </w:tc>
        <w:tc>
          <w:tcPr>
            <w:tcW w:w="1536"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394</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501</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401</w:t>
            </w:r>
          </w:p>
        </w:tc>
        <w:tc>
          <w:tcPr>
            <w:tcW w:w="1705"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510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8</w:t>
            </w:r>
          </w:p>
        </w:tc>
        <w:tc>
          <w:tcPr>
            <w:tcW w:w="1702"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rPr>
              <w:t>Cl</w:t>
            </w:r>
            <w:r>
              <w:rPr>
                <w:rFonts w:hint="default" w:ascii="Times New Roman" w:hAnsi="Times New Roman" w:eastAsia="宋体" w:cs="Times New Roman"/>
                <w:color w:val="FF0000"/>
                <w:kern w:val="0"/>
                <w:sz w:val="21"/>
                <w:szCs w:val="21"/>
                <w:vertAlign w:val="superscript"/>
              </w:rPr>
              <w:t>-</w:t>
            </w:r>
          </w:p>
        </w:tc>
        <w:tc>
          <w:tcPr>
            <w:tcW w:w="1536"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11.2</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rPr>
              <w:t>71.4</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rPr>
              <w:t>858</w:t>
            </w:r>
          </w:p>
        </w:tc>
        <w:tc>
          <w:tcPr>
            <w:tcW w:w="1705"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rPr>
              <w:t>60.5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6" w:hRule="atLeast"/>
          <w:jc w:val="center"/>
        </w:trPr>
        <w:tc>
          <w:tcPr>
            <w:tcW w:w="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9</w:t>
            </w:r>
          </w:p>
        </w:tc>
        <w:tc>
          <w:tcPr>
            <w:tcW w:w="1702"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rPr>
              <w:t>SO</w:t>
            </w:r>
            <w:r>
              <w:rPr>
                <w:rFonts w:hint="default" w:ascii="Times New Roman" w:hAnsi="Times New Roman" w:eastAsia="宋体" w:cs="Times New Roman"/>
                <w:color w:val="FF0000"/>
                <w:kern w:val="0"/>
                <w:sz w:val="21"/>
                <w:szCs w:val="21"/>
                <w:vertAlign w:val="subscript"/>
              </w:rPr>
              <w:t>4</w:t>
            </w:r>
            <w:r>
              <w:rPr>
                <w:rFonts w:hint="default" w:ascii="Times New Roman" w:hAnsi="Times New Roman" w:eastAsia="宋体" w:cs="Times New Roman"/>
                <w:color w:val="FF0000"/>
                <w:kern w:val="0"/>
                <w:sz w:val="21"/>
                <w:szCs w:val="21"/>
                <w:vertAlign w:val="superscript"/>
              </w:rPr>
              <w:t>2-</w:t>
            </w:r>
          </w:p>
        </w:tc>
        <w:tc>
          <w:tcPr>
            <w:tcW w:w="1536"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123</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433</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1.75×10</w:t>
            </w:r>
            <w:r>
              <w:rPr>
                <w:rFonts w:hint="default" w:ascii="Times New Roman" w:hAnsi="Times New Roman" w:eastAsia="宋体" w:cs="Times New Roman"/>
                <w:color w:val="FF0000"/>
                <w:sz w:val="21"/>
                <w:szCs w:val="21"/>
                <w:vertAlign w:val="superscript"/>
              </w:rPr>
              <w:t>3</w:t>
            </w:r>
          </w:p>
        </w:tc>
        <w:tc>
          <w:tcPr>
            <w:tcW w:w="1705"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6" w:hRule="atLeast"/>
          <w:jc w:val="center"/>
        </w:trPr>
        <w:tc>
          <w:tcPr>
            <w:tcW w:w="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10</w:t>
            </w:r>
          </w:p>
        </w:tc>
        <w:tc>
          <w:tcPr>
            <w:tcW w:w="1702" w:type="dxa"/>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硝酸盐(以N计)</w:t>
            </w:r>
          </w:p>
        </w:tc>
        <w:tc>
          <w:tcPr>
            <w:tcW w:w="1536"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0.149</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1.16</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10.5</w:t>
            </w:r>
          </w:p>
        </w:tc>
        <w:tc>
          <w:tcPr>
            <w:tcW w:w="1705"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0.405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6" w:hRule="atLeast"/>
          <w:jc w:val="center"/>
        </w:trPr>
        <w:tc>
          <w:tcPr>
            <w:tcW w:w="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11</w:t>
            </w:r>
          </w:p>
        </w:tc>
        <w:tc>
          <w:tcPr>
            <w:tcW w:w="1702" w:type="dxa"/>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亚硝酸盐氮</w:t>
            </w:r>
          </w:p>
        </w:tc>
        <w:tc>
          <w:tcPr>
            <w:tcW w:w="1536"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ND</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ND</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0.010</w:t>
            </w:r>
          </w:p>
        </w:tc>
        <w:tc>
          <w:tcPr>
            <w:tcW w:w="1705"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6" w:hRule="atLeast"/>
          <w:jc w:val="center"/>
        </w:trPr>
        <w:tc>
          <w:tcPr>
            <w:tcW w:w="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12</w:t>
            </w:r>
          </w:p>
        </w:tc>
        <w:tc>
          <w:tcPr>
            <w:tcW w:w="1702" w:type="dxa"/>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氟化物</w:t>
            </w:r>
          </w:p>
        </w:tc>
        <w:tc>
          <w:tcPr>
            <w:tcW w:w="1536"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0.29</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0.77</w:t>
            </w:r>
          </w:p>
        </w:tc>
        <w:tc>
          <w:tcPr>
            <w:tcW w:w="1709"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0.68</w:t>
            </w:r>
          </w:p>
        </w:tc>
        <w:tc>
          <w:tcPr>
            <w:tcW w:w="1705"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0.92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编号</w:t>
            </w:r>
          </w:p>
        </w:tc>
        <w:tc>
          <w:tcPr>
            <w:tcW w:w="1702"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b/>
                <w:bCs/>
                <w:color w:val="FF0000"/>
                <w:kern w:val="0"/>
                <w:sz w:val="21"/>
                <w:szCs w:val="21"/>
              </w:rPr>
            </w:pPr>
            <w:r>
              <w:rPr>
                <w:rFonts w:hint="default" w:ascii="Times New Roman" w:hAnsi="Times New Roman" w:eastAsia="宋体" w:cs="Times New Roman"/>
                <w:b/>
                <w:bCs/>
                <w:color w:val="FF0000"/>
                <w:kern w:val="0"/>
                <w:sz w:val="21"/>
                <w:szCs w:val="21"/>
              </w:rPr>
              <w:t>监测项目</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5#监测井</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6#监测井</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7#监测井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1</w:t>
            </w:r>
          </w:p>
        </w:tc>
        <w:tc>
          <w:tcPr>
            <w:tcW w:w="1702"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b/>
                <w:bCs/>
                <w:color w:val="FF0000"/>
                <w:kern w:val="0"/>
                <w:sz w:val="21"/>
                <w:szCs w:val="21"/>
              </w:rPr>
            </w:pPr>
            <w:r>
              <w:rPr>
                <w:rFonts w:hint="default" w:ascii="Times New Roman" w:hAnsi="Times New Roman" w:eastAsia="宋体" w:cs="Times New Roman"/>
                <w:color w:val="FF0000"/>
                <w:kern w:val="0"/>
                <w:sz w:val="21"/>
                <w:szCs w:val="21"/>
              </w:rPr>
              <w:t>K</w:t>
            </w:r>
            <w:r>
              <w:rPr>
                <w:rFonts w:hint="default" w:ascii="Times New Roman" w:hAnsi="Times New Roman" w:eastAsia="宋体" w:cs="Times New Roman"/>
                <w:color w:val="FF0000"/>
                <w:kern w:val="0"/>
                <w:sz w:val="21"/>
                <w:szCs w:val="21"/>
                <w:vertAlign w:val="superscript"/>
              </w:rPr>
              <w:t>+</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2.32</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17.4</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color w:val="FF0000"/>
                <w:sz w:val="21"/>
                <w:szCs w:val="21"/>
              </w:rPr>
              <w:t>0.975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w:t>
            </w:r>
          </w:p>
        </w:tc>
        <w:tc>
          <w:tcPr>
            <w:tcW w:w="1702"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Ca</w:t>
            </w:r>
            <w:r>
              <w:rPr>
                <w:rFonts w:hint="default" w:ascii="Times New Roman" w:hAnsi="Times New Roman" w:eastAsia="宋体" w:cs="Times New Roman"/>
                <w:color w:val="FF0000"/>
                <w:kern w:val="0"/>
                <w:sz w:val="21"/>
                <w:szCs w:val="21"/>
                <w:vertAlign w:val="superscript"/>
              </w:rPr>
              <w:t>2+</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57.1</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177</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w:t>
            </w:r>
          </w:p>
        </w:tc>
        <w:tc>
          <w:tcPr>
            <w:tcW w:w="1702"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Na</w:t>
            </w:r>
            <w:r>
              <w:rPr>
                <w:rFonts w:hint="default" w:ascii="Times New Roman" w:hAnsi="Times New Roman" w:eastAsia="宋体" w:cs="Times New Roman"/>
                <w:color w:val="FF0000"/>
                <w:kern w:val="0"/>
                <w:sz w:val="21"/>
                <w:szCs w:val="21"/>
                <w:vertAlign w:val="superscript"/>
              </w:rPr>
              <w:t>+</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262</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727</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820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w:t>
            </w:r>
          </w:p>
        </w:tc>
        <w:tc>
          <w:tcPr>
            <w:tcW w:w="1702"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Mg</w:t>
            </w:r>
            <w:r>
              <w:rPr>
                <w:rFonts w:hint="default" w:ascii="Times New Roman" w:hAnsi="Times New Roman" w:eastAsia="宋体" w:cs="Times New Roman"/>
                <w:color w:val="FF0000"/>
                <w:kern w:val="0"/>
                <w:sz w:val="21"/>
                <w:szCs w:val="21"/>
                <w:vertAlign w:val="superscript"/>
              </w:rPr>
              <w:t>2+</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75.5</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360</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5</w:t>
            </w:r>
          </w:p>
        </w:tc>
        <w:tc>
          <w:tcPr>
            <w:tcW w:w="1702"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氨氮</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0.075</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0.183</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w:t>
            </w:r>
          </w:p>
        </w:tc>
        <w:tc>
          <w:tcPr>
            <w:tcW w:w="1702"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CO</w:t>
            </w:r>
            <w:r>
              <w:rPr>
                <w:rFonts w:hint="default" w:ascii="Times New Roman" w:hAnsi="Times New Roman" w:eastAsia="宋体" w:cs="Times New Roman"/>
                <w:color w:val="FF0000"/>
                <w:kern w:val="0"/>
                <w:sz w:val="21"/>
                <w:szCs w:val="21"/>
                <w:vertAlign w:val="subscript"/>
              </w:rPr>
              <w:t>3</w:t>
            </w:r>
            <w:r>
              <w:rPr>
                <w:rFonts w:hint="default" w:ascii="Times New Roman" w:hAnsi="Times New Roman" w:eastAsia="宋体" w:cs="Times New Roman"/>
                <w:color w:val="FF0000"/>
                <w:kern w:val="0"/>
                <w:sz w:val="21"/>
                <w:szCs w:val="21"/>
                <w:vertAlign w:val="superscript"/>
              </w:rPr>
              <w:t>2-</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ND</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ND</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w:t>
            </w:r>
          </w:p>
        </w:tc>
        <w:tc>
          <w:tcPr>
            <w:tcW w:w="1702" w:type="dxa"/>
            <w:tcBorders>
              <w:top w:val="single" w:color="auto" w:sz="6" w:space="0"/>
              <w:left w:val="single" w:color="auto" w:sz="6" w:space="0"/>
              <w:bottom w:val="single" w:color="auto" w:sz="6" w:space="0"/>
              <w:right w:val="single" w:color="auto" w:sz="6" w:space="0"/>
            </w:tcBorders>
            <w:vAlign w:val="center"/>
          </w:tcPr>
          <w:p>
            <w:pPr>
              <w:adjustRightInd w:val="0"/>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HCO</w:t>
            </w:r>
            <w:r>
              <w:rPr>
                <w:rFonts w:hint="default" w:ascii="Times New Roman" w:hAnsi="Times New Roman" w:eastAsia="宋体" w:cs="Times New Roman"/>
                <w:color w:val="FF0000"/>
                <w:kern w:val="0"/>
                <w:sz w:val="21"/>
                <w:szCs w:val="21"/>
                <w:vertAlign w:val="subscript"/>
              </w:rPr>
              <w:t>3</w:t>
            </w:r>
            <w:r>
              <w:rPr>
                <w:rFonts w:hint="default" w:ascii="Times New Roman" w:hAnsi="Times New Roman" w:eastAsia="宋体" w:cs="Times New Roman"/>
                <w:color w:val="FF0000"/>
                <w:kern w:val="0"/>
                <w:sz w:val="21"/>
                <w:szCs w:val="21"/>
                <w:vertAlign w:val="superscript"/>
              </w:rPr>
              <w:t>-</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507</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398</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8</w:t>
            </w:r>
          </w:p>
        </w:tc>
        <w:tc>
          <w:tcPr>
            <w:tcW w:w="1702"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Cl</w:t>
            </w:r>
            <w:r>
              <w:rPr>
                <w:rFonts w:hint="default" w:ascii="Times New Roman" w:hAnsi="Times New Roman" w:eastAsia="宋体" w:cs="Times New Roman"/>
                <w:color w:val="FF0000"/>
                <w:kern w:val="0"/>
                <w:sz w:val="21"/>
                <w:szCs w:val="21"/>
                <w:vertAlign w:val="superscript"/>
              </w:rPr>
              <w:t>-</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rPr>
              <w:t>60.8</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rPr>
              <w:t>1.10</w:t>
            </w:r>
            <w:r>
              <w:rPr>
                <w:rFonts w:hint="default" w:ascii="Times New Roman" w:hAnsi="Times New Roman" w:eastAsia="宋体" w:cs="Times New Roman"/>
                <w:color w:val="FF0000"/>
                <w:sz w:val="21"/>
                <w:szCs w:val="21"/>
              </w:rPr>
              <w:t>×10</w:t>
            </w:r>
            <w:r>
              <w:rPr>
                <w:rFonts w:hint="default" w:ascii="Times New Roman" w:hAnsi="Times New Roman" w:eastAsia="宋体" w:cs="Times New Roman"/>
                <w:color w:val="FF0000"/>
                <w:sz w:val="21"/>
                <w:szCs w:val="21"/>
                <w:vertAlign w:val="superscript"/>
              </w:rPr>
              <w:t>3</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rPr>
              <w:t>839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9</w:t>
            </w:r>
          </w:p>
        </w:tc>
        <w:tc>
          <w:tcPr>
            <w:tcW w:w="1702"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SO</w:t>
            </w:r>
            <w:r>
              <w:rPr>
                <w:rFonts w:hint="default" w:ascii="Times New Roman" w:hAnsi="Times New Roman" w:eastAsia="宋体" w:cs="Times New Roman"/>
                <w:color w:val="FF0000"/>
                <w:kern w:val="0"/>
                <w:sz w:val="21"/>
                <w:szCs w:val="21"/>
                <w:vertAlign w:val="subscript"/>
              </w:rPr>
              <w:t>4</w:t>
            </w:r>
            <w:r>
              <w:rPr>
                <w:rFonts w:hint="default" w:ascii="Times New Roman" w:hAnsi="Times New Roman" w:eastAsia="宋体" w:cs="Times New Roman"/>
                <w:color w:val="FF0000"/>
                <w:kern w:val="0"/>
                <w:sz w:val="21"/>
                <w:szCs w:val="21"/>
                <w:vertAlign w:val="superscript"/>
              </w:rPr>
              <w:t>2-</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360</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1.30×10</w:t>
            </w:r>
            <w:r>
              <w:rPr>
                <w:rFonts w:hint="default" w:ascii="Times New Roman" w:hAnsi="Times New Roman" w:eastAsia="宋体" w:cs="Times New Roman"/>
                <w:color w:val="FF0000"/>
                <w:sz w:val="21"/>
                <w:szCs w:val="21"/>
                <w:vertAlign w:val="superscript"/>
              </w:rPr>
              <w:t>3</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1.79×10</w:t>
            </w:r>
            <w:r>
              <w:rPr>
                <w:rFonts w:hint="default" w:ascii="Times New Roman" w:hAnsi="Times New Roman" w:eastAsia="宋体" w:cs="Times New Roman"/>
                <w:color w:val="FF0000"/>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10</w:t>
            </w:r>
          </w:p>
        </w:tc>
        <w:tc>
          <w:tcPr>
            <w:tcW w:w="1702"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硝酸盐(以N计)</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1.18</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17.7</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8.10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11</w:t>
            </w:r>
          </w:p>
        </w:tc>
        <w:tc>
          <w:tcPr>
            <w:tcW w:w="1702"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亚硝酸盐氮</w:t>
            </w:r>
          </w:p>
        </w:tc>
        <w:tc>
          <w:tcPr>
            <w:tcW w:w="1536"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ND</w:t>
            </w:r>
          </w:p>
        </w:tc>
        <w:tc>
          <w:tcPr>
            <w:tcW w:w="1709" w:type="dxa"/>
            <w:tcBorders>
              <w:top w:val="single" w:color="auto" w:sz="6" w:space="0"/>
              <w:left w:val="single" w:color="auto" w:sz="6" w:space="0"/>
              <w:bottom w:val="single" w:color="auto" w:sz="6"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ND</w:t>
            </w:r>
          </w:p>
        </w:tc>
        <w:tc>
          <w:tcPr>
            <w:tcW w:w="3414" w:type="dxa"/>
            <w:gridSpan w:val="2"/>
            <w:tcBorders>
              <w:top w:val="single" w:color="auto" w:sz="6" w:space="0"/>
              <w:left w:val="single" w:color="auto" w:sz="6" w:space="0"/>
              <w:bottom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09" w:type="dxa"/>
            <w:tcBorders>
              <w:top w:val="single" w:color="auto" w:sz="6" w:space="0"/>
              <w:bottom w:val="single" w:color="auto" w:sz="12"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12</w:t>
            </w:r>
          </w:p>
        </w:tc>
        <w:tc>
          <w:tcPr>
            <w:tcW w:w="1702" w:type="dxa"/>
            <w:tcBorders>
              <w:top w:val="single" w:color="auto" w:sz="6" w:space="0"/>
              <w:left w:val="single" w:color="auto" w:sz="6" w:space="0"/>
              <w:bottom w:val="single" w:color="auto" w:sz="12" w:space="0"/>
              <w:right w:val="single" w:color="auto" w:sz="6" w:space="0"/>
            </w:tcBorders>
            <w:vAlign w:val="center"/>
          </w:tcPr>
          <w:p>
            <w:pPr>
              <w:spacing w:line="240" w:lineRule="auto"/>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氟化物</w:t>
            </w:r>
          </w:p>
        </w:tc>
        <w:tc>
          <w:tcPr>
            <w:tcW w:w="1536" w:type="dxa"/>
            <w:tcBorders>
              <w:top w:val="single" w:color="auto" w:sz="6" w:space="0"/>
              <w:left w:val="single" w:color="auto" w:sz="6" w:space="0"/>
              <w:bottom w:val="single" w:color="auto" w:sz="12"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0.88</w:t>
            </w:r>
          </w:p>
        </w:tc>
        <w:tc>
          <w:tcPr>
            <w:tcW w:w="1709" w:type="dxa"/>
            <w:tcBorders>
              <w:top w:val="single" w:color="auto" w:sz="6" w:space="0"/>
              <w:left w:val="single" w:color="auto" w:sz="6" w:space="0"/>
              <w:bottom w:val="single" w:color="auto" w:sz="12" w:space="0"/>
              <w:right w:val="single" w:color="auto" w:sz="6"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0.74</w:t>
            </w:r>
          </w:p>
        </w:tc>
        <w:tc>
          <w:tcPr>
            <w:tcW w:w="3414" w:type="dxa"/>
            <w:gridSpan w:val="2"/>
            <w:tcBorders>
              <w:top w:val="single" w:color="auto" w:sz="6" w:space="0"/>
              <w:left w:val="single" w:color="auto" w:sz="6" w:space="0"/>
              <w:bottom w:val="single" w:color="auto" w:sz="12" w:space="0"/>
            </w:tcBorders>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0.71</w:t>
            </w:r>
          </w:p>
        </w:tc>
      </w:tr>
    </w:tbl>
    <w:p>
      <w:pPr>
        <w:pStyle w:val="2"/>
        <w:rPr>
          <w:rFonts w:hint="default"/>
          <w:color w:val="FF0000"/>
          <w:lang w:eastAsia="zh-CN"/>
        </w:rPr>
      </w:pPr>
    </w:p>
    <w:p>
      <w:pPr>
        <w:pStyle w:val="2"/>
        <w:adjustRightInd w:val="0"/>
        <w:spacing w:line="540" w:lineRule="exact"/>
        <w:ind w:firstLine="480" w:firstLineChars="200"/>
        <w:jc w:val="both"/>
        <w:rPr>
          <w:rFonts w:ascii="Times New Roman" w:hAnsi="Times New Roman"/>
          <w:color w:val="FF0000"/>
          <w:sz w:val="24"/>
          <w:lang w:val="zh-CN"/>
        </w:rPr>
      </w:pPr>
      <w:r>
        <w:rPr>
          <w:rFonts w:hint="eastAsia" w:ascii="Times New Roman" w:hAnsi="Times New Roman"/>
          <w:color w:val="FF0000"/>
          <w:sz w:val="24"/>
          <w:lang w:val="zh-CN"/>
        </w:rPr>
        <w:t>②地下水中阴阳离子平衡计算</w:t>
      </w:r>
    </w:p>
    <w:p>
      <w:pPr>
        <w:pStyle w:val="2"/>
        <w:adjustRightInd w:val="0"/>
        <w:spacing w:line="540" w:lineRule="exact"/>
        <w:ind w:firstLine="480" w:firstLineChars="200"/>
        <w:jc w:val="both"/>
        <w:rPr>
          <w:rFonts w:ascii="Times New Roman" w:hAnsi="Times New Roman"/>
          <w:color w:val="FF0000"/>
          <w:sz w:val="24"/>
          <w:lang w:val="zh-CN"/>
        </w:rPr>
      </w:pPr>
      <w:r>
        <w:rPr>
          <w:rFonts w:hint="eastAsia" w:ascii="Times New Roman" w:hAnsi="Times New Roman"/>
          <w:color w:val="FF0000"/>
          <w:sz w:val="24"/>
          <w:lang w:val="zh-CN"/>
        </w:rPr>
        <w:t>结合</w:t>
      </w:r>
      <w:r>
        <w:rPr>
          <w:rFonts w:hint="eastAsia" w:ascii="Times New Roman" w:hAnsi="Times New Roman"/>
          <w:color w:val="FF0000"/>
          <w:sz w:val="24"/>
        </w:rPr>
        <w:t>地下水阴阳离子监测结果，评价区</w:t>
      </w:r>
      <w:r>
        <w:rPr>
          <w:rFonts w:hint="eastAsia" w:ascii="Times New Roman" w:hAnsi="Times New Roman"/>
          <w:color w:val="FF0000"/>
          <w:sz w:val="24"/>
          <w:lang w:val="zh-CN"/>
        </w:rPr>
        <w:t>地下水中阴阳离子平衡计算见表</w:t>
      </w:r>
      <w:r>
        <w:rPr>
          <w:rFonts w:hint="eastAsia" w:ascii="Times New Roman" w:hAnsi="Times New Roman"/>
          <w:color w:val="FF0000"/>
          <w:sz w:val="24"/>
          <w:lang w:val="en-US" w:eastAsia="zh-CN"/>
        </w:rPr>
        <w:t>3.2-11</w:t>
      </w:r>
      <w:r>
        <w:rPr>
          <w:rFonts w:hint="eastAsia" w:ascii="Times New Roman" w:hAnsi="Times New Roman"/>
          <w:color w:val="FF0000"/>
          <w:sz w:val="24"/>
          <w:lang w:val="zh-CN"/>
        </w:rPr>
        <w:t>。</w:t>
      </w:r>
    </w:p>
    <w:p>
      <w:pPr>
        <w:pStyle w:val="2"/>
        <w:adjustRightInd w:val="0"/>
        <w:spacing w:line="540" w:lineRule="exact"/>
        <w:ind w:firstLine="480" w:firstLineChars="200"/>
        <w:jc w:val="both"/>
        <w:rPr>
          <w:rFonts w:ascii="Times New Roman" w:hAnsi="Times New Roman"/>
          <w:color w:val="FF0000"/>
          <w:sz w:val="24"/>
          <w:lang w:val="zh-CN"/>
        </w:rPr>
      </w:pPr>
      <w:r>
        <w:rPr>
          <w:rFonts w:hint="eastAsia" w:ascii="Times New Roman" w:hAnsi="Times New Roman"/>
          <w:color w:val="FF0000"/>
          <w:sz w:val="24"/>
          <w:lang w:val="zh-CN"/>
        </w:rPr>
        <w:t>③地下水化学类型分析</w:t>
      </w:r>
    </w:p>
    <w:p>
      <w:pPr>
        <w:pStyle w:val="2"/>
        <w:adjustRightInd w:val="0"/>
        <w:spacing w:line="540" w:lineRule="exact"/>
        <w:ind w:firstLine="480" w:firstLineChars="200"/>
        <w:jc w:val="both"/>
        <w:rPr>
          <w:rFonts w:ascii="Times New Roman" w:hAnsi="Times New Roman"/>
          <w:color w:val="FF0000"/>
          <w:sz w:val="24"/>
          <w:lang w:val="zh-CN"/>
        </w:rPr>
      </w:pPr>
      <w:r>
        <w:rPr>
          <w:rFonts w:hint="eastAsia" w:ascii="Times New Roman" w:hAnsi="Times New Roman"/>
          <w:color w:val="FF0000"/>
          <w:sz w:val="24"/>
          <w:lang w:val="zh-CN"/>
        </w:rPr>
        <w:t>地下水化学分类的方案有多种，其中阿廖金分类法和舒卡列夫分类法较为常用，结合项目区域地下水实际情况，本次选用舒卡列夫分类法进行地下水水化学类型分析。</w:t>
      </w:r>
    </w:p>
    <w:p>
      <w:pPr>
        <w:pStyle w:val="2"/>
        <w:adjustRightInd w:val="0"/>
        <w:spacing w:line="540" w:lineRule="exact"/>
        <w:ind w:firstLine="480" w:firstLineChars="200"/>
        <w:jc w:val="both"/>
        <w:rPr>
          <w:rFonts w:ascii="Times New Roman" w:hAnsi="Times New Roman"/>
          <w:color w:val="FF0000"/>
          <w:sz w:val="24"/>
        </w:rPr>
      </w:pPr>
      <w:r>
        <w:rPr>
          <w:rFonts w:ascii="Times New Roman" w:hAnsi="Times New Roman"/>
          <w:color w:val="FF0000"/>
          <w:sz w:val="24"/>
        </w:rPr>
        <w:t>根据舒卡列夫分类法，地下水中Ca</w:t>
      </w:r>
      <w:r>
        <w:rPr>
          <w:rFonts w:ascii="Times New Roman" w:hAnsi="Times New Roman"/>
          <w:color w:val="FF0000"/>
          <w:sz w:val="24"/>
          <w:vertAlign w:val="superscript"/>
        </w:rPr>
        <w:t>2＋</w:t>
      </w:r>
      <w:r>
        <w:rPr>
          <w:rFonts w:ascii="Times New Roman" w:hAnsi="Times New Roman"/>
          <w:color w:val="FF0000"/>
          <w:sz w:val="24"/>
        </w:rPr>
        <w:t>、Mg</w:t>
      </w:r>
      <w:r>
        <w:rPr>
          <w:rFonts w:ascii="Times New Roman" w:hAnsi="Times New Roman"/>
          <w:color w:val="FF0000"/>
          <w:sz w:val="24"/>
          <w:vertAlign w:val="superscript"/>
        </w:rPr>
        <w:t>2＋</w:t>
      </w:r>
      <w:r>
        <w:rPr>
          <w:rFonts w:ascii="Times New Roman" w:hAnsi="Times New Roman"/>
          <w:color w:val="FF0000"/>
          <w:sz w:val="24"/>
        </w:rPr>
        <w:t>、HCO</w:t>
      </w:r>
      <w:r>
        <w:rPr>
          <w:rFonts w:ascii="Times New Roman" w:hAnsi="Times New Roman"/>
          <w:color w:val="FF0000"/>
          <w:sz w:val="24"/>
          <w:vertAlign w:val="subscript"/>
        </w:rPr>
        <w:t>3</w:t>
      </w:r>
      <w:r>
        <w:rPr>
          <w:rFonts w:ascii="Times New Roman" w:hAnsi="Times New Roman"/>
          <w:color w:val="FF0000"/>
          <w:sz w:val="24"/>
          <w:vertAlign w:val="superscript"/>
        </w:rPr>
        <w:t>－</w:t>
      </w:r>
      <w:r>
        <w:rPr>
          <w:rFonts w:ascii="Times New Roman" w:hAnsi="Times New Roman"/>
          <w:color w:val="FF0000"/>
          <w:sz w:val="24"/>
        </w:rPr>
        <w:t>、SO</w:t>
      </w:r>
      <w:r>
        <w:rPr>
          <w:rFonts w:ascii="Times New Roman" w:hAnsi="Times New Roman"/>
          <w:color w:val="FF0000"/>
          <w:sz w:val="24"/>
          <w:vertAlign w:val="subscript"/>
        </w:rPr>
        <w:t>4</w:t>
      </w:r>
      <w:r>
        <w:rPr>
          <w:rFonts w:ascii="Times New Roman" w:hAnsi="Times New Roman"/>
          <w:color w:val="FF0000"/>
          <w:sz w:val="24"/>
          <w:vertAlign w:val="superscript"/>
        </w:rPr>
        <w:t>2－</w:t>
      </w:r>
      <w:r>
        <w:rPr>
          <w:rFonts w:ascii="Times New Roman" w:hAnsi="Times New Roman"/>
          <w:color w:val="FF0000"/>
          <w:sz w:val="24"/>
        </w:rPr>
        <w:t>、Na</w:t>
      </w:r>
      <w:r>
        <w:rPr>
          <w:rFonts w:ascii="Times New Roman" w:hAnsi="Times New Roman"/>
          <w:color w:val="FF0000"/>
          <w:sz w:val="24"/>
          <w:vertAlign w:val="superscript"/>
        </w:rPr>
        <w:t>＋</w:t>
      </w:r>
      <w:r>
        <w:rPr>
          <w:rFonts w:ascii="Times New Roman" w:hAnsi="Times New Roman"/>
          <w:color w:val="FF0000"/>
          <w:sz w:val="24"/>
        </w:rPr>
        <w:t>(Na+K)、Cl</w:t>
      </w:r>
      <w:r>
        <w:rPr>
          <w:rFonts w:ascii="Times New Roman" w:hAnsi="Times New Roman"/>
          <w:color w:val="FF0000"/>
          <w:sz w:val="24"/>
          <w:vertAlign w:val="superscript"/>
        </w:rPr>
        <w:t>－</w:t>
      </w:r>
      <w:r>
        <w:rPr>
          <w:rFonts w:ascii="Times New Roman" w:hAnsi="Times New Roman"/>
          <w:color w:val="FF0000"/>
          <w:sz w:val="24"/>
        </w:rPr>
        <w:t>将Meq(毫克当量)百分数大于25%的阴、阳离子进行组合，每种类型以阿拉伯数字为代号，共49类。舒卡列夫分类表见表</w:t>
      </w:r>
      <w:r>
        <w:rPr>
          <w:rFonts w:hint="eastAsia" w:ascii="Times New Roman" w:hAnsi="Times New Roman"/>
          <w:color w:val="FF0000"/>
          <w:sz w:val="24"/>
          <w:lang w:val="en-US" w:eastAsia="zh-CN"/>
        </w:rPr>
        <w:t>3.2-12</w:t>
      </w:r>
      <w:r>
        <w:rPr>
          <w:rFonts w:ascii="Times New Roman" w:hAnsi="Times New Roman"/>
          <w:color w:val="FF0000"/>
          <w:sz w:val="24"/>
        </w:rPr>
        <w:t>。</w:t>
      </w:r>
    </w:p>
    <w:p>
      <w:pPr>
        <w:pStyle w:val="2"/>
        <w:adjustRightInd w:val="0"/>
        <w:spacing w:line="540" w:lineRule="exact"/>
        <w:ind w:firstLine="480" w:firstLineChars="200"/>
        <w:jc w:val="both"/>
        <w:rPr>
          <w:rFonts w:ascii="Times New Roman" w:hAnsi="Times New Roman"/>
          <w:color w:val="FF0000"/>
          <w:sz w:val="24"/>
        </w:rPr>
      </w:pPr>
      <w:r>
        <w:rPr>
          <w:rFonts w:hint="eastAsia" w:ascii="Times New Roman" w:hAnsi="Times New Roman"/>
          <w:color w:val="FF0000"/>
          <w:sz w:val="24"/>
        </w:rPr>
        <w:t>根据舒卡列夫图表及矿化度分组，评价区</w:t>
      </w:r>
      <w:r>
        <w:rPr>
          <w:rFonts w:hint="eastAsia" w:ascii="Times New Roman" w:hAnsi="Times New Roman"/>
          <w:color w:val="FF0000"/>
          <w:sz w:val="24"/>
          <w:lang w:val="zh-CN"/>
        </w:rPr>
        <w:t>地下水化学类型</w:t>
      </w:r>
      <w:r>
        <w:rPr>
          <w:rFonts w:hint="eastAsia" w:ascii="Times New Roman" w:hAnsi="Times New Roman"/>
          <w:color w:val="FF0000"/>
          <w:sz w:val="24"/>
        </w:rPr>
        <w:t>分析结果见表</w:t>
      </w:r>
      <w:r>
        <w:rPr>
          <w:rFonts w:hint="eastAsia" w:ascii="Times New Roman" w:hAnsi="Times New Roman"/>
          <w:color w:val="FF0000"/>
          <w:sz w:val="24"/>
          <w:lang w:val="en-US" w:eastAsia="zh-CN"/>
        </w:rPr>
        <w:t>3.2-13</w:t>
      </w:r>
      <w:r>
        <w:rPr>
          <w:rFonts w:hint="eastAsia" w:ascii="Times New Roman" w:hAnsi="Times New Roman"/>
          <w:color w:val="FF0000"/>
          <w:sz w:val="24"/>
        </w:rPr>
        <w:t>。</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color w:val="FF0000"/>
          <w:kern w:val="2"/>
          <w:sz w:val="24"/>
          <w:szCs w:val="24"/>
          <w:lang w:val="en-US" w:eastAsia="zh-CN" w:bidi="ar-SA"/>
        </w:rPr>
        <w:t>⑺监测结果统计分析</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ascii="Times New Roman" w:hAnsi="Times New Roman" w:eastAsia="宋体" w:cs="Times New Roman"/>
          <w:color w:val="FF0000"/>
          <w:kern w:val="2"/>
          <w:sz w:val="24"/>
          <w:szCs w:val="24"/>
          <w:lang w:val="en-US" w:eastAsia="zh-CN" w:bidi="ar-SA"/>
        </w:rPr>
        <w:sectPr>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color w:val="FF0000"/>
          <w:kern w:val="2"/>
          <w:sz w:val="24"/>
          <w:szCs w:val="24"/>
          <w:lang w:val="en-US" w:eastAsia="zh-CN" w:bidi="ar-SA"/>
        </w:rPr>
        <w:t>评价区地下水质量现状监测结果统计分析与评价见表</w:t>
      </w:r>
      <w:r>
        <w:rPr>
          <w:rFonts w:hint="eastAsia" w:ascii="Times New Roman" w:hAnsi="Times New Roman" w:cs="Times New Roman"/>
          <w:color w:val="FF0000"/>
          <w:kern w:val="2"/>
          <w:sz w:val="24"/>
          <w:szCs w:val="24"/>
          <w:lang w:val="en-US" w:eastAsia="zh-CN" w:bidi="ar-SA"/>
        </w:rPr>
        <w:t>3.2-14</w:t>
      </w:r>
    </w:p>
    <w:p>
      <w:pPr>
        <w:adjustRightInd w:val="0"/>
        <w:snapToGrid w:val="0"/>
        <w:jc w:val="center"/>
        <w:rPr>
          <w:rFonts w:hint="default" w:ascii="Times New Roman" w:hAnsi="Times New Roman" w:eastAsia="宋体" w:cs="Times New Roman"/>
          <w:b/>
          <w:bCs/>
          <w:color w:val="FF0000"/>
          <w:sz w:val="24"/>
          <w:szCs w:val="24"/>
        </w:rPr>
      </w:pPr>
      <w:bookmarkStart w:id="495" w:name="_Toc31081"/>
      <w:r>
        <w:rPr>
          <w:rFonts w:hint="default" w:ascii="Times New Roman" w:hAnsi="Times New Roman" w:eastAsia="宋体" w:cs="Times New Roman"/>
          <w:b/>
          <w:bCs/>
          <w:color w:val="FF0000"/>
          <w:sz w:val="24"/>
          <w:szCs w:val="24"/>
        </w:rPr>
        <w:t>表</w:t>
      </w:r>
      <w:r>
        <w:rPr>
          <w:rFonts w:hint="eastAsia" w:ascii="Times New Roman" w:hAnsi="Times New Roman" w:eastAsia="宋体" w:cs="Times New Roman"/>
          <w:b/>
          <w:bCs/>
          <w:color w:val="FF0000"/>
          <w:sz w:val="24"/>
          <w:szCs w:val="24"/>
          <w:lang w:val="en-US" w:eastAsia="zh-CN"/>
        </w:rPr>
        <w:t>3.2-11</w:t>
      </w:r>
      <w:r>
        <w:rPr>
          <w:rFonts w:hint="default" w:ascii="Times New Roman" w:hAnsi="Times New Roman" w:eastAsia="宋体" w:cs="Times New Roman"/>
          <w:b/>
          <w:bCs/>
          <w:color w:val="FF0000"/>
          <w:sz w:val="24"/>
          <w:szCs w:val="24"/>
        </w:rPr>
        <w:t xml:space="preserve">    地下水中阴阳离子平衡计算表    单位：mEq/L</w:t>
      </w:r>
    </w:p>
    <w:tbl>
      <w:tblPr>
        <w:tblStyle w:val="29"/>
        <w:tblW w:w="1400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69"/>
        <w:gridCol w:w="759"/>
        <w:gridCol w:w="759"/>
        <w:gridCol w:w="865"/>
        <w:gridCol w:w="865"/>
        <w:gridCol w:w="711"/>
        <w:gridCol w:w="863"/>
        <w:gridCol w:w="863"/>
        <w:gridCol w:w="759"/>
        <w:gridCol w:w="924"/>
        <w:gridCol w:w="994"/>
        <w:gridCol w:w="991"/>
        <w:gridCol w:w="994"/>
        <w:gridCol w:w="991"/>
        <w:gridCol w:w="1134"/>
        <w:gridCol w:w="9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trPr>
        <w:tc>
          <w:tcPr>
            <w:tcW w:w="569"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监测井</w:t>
            </w:r>
          </w:p>
        </w:tc>
        <w:tc>
          <w:tcPr>
            <w:tcW w:w="759"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K</w:t>
            </w:r>
            <w:r>
              <w:rPr>
                <w:rFonts w:hint="default" w:ascii="Times New Roman" w:hAnsi="Times New Roman" w:eastAsia="宋体" w:cs="Times New Roman"/>
                <w:b/>
                <w:bCs/>
                <w:color w:val="FF0000"/>
                <w:sz w:val="21"/>
                <w:szCs w:val="21"/>
                <w:vertAlign w:val="superscript"/>
              </w:rPr>
              <w:t>+</w:t>
            </w:r>
          </w:p>
        </w:tc>
        <w:tc>
          <w:tcPr>
            <w:tcW w:w="759"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Ca</w:t>
            </w:r>
            <w:r>
              <w:rPr>
                <w:rFonts w:hint="default" w:ascii="Times New Roman" w:hAnsi="Times New Roman" w:eastAsia="宋体" w:cs="Times New Roman"/>
                <w:b/>
                <w:bCs/>
                <w:color w:val="FF0000"/>
                <w:sz w:val="21"/>
                <w:szCs w:val="21"/>
                <w:vertAlign w:val="superscript"/>
              </w:rPr>
              <w:t>2+</w:t>
            </w:r>
          </w:p>
        </w:tc>
        <w:tc>
          <w:tcPr>
            <w:tcW w:w="865"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Na</w:t>
            </w:r>
            <w:r>
              <w:rPr>
                <w:rFonts w:hint="default" w:ascii="Times New Roman" w:hAnsi="Times New Roman" w:eastAsia="宋体" w:cs="Times New Roman"/>
                <w:b/>
                <w:bCs/>
                <w:color w:val="FF0000"/>
                <w:sz w:val="21"/>
                <w:szCs w:val="21"/>
                <w:vertAlign w:val="superscript"/>
              </w:rPr>
              <w:t>+</w:t>
            </w:r>
          </w:p>
        </w:tc>
        <w:tc>
          <w:tcPr>
            <w:tcW w:w="865"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Mg</w:t>
            </w:r>
            <w:r>
              <w:rPr>
                <w:rFonts w:hint="default" w:ascii="Times New Roman" w:hAnsi="Times New Roman" w:eastAsia="宋体" w:cs="Times New Roman"/>
                <w:b/>
                <w:bCs/>
                <w:color w:val="FF0000"/>
                <w:sz w:val="21"/>
                <w:szCs w:val="21"/>
                <w:vertAlign w:val="superscript"/>
              </w:rPr>
              <w:t>2+</w:t>
            </w:r>
          </w:p>
        </w:tc>
        <w:tc>
          <w:tcPr>
            <w:tcW w:w="711"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kern w:val="0"/>
                <w:sz w:val="21"/>
                <w:szCs w:val="21"/>
              </w:rPr>
              <w:t>氨氮</w:t>
            </w:r>
          </w:p>
        </w:tc>
        <w:tc>
          <w:tcPr>
            <w:tcW w:w="863"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SO</w:t>
            </w:r>
            <w:r>
              <w:rPr>
                <w:rFonts w:hint="default" w:ascii="Times New Roman" w:hAnsi="Times New Roman" w:eastAsia="宋体" w:cs="Times New Roman"/>
                <w:b/>
                <w:bCs/>
                <w:color w:val="FF0000"/>
                <w:sz w:val="21"/>
                <w:szCs w:val="21"/>
                <w:vertAlign w:val="subscript"/>
              </w:rPr>
              <w:t>4</w:t>
            </w:r>
            <w:r>
              <w:rPr>
                <w:rFonts w:hint="default" w:ascii="Times New Roman" w:hAnsi="Times New Roman" w:eastAsia="宋体" w:cs="Times New Roman"/>
                <w:b/>
                <w:bCs/>
                <w:color w:val="FF0000"/>
                <w:sz w:val="21"/>
                <w:szCs w:val="21"/>
                <w:vertAlign w:val="superscript"/>
              </w:rPr>
              <w:t>2-</w:t>
            </w:r>
          </w:p>
        </w:tc>
        <w:tc>
          <w:tcPr>
            <w:tcW w:w="863"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Cl</w:t>
            </w:r>
            <w:r>
              <w:rPr>
                <w:rFonts w:hint="default" w:ascii="Times New Roman" w:hAnsi="Times New Roman" w:eastAsia="宋体" w:cs="Times New Roman"/>
                <w:b/>
                <w:bCs/>
                <w:color w:val="FF0000"/>
                <w:sz w:val="21"/>
                <w:szCs w:val="21"/>
                <w:vertAlign w:val="superscript"/>
              </w:rPr>
              <w:t>-</w:t>
            </w:r>
          </w:p>
        </w:tc>
        <w:tc>
          <w:tcPr>
            <w:tcW w:w="759"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CO</w:t>
            </w:r>
            <w:r>
              <w:rPr>
                <w:rFonts w:hint="default" w:ascii="Times New Roman" w:hAnsi="Times New Roman" w:eastAsia="宋体" w:cs="Times New Roman"/>
                <w:b/>
                <w:bCs/>
                <w:color w:val="FF0000"/>
                <w:sz w:val="21"/>
                <w:szCs w:val="21"/>
                <w:vertAlign w:val="subscript"/>
              </w:rPr>
              <w:t>3</w:t>
            </w:r>
            <w:r>
              <w:rPr>
                <w:rFonts w:hint="default" w:ascii="Times New Roman" w:hAnsi="Times New Roman" w:eastAsia="宋体" w:cs="Times New Roman"/>
                <w:b/>
                <w:bCs/>
                <w:color w:val="FF0000"/>
                <w:sz w:val="21"/>
                <w:szCs w:val="21"/>
                <w:vertAlign w:val="superscript"/>
              </w:rPr>
              <w:t>2-</w:t>
            </w:r>
          </w:p>
        </w:tc>
        <w:tc>
          <w:tcPr>
            <w:tcW w:w="924"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HCO</w:t>
            </w:r>
            <w:r>
              <w:rPr>
                <w:rFonts w:hint="default" w:ascii="Times New Roman" w:hAnsi="Times New Roman" w:eastAsia="宋体" w:cs="Times New Roman"/>
                <w:b/>
                <w:bCs/>
                <w:color w:val="FF0000"/>
                <w:sz w:val="21"/>
                <w:szCs w:val="21"/>
                <w:vertAlign w:val="superscript"/>
              </w:rPr>
              <w:t>3-</w:t>
            </w:r>
          </w:p>
        </w:tc>
        <w:tc>
          <w:tcPr>
            <w:tcW w:w="994" w:type="dxa"/>
            <w:vAlign w:val="center"/>
          </w:tcPr>
          <w:p>
            <w:pPr>
              <w:spacing w:line="240" w:lineRule="auto"/>
              <w:jc w:val="center"/>
              <w:rPr>
                <w:rFonts w:hint="default" w:ascii="Times New Roman" w:hAnsi="Times New Roman" w:eastAsia="宋体" w:cs="Times New Roman"/>
                <w:b/>
                <w:bCs/>
                <w:color w:val="FF0000"/>
                <w:kern w:val="0"/>
                <w:sz w:val="21"/>
                <w:szCs w:val="21"/>
              </w:rPr>
            </w:pPr>
            <w:r>
              <w:rPr>
                <w:rFonts w:hint="default" w:ascii="Times New Roman" w:hAnsi="Times New Roman" w:eastAsia="宋体" w:cs="Times New Roman"/>
                <w:b/>
                <w:bCs/>
                <w:color w:val="FF0000"/>
                <w:kern w:val="0"/>
                <w:sz w:val="21"/>
                <w:szCs w:val="21"/>
              </w:rPr>
              <w:t>硝酸盐</w:t>
            </w:r>
          </w:p>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kern w:val="0"/>
                <w:sz w:val="21"/>
                <w:szCs w:val="21"/>
              </w:rPr>
              <w:t>(以N计)</w:t>
            </w:r>
          </w:p>
        </w:tc>
        <w:tc>
          <w:tcPr>
            <w:tcW w:w="991"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亚硝酸盐氮</w:t>
            </w:r>
          </w:p>
        </w:tc>
        <w:tc>
          <w:tcPr>
            <w:tcW w:w="994" w:type="dxa"/>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氟化物</w:t>
            </w:r>
          </w:p>
        </w:tc>
        <w:tc>
          <w:tcPr>
            <w:tcW w:w="991"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阳离子</w:t>
            </w:r>
          </w:p>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Ma</w:t>
            </w:r>
          </w:p>
        </w:tc>
        <w:tc>
          <w:tcPr>
            <w:tcW w:w="1134"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阴离子</w:t>
            </w:r>
          </w:p>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Mc</w:t>
            </w:r>
          </w:p>
        </w:tc>
        <w:tc>
          <w:tcPr>
            <w:tcW w:w="961" w:type="dxa"/>
            <w:shd w:val="clear" w:color="auto" w:fill="auto"/>
            <w:vAlign w:val="center"/>
          </w:tcPr>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相对误差</w:t>
            </w:r>
          </w:p>
          <w:p>
            <w:pPr>
              <w:spacing w:line="240" w:lineRule="auto"/>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E(%)</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7" w:hRule="atLeast"/>
        </w:trPr>
        <w:tc>
          <w:tcPr>
            <w:tcW w:w="56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0.4923</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4.9600</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1.8783</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1.3333</w:t>
            </w:r>
          </w:p>
        </w:tc>
        <w:tc>
          <w:tcPr>
            <w:tcW w:w="71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0.0038</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2.5625</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0.3155</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0.0000</w:t>
            </w:r>
          </w:p>
        </w:tc>
        <w:tc>
          <w:tcPr>
            <w:tcW w:w="92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6.4590</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0.0106</w:t>
            </w:r>
          </w:p>
        </w:tc>
        <w:tc>
          <w:tcPr>
            <w:tcW w:w="99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0.0000</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0.0153</w:t>
            </w:r>
          </w:p>
        </w:tc>
        <w:tc>
          <w:tcPr>
            <w:tcW w:w="99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8.6677</w:t>
            </w:r>
          </w:p>
        </w:tc>
        <w:tc>
          <w:tcPr>
            <w:tcW w:w="113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9.3629</w:t>
            </w:r>
          </w:p>
        </w:tc>
        <w:tc>
          <w:tcPr>
            <w:tcW w:w="96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trPr>
        <w:tc>
          <w:tcPr>
            <w:tcW w:w="56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0.0262</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2.8950</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12.1739</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5.5833</w:t>
            </w:r>
          </w:p>
        </w:tc>
        <w:tc>
          <w:tcPr>
            <w:tcW w:w="71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0.0082</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9.0208</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2.0113</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0.0000</w:t>
            </w:r>
          </w:p>
        </w:tc>
        <w:tc>
          <w:tcPr>
            <w:tcW w:w="92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8.2131</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0.0829</w:t>
            </w:r>
          </w:p>
        </w:tc>
        <w:tc>
          <w:tcPr>
            <w:tcW w:w="99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0.0000</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0.0405</w:t>
            </w:r>
          </w:p>
        </w:tc>
        <w:tc>
          <w:tcPr>
            <w:tcW w:w="99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20.6866</w:t>
            </w:r>
          </w:p>
        </w:tc>
        <w:tc>
          <w:tcPr>
            <w:tcW w:w="113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19.3686</w:t>
            </w:r>
          </w:p>
        </w:tc>
        <w:tc>
          <w:tcPr>
            <w:tcW w:w="96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2" w:hRule="atLeast"/>
        </w:trPr>
        <w:tc>
          <w:tcPr>
            <w:tcW w:w="56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0.0212</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7.9000</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32.9565</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30.4167</w:t>
            </w:r>
          </w:p>
        </w:tc>
        <w:tc>
          <w:tcPr>
            <w:tcW w:w="71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0.0059</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36.4583</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24.1690</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0.0000</w:t>
            </w:r>
          </w:p>
        </w:tc>
        <w:tc>
          <w:tcPr>
            <w:tcW w:w="92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6.5738</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0.7500</w:t>
            </w:r>
          </w:p>
        </w:tc>
        <w:tc>
          <w:tcPr>
            <w:tcW w:w="99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0.0007</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0.0358</w:t>
            </w:r>
          </w:p>
        </w:tc>
        <w:tc>
          <w:tcPr>
            <w:tcW w:w="99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71.3003</w:t>
            </w:r>
          </w:p>
        </w:tc>
        <w:tc>
          <w:tcPr>
            <w:tcW w:w="113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67.9876</w:t>
            </w:r>
          </w:p>
        </w:tc>
        <w:tc>
          <w:tcPr>
            <w:tcW w:w="96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2" w:hRule="atLeast"/>
        </w:trPr>
        <w:tc>
          <w:tcPr>
            <w:tcW w:w="56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0.0244</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3.1800</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10.6522</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6.9583</w:t>
            </w:r>
          </w:p>
        </w:tc>
        <w:tc>
          <w:tcPr>
            <w:tcW w:w="71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0.0299</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7.8333</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1.7042</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0.0000</w:t>
            </w:r>
          </w:p>
        </w:tc>
        <w:tc>
          <w:tcPr>
            <w:tcW w:w="92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8.3607</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0.0289</w:t>
            </w:r>
          </w:p>
        </w:tc>
        <w:tc>
          <w:tcPr>
            <w:tcW w:w="99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0.0008</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0.0484</w:t>
            </w:r>
          </w:p>
        </w:tc>
        <w:tc>
          <w:tcPr>
            <w:tcW w:w="99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20.8447</w:t>
            </w:r>
          </w:p>
        </w:tc>
        <w:tc>
          <w:tcPr>
            <w:tcW w:w="113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17.9763</w:t>
            </w:r>
          </w:p>
        </w:tc>
        <w:tc>
          <w:tcPr>
            <w:tcW w:w="96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2" w:hRule="atLeast"/>
        </w:trPr>
        <w:tc>
          <w:tcPr>
            <w:tcW w:w="56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5#</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0.0595</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2.8550</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11.3913</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6.2917</w:t>
            </w:r>
          </w:p>
        </w:tc>
        <w:tc>
          <w:tcPr>
            <w:tcW w:w="71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0.0054</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7.5000</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1.7127</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0.0000</w:t>
            </w:r>
          </w:p>
        </w:tc>
        <w:tc>
          <w:tcPr>
            <w:tcW w:w="92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8.3115</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0.0843</w:t>
            </w:r>
          </w:p>
        </w:tc>
        <w:tc>
          <w:tcPr>
            <w:tcW w:w="99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0.0000</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0.0463</w:t>
            </w:r>
          </w:p>
        </w:tc>
        <w:tc>
          <w:tcPr>
            <w:tcW w:w="99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20.6028</w:t>
            </w:r>
          </w:p>
        </w:tc>
        <w:tc>
          <w:tcPr>
            <w:tcW w:w="113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17.6548</w:t>
            </w:r>
          </w:p>
        </w:tc>
        <w:tc>
          <w:tcPr>
            <w:tcW w:w="96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-7.71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2" w:hRule="atLeast"/>
        </w:trPr>
        <w:tc>
          <w:tcPr>
            <w:tcW w:w="56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0.4462</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8.8500</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31.6087</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30.0000</w:t>
            </w:r>
          </w:p>
        </w:tc>
        <w:tc>
          <w:tcPr>
            <w:tcW w:w="71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0.0131</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27.0833</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30.9859</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0.0000</w:t>
            </w:r>
          </w:p>
        </w:tc>
        <w:tc>
          <w:tcPr>
            <w:tcW w:w="92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6.5246</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1.2643</w:t>
            </w:r>
          </w:p>
        </w:tc>
        <w:tc>
          <w:tcPr>
            <w:tcW w:w="99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0.0000</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0.0389</w:t>
            </w:r>
          </w:p>
        </w:tc>
        <w:tc>
          <w:tcPr>
            <w:tcW w:w="99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70.9179</w:t>
            </w:r>
          </w:p>
        </w:tc>
        <w:tc>
          <w:tcPr>
            <w:tcW w:w="113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65.8971</w:t>
            </w:r>
          </w:p>
        </w:tc>
        <w:tc>
          <w:tcPr>
            <w:tcW w:w="96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2" w:hRule="atLeast"/>
        </w:trPr>
        <w:tc>
          <w:tcPr>
            <w:tcW w:w="56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0.0250</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8.1500</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35.6522</w:t>
            </w:r>
          </w:p>
        </w:tc>
        <w:tc>
          <w:tcPr>
            <w:tcW w:w="865"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32.0833</w:t>
            </w:r>
          </w:p>
        </w:tc>
        <w:tc>
          <w:tcPr>
            <w:tcW w:w="71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0.0057</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37.2917</w:t>
            </w:r>
          </w:p>
        </w:tc>
        <w:tc>
          <w:tcPr>
            <w:tcW w:w="863"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23.6338</w:t>
            </w:r>
          </w:p>
        </w:tc>
        <w:tc>
          <w:tcPr>
            <w:tcW w:w="759"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0.0000</w:t>
            </w:r>
          </w:p>
        </w:tc>
        <w:tc>
          <w:tcPr>
            <w:tcW w:w="92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6.5738</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0.5786</w:t>
            </w:r>
          </w:p>
        </w:tc>
        <w:tc>
          <w:tcPr>
            <w:tcW w:w="991"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0.0004</w:t>
            </w:r>
          </w:p>
        </w:tc>
        <w:tc>
          <w:tcPr>
            <w:tcW w:w="994" w:type="dxa"/>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0.0374</w:t>
            </w:r>
          </w:p>
        </w:tc>
        <w:tc>
          <w:tcPr>
            <w:tcW w:w="99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75.9162</w:t>
            </w:r>
          </w:p>
        </w:tc>
        <w:tc>
          <w:tcPr>
            <w:tcW w:w="1134"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68.1156</w:t>
            </w:r>
          </w:p>
        </w:tc>
        <w:tc>
          <w:tcPr>
            <w:tcW w:w="961" w:type="dxa"/>
            <w:shd w:val="clear" w:color="auto" w:fill="auto"/>
            <w:vAlign w:val="center"/>
          </w:tcPr>
          <w:p>
            <w:pPr>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-5.42</w:t>
            </w:r>
          </w:p>
        </w:tc>
      </w:tr>
    </w:tbl>
    <w:p>
      <w:pPr>
        <w:jc w:val="center"/>
        <w:rPr>
          <w:rFonts w:eastAsia="黑体" w:cs="Times New Roman"/>
          <w:color w:val="FF0000"/>
          <w:szCs w:val="24"/>
        </w:rPr>
      </w:pPr>
    </w:p>
    <w:p>
      <w:pPr>
        <w:jc w:val="center"/>
        <w:rPr>
          <w:rFonts w:hint="default" w:ascii="Times New Roman" w:hAnsi="Times New Roman" w:eastAsia="宋体" w:cs="Times New Roman"/>
          <w:b/>
          <w:bCs/>
          <w:color w:val="FF0000"/>
          <w:sz w:val="24"/>
          <w:szCs w:val="24"/>
        </w:rPr>
      </w:pPr>
      <w:r>
        <w:rPr>
          <w:rFonts w:hint="default" w:ascii="Times New Roman" w:hAnsi="Times New Roman" w:eastAsia="宋体" w:cs="Times New Roman"/>
          <w:b/>
          <w:bCs/>
          <w:color w:val="FF0000"/>
          <w:sz w:val="24"/>
          <w:szCs w:val="24"/>
        </w:rPr>
        <w:t>表</w:t>
      </w:r>
      <w:r>
        <w:rPr>
          <w:rFonts w:hint="eastAsia" w:ascii="Times New Roman" w:hAnsi="Times New Roman" w:eastAsia="宋体" w:cs="Times New Roman"/>
          <w:b/>
          <w:bCs/>
          <w:color w:val="FF0000"/>
          <w:sz w:val="24"/>
          <w:szCs w:val="24"/>
          <w:lang w:val="en-US" w:eastAsia="zh-CN"/>
        </w:rPr>
        <w:t>3.2-12</w:t>
      </w:r>
      <w:r>
        <w:rPr>
          <w:rFonts w:hint="default" w:ascii="Times New Roman" w:hAnsi="Times New Roman" w:eastAsia="宋体" w:cs="Times New Roman"/>
          <w:b/>
          <w:bCs/>
          <w:color w:val="FF0000"/>
          <w:sz w:val="24"/>
          <w:szCs w:val="24"/>
        </w:rPr>
        <w:t xml:space="preserve"> </w:t>
      </w:r>
      <w:r>
        <w:rPr>
          <w:rFonts w:hint="eastAsia" w:ascii="Times New Roman" w:hAnsi="Times New Roman" w:cs="Times New Roman"/>
          <w:b/>
          <w:bCs/>
          <w:color w:val="FF0000"/>
          <w:sz w:val="24"/>
          <w:szCs w:val="24"/>
          <w:lang w:val="en-US" w:eastAsia="zh-CN"/>
        </w:rPr>
        <w:t xml:space="preserve">       </w:t>
      </w:r>
      <w:r>
        <w:rPr>
          <w:rFonts w:hint="default" w:ascii="Times New Roman" w:hAnsi="Times New Roman" w:eastAsia="宋体" w:cs="Times New Roman"/>
          <w:b/>
          <w:bCs/>
          <w:color w:val="FF0000"/>
          <w:sz w:val="24"/>
          <w:szCs w:val="24"/>
        </w:rPr>
        <w:t>舒卡列夫分类表</w:t>
      </w:r>
    </w:p>
    <w:tbl>
      <w:tblPr>
        <w:tblStyle w:val="29"/>
        <w:tblW w:w="1400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51"/>
        <w:gridCol w:w="1751"/>
        <w:gridCol w:w="1750"/>
        <w:gridCol w:w="1750"/>
        <w:gridCol w:w="1750"/>
        <w:gridCol w:w="1750"/>
        <w:gridCol w:w="1750"/>
        <w:gridCol w:w="175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751" w:type="dxa"/>
            <w:vAlign w:val="center"/>
          </w:tcPr>
          <w:p>
            <w:pPr>
              <w:adjustRightInd w:val="0"/>
              <w:spacing w:line="240" w:lineRule="auto"/>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含量＞25%Meq的离子</w:t>
            </w:r>
          </w:p>
        </w:tc>
        <w:tc>
          <w:tcPr>
            <w:tcW w:w="1751" w:type="dxa"/>
            <w:vAlign w:val="center"/>
          </w:tcPr>
          <w:p>
            <w:pPr>
              <w:adjustRightInd w:val="0"/>
              <w:spacing w:line="240" w:lineRule="auto"/>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HCO</w:t>
            </w:r>
            <w:r>
              <w:rPr>
                <w:rFonts w:hint="default" w:ascii="Times New Roman" w:hAnsi="Times New Roman" w:eastAsia="宋体" w:cs="Times New Roman"/>
                <w:b/>
                <w:color w:val="FF0000"/>
                <w:sz w:val="21"/>
                <w:szCs w:val="21"/>
                <w:vertAlign w:val="subscript"/>
              </w:rPr>
              <w:t>3</w:t>
            </w:r>
          </w:p>
        </w:tc>
        <w:tc>
          <w:tcPr>
            <w:tcW w:w="1750" w:type="dxa"/>
            <w:vAlign w:val="center"/>
          </w:tcPr>
          <w:p>
            <w:pPr>
              <w:adjustRightInd w:val="0"/>
              <w:spacing w:line="240" w:lineRule="auto"/>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HCO</w:t>
            </w:r>
            <w:r>
              <w:rPr>
                <w:rFonts w:hint="default" w:ascii="Times New Roman" w:hAnsi="Times New Roman" w:eastAsia="宋体" w:cs="Times New Roman"/>
                <w:b/>
                <w:color w:val="FF0000"/>
                <w:sz w:val="21"/>
                <w:szCs w:val="21"/>
                <w:vertAlign w:val="subscript"/>
              </w:rPr>
              <w:t>3</w:t>
            </w:r>
            <w:r>
              <w:rPr>
                <w:rFonts w:hint="default" w:ascii="Times New Roman" w:hAnsi="Times New Roman" w:eastAsia="宋体" w:cs="Times New Roman"/>
                <w:b/>
                <w:color w:val="FF0000"/>
                <w:sz w:val="21"/>
                <w:szCs w:val="21"/>
              </w:rPr>
              <w:t>+SO</w:t>
            </w:r>
            <w:r>
              <w:rPr>
                <w:rFonts w:hint="default" w:ascii="Times New Roman" w:hAnsi="Times New Roman" w:eastAsia="宋体" w:cs="Times New Roman"/>
                <w:b/>
                <w:color w:val="FF0000"/>
                <w:sz w:val="21"/>
                <w:szCs w:val="21"/>
                <w:vertAlign w:val="subscript"/>
              </w:rPr>
              <w:t>4</w:t>
            </w:r>
          </w:p>
        </w:tc>
        <w:tc>
          <w:tcPr>
            <w:tcW w:w="1750" w:type="dxa"/>
            <w:vAlign w:val="center"/>
          </w:tcPr>
          <w:p>
            <w:pPr>
              <w:adjustRightInd w:val="0"/>
              <w:spacing w:line="240" w:lineRule="auto"/>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HCO</w:t>
            </w:r>
            <w:r>
              <w:rPr>
                <w:rFonts w:hint="default" w:ascii="Times New Roman" w:hAnsi="Times New Roman" w:eastAsia="宋体" w:cs="Times New Roman"/>
                <w:b/>
                <w:color w:val="FF0000"/>
                <w:sz w:val="21"/>
                <w:szCs w:val="21"/>
                <w:vertAlign w:val="subscript"/>
              </w:rPr>
              <w:t>3</w:t>
            </w:r>
            <w:r>
              <w:rPr>
                <w:rFonts w:hint="default" w:ascii="Times New Roman" w:hAnsi="Times New Roman" w:eastAsia="宋体" w:cs="Times New Roman"/>
                <w:b/>
                <w:color w:val="FF0000"/>
                <w:sz w:val="21"/>
                <w:szCs w:val="21"/>
              </w:rPr>
              <w:t>+SO</w:t>
            </w:r>
            <w:r>
              <w:rPr>
                <w:rFonts w:hint="default" w:ascii="Times New Roman" w:hAnsi="Times New Roman" w:eastAsia="宋体" w:cs="Times New Roman"/>
                <w:b/>
                <w:color w:val="FF0000"/>
                <w:sz w:val="21"/>
                <w:szCs w:val="21"/>
                <w:vertAlign w:val="subscript"/>
              </w:rPr>
              <w:t>4</w:t>
            </w:r>
            <w:r>
              <w:rPr>
                <w:rFonts w:hint="default" w:ascii="Times New Roman" w:hAnsi="Times New Roman" w:eastAsia="宋体" w:cs="Times New Roman"/>
                <w:b/>
                <w:color w:val="FF0000"/>
                <w:sz w:val="21"/>
                <w:szCs w:val="21"/>
              </w:rPr>
              <w:t>+Cl</w:t>
            </w:r>
          </w:p>
        </w:tc>
        <w:tc>
          <w:tcPr>
            <w:tcW w:w="1750" w:type="dxa"/>
            <w:vAlign w:val="center"/>
          </w:tcPr>
          <w:p>
            <w:pPr>
              <w:adjustRightInd w:val="0"/>
              <w:spacing w:line="240" w:lineRule="auto"/>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HCO</w:t>
            </w:r>
            <w:r>
              <w:rPr>
                <w:rFonts w:hint="default" w:ascii="Times New Roman" w:hAnsi="Times New Roman" w:eastAsia="宋体" w:cs="Times New Roman"/>
                <w:b/>
                <w:color w:val="FF0000"/>
                <w:sz w:val="21"/>
                <w:szCs w:val="21"/>
                <w:vertAlign w:val="subscript"/>
              </w:rPr>
              <w:t>3</w:t>
            </w:r>
            <w:r>
              <w:rPr>
                <w:rFonts w:hint="default" w:ascii="Times New Roman" w:hAnsi="Times New Roman" w:eastAsia="宋体" w:cs="Times New Roman"/>
                <w:b/>
                <w:color w:val="FF0000"/>
                <w:sz w:val="21"/>
                <w:szCs w:val="21"/>
              </w:rPr>
              <w:t>+Cl</w:t>
            </w:r>
          </w:p>
        </w:tc>
        <w:tc>
          <w:tcPr>
            <w:tcW w:w="1750" w:type="dxa"/>
            <w:vAlign w:val="center"/>
          </w:tcPr>
          <w:p>
            <w:pPr>
              <w:adjustRightInd w:val="0"/>
              <w:spacing w:line="240" w:lineRule="auto"/>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SO</w:t>
            </w:r>
            <w:r>
              <w:rPr>
                <w:rFonts w:hint="default" w:ascii="Times New Roman" w:hAnsi="Times New Roman" w:eastAsia="宋体" w:cs="Times New Roman"/>
                <w:b/>
                <w:color w:val="FF0000"/>
                <w:sz w:val="21"/>
                <w:szCs w:val="21"/>
                <w:vertAlign w:val="subscript"/>
              </w:rPr>
              <w:t>4</w:t>
            </w:r>
          </w:p>
        </w:tc>
        <w:tc>
          <w:tcPr>
            <w:tcW w:w="1750" w:type="dxa"/>
            <w:vAlign w:val="center"/>
          </w:tcPr>
          <w:p>
            <w:pPr>
              <w:adjustRightInd w:val="0"/>
              <w:spacing w:line="240" w:lineRule="auto"/>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SO</w:t>
            </w:r>
            <w:r>
              <w:rPr>
                <w:rFonts w:hint="default" w:ascii="Times New Roman" w:hAnsi="Times New Roman" w:eastAsia="宋体" w:cs="Times New Roman"/>
                <w:b/>
                <w:color w:val="FF0000"/>
                <w:sz w:val="21"/>
                <w:szCs w:val="21"/>
                <w:vertAlign w:val="subscript"/>
              </w:rPr>
              <w:t>4</w:t>
            </w:r>
            <w:r>
              <w:rPr>
                <w:rFonts w:hint="default" w:ascii="Times New Roman" w:hAnsi="Times New Roman" w:eastAsia="宋体" w:cs="Times New Roman"/>
                <w:b/>
                <w:color w:val="FF0000"/>
                <w:sz w:val="21"/>
                <w:szCs w:val="21"/>
              </w:rPr>
              <w:t>+Cl</w:t>
            </w:r>
          </w:p>
        </w:tc>
        <w:tc>
          <w:tcPr>
            <w:tcW w:w="1750" w:type="dxa"/>
            <w:vAlign w:val="center"/>
          </w:tcPr>
          <w:p>
            <w:pPr>
              <w:adjustRightInd w:val="0"/>
              <w:spacing w:line="240" w:lineRule="auto"/>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Cl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8" w:hRule="atLeast"/>
          <w:jc w:val="center"/>
        </w:trPr>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Ca</w:t>
            </w:r>
          </w:p>
        </w:tc>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8</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15</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22</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29</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36</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Ca+Mg</w:t>
            </w:r>
          </w:p>
        </w:tc>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9</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16</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23</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30</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37</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Mg</w:t>
            </w:r>
          </w:p>
        </w:tc>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10</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17</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24</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31</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38</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Na+Ca</w:t>
            </w:r>
          </w:p>
        </w:tc>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11</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18</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25</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32</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39</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 w:hRule="atLeast"/>
          <w:jc w:val="center"/>
        </w:trPr>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Na+Ca+Mg</w:t>
            </w:r>
          </w:p>
        </w:tc>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5</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12</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19</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26</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33</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40</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2" w:hRule="atLeast"/>
          <w:jc w:val="center"/>
        </w:trPr>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Na+Mg</w:t>
            </w:r>
          </w:p>
        </w:tc>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6</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13</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20</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27</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34</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41</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Na</w:t>
            </w:r>
          </w:p>
        </w:tc>
        <w:tc>
          <w:tcPr>
            <w:tcW w:w="1751"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7</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14</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21</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28</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35</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42</w:t>
            </w:r>
          </w:p>
        </w:tc>
        <w:tc>
          <w:tcPr>
            <w:tcW w:w="1750" w:type="dxa"/>
            <w:vAlign w:val="center"/>
          </w:tcPr>
          <w:p>
            <w:pPr>
              <w:adjustRightInd w:val="0"/>
              <w:spacing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49</w:t>
            </w:r>
          </w:p>
        </w:tc>
      </w:tr>
    </w:tbl>
    <w:p>
      <w:pPr>
        <w:jc w:val="center"/>
        <w:outlineLvl w:val="9"/>
        <w:rPr>
          <w:rFonts w:eastAsia="黑体" w:cs="Times New Roman"/>
          <w:color w:val="FF0000"/>
          <w:szCs w:val="24"/>
        </w:rPr>
      </w:pPr>
    </w:p>
    <w:p>
      <w:pPr>
        <w:jc w:val="center"/>
        <w:outlineLvl w:val="9"/>
        <w:rPr>
          <w:rFonts w:eastAsia="黑体" w:cs="Times New Roman"/>
          <w:color w:val="FF0000"/>
          <w:szCs w:val="24"/>
        </w:rPr>
      </w:pPr>
    </w:p>
    <w:p>
      <w:pPr>
        <w:jc w:val="center"/>
        <w:outlineLvl w:val="9"/>
        <w:rPr>
          <w:rFonts w:eastAsia="黑体" w:cs="Times New Roman"/>
          <w:szCs w:val="24"/>
        </w:rPr>
      </w:pPr>
    </w:p>
    <w:p>
      <w:pPr>
        <w:jc w:val="center"/>
        <w:rPr>
          <w:rFonts w:eastAsia="黑体" w:cs="Times New Roman"/>
          <w:szCs w:val="24"/>
        </w:rPr>
      </w:pPr>
      <w:r>
        <w:rPr>
          <w:rFonts w:hint="default" w:ascii="Times New Roman" w:hAnsi="Times New Roman" w:eastAsia="宋体" w:cs="Times New Roman"/>
          <w:b/>
          <w:bCs/>
          <w:sz w:val="24"/>
          <w:szCs w:val="24"/>
        </w:rPr>
        <w:t>表</w:t>
      </w:r>
      <w:r>
        <w:rPr>
          <w:rFonts w:hint="eastAsia" w:ascii="Times New Roman" w:hAnsi="Times New Roman" w:eastAsia="宋体" w:cs="Times New Roman"/>
          <w:b/>
          <w:bCs/>
          <w:sz w:val="24"/>
          <w:szCs w:val="24"/>
          <w:lang w:val="en-US" w:eastAsia="zh-CN"/>
        </w:rPr>
        <w:t>3.2-13</w:t>
      </w:r>
      <w:r>
        <w:rPr>
          <w:rFonts w:hint="default" w:ascii="Times New Roman" w:hAnsi="Times New Roman" w:eastAsia="宋体" w:cs="Times New Roman"/>
          <w:b/>
          <w:bCs/>
          <w:sz w:val="24"/>
          <w:szCs w:val="24"/>
        </w:rPr>
        <w:t xml:space="preserve"> </w:t>
      </w:r>
      <w:r>
        <w:rPr>
          <w:rFonts w:hint="eastAsia" w:ascii="Times New Roman" w:hAnsi="Times New Roman" w:cs="Times New Roman"/>
          <w:b/>
          <w:bCs/>
          <w:sz w:val="24"/>
          <w:szCs w:val="24"/>
          <w:lang w:val="en-US" w:eastAsia="zh-CN"/>
        </w:rPr>
        <w:t xml:space="preserve">     </w:t>
      </w:r>
      <w:r>
        <w:rPr>
          <w:rFonts w:hint="default" w:ascii="Times New Roman" w:hAnsi="Times New Roman" w:eastAsia="宋体" w:cs="Times New Roman"/>
          <w:b/>
          <w:bCs/>
          <w:sz w:val="24"/>
          <w:szCs w:val="24"/>
        </w:rPr>
        <w:t xml:space="preserve"> 地下水化学类型判定统计表</w:t>
      </w:r>
    </w:p>
    <w:tbl>
      <w:tblPr>
        <w:tblStyle w:val="29"/>
        <w:tblW w:w="14002"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852"/>
        <w:gridCol w:w="852"/>
        <w:gridCol w:w="1118"/>
        <w:gridCol w:w="1120"/>
        <w:gridCol w:w="1120"/>
        <w:gridCol w:w="1117"/>
        <w:gridCol w:w="1120"/>
        <w:gridCol w:w="1120"/>
        <w:gridCol w:w="1120"/>
        <w:gridCol w:w="1117"/>
        <w:gridCol w:w="1120"/>
        <w:gridCol w:w="1120"/>
        <w:gridCol w:w="110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监测点</w:t>
            </w: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单位</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K</w:t>
            </w:r>
            <w:r>
              <w:rPr>
                <w:rFonts w:hint="default" w:ascii="Times New Roman" w:hAnsi="Times New Roman" w:eastAsia="宋体" w:cs="Times New Roman"/>
                <w:b/>
                <w:bCs/>
                <w:kern w:val="0"/>
                <w:sz w:val="21"/>
                <w:szCs w:val="21"/>
                <w:vertAlign w:val="superscript"/>
              </w:rPr>
              <w:t>+</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Na</w:t>
            </w:r>
            <w:r>
              <w:rPr>
                <w:rFonts w:hint="default" w:ascii="Times New Roman" w:hAnsi="Times New Roman" w:eastAsia="宋体" w:cs="Times New Roman"/>
                <w:b/>
                <w:bCs/>
                <w:kern w:val="0"/>
                <w:sz w:val="21"/>
                <w:szCs w:val="21"/>
                <w:vertAlign w:val="superscript"/>
              </w:rPr>
              <w:t>+</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Ca</w:t>
            </w:r>
            <w:r>
              <w:rPr>
                <w:rFonts w:hint="default" w:ascii="Times New Roman" w:hAnsi="Times New Roman" w:eastAsia="宋体" w:cs="Times New Roman"/>
                <w:b/>
                <w:bCs/>
                <w:kern w:val="0"/>
                <w:sz w:val="21"/>
                <w:szCs w:val="21"/>
                <w:vertAlign w:val="superscript"/>
              </w:rPr>
              <w:t>2+</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Mg</w:t>
            </w:r>
            <w:r>
              <w:rPr>
                <w:rFonts w:hint="default" w:ascii="Times New Roman" w:hAnsi="Times New Roman" w:eastAsia="宋体" w:cs="Times New Roman"/>
                <w:b/>
                <w:bCs/>
                <w:kern w:val="0"/>
                <w:sz w:val="21"/>
                <w:szCs w:val="21"/>
                <w:vertAlign w:val="superscript"/>
              </w:rPr>
              <w:t>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总计</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SO</w:t>
            </w:r>
            <w:r>
              <w:rPr>
                <w:rFonts w:hint="default" w:ascii="Times New Roman" w:hAnsi="Times New Roman" w:eastAsia="宋体" w:cs="Times New Roman"/>
                <w:b/>
                <w:bCs/>
                <w:kern w:val="0"/>
                <w:sz w:val="21"/>
                <w:szCs w:val="21"/>
                <w:vertAlign w:val="subscript"/>
              </w:rPr>
              <w:t>4</w:t>
            </w:r>
            <w:r>
              <w:rPr>
                <w:rFonts w:hint="default" w:ascii="Times New Roman" w:hAnsi="Times New Roman" w:eastAsia="宋体" w:cs="Times New Roman"/>
                <w:b/>
                <w:bCs/>
                <w:kern w:val="0"/>
                <w:sz w:val="21"/>
                <w:szCs w:val="21"/>
                <w:vertAlign w:val="superscript"/>
              </w:rPr>
              <w:t>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Cl</w:t>
            </w:r>
            <w:r>
              <w:rPr>
                <w:rFonts w:hint="default" w:ascii="Times New Roman" w:hAnsi="Times New Roman" w:eastAsia="宋体" w:cs="Times New Roman"/>
                <w:b/>
                <w:bCs/>
                <w:kern w:val="0"/>
                <w:sz w:val="21"/>
                <w:szCs w:val="21"/>
                <w:vertAlign w:val="superscript"/>
              </w:rPr>
              <w:t>-</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CO</w:t>
            </w:r>
            <w:r>
              <w:rPr>
                <w:rFonts w:hint="default" w:ascii="Times New Roman" w:hAnsi="Times New Roman" w:eastAsia="宋体" w:cs="Times New Roman"/>
                <w:b/>
                <w:bCs/>
                <w:kern w:val="0"/>
                <w:sz w:val="21"/>
                <w:szCs w:val="21"/>
                <w:vertAlign w:val="subscript"/>
              </w:rPr>
              <w:t>3</w:t>
            </w:r>
            <w:r>
              <w:rPr>
                <w:rFonts w:hint="default" w:ascii="Times New Roman" w:hAnsi="Times New Roman" w:eastAsia="宋体" w:cs="Times New Roman"/>
                <w:b/>
                <w:bCs/>
                <w:kern w:val="0"/>
                <w:sz w:val="21"/>
                <w:szCs w:val="21"/>
                <w:vertAlign w:val="superscript"/>
              </w:rPr>
              <w:t>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HCO</w:t>
            </w:r>
            <w:r>
              <w:rPr>
                <w:rFonts w:hint="default" w:ascii="Times New Roman" w:hAnsi="Times New Roman" w:eastAsia="宋体" w:cs="Times New Roman"/>
                <w:b/>
                <w:bCs/>
                <w:kern w:val="0"/>
                <w:sz w:val="21"/>
                <w:szCs w:val="21"/>
                <w:vertAlign w:val="subscript"/>
              </w:rPr>
              <w:t>3</w:t>
            </w:r>
            <w:r>
              <w:rPr>
                <w:rFonts w:hint="default" w:ascii="Times New Roman" w:hAnsi="Times New Roman" w:eastAsia="宋体" w:cs="Times New Roman"/>
                <w:b/>
                <w:bCs/>
                <w:kern w:val="0"/>
                <w:sz w:val="21"/>
                <w:szCs w:val="21"/>
                <w:vertAlign w:val="superscript"/>
              </w:rPr>
              <w:t>-</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总计</w:t>
            </w:r>
          </w:p>
        </w:tc>
        <w:tc>
          <w:tcPr>
            <w:tcW w:w="1106"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sz w:val="21"/>
                <w:szCs w:val="21"/>
              </w:rPr>
            </w:pPr>
            <w:r>
              <w:rPr>
                <w:rFonts w:hint="default" w:ascii="Times New Roman" w:hAnsi="Times New Roman" w:eastAsia="宋体" w:cs="Times New Roman"/>
                <w:b/>
                <w:bCs/>
                <w:kern w:val="0"/>
                <w:sz w:val="21"/>
                <w:szCs w:val="21"/>
              </w:rPr>
              <w:t>水化学类型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w:t>
            </w: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mg/L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19.2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99.2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43.2</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16</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177.6</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123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11.2</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394</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528.2</w:t>
            </w:r>
          </w:p>
        </w:tc>
        <w:tc>
          <w:tcPr>
            <w:tcW w:w="1106"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napToGrid w:val="0"/>
                <w:kern w:val="0"/>
                <w:sz w:val="21"/>
                <w:szCs w:val="21"/>
              </w:rPr>
              <w:t>HCO</w:t>
            </w:r>
            <w:r>
              <w:rPr>
                <w:rFonts w:hint="default" w:ascii="Times New Roman" w:hAnsi="Times New Roman" w:eastAsia="宋体" w:cs="Times New Roman"/>
                <w:snapToGrid w:val="0"/>
                <w:kern w:val="0"/>
                <w:sz w:val="21"/>
                <w:szCs w:val="21"/>
                <w:vertAlign w:val="subscript"/>
              </w:rPr>
              <w:t>3</w:t>
            </w:r>
            <w:r>
              <w:rPr>
                <w:rFonts w:hint="default" w:ascii="Times New Roman" w:hAnsi="Times New Roman" w:eastAsia="宋体" w:cs="Times New Roman"/>
                <w:snapToGrid w:val="0"/>
                <w:kern w:val="0"/>
                <w:sz w:val="21"/>
                <w:szCs w:val="21"/>
              </w:rPr>
              <w:t>+SO</w:t>
            </w:r>
            <w:r>
              <w:rPr>
                <w:rFonts w:hint="default" w:ascii="Times New Roman" w:hAnsi="Times New Roman" w:eastAsia="宋体" w:cs="Times New Roman"/>
                <w:snapToGrid w:val="0"/>
                <w:kern w:val="0"/>
                <w:sz w:val="21"/>
                <w:szCs w:val="21"/>
                <w:vertAlign w:val="subscript"/>
              </w:rPr>
              <w:t>4</w:t>
            </w:r>
            <w:r>
              <w:rPr>
                <w:rFonts w:hint="default" w:ascii="Times New Roman" w:hAnsi="Times New Roman" w:eastAsia="宋体" w:cs="Times New Roman"/>
                <w:bCs/>
                <w:snapToGrid w:val="0"/>
                <w:kern w:val="0"/>
                <w:sz w:val="21"/>
                <w:szCs w:val="21"/>
              </w:rPr>
              <w:t>-Ca型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mEq/L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0.4923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4.96</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1.8783</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1.3333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8.6639</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2.5625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0.3155</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6.459</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9.337</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mEq%</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5.68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57.25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21.68</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15.39</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27.44</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3.38</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69.18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w:t>
            </w: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mg/L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57.9</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280</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67</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405.92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433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71.4</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501</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1005.4</w:t>
            </w:r>
          </w:p>
        </w:tc>
        <w:tc>
          <w:tcPr>
            <w:tcW w:w="1106"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napToGrid w:val="0"/>
                <w:kern w:val="0"/>
                <w:sz w:val="21"/>
                <w:szCs w:val="21"/>
              </w:rPr>
              <w:t>HCO</w:t>
            </w:r>
            <w:r>
              <w:rPr>
                <w:rFonts w:hint="default" w:ascii="Times New Roman" w:hAnsi="Times New Roman" w:eastAsia="宋体" w:cs="Times New Roman"/>
                <w:snapToGrid w:val="0"/>
                <w:kern w:val="0"/>
                <w:sz w:val="21"/>
                <w:szCs w:val="21"/>
                <w:vertAlign w:val="subscript"/>
              </w:rPr>
              <w:t>3</w:t>
            </w:r>
            <w:r>
              <w:rPr>
                <w:rFonts w:hint="default" w:ascii="Times New Roman" w:hAnsi="Times New Roman" w:eastAsia="宋体" w:cs="Times New Roman"/>
                <w:snapToGrid w:val="0"/>
                <w:kern w:val="0"/>
                <w:sz w:val="21"/>
                <w:szCs w:val="21"/>
              </w:rPr>
              <w:t>+SO</w:t>
            </w:r>
            <w:r>
              <w:rPr>
                <w:rFonts w:hint="default" w:ascii="Times New Roman" w:hAnsi="Times New Roman" w:eastAsia="宋体" w:cs="Times New Roman"/>
                <w:snapToGrid w:val="0"/>
                <w:kern w:val="0"/>
                <w:sz w:val="21"/>
                <w:szCs w:val="21"/>
                <w:vertAlign w:val="subscript"/>
              </w:rPr>
              <w:t>4</w:t>
            </w:r>
            <w:r>
              <w:rPr>
                <w:rFonts w:hint="default" w:ascii="Times New Roman" w:hAnsi="Times New Roman" w:eastAsia="宋体" w:cs="Times New Roman"/>
                <w:bCs/>
                <w:snapToGrid w:val="0"/>
                <w:kern w:val="0"/>
                <w:sz w:val="21"/>
                <w:szCs w:val="21"/>
              </w:rPr>
              <w:t>-Na型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0.0262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2.895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12.1739</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5.5833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20.6784</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9.0208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2.0113</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8.2131</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19.2452</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0.13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14</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58.87</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27</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46.87</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10.45</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42.68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w:t>
            </w: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mg/L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0.825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158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758</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365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1281.825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1750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858</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401</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3009</w:t>
            </w:r>
          </w:p>
        </w:tc>
        <w:tc>
          <w:tcPr>
            <w:tcW w:w="1106"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Cs/>
                <w:snapToGrid w:val="0"/>
                <w:kern w:val="0"/>
                <w:sz w:val="21"/>
                <w:szCs w:val="21"/>
              </w:rPr>
              <w:t>SO</w:t>
            </w:r>
            <w:r>
              <w:rPr>
                <w:rFonts w:hint="default" w:ascii="Times New Roman" w:hAnsi="Times New Roman" w:eastAsia="宋体" w:cs="Times New Roman"/>
                <w:bCs/>
                <w:snapToGrid w:val="0"/>
                <w:kern w:val="0"/>
                <w:sz w:val="21"/>
                <w:szCs w:val="21"/>
                <w:vertAlign w:val="subscript"/>
              </w:rPr>
              <w:t>4</w:t>
            </w:r>
            <w:r>
              <w:rPr>
                <w:rFonts w:hint="default" w:ascii="Times New Roman" w:hAnsi="Times New Roman" w:eastAsia="宋体" w:cs="Times New Roman"/>
                <w:bCs/>
                <w:snapToGrid w:val="0"/>
                <w:kern w:val="0"/>
                <w:sz w:val="21"/>
                <w:szCs w:val="21"/>
              </w:rPr>
              <w:t>+Cl-Na+Mg型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0.0212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7.9</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32.9565</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30.4167</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71.2944</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36.4583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24.169</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6.5738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67.2011</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0.03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11.08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46.23</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42.66</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54.25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35.97</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9.78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w:t>
            </w: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mg/L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0.95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63.6</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245</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83.5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393.05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376</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60.5</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510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946.5</w:t>
            </w:r>
          </w:p>
        </w:tc>
        <w:tc>
          <w:tcPr>
            <w:tcW w:w="1106"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napToGrid w:val="0"/>
                <w:kern w:val="0"/>
                <w:sz w:val="21"/>
                <w:szCs w:val="21"/>
              </w:rPr>
              <w:t>HCO</w:t>
            </w:r>
            <w:r>
              <w:rPr>
                <w:rFonts w:hint="default" w:ascii="Times New Roman" w:hAnsi="Times New Roman" w:eastAsia="宋体" w:cs="Times New Roman"/>
                <w:snapToGrid w:val="0"/>
                <w:kern w:val="0"/>
                <w:sz w:val="21"/>
                <w:szCs w:val="21"/>
                <w:vertAlign w:val="subscript"/>
              </w:rPr>
              <w:t>3</w:t>
            </w:r>
            <w:r>
              <w:rPr>
                <w:rFonts w:hint="default" w:ascii="Times New Roman" w:hAnsi="Times New Roman" w:eastAsia="宋体" w:cs="Times New Roman"/>
                <w:snapToGrid w:val="0"/>
                <w:kern w:val="0"/>
                <w:sz w:val="21"/>
                <w:szCs w:val="21"/>
              </w:rPr>
              <w:t>+SO</w:t>
            </w:r>
            <w:r>
              <w:rPr>
                <w:rFonts w:hint="default" w:ascii="Times New Roman" w:hAnsi="Times New Roman" w:eastAsia="宋体" w:cs="Times New Roman"/>
                <w:snapToGrid w:val="0"/>
                <w:kern w:val="0"/>
                <w:sz w:val="21"/>
                <w:szCs w:val="21"/>
                <w:vertAlign w:val="subscript"/>
              </w:rPr>
              <w:t>4</w:t>
            </w:r>
            <w:r>
              <w:rPr>
                <w:rFonts w:hint="default" w:ascii="Times New Roman" w:hAnsi="Times New Roman" w:eastAsia="宋体" w:cs="Times New Roman"/>
                <w:bCs/>
                <w:snapToGrid w:val="0"/>
                <w:kern w:val="0"/>
                <w:sz w:val="21"/>
                <w:szCs w:val="21"/>
              </w:rPr>
              <w:t>-Na+Mg型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0.0244</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3.18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10.6522</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6.9583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20.8149</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7.8333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1.7042</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8.3607</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17.8982</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0.12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15.28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51.18</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33.43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43.77</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9.52</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46.71</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w:t>
            </w: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mg/L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2.32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57.1</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262</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75.5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396.92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360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60.8</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507</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927.8</w:t>
            </w:r>
          </w:p>
        </w:tc>
        <w:tc>
          <w:tcPr>
            <w:tcW w:w="1106"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napToGrid w:val="0"/>
                <w:kern w:val="0"/>
                <w:sz w:val="21"/>
                <w:szCs w:val="21"/>
              </w:rPr>
              <w:t>HCO</w:t>
            </w:r>
            <w:r>
              <w:rPr>
                <w:rFonts w:hint="default" w:ascii="Times New Roman" w:hAnsi="Times New Roman" w:eastAsia="宋体" w:cs="Times New Roman"/>
                <w:snapToGrid w:val="0"/>
                <w:kern w:val="0"/>
                <w:sz w:val="21"/>
                <w:szCs w:val="21"/>
                <w:vertAlign w:val="subscript"/>
              </w:rPr>
              <w:t>3</w:t>
            </w:r>
            <w:r>
              <w:rPr>
                <w:rFonts w:hint="default" w:ascii="Times New Roman" w:hAnsi="Times New Roman" w:eastAsia="宋体" w:cs="Times New Roman"/>
                <w:snapToGrid w:val="0"/>
                <w:kern w:val="0"/>
                <w:sz w:val="21"/>
                <w:szCs w:val="21"/>
              </w:rPr>
              <w:t>+SO</w:t>
            </w:r>
            <w:r>
              <w:rPr>
                <w:rFonts w:hint="default" w:ascii="Times New Roman" w:hAnsi="Times New Roman" w:eastAsia="宋体" w:cs="Times New Roman"/>
                <w:snapToGrid w:val="0"/>
                <w:kern w:val="0"/>
                <w:sz w:val="21"/>
                <w:szCs w:val="21"/>
                <w:vertAlign w:val="subscript"/>
              </w:rPr>
              <w:t>4</w:t>
            </w:r>
            <w:r>
              <w:rPr>
                <w:rFonts w:hint="default" w:ascii="Times New Roman" w:hAnsi="Times New Roman" w:eastAsia="宋体" w:cs="Times New Roman"/>
                <w:bCs/>
                <w:snapToGrid w:val="0"/>
                <w:kern w:val="0"/>
                <w:sz w:val="21"/>
                <w:szCs w:val="21"/>
              </w:rPr>
              <w:t>-Na+Mg型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0.0595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2.855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11.3913</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6.2917</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20.5975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7.5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1.7127</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8.3115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17.5242</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0.29</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13.86</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55.3</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30.55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42.8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9.77</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47.43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w:t>
            </w: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mg/L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17.4</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177</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727</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360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1281.4</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1300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1100</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398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2798</w:t>
            </w:r>
          </w:p>
        </w:tc>
        <w:tc>
          <w:tcPr>
            <w:tcW w:w="1106"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Cs/>
                <w:snapToGrid w:val="0"/>
                <w:kern w:val="0"/>
                <w:sz w:val="21"/>
                <w:szCs w:val="21"/>
              </w:rPr>
              <w:t>SO</w:t>
            </w:r>
            <w:r>
              <w:rPr>
                <w:rFonts w:hint="default" w:ascii="Times New Roman" w:hAnsi="Times New Roman" w:eastAsia="宋体" w:cs="Times New Roman"/>
                <w:bCs/>
                <w:snapToGrid w:val="0"/>
                <w:kern w:val="0"/>
                <w:sz w:val="21"/>
                <w:szCs w:val="21"/>
                <w:vertAlign w:val="subscript"/>
              </w:rPr>
              <w:t>4</w:t>
            </w:r>
            <w:r>
              <w:rPr>
                <w:rFonts w:hint="default" w:ascii="Times New Roman" w:hAnsi="Times New Roman" w:eastAsia="宋体" w:cs="Times New Roman"/>
                <w:bCs/>
                <w:snapToGrid w:val="0"/>
                <w:kern w:val="0"/>
                <w:sz w:val="21"/>
                <w:szCs w:val="21"/>
              </w:rPr>
              <w:t>+Cl-Na+Mg型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0.4462</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8.85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31.6087</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70.9049</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27.0833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30.9859</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6.5246</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64.5938</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0.63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12.48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44.58</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42.31</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41.93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47.97</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10.1</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7#</w:t>
            </w: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mg/L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0.975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163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820</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385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1368.975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1790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839</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401</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3030</w:t>
            </w:r>
          </w:p>
        </w:tc>
        <w:tc>
          <w:tcPr>
            <w:tcW w:w="1106" w:type="dxa"/>
            <w:vMerge w:val="restart"/>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Cs/>
                <w:snapToGrid w:val="0"/>
                <w:kern w:val="0"/>
                <w:sz w:val="21"/>
                <w:szCs w:val="21"/>
              </w:rPr>
              <w:t>SO</w:t>
            </w:r>
            <w:r>
              <w:rPr>
                <w:rFonts w:hint="default" w:ascii="Times New Roman" w:hAnsi="Times New Roman" w:eastAsia="宋体" w:cs="Times New Roman"/>
                <w:bCs/>
                <w:snapToGrid w:val="0"/>
                <w:kern w:val="0"/>
                <w:sz w:val="21"/>
                <w:szCs w:val="21"/>
                <w:vertAlign w:val="subscript"/>
              </w:rPr>
              <w:t>4</w:t>
            </w:r>
            <w:r>
              <w:rPr>
                <w:rFonts w:hint="default" w:ascii="Times New Roman" w:hAnsi="Times New Roman" w:eastAsia="宋体" w:cs="Times New Roman"/>
                <w:bCs/>
                <w:snapToGrid w:val="0"/>
                <w:kern w:val="0"/>
                <w:sz w:val="21"/>
                <w:szCs w:val="21"/>
              </w:rPr>
              <w:t>+Cl-Na+Mg型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mEq/L</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0.025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8.15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35.6522</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32.0833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75.9105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37.2917</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23.6338</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6.5738</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67.4993</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 w:hRule="atLeast"/>
          <w:tblHeader/>
        </w:trPr>
        <w:tc>
          <w:tcPr>
            <w:tcW w:w="852"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sz w:val="21"/>
                <w:szCs w:val="21"/>
              </w:rPr>
            </w:pPr>
          </w:p>
        </w:tc>
        <w:tc>
          <w:tcPr>
            <w:tcW w:w="852"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kern w:val="0"/>
                <w:sz w:val="21"/>
                <w:szCs w:val="21"/>
              </w:rPr>
              <w:t>mEq%</w:t>
            </w:r>
          </w:p>
        </w:tc>
        <w:tc>
          <w:tcPr>
            <w:tcW w:w="1118"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0.03</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10.74</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46.97</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42.26</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55.25</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35.01</w:t>
            </w:r>
          </w:p>
        </w:tc>
        <w:tc>
          <w:tcPr>
            <w:tcW w:w="1117"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0</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9.74</w:t>
            </w:r>
          </w:p>
        </w:tc>
        <w:tc>
          <w:tcPr>
            <w:tcW w:w="1120" w:type="dxa"/>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sz w:val="21"/>
                <w:szCs w:val="21"/>
              </w:rPr>
              <w:t>100</w:t>
            </w:r>
          </w:p>
        </w:tc>
        <w:tc>
          <w:tcPr>
            <w:tcW w:w="1106" w:type="dxa"/>
            <w:vMerge w:val="continue"/>
            <w:tcMar>
              <w:top w:w="15" w:type="dxa"/>
              <w:left w:w="15" w:type="dxa"/>
              <w:bottom w:w="0" w:type="dxa"/>
              <w:right w:w="15" w:type="dxa"/>
            </w:tcMar>
            <w:vAlign w:val="center"/>
          </w:tcPr>
          <w:p>
            <w:pPr>
              <w:widowControl/>
              <w:adjustRightInd w:val="0"/>
              <w:spacing w:line="240" w:lineRule="auto"/>
              <w:jc w:val="center"/>
              <w:textAlignment w:val="center"/>
              <w:rPr>
                <w:rFonts w:hint="default" w:ascii="Times New Roman" w:hAnsi="Times New Roman" w:eastAsia="宋体" w:cs="Times New Roman"/>
                <w:b/>
                <w:bCs/>
                <w:kern w:val="0"/>
                <w:sz w:val="21"/>
                <w:szCs w:val="21"/>
              </w:rPr>
            </w:pPr>
          </w:p>
        </w:tc>
      </w:tr>
    </w:tbl>
    <w:p>
      <w:pPr>
        <w:pStyle w:val="52"/>
        <w:keepNext/>
        <w:keepLines/>
        <w:pageBreakBefore w:val="0"/>
        <w:widowControl/>
        <w:tabs>
          <w:tab w:val="left" w:pos="284"/>
        </w:tabs>
        <w:kinsoku/>
        <w:wordWrap/>
        <w:overflowPunct/>
        <w:topLinePunct w:val="0"/>
        <w:autoSpaceDE/>
        <w:autoSpaceDN/>
        <w:bidi w:val="0"/>
        <w:adjustRightInd/>
        <w:snapToGrid w:val="0"/>
        <w:spacing w:before="0" w:after="0" w:afterLines="0" w:line="540" w:lineRule="exact"/>
        <w:contextualSpacing/>
        <w:jc w:val="center"/>
        <w:textAlignment w:val="auto"/>
        <w:outlineLvl w:val="9"/>
        <w:rPr>
          <w:rFonts w:hint="default" w:ascii="Times New Roman" w:hAnsi="Times New Roman" w:eastAsia="宋体" w:cs="Times New Roman"/>
          <w:bCs w:val="0"/>
          <w:snapToGrid w:val="0"/>
          <w:kern w:val="0"/>
          <w:sz w:val="24"/>
          <w:szCs w:val="24"/>
        </w:rPr>
      </w:pPr>
      <w:r>
        <w:rPr>
          <w:rFonts w:hint="default" w:ascii="Times New Roman" w:hAnsi="Times New Roman" w:eastAsia="宋体" w:cs="Times New Roman"/>
          <w:sz w:val="24"/>
          <w:szCs w:val="24"/>
        </w:rPr>
        <w:t>表</w:t>
      </w:r>
      <w:r>
        <w:rPr>
          <w:rFonts w:hint="eastAsia" w:ascii="Times New Roman" w:hAnsi="Times New Roman" w:eastAsia="宋体" w:cs="Times New Roman"/>
          <w:sz w:val="24"/>
          <w:szCs w:val="24"/>
          <w:lang w:val="en-US" w:eastAsia="zh-CN"/>
        </w:rPr>
        <w:t>3.2-14.1</w:t>
      </w:r>
      <w:r>
        <w:rPr>
          <w:rFonts w:hint="default" w:ascii="Times New Roman" w:hAnsi="Times New Roman" w:eastAsia="宋体" w:cs="Times New Roman"/>
          <w:sz w:val="24"/>
          <w:szCs w:val="24"/>
        </w:rPr>
        <w:t xml:space="preserve">    </w:t>
      </w:r>
      <w:r>
        <w:rPr>
          <w:rFonts w:hint="eastAsia" w:cs="Times New Roman"/>
          <w:sz w:val="24"/>
          <w:szCs w:val="24"/>
          <w:lang w:val="en-US" w:eastAsia="zh-CN"/>
        </w:rPr>
        <w:t xml:space="preserve">   </w:t>
      </w:r>
      <w:r>
        <w:rPr>
          <w:rFonts w:hint="default" w:ascii="Times New Roman" w:hAnsi="Times New Roman" w:eastAsia="宋体" w:cs="Times New Roman"/>
          <w:sz w:val="24"/>
          <w:szCs w:val="24"/>
        </w:rPr>
        <w:t>地下水水质监测结果统计分析表</w:t>
      </w:r>
    </w:p>
    <w:tbl>
      <w:tblPr>
        <w:tblStyle w:val="29"/>
        <w:tblW w:w="1400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78"/>
        <w:gridCol w:w="1617"/>
        <w:gridCol w:w="1019"/>
        <w:gridCol w:w="1019"/>
        <w:gridCol w:w="1019"/>
        <w:gridCol w:w="1084"/>
        <w:gridCol w:w="952"/>
        <w:gridCol w:w="1019"/>
        <w:gridCol w:w="1019"/>
        <w:gridCol w:w="1019"/>
        <w:gridCol w:w="1019"/>
        <w:gridCol w:w="1019"/>
        <w:gridCol w:w="9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2" w:hRule="atLeast"/>
          <w:jc w:val="center"/>
        </w:trPr>
        <w:tc>
          <w:tcPr>
            <w:tcW w:w="1278"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监测井</w:t>
            </w:r>
          </w:p>
        </w:tc>
        <w:tc>
          <w:tcPr>
            <w:tcW w:w="1617"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项目</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pH</w:t>
            </w:r>
          </w:p>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(无量纲)</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氨氮</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硝酸盐</w:t>
            </w:r>
          </w:p>
        </w:tc>
        <w:tc>
          <w:tcPr>
            <w:tcW w:w="1084"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亚硝酸盐</w:t>
            </w:r>
          </w:p>
        </w:tc>
        <w:tc>
          <w:tcPr>
            <w:tcW w:w="952"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挥发性酚类</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氰化物</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砷</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汞</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铬(六价)</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总硬度</w:t>
            </w:r>
          </w:p>
        </w:tc>
        <w:tc>
          <w:tcPr>
            <w:tcW w:w="9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restart"/>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1#监测井</w:t>
            </w: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监测浓度 (mg/L)</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7.8</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0.053</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0.149</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6×10</w:t>
            </w:r>
            <w:r>
              <w:rPr>
                <w:rFonts w:hint="default" w:ascii="Times New Roman" w:hAnsi="Times New Roman" w:eastAsia="宋体" w:cs="Times New Roman"/>
                <w:sz w:val="21"/>
                <w:szCs w:val="21"/>
                <w:highlight w:val="none"/>
                <w:vertAlign w:val="superscript"/>
              </w:rPr>
              <w:t>-4</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检出率(%)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超标率(%)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最大超标倍数</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标准指数Pi</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0.53</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0.11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0.01 </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0.00 </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0.08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0.06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0.04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0.67 </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0.13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restart"/>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2#监测井</w:t>
            </w: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监测浓度(mg/L)</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7.7</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0.115</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1.16</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检出率(%)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超标率(%)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最大超标倍数</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标准指数Pi</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0.47</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0.23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0.06 </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0.00 </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0.08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0.04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0.89 </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0.13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restart"/>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3#监测井</w:t>
            </w: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监测浓度(mg/L)</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7.6</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0.083</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10.5</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0.01</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1.84×10</w:t>
            </w:r>
            <w:r>
              <w:rPr>
                <w:rFonts w:hint="default" w:ascii="Times New Roman" w:hAnsi="Times New Roman" w:eastAsia="宋体" w:cs="Times New Roman"/>
                <w:sz w:val="21"/>
                <w:szCs w:val="21"/>
                <w:highlight w:val="none"/>
                <w:vertAlign w:val="superscript"/>
              </w:rPr>
              <w:t>3</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检出率(%)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超标率(%)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最大超标倍数</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3.09</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标准指数Pi</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0.40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0.17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0.53 </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0.01 </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0.08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0.04 </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 xml:space="preserve">4.09 </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0.13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restart"/>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4#监测井</w:t>
            </w: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监测浓度(mg/L)</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7.4</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0.418</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0.405</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0.011</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7×10</w:t>
            </w:r>
            <w:r>
              <w:rPr>
                <w:rFonts w:hint="default" w:ascii="Times New Roman" w:hAnsi="Times New Roman" w:eastAsia="宋体" w:cs="Times New Roman"/>
                <w:sz w:val="21"/>
                <w:szCs w:val="21"/>
                <w:highlight w:val="none"/>
                <w:vertAlign w:val="superscript"/>
              </w:rPr>
              <w:t>-4</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518</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检出率(%)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超标率(%)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最大超标倍数</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0.15</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标准指数Pi</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0.27</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0.84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0.01 </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0.08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0.07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0.04 </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 xml:space="preserve">1.15 </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0.13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restart"/>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5#监测井</w:t>
            </w: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监测浓度(mg/L)</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7.4</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0.075</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1.18</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7×10</w:t>
            </w:r>
            <w:r>
              <w:rPr>
                <w:rFonts w:hint="default" w:ascii="Times New Roman" w:hAnsi="Times New Roman" w:eastAsia="宋体" w:cs="Times New Roman"/>
                <w:sz w:val="21"/>
                <w:szCs w:val="21"/>
                <w:highlight w:val="none"/>
                <w:vertAlign w:val="superscript"/>
              </w:rPr>
              <w:t>-4</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446</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检出率(%)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超标率(%)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最大超标倍数</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标准指数Pi</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0.27</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0.15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0.06 </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0.00 </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0.08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0.07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0.04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0.99 </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0.13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restart"/>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6#监测井</w:t>
            </w: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监测浓度(mg/L)</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7.1</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0.183</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17.7</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1.83×10</w:t>
            </w:r>
            <w:r>
              <w:rPr>
                <w:rFonts w:hint="default" w:ascii="Times New Roman" w:hAnsi="Times New Roman" w:eastAsia="宋体" w:cs="Times New Roman"/>
                <w:sz w:val="21"/>
                <w:szCs w:val="21"/>
                <w:highlight w:val="none"/>
                <w:vertAlign w:val="superscript"/>
              </w:rPr>
              <w:t>3</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检出率(%)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超标率(%)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最大超标倍数</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3.07</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4"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标准指数Pi</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0.07</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0.37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0.89 </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0.00 </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0.08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0.04 </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 xml:space="preserve">4.07 </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0.13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restart"/>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7#监测井</w:t>
            </w: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监测浓度(mg/L)</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7.2</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0.08</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8.1</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0.006</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1.88×10</w:t>
            </w:r>
            <w:r>
              <w:rPr>
                <w:rFonts w:hint="default" w:ascii="Times New Roman" w:hAnsi="Times New Roman" w:eastAsia="宋体" w:cs="Times New Roman"/>
                <w:sz w:val="21"/>
                <w:szCs w:val="21"/>
                <w:highlight w:val="none"/>
                <w:vertAlign w:val="superscript"/>
              </w:rPr>
              <w:t>3</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检出率(%)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超标率(%)</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最大超标倍数</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bCs/>
                <w:sz w:val="21"/>
                <w:szCs w:val="21"/>
                <w:highlight w:val="none"/>
              </w:rPr>
              <w:t>3.07</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1278" w:type="dxa"/>
            <w:vMerge w:val="continue"/>
            <w:vAlign w:val="center"/>
          </w:tcPr>
          <w:p>
            <w:pPr>
              <w:spacing w:line="250" w:lineRule="exact"/>
              <w:jc w:val="center"/>
              <w:rPr>
                <w:rFonts w:hint="default" w:ascii="Times New Roman" w:hAnsi="Times New Roman" w:eastAsia="宋体" w:cs="Times New Roman"/>
                <w:sz w:val="21"/>
                <w:szCs w:val="21"/>
                <w:highlight w:val="none"/>
              </w:rPr>
            </w:pPr>
          </w:p>
        </w:tc>
        <w:tc>
          <w:tcPr>
            <w:tcW w:w="1617"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标准指数Pi</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0.13</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0.16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0.41 </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0.01 </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0.08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0.02 </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0.04 </w:t>
            </w:r>
          </w:p>
        </w:tc>
        <w:tc>
          <w:tcPr>
            <w:tcW w:w="1019" w:type="dxa"/>
            <w:vAlign w:val="center"/>
          </w:tcPr>
          <w:p>
            <w:pPr>
              <w:spacing w:line="250" w:lineRule="exact"/>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 xml:space="preserve">4.07 </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 xml:space="preserve">0.13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2895" w:type="dxa"/>
            <w:gridSpan w:val="2"/>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《地下水质量标准》(GB/T14848-2017)中Ⅲ类标准(mg/L)</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6.5-8.5</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0.50</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20.0</w:t>
            </w:r>
          </w:p>
        </w:tc>
        <w:tc>
          <w:tcPr>
            <w:tcW w:w="1084"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1.00</w:t>
            </w:r>
          </w:p>
        </w:tc>
        <w:tc>
          <w:tcPr>
            <w:tcW w:w="952"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0.002</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0.05</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0.01</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0.001</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0.05</w:t>
            </w:r>
          </w:p>
        </w:tc>
        <w:tc>
          <w:tcPr>
            <w:tcW w:w="10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450</w:t>
            </w:r>
          </w:p>
        </w:tc>
        <w:tc>
          <w:tcPr>
            <w:tcW w:w="919" w:type="dxa"/>
            <w:vAlign w:val="center"/>
          </w:tcPr>
          <w:p>
            <w:pPr>
              <w:spacing w:line="250" w:lineRule="exac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0.01</w:t>
            </w:r>
          </w:p>
        </w:tc>
      </w:tr>
    </w:tbl>
    <w:p>
      <w:pPr>
        <w:adjustRightInd w:val="0"/>
        <w:snapToGrid w:val="0"/>
        <w:rPr>
          <w:rFonts w:cs="Times New Roman"/>
          <w:sz w:val="21"/>
          <w:szCs w:val="21"/>
          <w:lang w:val="zh-CN"/>
        </w:rPr>
      </w:pPr>
      <w:r>
        <w:rPr>
          <w:rFonts w:hint="eastAsia" w:cs="Times New Roman"/>
          <w:sz w:val="21"/>
          <w:szCs w:val="21"/>
          <w:lang w:val="zh-CN"/>
        </w:rPr>
        <w:t>备注：N</w:t>
      </w:r>
      <w:r>
        <w:rPr>
          <w:rFonts w:cs="Times New Roman"/>
          <w:sz w:val="21"/>
          <w:szCs w:val="21"/>
          <w:lang w:val="zh-CN"/>
        </w:rPr>
        <w:t>D为未检出，未检出数据以检出限的</w:t>
      </w:r>
      <w:r>
        <w:rPr>
          <w:rFonts w:hint="eastAsia" w:cs="Times New Roman"/>
          <w:sz w:val="21"/>
          <w:szCs w:val="21"/>
          <w:lang w:val="zh-CN"/>
        </w:rPr>
        <w:t>1/</w:t>
      </w:r>
      <w:r>
        <w:rPr>
          <w:rFonts w:cs="Times New Roman"/>
          <w:sz w:val="21"/>
          <w:szCs w:val="21"/>
          <w:lang w:val="zh-CN"/>
        </w:rPr>
        <w:t>2计。</w:t>
      </w:r>
    </w:p>
    <w:p>
      <w:pPr>
        <w:adjustRightInd w:val="0"/>
        <w:snapToGrid w:val="0"/>
        <w:jc w:val="center"/>
        <w:rPr>
          <w:rFonts w:hint="default" w:ascii="Times New Roman" w:hAnsi="Times New Roman" w:eastAsia="宋体" w:cs="Times New Roman"/>
          <w:b/>
          <w:bCs/>
          <w:snapToGrid w:val="0"/>
          <w:kern w:val="0"/>
          <w:sz w:val="24"/>
          <w:szCs w:val="24"/>
        </w:rPr>
      </w:pPr>
      <w:r>
        <w:rPr>
          <w:rFonts w:hint="default" w:ascii="Times New Roman" w:hAnsi="Times New Roman" w:eastAsia="宋体" w:cs="Times New Roman"/>
          <w:b/>
          <w:bCs/>
          <w:sz w:val="24"/>
          <w:szCs w:val="24"/>
        </w:rPr>
        <w:t>表</w:t>
      </w:r>
      <w:r>
        <w:rPr>
          <w:rFonts w:hint="eastAsia" w:ascii="Times New Roman" w:hAnsi="Times New Roman" w:eastAsia="宋体" w:cs="Times New Roman"/>
          <w:b/>
          <w:bCs/>
          <w:sz w:val="24"/>
          <w:szCs w:val="24"/>
          <w:lang w:val="en-US" w:eastAsia="zh-CN"/>
        </w:rPr>
        <w:t>3.2-14.2</w:t>
      </w:r>
      <w:r>
        <w:rPr>
          <w:rFonts w:hint="default" w:ascii="Times New Roman" w:hAnsi="Times New Roman" w:eastAsia="宋体" w:cs="Times New Roman"/>
          <w:b/>
          <w:bCs/>
          <w:sz w:val="24"/>
          <w:szCs w:val="24"/>
        </w:rPr>
        <w:t xml:space="preserve"> </w:t>
      </w:r>
      <w:r>
        <w:rPr>
          <w:rFonts w:hint="eastAsia" w:ascii="Times New Roman" w:hAnsi="Times New Roman" w:cs="Times New Roman"/>
          <w:b/>
          <w:bCs/>
          <w:sz w:val="24"/>
          <w:szCs w:val="24"/>
          <w:lang w:val="en-US" w:eastAsia="zh-CN"/>
        </w:rPr>
        <w:t xml:space="preserve">     </w:t>
      </w:r>
      <w:r>
        <w:rPr>
          <w:rFonts w:hint="default" w:ascii="Times New Roman" w:hAnsi="Times New Roman" w:eastAsia="宋体" w:cs="Times New Roman"/>
          <w:b/>
          <w:bCs/>
          <w:sz w:val="24"/>
          <w:szCs w:val="24"/>
        </w:rPr>
        <w:t xml:space="preserve">  地下水水质监测结果统计分析表</w:t>
      </w:r>
    </w:p>
    <w:tbl>
      <w:tblPr>
        <w:tblStyle w:val="29"/>
        <w:tblW w:w="1303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57"/>
        <w:gridCol w:w="1577"/>
        <w:gridCol w:w="986"/>
        <w:gridCol w:w="986"/>
        <w:gridCol w:w="986"/>
        <w:gridCol w:w="1050"/>
        <w:gridCol w:w="983"/>
        <w:gridCol w:w="961"/>
        <w:gridCol w:w="989"/>
        <w:gridCol w:w="989"/>
        <w:gridCol w:w="1291"/>
        <w:gridCol w:w="10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2" w:hRule="atLeast"/>
          <w:jc w:val="center"/>
        </w:trPr>
        <w:tc>
          <w:tcPr>
            <w:tcW w:w="1157" w:type="dxa"/>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监测井</w:t>
            </w:r>
          </w:p>
        </w:tc>
        <w:tc>
          <w:tcPr>
            <w:tcW w:w="1577" w:type="dxa"/>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项目</w:t>
            </w:r>
          </w:p>
        </w:tc>
        <w:tc>
          <w:tcPr>
            <w:tcW w:w="986" w:type="dxa"/>
            <w:vAlign w:val="center"/>
          </w:tcPr>
          <w:p>
            <w:pPr>
              <w:spacing w:line="240" w:lineRule="auto"/>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氟化物</w:t>
            </w:r>
          </w:p>
        </w:tc>
        <w:tc>
          <w:tcPr>
            <w:tcW w:w="986" w:type="dxa"/>
            <w:vAlign w:val="center"/>
          </w:tcPr>
          <w:p>
            <w:pPr>
              <w:spacing w:line="240" w:lineRule="auto"/>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镉</w:t>
            </w:r>
          </w:p>
        </w:tc>
        <w:tc>
          <w:tcPr>
            <w:tcW w:w="986" w:type="dxa"/>
            <w:vAlign w:val="center"/>
          </w:tcPr>
          <w:p>
            <w:pPr>
              <w:spacing w:line="240" w:lineRule="auto"/>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铁</w:t>
            </w:r>
          </w:p>
        </w:tc>
        <w:tc>
          <w:tcPr>
            <w:tcW w:w="1050" w:type="dxa"/>
            <w:vAlign w:val="center"/>
          </w:tcPr>
          <w:p>
            <w:pPr>
              <w:spacing w:line="240" w:lineRule="auto"/>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锰</w:t>
            </w:r>
          </w:p>
        </w:tc>
        <w:tc>
          <w:tcPr>
            <w:tcW w:w="983" w:type="dxa"/>
            <w:vAlign w:val="center"/>
          </w:tcPr>
          <w:p>
            <w:pPr>
              <w:spacing w:line="240" w:lineRule="auto"/>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溶解性总固体</w:t>
            </w:r>
          </w:p>
        </w:tc>
        <w:tc>
          <w:tcPr>
            <w:tcW w:w="961" w:type="dxa"/>
            <w:vAlign w:val="center"/>
          </w:tcPr>
          <w:p>
            <w:pPr>
              <w:spacing w:line="240" w:lineRule="auto"/>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耗氧量</w:t>
            </w:r>
          </w:p>
        </w:tc>
        <w:tc>
          <w:tcPr>
            <w:tcW w:w="989" w:type="dxa"/>
            <w:vAlign w:val="center"/>
          </w:tcPr>
          <w:p>
            <w:pPr>
              <w:spacing w:line="240" w:lineRule="auto"/>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硫酸盐</w:t>
            </w:r>
          </w:p>
        </w:tc>
        <w:tc>
          <w:tcPr>
            <w:tcW w:w="989" w:type="dxa"/>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氯化物</w:t>
            </w:r>
          </w:p>
        </w:tc>
        <w:tc>
          <w:tcPr>
            <w:tcW w:w="1291" w:type="dxa"/>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总大肠菌群</w:t>
            </w:r>
          </w:p>
        </w:tc>
        <w:tc>
          <w:tcPr>
            <w:tcW w:w="1075" w:type="dxa"/>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细菌</w:t>
            </w:r>
          </w:p>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总数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restart"/>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1#监测井</w:t>
            </w:r>
          </w:p>
        </w:tc>
        <w:tc>
          <w:tcPr>
            <w:tcW w:w="1577"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监测浓度(mg/L)</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0.29</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0.03</w:t>
            </w:r>
          </w:p>
        </w:tc>
        <w:tc>
          <w:tcPr>
            <w:tcW w:w="1050"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3"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560</w:t>
            </w:r>
          </w:p>
        </w:tc>
        <w:tc>
          <w:tcPr>
            <w:tcW w:w="96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128</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12.2</w:t>
            </w:r>
          </w:p>
        </w:tc>
        <w:tc>
          <w:tcPr>
            <w:tcW w:w="129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1075"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40" w:lineRule="auto"/>
              <w:jc w:val="center"/>
              <w:rPr>
                <w:rFonts w:hint="default" w:ascii="Times New Roman" w:hAnsi="Times New Roman" w:eastAsia="宋体" w:cs="Times New Roman"/>
                <w:sz w:val="21"/>
                <w:szCs w:val="21"/>
              </w:rPr>
            </w:pPr>
          </w:p>
        </w:tc>
        <w:tc>
          <w:tcPr>
            <w:tcW w:w="1577"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检出率(%)</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050"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29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83" w:hRule="atLeast"/>
          <w:jc w:val="center"/>
        </w:trPr>
        <w:tc>
          <w:tcPr>
            <w:tcW w:w="1157" w:type="dxa"/>
            <w:vMerge w:val="continue"/>
            <w:vAlign w:val="center"/>
          </w:tcPr>
          <w:p>
            <w:pPr>
              <w:spacing w:line="240" w:lineRule="auto"/>
              <w:jc w:val="center"/>
              <w:rPr>
                <w:rFonts w:hint="default" w:ascii="Times New Roman" w:hAnsi="Times New Roman" w:eastAsia="宋体" w:cs="Times New Roman"/>
                <w:sz w:val="21"/>
                <w:szCs w:val="21"/>
              </w:rPr>
            </w:pPr>
          </w:p>
        </w:tc>
        <w:tc>
          <w:tcPr>
            <w:tcW w:w="1577"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超标率(%)</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6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29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40" w:lineRule="auto"/>
              <w:jc w:val="center"/>
              <w:rPr>
                <w:rFonts w:hint="default" w:ascii="Times New Roman" w:hAnsi="Times New Roman" w:eastAsia="宋体" w:cs="Times New Roman"/>
                <w:sz w:val="21"/>
                <w:szCs w:val="21"/>
              </w:rPr>
            </w:pPr>
          </w:p>
        </w:tc>
        <w:tc>
          <w:tcPr>
            <w:tcW w:w="1577"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最大超标倍数</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6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29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157" w:type="dxa"/>
            <w:vMerge w:val="continue"/>
            <w:vAlign w:val="center"/>
          </w:tcPr>
          <w:p>
            <w:pPr>
              <w:spacing w:line="240" w:lineRule="auto"/>
              <w:jc w:val="center"/>
              <w:rPr>
                <w:rFonts w:hint="default" w:ascii="Times New Roman" w:hAnsi="Times New Roman" w:eastAsia="宋体" w:cs="Times New Roman"/>
                <w:sz w:val="21"/>
                <w:szCs w:val="21"/>
              </w:rPr>
            </w:pPr>
          </w:p>
        </w:tc>
        <w:tc>
          <w:tcPr>
            <w:tcW w:w="1577"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标准指数Pi</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0.29 </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0.10 </w:t>
            </w:r>
          </w:p>
        </w:tc>
        <w:tc>
          <w:tcPr>
            <w:tcW w:w="1050"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3"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0.56 </w:t>
            </w:r>
          </w:p>
        </w:tc>
        <w:tc>
          <w:tcPr>
            <w:tcW w:w="96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0.60 </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0.51 </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129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restart"/>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2#监测井</w:t>
            </w:r>
          </w:p>
        </w:tc>
        <w:tc>
          <w:tcPr>
            <w:tcW w:w="1577"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监测浓度(mg/L)</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0.77</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0.07</w:t>
            </w:r>
          </w:p>
        </w:tc>
        <w:tc>
          <w:tcPr>
            <w:tcW w:w="1050"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3"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1.25×10</w:t>
            </w:r>
            <w:r>
              <w:rPr>
                <w:rFonts w:hint="default" w:ascii="Times New Roman" w:hAnsi="Times New Roman" w:eastAsia="宋体" w:cs="Times New Roman"/>
                <w:sz w:val="21"/>
                <w:szCs w:val="21"/>
                <w:vertAlign w:val="superscript"/>
              </w:rPr>
              <w:t>3</w:t>
            </w:r>
          </w:p>
        </w:tc>
        <w:tc>
          <w:tcPr>
            <w:tcW w:w="96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1.44</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424</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85.6</w:t>
            </w:r>
          </w:p>
        </w:tc>
        <w:tc>
          <w:tcPr>
            <w:tcW w:w="129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1075"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90" w:hRule="atLeast"/>
          <w:jc w:val="center"/>
        </w:trPr>
        <w:tc>
          <w:tcPr>
            <w:tcW w:w="1157" w:type="dxa"/>
            <w:vMerge w:val="continue"/>
            <w:vAlign w:val="center"/>
          </w:tcPr>
          <w:p>
            <w:pPr>
              <w:spacing w:line="240" w:lineRule="auto"/>
              <w:jc w:val="center"/>
              <w:rPr>
                <w:rFonts w:hint="default" w:ascii="Times New Roman" w:hAnsi="Times New Roman" w:eastAsia="宋体" w:cs="Times New Roman"/>
                <w:sz w:val="21"/>
                <w:szCs w:val="21"/>
              </w:rPr>
            </w:pPr>
          </w:p>
        </w:tc>
        <w:tc>
          <w:tcPr>
            <w:tcW w:w="1577"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检出率(%)</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050"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29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40" w:lineRule="auto"/>
              <w:jc w:val="center"/>
              <w:rPr>
                <w:rFonts w:hint="default" w:ascii="Times New Roman" w:hAnsi="Times New Roman" w:eastAsia="宋体" w:cs="Times New Roman"/>
                <w:sz w:val="21"/>
                <w:szCs w:val="21"/>
              </w:rPr>
            </w:pPr>
          </w:p>
        </w:tc>
        <w:tc>
          <w:tcPr>
            <w:tcW w:w="1577"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超标率(%)</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29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157" w:type="dxa"/>
            <w:vMerge w:val="continue"/>
            <w:vAlign w:val="center"/>
          </w:tcPr>
          <w:p>
            <w:pPr>
              <w:spacing w:line="240" w:lineRule="auto"/>
              <w:jc w:val="center"/>
              <w:rPr>
                <w:rFonts w:hint="default" w:ascii="Times New Roman" w:hAnsi="Times New Roman" w:eastAsia="宋体" w:cs="Times New Roman"/>
                <w:sz w:val="21"/>
                <w:szCs w:val="21"/>
              </w:rPr>
            </w:pPr>
          </w:p>
        </w:tc>
        <w:tc>
          <w:tcPr>
            <w:tcW w:w="1577"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最大超标倍数</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0.25</w:t>
            </w:r>
          </w:p>
        </w:tc>
        <w:tc>
          <w:tcPr>
            <w:tcW w:w="96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0.70</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29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157" w:type="dxa"/>
            <w:vMerge w:val="continue"/>
            <w:vAlign w:val="center"/>
          </w:tcPr>
          <w:p>
            <w:pPr>
              <w:spacing w:line="240" w:lineRule="auto"/>
              <w:jc w:val="center"/>
              <w:rPr>
                <w:rFonts w:hint="default" w:ascii="Times New Roman" w:hAnsi="Times New Roman" w:eastAsia="宋体" w:cs="Times New Roman"/>
                <w:sz w:val="21"/>
                <w:szCs w:val="21"/>
              </w:rPr>
            </w:pPr>
          </w:p>
        </w:tc>
        <w:tc>
          <w:tcPr>
            <w:tcW w:w="1577"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标准指数Pi</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0.77 </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6"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0.23 </w:t>
            </w:r>
          </w:p>
        </w:tc>
        <w:tc>
          <w:tcPr>
            <w:tcW w:w="1050"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3" w:type="dxa"/>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1.25 </w:t>
            </w:r>
          </w:p>
        </w:tc>
        <w:tc>
          <w:tcPr>
            <w:tcW w:w="96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0.48 </w:t>
            </w:r>
          </w:p>
        </w:tc>
        <w:tc>
          <w:tcPr>
            <w:tcW w:w="989" w:type="dxa"/>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1.70 </w:t>
            </w:r>
          </w:p>
        </w:tc>
        <w:tc>
          <w:tcPr>
            <w:tcW w:w="989"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0.34 </w:t>
            </w:r>
          </w:p>
        </w:tc>
        <w:tc>
          <w:tcPr>
            <w:tcW w:w="1291"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83" w:hRule="atLeast"/>
          <w:jc w:val="center"/>
        </w:trPr>
        <w:tc>
          <w:tcPr>
            <w:tcW w:w="1157" w:type="dxa"/>
            <w:vMerge w:val="restart"/>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3#监测井</w:t>
            </w: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监测浓度(mg/L)</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0.68</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0.04</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4.65×10</w:t>
            </w:r>
            <w:r>
              <w:rPr>
                <w:rFonts w:hint="default" w:ascii="Times New Roman" w:hAnsi="Times New Roman" w:eastAsia="宋体" w:cs="Times New Roman"/>
                <w:sz w:val="21"/>
                <w:szCs w:val="21"/>
                <w:vertAlign w:val="superscript"/>
              </w:rPr>
              <w:t>3</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0.82</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1.76×10</w:t>
            </w:r>
            <w:r>
              <w:rPr>
                <w:rFonts w:hint="default" w:ascii="Times New Roman" w:hAnsi="Times New Roman" w:eastAsia="宋体" w:cs="Times New Roman"/>
                <w:sz w:val="21"/>
                <w:szCs w:val="21"/>
                <w:vertAlign w:val="superscript"/>
              </w:rPr>
              <w:t>3</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981</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检出率(%)</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超标率(%)</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最大超标倍数</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3.65</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6.04</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2.92</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标准指数Pi</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0.68 </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0.13 </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3"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4.65 </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0.27 </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7.04 </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3.92 </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restart"/>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4#监测井</w:t>
            </w: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监测浓度(mg/L)</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0.92</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0.07</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1.21×10</w:t>
            </w:r>
            <w:r>
              <w:rPr>
                <w:rFonts w:hint="default" w:ascii="Times New Roman" w:hAnsi="Times New Roman" w:eastAsia="宋体" w:cs="Times New Roman"/>
                <w:sz w:val="21"/>
                <w:szCs w:val="21"/>
                <w:vertAlign w:val="superscript"/>
              </w:rPr>
              <w:t>3</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0.74</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370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75.8</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检出率(%)</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超标率(%)</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最大超标倍数</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0.21</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0.48</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标准指数Pi</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0.92 </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0.23 </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3"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1.21 </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0.25 </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1.48 </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0.30 </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restart"/>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5#监测井</w:t>
            </w: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监测浓度(mg/L)</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0.88</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0.06</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1.06×10</w:t>
            </w:r>
            <w:r>
              <w:rPr>
                <w:rFonts w:hint="default" w:ascii="Times New Roman" w:hAnsi="Times New Roman" w:eastAsia="宋体" w:cs="Times New Roman"/>
                <w:sz w:val="21"/>
                <w:szCs w:val="21"/>
                <w:vertAlign w:val="superscript"/>
              </w:rPr>
              <w:t>3</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376</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70.9</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检出率(%)</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超标率(%)</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最大超标倍数</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b/>
                <w:bCs/>
                <w:sz w:val="21"/>
                <w:szCs w:val="21"/>
              </w:rPr>
              <w:t>0.06</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0.50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标准指数Pi</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0.88 </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0.20 </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3"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1.06 </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0.47 </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1.50 </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0.28 </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restart"/>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6#监测井</w:t>
            </w: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监测浓度(mg/L)</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0.74</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0.04</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4.12×10</w:t>
            </w:r>
            <w:r>
              <w:rPr>
                <w:rFonts w:hint="default" w:ascii="Times New Roman" w:hAnsi="Times New Roman" w:eastAsia="宋体" w:cs="Times New Roman"/>
                <w:sz w:val="21"/>
                <w:szCs w:val="21"/>
                <w:vertAlign w:val="superscript"/>
              </w:rPr>
              <w:t>3</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1.34×10</w:t>
            </w:r>
            <w:r>
              <w:rPr>
                <w:rFonts w:hint="default" w:ascii="Times New Roman" w:hAnsi="Times New Roman" w:eastAsia="宋体" w:cs="Times New Roman"/>
                <w:sz w:val="21"/>
                <w:szCs w:val="21"/>
                <w:vertAlign w:val="superscript"/>
              </w:rPr>
              <w:t>3</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1150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检出率(%)</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超标率(%)</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最大超标倍数</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3.12</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4.36</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3.60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标准指数Pi</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0.74 </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0.13 </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3"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4.12 </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0.47 </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5.36 </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4.60 </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83" w:hRule="atLeast"/>
          <w:jc w:val="center"/>
        </w:trPr>
        <w:tc>
          <w:tcPr>
            <w:tcW w:w="1157" w:type="dxa"/>
            <w:vMerge w:val="restart"/>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7#监测井</w:t>
            </w: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监测浓度(mg/L)</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0.71</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0.04</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4.82×10</w:t>
            </w:r>
            <w:r>
              <w:rPr>
                <w:rFonts w:hint="default" w:ascii="Times New Roman" w:hAnsi="Times New Roman" w:eastAsia="宋体" w:cs="Times New Roman"/>
                <w:sz w:val="21"/>
                <w:szCs w:val="21"/>
                <w:vertAlign w:val="superscript"/>
              </w:rPr>
              <w:t>3</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1.32</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1.83×10</w:t>
            </w:r>
            <w:r>
              <w:rPr>
                <w:rFonts w:hint="default" w:ascii="Times New Roman" w:hAnsi="Times New Roman" w:eastAsia="宋体" w:cs="Times New Roman"/>
                <w:sz w:val="21"/>
                <w:szCs w:val="21"/>
                <w:vertAlign w:val="superscript"/>
              </w:rPr>
              <w:t>3</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983</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检出率(%)</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超标率(%)</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0"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最大超标倍数</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3"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3.82</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6.32</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2.93</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83" w:hRule="atLeast"/>
          <w:jc w:val="center"/>
        </w:trPr>
        <w:tc>
          <w:tcPr>
            <w:tcW w:w="1157" w:type="dxa"/>
            <w:vMerge w:val="continue"/>
            <w:vAlign w:val="center"/>
          </w:tcPr>
          <w:p>
            <w:pPr>
              <w:spacing w:line="250" w:lineRule="exact"/>
              <w:jc w:val="center"/>
              <w:rPr>
                <w:rFonts w:hint="default" w:ascii="Times New Roman" w:hAnsi="Times New Roman" w:eastAsia="宋体" w:cs="Times New Roman"/>
                <w:sz w:val="21"/>
                <w:szCs w:val="21"/>
              </w:rPr>
            </w:pPr>
          </w:p>
        </w:tc>
        <w:tc>
          <w:tcPr>
            <w:tcW w:w="1577"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标准指数Pi</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0.71 </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0.13 </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0.05 </w:t>
            </w:r>
          </w:p>
        </w:tc>
        <w:tc>
          <w:tcPr>
            <w:tcW w:w="983"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4.82 </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0.44 </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7.32 </w:t>
            </w:r>
          </w:p>
        </w:tc>
        <w:tc>
          <w:tcPr>
            <w:tcW w:w="989" w:type="dxa"/>
            <w:vAlign w:val="center"/>
          </w:tcPr>
          <w:p>
            <w:pPr>
              <w:spacing w:line="25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 xml:space="preserve">3.93 </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 w:hRule="atLeast"/>
          <w:jc w:val="center"/>
        </w:trPr>
        <w:tc>
          <w:tcPr>
            <w:tcW w:w="2734" w:type="dxa"/>
            <w:gridSpan w:val="2"/>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《地下水质量标准》(GB/T14848-2017)中Ⅲ类标准(mg/L)</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0.005</w:t>
            </w:r>
          </w:p>
        </w:tc>
        <w:tc>
          <w:tcPr>
            <w:tcW w:w="986"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w:t>
            </w:r>
          </w:p>
        </w:tc>
        <w:tc>
          <w:tcPr>
            <w:tcW w:w="1050"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0.10</w:t>
            </w:r>
          </w:p>
        </w:tc>
        <w:tc>
          <w:tcPr>
            <w:tcW w:w="983"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1000</w:t>
            </w:r>
          </w:p>
        </w:tc>
        <w:tc>
          <w:tcPr>
            <w:tcW w:w="96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250</w:t>
            </w:r>
          </w:p>
        </w:tc>
        <w:tc>
          <w:tcPr>
            <w:tcW w:w="989"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250</w:t>
            </w:r>
          </w:p>
        </w:tc>
        <w:tc>
          <w:tcPr>
            <w:tcW w:w="1291"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r>
              <w:rPr>
                <w:rFonts w:hint="default" w:ascii="Times New Roman" w:hAnsi="Times New Roman" w:eastAsia="宋体" w:cs="Times New Roman"/>
              </w:rPr>
              <w:t xml:space="preserve"> </w:t>
            </w:r>
            <w:r>
              <w:rPr>
                <w:rFonts w:hint="default" w:ascii="Times New Roman" w:hAnsi="Times New Roman" w:eastAsia="宋体" w:cs="Times New Roman"/>
                <w:sz w:val="21"/>
                <w:szCs w:val="21"/>
              </w:rPr>
              <w:t>CFU/100mL</w:t>
            </w:r>
          </w:p>
        </w:tc>
        <w:tc>
          <w:tcPr>
            <w:tcW w:w="1075" w:type="dxa"/>
            <w:vAlign w:val="center"/>
          </w:tcPr>
          <w:p>
            <w:pPr>
              <w:spacing w:line="25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r>
              <w:rPr>
                <w:rFonts w:hint="default" w:ascii="Times New Roman" w:hAnsi="Times New Roman" w:eastAsia="宋体" w:cs="Times New Roman"/>
              </w:rPr>
              <w:t xml:space="preserve"> </w:t>
            </w:r>
            <w:r>
              <w:rPr>
                <w:rFonts w:hint="default" w:ascii="Times New Roman" w:hAnsi="Times New Roman" w:eastAsia="宋体" w:cs="Times New Roman"/>
                <w:sz w:val="21"/>
                <w:szCs w:val="21"/>
              </w:rPr>
              <w:t>CFU/mL</w:t>
            </w:r>
          </w:p>
        </w:tc>
      </w:tr>
    </w:tbl>
    <w:p>
      <w:pPr>
        <w:adjustRightInd w:val="0"/>
        <w:snapToGrid w:val="0"/>
        <w:rPr>
          <w:rFonts w:cs="Times New Roman"/>
          <w:sz w:val="21"/>
          <w:szCs w:val="21"/>
          <w:lang w:val="zh-CN"/>
        </w:rPr>
      </w:pPr>
      <w:r>
        <w:rPr>
          <w:rFonts w:hint="eastAsia" w:cs="Times New Roman"/>
          <w:sz w:val="21"/>
          <w:szCs w:val="21"/>
          <w:lang w:val="zh-CN"/>
        </w:rPr>
        <w:t>备注：N</w:t>
      </w:r>
      <w:r>
        <w:rPr>
          <w:rFonts w:cs="Times New Roman"/>
          <w:sz w:val="21"/>
          <w:szCs w:val="21"/>
          <w:lang w:val="zh-CN"/>
        </w:rPr>
        <w:t>D为未检出，未检出数据以检出限的</w:t>
      </w:r>
      <w:r>
        <w:rPr>
          <w:rFonts w:hint="eastAsia" w:cs="Times New Roman"/>
          <w:sz w:val="21"/>
          <w:szCs w:val="21"/>
          <w:lang w:val="zh-CN"/>
        </w:rPr>
        <w:t>1/</w:t>
      </w:r>
      <w:r>
        <w:rPr>
          <w:rFonts w:cs="Times New Roman"/>
          <w:sz w:val="21"/>
          <w:szCs w:val="21"/>
          <w:lang w:val="zh-CN"/>
        </w:rPr>
        <w:t>2计。</w:t>
      </w:r>
    </w:p>
    <w:p>
      <w:pPr>
        <w:pStyle w:val="52"/>
        <w:tabs>
          <w:tab w:val="left" w:pos="284"/>
        </w:tabs>
        <w:snapToGrid w:val="0"/>
        <w:spacing w:before="120" w:beforeLines="50" w:after="120" w:afterLines="50" w:line="540" w:lineRule="exact"/>
        <w:contextualSpacing/>
        <w:outlineLvl w:val="9"/>
        <w:rPr>
          <w:rFonts w:cs="Times New Roman"/>
          <w:bCs w:val="0"/>
          <w:snapToGrid w:val="0"/>
          <w:kern w:val="0"/>
          <w:sz w:val="28"/>
          <w:szCs w:val="28"/>
        </w:rPr>
      </w:pPr>
    </w:p>
    <w:p>
      <w:pPr>
        <w:pStyle w:val="52"/>
        <w:tabs>
          <w:tab w:val="left" w:pos="284"/>
        </w:tabs>
        <w:snapToGrid w:val="0"/>
        <w:spacing w:before="120" w:beforeLines="50" w:after="120" w:afterLines="50" w:line="540" w:lineRule="exact"/>
        <w:contextualSpacing/>
        <w:outlineLvl w:val="9"/>
        <w:rPr>
          <w:rFonts w:cs="Times New Roman"/>
          <w:bCs w:val="0"/>
          <w:snapToGrid w:val="0"/>
          <w:kern w:val="0"/>
          <w:sz w:val="28"/>
          <w:szCs w:val="28"/>
        </w:rPr>
      </w:pPr>
    </w:p>
    <w:p>
      <w:pPr>
        <w:pStyle w:val="52"/>
        <w:tabs>
          <w:tab w:val="left" w:pos="284"/>
        </w:tabs>
        <w:snapToGrid w:val="0"/>
        <w:spacing w:before="120" w:beforeLines="50" w:after="120" w:afterLines="50" w:line="540" w:lineRule="exact"/>
        <w:contextualSpacing/>
        <w:outlineLvl w:val="9"/>
        <w:rPr>
          <w:rFonts w:cs="Times New Roman"/>
          <w:bCs w:val="0"/>
          <w:snapToGrid w:val="0"/>
          <w:kern w:val="0"/>
          <w:sz w:val="28"/>
          <w:szCs w:val="28"/>
        </w:rPr>
        <w:sectPr>
          <w:pgSz w:w="16838" w:h="11911" w:orient="landscape"/>
          <w:pgMar w:top="1417" w:right="1701" w:bottom="1417" w:left="1701" w:header="1134" w:footer="1134" w:gutter="0"/>
          <w:pgBorders>
            <w:top w:val="none" w:sz="0" w:space="0"/>
            <w:left w:val="none" w:sz="0" w:space="0"/>
            <w:bottom w:val="none" w:sz="0" w:space="0"/>
            <w:right w:val="none" w:sz="0" w:space="0"/>
          </w:pgBorders>
          <w:cols w:space="720" w:num="1"/>
          <w:docGrid w:linePitch="312" w:charSpace="0"/>
        </w:sectPr>
      </w:pPr>
    </w:p>
    <w:p>
      <w:pPr>
        <w:pStyle w:val="2"/>
        <w:adjustRightInd w:val="0"/>
        <w:spacing w:line="540" w:lineRule="exact"/>
        <w:ind w:firstLine="480" w:firstLineChars="200"/>
        <w:jc w:val="both"/>
        <w:rPr>
          <w:rFonts w:ascii="Times New Roman" w:hAnsi="Times New Roman"/>
          <w:sz w:val="24"/>
          <w:lang w:val="zh-CN"/>
        </w:rPr>
      </w:pPr>
      <w:r>
        <w:rPr>
          <w:rFonts w:hint="eastAsia" w:ascii="Times New Roman" w:hAnsi="Times New Roman"/>
          <w:sz w:val="24"/>
          <w:highlight w:val="none"/>
          <w:lang w:val="zh-CN"/>
        </w:rPr>
        <w:t>由表</w:t>
      </w:r>
      <w:r>
        <w:rPr>
          <w:rFonts w:hint="eastAsia" w:ascii="Times New Roman" w:hAnsi="Times New Roman"/>
          <w:sz w:val="24"/>
          <w:highlight w:val="none"/>
          <w:lang w:val="en-US" w:eastAsia="zh-CN"/>
        </w:rPr>
        <w:t>3.2-14</w:t>
      </w:r>
      <w:r>
        <w:rPr>
          <w:rFonts w:hint="eastAsia" w:ascii="Times New Roman" w:hAnsi="Times New Roman"/>
          <w:sz w:val="24"/>
          <w:lang w:val="zh-CN"/>
        </w:rPr>
        <w:t>可知，监测期间评价区</w:t>
      </w:r>
      <w:r>
        <w:rPr>
          <w:rFonts w:ascii="Times New Roman" w:hAnsi="Times New Roman"/>
          <w:sz w:val="24"/>
          <w:lang w:val="zh-CN"/>
        </w:rPr>
        <w:t>3~7#</w:t>
      </w:r>
      <w:r>
        <w:rPr>
          <w:rFonts w:hint="eastAsia" w:ascii="Times New Roman" w:hAnsi="Times New Roman"/>
          <w:sz w:val="24"/>
          <w:lang w:val="zh-CN"/>
        </w:rPr>
        <w:t>地下水</w:t>
      </w:r>
      <w:r>
        <w:rPr>
          <w:rFonts w:ascii="Times New Roman" w:hAnsi="Times New Roman"/>
          <w:sz w:val="24"/>
          <w:lang w:val="zh-CN"/>
        </w:rPr>
        <w:t>监测井</w:t>
      </w:r>
      <w:r>
        <w:rPr>
          <w:rFonts w:hint="eastAsia" w:ascii="Times New Roman" w:hAnsi="Times New Roman"/>
          <w:sz w:val="24"/>
          <w:lang w:val="zh-CN"/>
        </w:rPr>
        <w:t>中总硬度出现超标，最大超标倍数为0</w:t>
      </w:r>
      <w:r>
        <w:rPr>
          <w:rFonts w:ascii="Times New Roman" w:hAnsi="Times New Roman"/>
          <w:sz w:val="24"/>
          <w:lang w:val="zh-CN"/>
        </w:rPr>
        <w:t>.15</w:t>
      </w:r>
      <w:r>
        <w:rPr>
          <w:rFonts w:hint="eastAsia" w:ascii="Times New Roman" w:hAnsi="Times New Roman"/>
          <w:sz w:val="24"/>
          <w:lang w:val="zh-CN"/>
        </w:rPr>
        <w:t>~</w:t>
      </w:r>
      <w:r>
        <w:rPr>
          <w:rFonts w:ascii="Times New Roman" w:hAnsi="Times New Roman"/>
          <w:sz w:val="24"/>
          <w:lang w:val="zh-CN"/>
        </w:rPr>
        <w:t>3.09</w:t>
      </w:r>
      <w:r>
        <w:rPr>
          <w:rFonts w:hint="eastAsia" w:ascii="Times New Roman" w:hAnsi="Times New Roman"/>
          <w:sz w:val="24"/>
          <w:lang w:val="zh-CN"/>
        </w:rPr>
        <w:t>倍；</w:t>
      </w:r>
      <w:r>
        <w:rPr>
          <w:rFonts w:ascii="Times New Roman" w:hAnsi="Times New Roman"/>
          <w:sz w:val="24"/>
          <w:lang w:val="zh-CN"/>
        </w:rPr>
        <w:t>3#</w:t>
      </w:r>
      <w:r>
        <w:rPr>
          <w:rFonts w:hint="eastAsia" w:ascii="Times New Roman" w:hAnsi="Times New Roman"/>
          <w:sz w:val="24"/>
          <w:lang w:val="zh-CN"/>
        </w:rPr>
        <w:t>、6</w:t>
      </w:r>
      <w:r>
        <w:rPr>
          <w:rFonts w:ascii="Times New Roman" w:hAnsi="Times New Roman"/>
          <w:sz w:val="24"/>
          <w:lang w:val="zh-CN"/>
        </w:rPr>
        <w:t>#</w:t>
      </w:r>
      <w:r>
        <w:rPr>
          <w:rFonts w:hint="eastAsia" w:ascii="Times New Roman" w:hAnsi="Times New Roman"/>
          <w:sz w:val="24"/>
          <w:lang w:val="zh-CN"/>
        </w:rPr>
        <w:t>、</w:t>
      </w:r>
      <w:r>
        <w:rPr>
          <w:rFonts w:ascii="Times New Roman" w:hAnsi="Times New Roman"/>
          <w:sz w:val="24"/>
          <w:lang w:val="zh-CN"/>
        </w:rPr>
        <w:t>7#</w:t>
      </w:r>
      <w:r>
        <w:rPr>
          <w:rFonts w:hint="eastAsia" w:ascii="Times New Roman" w:hAnsi="Times New Roman"/>
          <w:sz w:val="24"/>
          <w:lang w:val="zh-CN"/>
        </w:rPr>
        <w:t>地下水</w:t>
      </w:r>
      <w:r>
        <w:rPr>
          <w:rFonts w:ascii="Times New Roman" w:hAnsi="Times New Roman"/>
          <w:sz w:val="24"/>
          <w:lang w:val="zh-CN"/>
        </w:rPr>
        <w:t>监测井</w:t>
      </w:r>
      <w:r>
        <w:rPr>
          <w:rFonts w:hint="eastAsia" w:ascii="Times New Roman" w:hAnsi="Times New Roman"/>
          <w:sz w:val="24"/>
          <w:lang w:val="zh-CN"/>
        </w:rPr>
        <w:t>中氯化物出现超标，最大超标倍数为</w:t>
      </w:r>
      <w:r>
        <w:rPr>
          <w:rFonts w:ascii="Times New Roman" w:hAnsi="Times New Roman"/>
          <w:sz w:val="24"/>
          <w:lang w:val="zh-CN"/>
        </w:rPr>
        <w:t>2.92</w:t>
      </w:r>
      <w:r>
        <w:rPr>
          <w:rFonts w:hint="eastAsia" w:ascii="Times New Roman" w:hAnsi="Times New Roman"/>
          <w:sz w:val="24"/>
          <w:lang w:val="zh-CN"/>
        </w:rPr>
        <w:t>~</w:t>
      </w:r>
      <w:r>
        <w:rPr>
          <w:rFonts w:ascii="Times New Roman" w:hAnsi="Times New Roman"/>
          <w:sz w:val="24"/>
          <w:lang w:val="zh-CN"/>
        </w:rPr>
        <w:t>3.60</w:t>
      </w:r>
      <w:r>
        <w:rPr>
          <w:rFonts w:hint="eastAsia" w:ascii="Times New Roman" w:hAnsi="Times New Roman"/>
          <w:sz w:val="24"/>
          <w:lang w:val="zh-CN"/>
        </w:rPr>
        <w:t>倍；2~</w:t>
      </w:r>
      <w:r>
        <w:rPr>
          <w:rFonts w:ascii="Times New Roman" w:hAnsi="Times New Roman"/>
          <w:sz w:val="24"/>
          <w:lang w:val="zh-CN"/>
        </w:rPr>
        <w:t>7</w:t>
      </w:r>
      <w:r>
        <w:rPr>
          <w:rFonts w:hint="eastAsia" w:ascii="Times New Roman" w:hAnsi="Times New Roman"/>
          <w:sz w:val="24"/>
          <w:lang w:val="zh-CN"/>
        </w:rPr>
        <w:t>#地下水监测井中溶解性总固体、硫酸盐、钠出现超标，最大超标倍数分别为0</w:t>
      </w:r>
      <w:r>
        <w:rPr>
          <w:rFonts w:ascii="Times New Roman" w:hAnsi="Times New Roman"/>
          <w:sz w:val="24"/>
          <w:lang w:val="zh-CN"/>
        </w:rPr>
        <w:t>.06</w:t>
      </w:r>
      <w:r>
        <w:rPr>
          <w:rFonts w:hint="eastAsia" w:ascii="Times New Roman" w:hAnsi="Times New Roman"/>
          <w:sz w:val="24"/>
          <w:lang w:val="zh-CN"/>
        </w:rPr>
        <w:t>~</w:t>
      </w:r>
      <w:r>
        <w:rPr>
          <w:rFonts w:ascii="Times New Roman" w:hAnsi="Times New Roman"/>
          <w:sz w:val="24"/>
          <w:lang w:val="zh-CN"/>
        </w:rPr>
        <w:t>3.82</w:t>
      </w:r>
      <w:r>
        <w:rPr>
          <w:rFonts w:hint="eastAsia" w:ascii="Times New Roman" w:hAnsi="Times New Roman"/>
          <w:sz w:val="24"/>
          <w:lang w:val="zh-CN"/>
        </w:rPr>
        <w:t>倍、0</w:t>
      </w:r>
      <w:r>
        <w:rPr>
          <w:rFonts w:ascii="Times New Roman" w:hAnsi="Times New Roman"/>
          <w:sz w:val="24"/>
          <w:lang w:val="zh-CN"/>
        </w:rPr>
        <w:t>.48</w:t>
      </w:r>
      <w:r>
        <w:rPr>
          <w:rFonts w:hint="eastAsia" w:ascii="Times New Roman" w:hAnsi="Times New Roman"/>
          <w:sz w:val="24"/>
          <w:lang w:val="zh-CN"/>
        </w:rPr>
        <w:t>~</w:t>
      </w:r>
      <w:r>
        <w:rPr>
          <w:rFonts w:ascii="Times New Roman" w:hAnsi="Times New Roman"/>
          <w:sz w:val="24"/>
          <w:lang w:val="zh-CN"/>
        </w:rPr>
        <w:t>6.32</w:t>
      </w:r>
      <w:r>
        <w:rPr>
          <w:rFonts w:hint="eastAsia" w:ascii="Times New Roman" w:hAnsi="Times New Roman"/>
          <w:sz w:val="24"/>
          <w:lang w:val="zh-CN"/>
        </w:rPr>
        <w:t>倍、0</w:t>
      </w:r>
      <w:r>
        <w:rPr>
          <w:rFonts w:ascii="Times New Roman" w:hAnsi="Times New Roman"/>
          <w:sz w:val="24"/>
          <w:lang w:val="zh-CN"/>
        </w:rPr>
        <w:t>.23</w:t>
      </w:r>
      <w:r>
        <w:rPr>
          <w:rFonts w:hint="eastAsia" w:ascii="Times New Roman" w:hAnsi="Times New Roman"/>
          <w:sz w:val="24"/>
          <w:lang w:val="zh-CN"/>
        </w:rPr>
        <w:t>~</w:t>
      </w:r>
      <w:r>
        <w:rPr>
          <w:rFonts w:ascii="Times New Roman" w:hAnsi="Times New Roman"/>
          <w:sz w:val="24"/>
          <w:lang w:val="zh-CN"/>
        </w:rPr>
        <w:t>3.1</w:t>
      </w:r>
      <w:r>
        <w:rPr>
          <w:rFonts w:hint="eastAsia" w:ascii="Times New Roman" w:hAnsi="Times New Roman"/>
          <w:sz w:val="24"/>
          <w:lang w:val="zh-CN"/>
        </w:rPr>
        <w:t>倍；其余监测因子均满足《地下水质量标准》(GB/T14848-2017)Ⅲ类标准。地下水中总硬度、氯化物、溶解性总固体、硫酸盐、钠等因子出现超标，与区域水文地质条件相关。</w:t>
      </w:r>
    </w:p>
    <w:p>
      <w:pPr>
        <w:pStyle w:val="52"/>
        <w:keepNext/>
        <w:keepLines/>
        <w:pageBreakBefore w:val="0"/>
        <w:widowControl/>
        <w:tabs>
          <w:tab w:val="left" w:pos="284"/>
        </w:tabs>
        <w:kinsoku/>
        <w:wordWrap/>
        <w:overflowPunct/>
        <w:topLinePunct w:val="0"/>
        <w:autoSpaceDE/>
        <w:autoSpaceDN/>
        <w:bidi w:val="0"/>
        <w:adjustRightInd/>
        <w:snapToGrid w:val="0"/>
        <w:spacing w:before="0" w:after="0" w:afterLines="0" w:line="540" w:lineRule="exact"/>
        <w:contextualSpacing/>
        <w:textAlignment w:val="auto"/>
        <w:rPr>
          <w:rFonts w:cs="Times New Roman"/>
          <w:bCs w:val="0"/>
          <w:snapToGrid w:val="0"/>
          <w:kern w:val="0"/>
          <w:sz w:val="28"/>
          <w:szCs w:val="28"/>
        </w:rPr>
      </w:pPr>
      <w:r>
        <w:rPr>
          <w:rFonts w:cs="Times New Roman"/>
          <w:bCs w:val="0"/>
          <w:snapToGrid w:val="0"/>
          <w:kern w:val="0"/>
          <w:sz w:val="28"/>
          <w:szCs w:val="28"/>
        </w:rPr>
        <w:t>3.2.4声环境质量现状监测与评价</w:t>
      </w:r>
      <w:bookmarkEnd w:id="494"/>
      <w:bookmarkEnd w:id="495"/>
    </w:p>
    <w:p>
      <w:pPr>
        <w:pStyle w:val="2"/>
        <w:adjustRightInd w:val="0"/>
        <w:spacing w:line="540" w:lineRule="exact"/>
        <w:ind w:firstLine="480" w:firstLineChars="200"/>
        <w:jc w:val="both"/>
        <w:rPr>
          <w:rFonts w:ascii="Times New Roman" w:hAnsi="Times New Roman"/>
          <w:sz w:val="24"/>
        </w:rPr>
      </w:pPr>
      <w:bookmarkStart w:id="496" w:name="_Toc16197"/>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rPr>
        <w:t>监测点的布设</w:t>
      </w:r>
      <w:bookmarkEnd w:id="496"/>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本项目声环境质量现状检测分别在拟建项目厂址厂界四周外1m处各布设1个噪声检测点，共4个噪声检测点位</w:t>
      </w:r>
    </w:p>
    <w:p>
      <w:pPr>
        <w:pStyle w:val="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4"/>
        </w:rPr>
      </w:pPr>
      <w:bookmarkStart w:id="497" w:name="_Toc20379"/>
      <w:r>
        <w:rPr>
          <w:rFonts w:hint="eastAsia" w:ascii="Times New Roman" w:hAnsi="Times New Roman"/>
        </w:rPr>
        <w:drawing>
          <wp:inline distT="0" distB="0" distL="114300" distR="114300">
            <wp:extent cx="4179570" cy="2493645"/>
            <wp:effectExtent l="0" t="0" r="11430" b="1905"/>
            <wp:docPr id="73" name="图片 6" descr="腾发声环境监测点位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descr="腾发声环境监测点位图1"/>
                    <pic:cNvPicPr>
                      <a:picLocks noChangeAspect="1"/>
                    </pic:cNvPicPr>
                  </pic:nvPicPr>
                  <pic:blipFill>
                    <a:blip r:embed="rId40"/>
                    <a:stretch>
                      <a:fillRect/>
                    </a:stretch>
                  </pic:blipFill>
                  <pic:spPr>
                    <a:xfrm>
                      <a:off x="0" y="0"/>
                      <a:ext cx="4179570" cy="2493645"/>
                    </a:xfrm>
                    <a:prstGeom prst="rect">
                      <a:avLst/>
                    </a:prstGeom>
                    <a:noFill/>
                    <a:ln>
                      <a:noFill/>
                    </a:ln>
                  </pic:spPr>
                </pic:pic>
              </a:graphicData>
            </a:graphic>
          </wp:inline>
        </w:drawing>
      </w:r>
    </w:p>
    <w:p>
      <w:pPr>
        <w:pStyle w:val="2"/>
        <w:adjustRightInd w:val="0"/>
        <w:spacing w:line="540" w:lineRule="exact"/>
        <w:jc w:val="center"/>
        <w:rPr>
          <w:rFonts w:hint="default" w:ascii="Times New Roman" w:hAnsi="Times New Roman" w:eastAsia="宋体"/>
          <w:b/>
          <w:bCs/>
          <w:sz w:val="24"/>
          <w:lang w:val="en-US" w:eastAsia="zh-CN"/>
        </w:rPr>
      </w:pPr>
      <w:r>
        <w:rPr>
          <w:rFonts w:hint="eastAsia" w:ascii="Times New Roman" w:hAnsi="Times New Roman"/>
          <w:b/>
          <w:bCs/>
          <w:sz w:val="24"/>
          <w:lang w:val="en-US" w:eastAsia="zh-CN"/>
        </w:rPr>
        <w:t>图3.2-3   声环境监测点位图</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rPr>
        <w:t>监测时间及频率</w:t>
      </w:r>
      <w:bookmarkEnd w:id="497"/>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宁夏</w:t>
      </w:r>
      <w:r>
        <w:rPr>
          <w:rFonts w:hint="eastAsia" w:ascii="Times New Roman" w:hAnsi="Times New Roman"/>
          <w:sz w:val="24"/>
        </w:rPr>
        <w:t>盛博智环境检测有限公司</w:t>
      </w:r>
      <w:r>
        <w:rPr>
          <w:rFonts w:ascii="Times New Roman" w:hAnsi="Times New Roman"/>
          <w:sz w:val="24"/>
        </w:rPr>
        <w:t>于20</w:t>
      </w:r>
      <w:r>
        <w:rPr>
          <w:rFonts w:hint="eastAsia" w:ascii="Times New Roman" w:hAnsi="Times New Roman"/>
          <w:sz w:val="24"/>
        </w:rPr>
        <w:t>22</w:t>
      </w:r>
      <w:r>
        <w:rPr>
          <w:rFonts w:ascii="Times New Roman" w:hAnsi="Times New Roman"/>
          <w:sz w:val="24"/>
        </w:rPr>
        <w:t>年</w:t>
      </w:r>
      <w:r>
        <w:rPr>
          <w:rFonts w:hint="eastAsia" w:ascii="Times New Roman" w:hAnsi="Times New Roman"/>
          <w:sz w:val="24"/>
        </w:rPr>
        <w:t>4</w:t>
      </w:r>
      <w:r>
        <w:rPr>
          <w:rFonts w:ascii="Times New Roman" w:hAnsi="Times New Roman"/>
          <w:sz w:val="24"/>
        </w:rPr>
        <w:t>月</w:t>
      </w:r>
      <w:r>
        <w:rPr>
          <w:rFonts w:hint="eastAsia" w:ascii="Times New Roman" w:hAnsi="Times New Roman"/>
          <w:sz w:val="24"/>
        </w:rPr>
        <w:t>18</w:t>
      </w:r>
      <w:r>
        <w:rPr>
          <w:rFonts w:ascii="Times New Roman" w:hAnsi="Times New Roman"/>
          <w:sz w:val="24"/>
        </w:rPr>
        <w:t>~20</w:t>
      </w:r>
      <w:r>
        <w:rPr>
          <w:rFonts w:hint="eastAsia" w:ascii="Times New Roman" w:hAnsi="Times New Roman"/>
          <w:sz w:val="24"/>
        </w:rPr>
        <w:t>22</w:t>
      </w:r>
      <w:r>
        <w:rPr>
          <w:rFonts w:ascii="Times New Roman" w:hAnsi="Times New Roman"/>
          <w:sz w:val="24"/>
        </w:rPr>
        <w:t>年</w:t>
      </w:r>
      <w:r>
        <w:rPr>
          <w:rFonts w:hint="eastAsia" w:ascii="Times New Roman" w:hAnsi="Times New Roman"/>
          <w:sz w:val="24"/>
        </w:rPr>
        <w:t>4</w:t>
      </w:r>
      <w:r>
        <w:rPr>
          <w:rFonts w:ascii="Times New Roman" w:hAnsi="Times New Roman"/>
          <w:sz w:val="24"/>
        </w:rPr>
        <w:t>月</w:t>
      </w:r>
      <w:r>
        <w:rPr>
          <w:rFonts w:hint="eastAsia" w:ascii="Times New Roman" w:hAnsi="Times New Roman"/>
          <w:sz w:val="24"/>
        </w:rPr>
        <w:t>19</w:t>
      </w:r>
      <w:r>
        <w:rPr>
          <w:rFonts w:ascii="Times New Roman" w:hAnsi="Times New Roman"/>
          <w:sz w:val="24"/>
        </w:rPr>
        <w:t>日对项目厂址区域环境噪声进行监测，昼间、夜间各进行了2次监测。</w:t>
      </w:r>
    </w:p>
    <w:p>
      <w:pPr>
        <w:pStyle w:val="2"/>
        <w:adjustRightInd w:val="0"/>
        <w:spacing w:line="540" w:lineRule="exact"/>
        <w:ind w:firstLine="480" w:firstLineChars="200"/>
        <w:jc w:val="both"/>
        <w:rPr>
          <w:rFonts w:ascii="Times New Roman" w:hAnsi="Times New Roman"/>
          <w:sz w:val="24"/>
        </w:rPr>
      </w:pPr>
      <w:bookmarkStart w:id="498" w:name="_Toc12870"/>
      <w:r>
        <w:rPr>
          <w:rFonts w:ascii="Times New Roman" w:hAnsi="Times New Roman"/>
          <w:sz w:val="24"/>
        </w:rPr>
        <w:fldChar w:fldCharType="begin"/>
      </w:r>
      <w:r>
        <w:rPr>
          <w:rFonts w:ascii="Times New Roman" w:hAnsi="Times New Roman"/>
          <w:sz w:val="24"/>
        </w:rPr>
        <w:instrText xml:space="preserve"> = 3 \* GB2 \* MERGEFORMAT </w:instrText>
      </w:r>
      <w:r>
        <w:rPr>
          <w:rFonts w:ascii="Times New Roman" w:hAnsi="Times New Roman"/>
          <w:sz w:val="24"/>
        </w:rPr>
        <w:fldChar w:fldCharType="separate"/>
      </w:r>
      <w:r>
        <w:rPr>
          <w:rFonts w:ascii="Times New Roman" w:hAnsi="Times New Roman"/>
          <w:sz w:val="24"/>
        </w:rPr>
        <w:t>⑶</w:t>
      </w:r>
      <w:r>
        <w:rPr>
          <w:rFonts w:ascii="Times New Roman" w:hAnsi="Times New Roman"/>
          <w:sz w:val="24"/>
        </w:rPr>
        <w:fldChar w:fldCharType="end"/>
      </w:r>
      <w:r>
        <w:rPr>
          <w:rFonts w:ascii="Times New Roman" w:hAnsi="Times New Roman"/>
          <w:sz w:val="24"/>
        </w:rPr>
        <w:t>监测项目</w:t>
      </w:r>
      <w:bookmarkEnd w:id="498"/>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连续等效A声级。</w:t>
      </w:r>
    </w:p>
    <w:p>
      <w:pPr>
        <w:adjustRightInd w:val="0"/>
        <w:snapToGrid w:val="0"/>
        <w:spacing w:line="540" w:lineRule="exact"/>
        <w:ind w:firstLine="480" w:firstLineChars="200"/>
        <w:rPr>
          <w:rFonts w:ascii="Times New Roman" w:hAnsi="Times New Roman"/>
          <w:sz w:val="24"/>
        </w:rPr>
      </w:pPr>
      <w:bookmarkStart w:id="499" w:name="_Toc20531"/>
      <w:r>
        <w:rPr>
          <w:rFonts w:ascii="Times New Roman" w:hAnsi="Times New Roman"/>
          <w:sz w:val="24"/>
        </w:rPr>
        <w:fldChar w:fldCharType="begin"/>
      </w:r>
      <w:r>
        <w:rPr>
          <w:rFonts w:ascii="Times New Roman" w:hAnsi="Times New Roman"/>
          <w:sz w:val="24"/>
        </w:rPr>
        <w:instrText xml:space="preserve"> = 4 \* GB2 \* MERGEFORMAT </w:instrText>
      </w:r>
      <w:r>
        <w:rPr>
          <w:rFonts w:ascii="Times New Roman" w:hAnsi="Times New Roman"/>
          <w:sz w:val="24"/>
        </w:rPr>
        <w:fldChar w:fldCharType="separate"/>
      </w:r>
      <w:r>
        <w:rPr>
          <w:rFonts w:ascii="Times New Roman" w:hAnsi="Times New Roman"/>
          <w:sz w:val="24"/>
        </w:rPr>
        <w:t>⑷</w:t>
      </w:r>
      <w:r>
        <w:rPr>
          <w:rFonts w:ascii="Times New Roman" w:hAnsi="Times New Roman"/>
          <w:sz w:val="24"/>
        </w:rPr>
        <w:fldChar w:fldCharType="end"/>
      </w:r>
      <w:r>
        <w:rPr>
          <w:rFonts w:ascii="Times New Roman" w:hAnsi="Times New Roman"/>
          <w:sz w:val="24"/>
        </w:rPr>
        <w:t>监测方法</w:t>
      </w:r>
      <w:bookmarkEnd w:id="499"/>
      <w:r>
        <w:rPr>
          <w:rFonts w:hint="eastAsia" w:ascii="Times New Roman" w:hAnsi="Times New Roman"/>
          <w:sz w:val="24"/>
        </w:rPr>
        <w:t>和质量控制</w:t>
      </w:r>
    </w:p>
    <w:p>
      <w:pPr>
        <w:pStyle w:val="2"/>
        <w:adjustRightInd w:val="0"/>
        <w:spacing w:line="540" w:lineRule="exact"/>
        <w:ind w:firstLine="480" w:firstLineChars="200"/>
        <w:jc w:val="both"/>
        <w:rPr>
          <w:rFonts w:ascii="Times New Roman" w:hAnsi="Times New Roman"/>
          <w:sz w:val="24"/>
        </w:rPr>
      </w:pPr>
      <w:r>
        <w:rPr>
          <w:rFonts w:hint="eastAsia" w:ascii="Times New Roman" w:hAnsi="Times New Roman"/>
          <w:sz w:val="24"/>
        </w:rPr>
        <w:t>根据</w:t>
      </w:r>
      <w:r>
        <w:rPr>
          <w:rFonts w:ascii="Times New Roman" w:hAnsi="Times New Roman"/>
          <w:sz w:val="24"/>
        </w:rPr>
        <w:t>《声环境质量标准》（GB3096-2008）中规定：根据检测结果，统计等效连续A声级值。检测选用杭州爱华电子研究所生产的AWA568</w:t>
      </w:r>
      <w:r>
        <w:rPr>
          <w:rFonts w:hint="eastAsia" w:ascii="Times New Roman" w:hAnsi="Times New Roman"/>
          <w:sz w:val="24"/>
        </w:rPr>
        <w:t>8</w:t>
      </w:r>
      <w:r>
        <w:rPr>
          <w:rFonts w:ascii="Times New Roman" w:hAnsi="Times New Roman"/>
          <w:sz w:val="24"/>
        </w:rPr>
        <w:t>型噪声统计分析仪；杭州爱华电子研究所生产的AWA6</w:t>
      </w:r>
      <w:r>
        <w:rPr>
          <w:rFonts w:hint="eastAsia" w:ascii="Times New Roman" w:hAnsi="Times New Roman"/>
          <w:sz w:val="24"/>
        </w:rPr>
        <w:t>0</w:t>
      </w:r>
      <w:r>
        <w:rPr>
          <w:rFonts w:ascii="Times New Roman" w:hAnsi="Times New Roman"/>
          <w:sz w:val="24"/>
        </w:rPr>
        <w:t>22</w:t>
      </w:r>
      <w:r>
        <w:rPr>
          <w:rFonts w:hint="eastAsia" w:ascii="Times New Roman" w:hAnsi="Times New Roman"/>
          <w:sz w:val="24"/>
        </w:rPr>
        <w:t>A</w:t>
      </w:r>
      <w:r>
        <w:rPr>
          <w:rFonts w:ascii="Times New Roman" w:hAnsi="Times New Roman"/>
          <w:sz w:val="24"/>
        </w:rPr>
        <w:t>型声级校准器。检测仪器传声器距地面高度为1.2m以上</w:t>
      </w:r>
      <w:r>
        <w:rPr>
          <w:rFonts w:hint="eastAsia" w:ascii="Times New Roman" w:hAnsi="Times New Roman"/>
          <w:sz w:val="24"/>
        </w:rPr>
        <w:t>。</w:t>
      </w:r>
      <w:r>
        <w:rPr>
          <w:rFonts w:ascii="Times New Roman" w:hAnsi="Times New Roman"/>
          <w:sz w:val="24"/>
        </w:rPr>
        <w:t>测量在昼间及夜间进行，检测前后进行仪器校准，示值偏差小于±0.5dB(A)为校准合格</w:t>
      </w:r>
      <w:r>
        <w:rPr>
          <w:rFonts w:hint="eastAsia" w:ascii="Times New Roman" w:hAnsi="Times New Roman"/>
          <w:sz w:val="24"/>
        </w:rPr>
        <w:t>。</w:t>
      </w:r>
    </w:p>
    <w:p>
      <w:pPr>
        <w:adjustRightInd w:val="0"/>
        <w:snapToGrid w:val="0"/>
        <w:spacing w:line="360" w:lineRule="auto"/>
        <w:ind w:firstLine="480" w:firstLineChars="200"/>
        <w:rPr>
          <w:rFonts w:ascii="Times New Roman" w:hAnsi="Times New Roman"/>
          <w:sz w:val="24"/>
        </w:rPr>
      </w:pPr>
      <w:bookmarkStart w:id="500" w:name="_Toc25042"/>
      <w:r>
        <w:rPr>
          <w:rFonts w:ascii="Times New Roman" w:hAnsi="Times New Roman"/>
          <w:sz w:val="24"/>
        </w:rPr>
        <w:fldChar w:fldCharType="begin"/>
      </w:r>
      <w:r>
        <w:rPr>
          <w:rFonts w:ascii="Times New Roman" w:hAnsi="Times New Roman"/>
          <w:sz w:val="24"/>
        </w:rPr>
        <w:instrText xml:space="preserve"> = 5 \* GB2 \* MERGEFORMAT </w:instrText>
      </w:r>
      <w:r>
        <w:rPr>
          <w:rFonts w:ascii="Times New Roman" w:hAnsi="Times New Roman"/>
          <w:sz w:val="24"/>
        </w:rPr>
        <w:fldChar w:fldCharType="separate"/>
      </w:r>
      <w:r>
        <w:rPr>
          <w:rFonts w:ascii="Times New Roman" w:hAnsi="Times New Roman"/>
          <w:sz w:val="24"/>
        </w:rPr>
        <w:t>⑸</w:t>
      </w:r>
      <w:r>
        <w:rPr>
          <w:rFonts w:ascii="Times New Roman" w:hAnsi="Times New Roman"/>
          <w:sz w:val="24"/>
        </w:rPr>
        <w:fldChar w:fldCharType="end"/>
      </w:r>
      <w:r>
        <w:rPr>
          <w:rFonts w:ascii="Times New Roman" w:hAnsi="Times New Roman"/>
          <w:sz w:val="24"/>
        </w:rPr>
        <w:t>评价标准</w:t>
      </w:r>
      <w:bookmarkEnd w:id="500"/>
      <w:r>
        <w:rPr>
          <w:rFonts w:hint="eastAsia" w:ascii="Times New Roman" w:hAnsi="Times New Roman"/>
          <w:sz w:val="24"/>
        </w:rPr>
        <w:t>和质量控制</w:t>
      </w:r>
    </w:p>
    <w:p>
      <w:pPr>
        <w:pStyle w:val="2"/>
        <w:adjustRightInd w:val="0"/>
        <w:spacing w:line="540" w:lineRule="exact"/>
        <w:ind w:firstLine="480" w:firstLineChars="200"/>
        <w:jc w:val="both"/>
        <w:rPr>
          <w:rFonts w:hint="eastAsia" w:ascii="Times New Roman" w:hAnsi="Times New Roman" w:eastAsia="宋体"/>
          <w:sz w:val="24"/>
          <w:lang w:eastAsia="zh-CN"/>
        </w:rPr>
      </w:pPr>
      <w:r>
        <w:rPr>
          <w:rFonts w:ascii="Times New Roman" w:hAnsi="Times New Roman"/>
          <w:sz w:val="24"/>
        </w:rPr>
        <w:t>本次评价噪声评价标准采用</w:t>
      </w:r>
      <w:bookmarkStart w:id="501" w:name="_Toc29488"/>
      <w:r>
        <w:rPr>
          <w:rFonts w:hint="eastAsia" w:ascii="Times New Roman" w:hAnsi="Times New Roman"/>
          <w:sz w:val="24"/>
        </w:rPr>
        <w:t>《声环境质量标准》(GB3096-2008)中</w:t>
      </w:r>
      <w:r>
        <w:rPr>
          <w:rFonts w:hint="eastAsia" w:ascii="Times New Roman" w:hAnsi="Times New Roman"/>
          <w:sz w:val="24"/>
          <w:lang w:val="en-US" w:eastAsia="zh-CN"/>
        </w:rPr>
        <w:t>2</w:t>
      </w:r>
      <w:r>
        <w:rPr>
          <w:rFonts w:hint="eastAsia" w:ascii="Times New Roman" w:hAnsi="Times New Roman"/>
          <w:sz w:val="24"/>
        </w:rPr>
        <w:t>类声环境功能区</w:t>
      </w:r>
      <w:r>
        <w:rPr>
          <w:rFonts w:hint="eastAsia" w:ascii="Times New Roman" w:hAnsi="Times New Roman"/>
          <w:sz w:val="24"/>
          <w:lang w:eastAsia="zh-CN"/>
        </w:rPr>
        <w:t>。</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6 \* GB2 \* MERGEFORMAT </w:instrText>
      </w:r>
      <w:r>
        <w:rPr>
          <w:rFonts w:ascii="Times New Roman" w:hAnsi="Times New Roman"/>
          <w:sz w:val="24"/>
        </w:rPr>
        <w:fldChar w:fldCharType="separate"/>
      </w:r>
      <w:r>
        <w:rPr>
          <w:rFonts w:ascii="Times New Roman" w:hAnsi="Times New Roman"/>
          <w:sz w:val="24"/>
        </w:rPr>
        <w:t>⑹</w:t>
      </w:r>
      <w:r>
        <w:rPr>
          <w:rFonts w:ascii="Times New Roman" w:hAnsi="Times New Roman"/>
          <w:sz w:val="24"/>
        </w:rPr>
        <w:fldChar w:fldCharType="end"/>
      </w:r>
      <w:r>
        <w:rPr>
          <w:rFonts w:ascii="Times New Roman" w:hAnsi="Times New Roman"/>
          <w:sz w:val="24"/>
        </w:rPr>
        <w:t>评价方法</w:t>
      </w:r>
      <w:bookmarkEnd w:id="501"/>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根据现状监测结果，采用直接比较法，即用各监测点等效声级值与评价标准相比较，得出声环境质量现状评价结果。</w:t>
      </w:r>
    </w:p>
    <w:p>
      <w:pPr>
        <w:pStyle w:val="2"/>
        <w:adjustRightInd w:val="0"/>
        <w:spacing w:line="540" w:lineRule="exact"/>
        <w:ind w:firstLine="480" w:firstLineChars="200"/>
        <w:jc w:val="both"/>
        <w:rPr>
          <w:rFonts w:ascii="Times New Roman" w:hAnsi="Times New Roman"/>
          <w:sz w:val="24"/>
        </w:rPr>
      </w:pPr>
      <w:bookmarkStart w:id="502" w:name="_Toc4887"/>
      <w:r>
        <w:rPr>
          <w:rFonts w:ascii="Times New Roman" w:hAnsi="Times New Roman"/>
          <w:sz w:val="24"/>
        </w:rPr>
        <w:fldChar w:fldCharType="begin"/>
      </w:r>
      <w:r>
        <w:rPr>
          <w:rFonts w:ascii="Times New Roman" w:hAnsi="Times New Roman"/>
          <w:sz w:val="24"/>
        </w:rPr>
        <w:instrText xml:space="preserve"> = 7 \* GB2 \* MERGEFORMAT </w:instrText>
      </w:r>
      <w:r>
        <w:rPr>
          <w:rFonts w:ascii="Times New Roman" w:hAnsi="Times New Roman"/>
          <w:sz w:val="24"/>
        </w:rPr>
        <w:fldChar w:fldCharType="separate"/>
      </w:r>
      <w:r>
        <w:rPr>
          <w:rFonts w:ascii="Times New Roman" w:hAnsi="Times New Roman"/>
          <w:sz w:val="24"/>
        </w:rPr>
        <w:t>⑺</w:t>
      </w:r>
      <w:r>
        <w:rPr>
          <w:rFonts w:ascii="Times New Roman" w:hAnsi="Times New Roman"/>
          <w:sz w:val="24"/>
        </w:rPr>
        <w:fldChar w:fldCharType="end"/>
      </w:r>
      <w:r>
        <w:rPr>
          <w:rFonts w:ascii="Times New Roman" w:hAnsi="Times New Roman"/>
          <w:sz w:val="24"/>
        </w:rPr>
        <w:t>监测结果统计与</w:t>
      </w:r>
      <w:bookmarkEnd w:id="502"/>
      <w:r>
        <w:rPr>
          <w:rFonts w:hint="eastAsia" w:ascii="Times New Roman" w:hAnsi="Times New Roman"/>
          <w:sz w:val="24"/>
        </w:rPr>
        <w:t>结论</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声环境质量现状监测结果统计情况见表3.2-</w:t>
      </w:r>
      <w:r>
        <w:rPr>
          <w:rFonts w:hint="eastAsia" w:ascii="Times New Roman" w:hAnsi="Times New Roman"/>
          <w:bCs/>
          <w:sz w:val="24"/>
        </w:rPr>
        <w:t>11</w:t>
      </w:r>
      <w:r>
        <w:rPr>
          <w:rFonts w:ascii="Times New Roman" w:hAnsi="Times New Roman"/>
          <w:bCs/>
          <w:sz w:val="24"/>
        </w:rPr>
        <w:t>。</w:t>
      </w:r>
    </w:p>
    <w:p>
      <w:pPr>
        <w:pStyle w:val="2"/>
        <w:adjustRightInd w:val="0"/>
        <w:jc w:val="center"/>
      </w:pPr>
      <w:r>
        <w:rPr>
          <w:rFonts w:ascii="Times New Roman" w:hAnsi="Times New Roman"/>
          <w:b/>
          <w:bCs/>
          <w:snapToGrid w:val="0"/>
          <w:sz w:val="24"/>
          <w:szCs w:val="32"/>
        </w:rPr>
        <w:t>表3.2-</w:t>
      </w:r>
      <w:r>
        <w:rPr>
          <w:rFonts w:hint="eastAsia" w:ascii="Times New Roman" w:hAnsi="Times New Roman"/>
          <w:b/>
          <w:bCs/>
          <w:snapToGrid w:val="0"/>
          <w:sz w:val="24"/>
          <w:szCs w:val="32"/>
        </w:rPr>
        <w:t>11</w:t>
      </w:r>
      <w:r>
        <w:rPr>
          <w:rFonts w:ascii="Times New Roman" w:hAnsi="Times New Roman"/>
          <w:b/>
          <w:bCs/>
          <w:snapToGrid w:val="0"/>
          <w:sz w:val="24"/>
          <w:szCs w:val="32"/>
        </w:rPr>
        <w:t xml:space="preserve">        噪声监测结果表        单位：dB(A)</w:t>
      </w:r>
    </w:p>
    <w:tbl>
      <w:tblPr>
        <w:tblStyle w:val="29"/>
        <w:tblW w:w="897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86"/>
        <w:gridCol w:w="1622"/>
        <w:gridCol w:w="1062"/>
        <w:gridCol w:w="1833"/>
        <w:gridCol w:w="883"/>
        <w:gridCol w:w="734"/>
        <w:gridCol w:w="794"/>
        <w:gridCol w:w="797"/>
        <w:gridCol w:w="6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208" w:type="dxa"/>
            <w:gridSpan w:val="2"/>
            <w:tcBorders>
              <w:tl2br w:val="nil"/>
              <w:tr2bl w:val="nil"/>
            </w:tcBorders>
            <w:vAlign w:val="center"/>
          </w:tcPr>
          <w:p>
            <w:pPr>
              <w:jc w:val="center"/>
              <w:rPr>
                <w:rFonts w:ascii="宋体" w:hAnsi="宋体"/>
              </w:rPr>
            </w:pPr>
            <w:bookmarkStart w:id="503" w:name="_Toc299368907"/>
            <w:bookmarkEnd w:id="503"/>
            <w:r>
              <w:rPr>
                <w:rFonts w:ascii="宋体" w:hAnsi="宋体"/>
              </w:rPr>
              <w:t>单位名称</w:t>
            </w:r>
          </w:p>
        </w:tc>
        <w:tc>
          <w:tcPr>
            <w:tcW w:w="6765" w:type="dxa"/>
            <w:gridSpan w:val="7"/>
            <w:tcBorders>
              <w:tl2br w:val="nil"/>
              <w:tr2bl w:val="nil"/>
            </w:tcBorders>
            <w:vAlign w:val="center"/>
          </w:tcPr>
          <w:p>
            <w:pPr>
              <w:jc w:val="center"/>
              <w:rPr>
                <w:rFonts w:ascii="宋体" w:hAnsi="宋体"/>
              </w:rPr>
            </w:pPr>
            <w:r>
              <w:rPr>
                <w:rFonts w:hint="eastAsia" w:ascii="Times New Roman" w:hAnsi="Times New Roman"/>
                <w:bCs/>
              </w:rPr>
              <w:t>宁夏腾发农业科技有限公司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208" w:type="dxa"/>
            <w:gridSpan w:val="2"/>
            <w:tcBorders>
              <w:tl2br w:val="nil"/>
              <w:tr2bl w:val="nil"/>
            </w:tcBorders>
            <w:vAlign w:val="center"/>
          </w:tcPr>
          <w:p>
            <w:pPr>
              <w:jc w:val="center"/>
              <w:rPr>
                <w:rFonts w:ascii="宋体" w:hAnsi="宋体"/>
              </w:rPr>
            </w:pPr>
            <w:r>
              <w:rPr>
                <w:rFonts w:ascii="宋体" w:hAnsi="宋体"/>
              </w:rPr>
              <w:t>检测内容</w:t>
            </w:r>
          </w:p>
        </w:tc>
        <w:tc>
          <w:tcPr>
            <w:tcW w:w="6765" w:type="dxa"/>
            <w:gridSpan w:val="7"/>
            <w:tcBorders>
              <w:tl2br w:val="nil"/>
              <w:tr2bl w:val="nil"/>
            </w:tcBorders>
            <w:vAlign w:val="center"/>
          </w:tcPr>
          <w:p>
            <w:pPr>
              <w:jc w:val="center"/>
              <w:rPr>
                <w:rFonts w:ascii="宋体" w:hAnsi="宋体"/>
              </w:rPr>
            </w:pPr>
            <w:r>
              <w:rPr>
                <w:rFonts w:ascii="宋体" w:hAnsi="宋体"/>
              </w:rPr>
              <w:t>厂界</w:t>
            </w:r>
            <w:r>
              <w:rPr>
                <w:rFonts w:hint="eastAsia" w:ascii="宋体" w:hAnsi="宋体"/>
              </w:rPr>
              <w:t>环境</w:t>
            </w:r>
            <w:r>
              <w:rPr>
                <w:rFonts w:ascii="宋体" w:hAnsi="宋体"/>
              </w:rPr>
              <w:t>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0" w:hRule="exact"/>
          <w:jc w:val="center"/>
        </w:trPr>
        <w:tc>
          <w:tcPr>
            <w:tcW w:w="2208" w:type="dxa"/>
            <w:gridSpan w:val="2"/>
            <w:tcBorders>
              <w:tl2br w:val="nil"/>
              <w:tr2bl w:val="nil"/>
            </w:tcBorders>
            <w:vAlign w:val="center"/>
          </w:tcPr>
          <w:p>
            <w:pPr>
              <w:jc w:val="center"/>
              <w:rPr>
                <w:rFonts w:ascii="宋体" w:hAnsi="宋体"/>
              </w:rPr>
            </w:pPr>
            <w:r>
              <w:rPr>
                <w:rFonts w:ascii="宋体" w:hAnsi="宋体"/>
              </w:rPr>
              <w:t>执行标准</w:t>
            </w:r>
          </w:p>
        </w:tc>
        <w:tc>
          <w:tcPr>
            <w:tcW w:w="6765" w:type="dxa"/>
            <w:gridSpan w:val="7"/>
            <w:tcBorders>
              <w:tl2br w:val="nil"/>
              <w:tr2bl w:val="nil"/>
            </w:tcBorders>
            <w:vAlign w:val="center"/>
          </w:tcPr>
          <w:p>
            <w:pPr>
              <w:jc w:val="center"/>
              <w:rPr>
                <w:rFonts w:ascii="Times New Roman" w:hAnsi="Times New Roman"/>
                <w:bCs/>
              </w:rPr>
            </w:pPr>
            <w:r>
              <w:rPr>
                <w:rFonts w:hint="eastAsia" w:ascii="Times New Roman" w:hAnsi="Times New Roman"/>
                <w:sz w:val="24"/>
              </w:rPr>
              <w:t>《声环境质量标准》(GB3096-2008)中</w:t>
            </w:r>
            <w:r>
              <w:rPr>
                <w:rFonts w:hint="eastAsia" w:ascii="Times New Roman" w:hAnsi="Times New Roman"/>
                <w:sz w:val="24"/>
                <w:lang w:val="en-US" w:eastAsia="zh-CN"/>
              </w:rPr>
              <w:t>2</w:t>
            </w:r>
            <w:r>
              <w:rPr>
                <w:rFonts w:hint="eastAsia" w:ascii="Times New Roman" w:hAnsi="Times New Roman"/>
                <w:sz w:val="24"/>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29" w:hRule="exact"/>
          <w:jc w:val="center"/>
        </w:trPr>
        <w:tc>
          <w:tcPr>
            <w:tcW w:w="586" w:type="dxa"/>
            <w:vMerge w:val="restart"/>
            <w:tcBorders>
              <w:tl2br w:val="nil"/>
              <w:tr2bl w:val="nil"/>
            </w:tcBorders>
            <w:vAlign w:val="center"/>
          </w:tcPr>
          <w:p>
            <w:pPr>
              <w:pStyle w:val="17"/>
              <w:spacing w:after="20" w:line="240" w:lineRule="exact"/>
              <w:jc w:val="center"/>
              <w:rPr>
                <w:rFonts w:hAnsi="宋体"/>
                <w:szCs w:val="21"/>
              </w:rPr>
            </w:pPr>
            <w:r>
              <w:rPr>
                <w:rFonts w:hAnsi="宋体"/>
                <w:szCs w:val="21"/>
              </w:rPr>
              <w:t>监测日期</w:t>
            </w:r>
          </w:p>
        </w:tc>
        <w:tc>
          <w:tcPr>
            <w:tcW w:w="1622" w:type="dxa"/>
            <w:vMerge w:val="restart"/>
            <w:tcBorders>
              <w:tl2br w:val="nil"/>
              <w:tr2bl w:val="nil"/>
            </w:tcBorders>
            <w:vAlign w:val="center"/>
          </w:tcPr>
          <w:p>
            <w:pPr>
              <w:pStyle w:val="17"/>
              <w:spacing w:after="20" w:line="240" w:lineRule="exact"/>
              <w:jc w:val="center"/>
              <w:rPr>
                <w:rFonts w:hAnsi="宋体"/>
                <w:szCs w:val="21"/>
              </w:rPr>
            </w:pPr>
            <w:r>
              <w:rPr>
                <w:rFonts w:hint="eastAsia" w:hAnsi="宋体"/>
                <w:szCs w:val="21"/>
              </w:rPr>
              <w:t>样品</w:t>
            </w:r>
            <w:r>
              <w:rPr>
                <w:rFonts w:hAnsi="宋体"/>
                <w:szCs w:val="21"/>
              </w:rPr>
              <w:t>编号</w:t>
            </w:r>
          </w:p>
        </w:tc>
        <w:tc>
          <w:tcPr>
            <w:tcW w:w="1062" w:type="dxa"/>
            <w:vMerge w:val="restart"/>
            <w:tcBorders>
              <w:tl2br w:val="nil"/>
              <w:tr2bl w:val="nil"/>
            </w:tcBorders>
            <w:vAlign w:val="center"/>
          </w:tcPr>
          <w:p>
            <w:pPr>
              <w:pStyle w:val="17"/>
              <w:spacing w:after="20" w:line="240" w:lineRule="exact"/>
              <w:jc w:val="center"/>
              <w:rPr>
                <w:rFonts w:hAnsi="宋体"/>
                <w:szCs w:val="21"/>
              </w:rPr>
            </w:pPr>
            <w:r>
              <w:rPr>
                <w:rFonts w:hAnsi="宋体"/>
                <w:szCs w:val="21"/>
              </w:rPr>
              <w:t>监测点位置</w:t>
            </w:r>
          </w:p>
        </w:tc>
        <w:tc>
          <w:tcPr>
            <w:tcW w:w="1833" w:type="dxa"/>
            <w:vMerge w:val="restart"/>
            <w:tcBorders>
              <w:tl2br w:val="nil"/>
              <w:tr2bl w:val="nil"/>
            </w:tcBorders>
            <w:vAlign w:val="center"/>
          </w:tcPr>
          <w:p>
            <w:pPr>
              <w:pStyle w:val="17"/>
              <w:spacing w:after="20" w:line="240" w:lineRule="exact"/>
              <w:jc w:val="center"/>
              <w:rPr>
                <w:rFonts w:hAnsi="宋体"/>
                <w:szCs w:val="21"/>
              </w:rPr>
            </w:pPr>
            <w:r>
              <w:rPr>
                <w:rFonts w:hint="eastAsia" w:hAnsi="宋体"/>
                <w:szCs w:val="21"/>
              </w:rPr>
              <w:t>监测点位坐标</w:t>
            </w:r>
          </w:p>
        </w:tc>
        <w:tc>
          <w:tcPr>
            <w:tcW w:w="1617" w:type="dxa"/>
            <w:gridSpan w:val="2"/>
            <w:tcBorders>
              <w:tl2br w:val="nil"/>
              <w:tr2bl w:val="nil"/>
            </w:tcBorders>
            <w:vAlign w:val="center"/>
          </w:tcPr>
          <w:p>
            <w:pPr>
              <w:pStyle w:val="17"/>
              <w:spacing w:after="20" w:line="240" w:lineRule="exact"/>
              <w:jc w:val="center"/>
              <w:rPr>
                <w:rFonts w:hAnsi="宋体"/>
                <w:szCs w:val="21"/>
              </w:rPr>
            </w:pPr>
            <w:r>
              <w:rPr>
                <w:rFonts w:hAnsi="宋体"/>
                <w:szCs w:val="21"/>
              </w:rPr>
              <w:t>等效声级Leq[dB(A)]</w:t>
            </w:r>
          </w:p>
        </w:tc>
        <w:tc>
          <w:tcPr>
            <w:tcW w:w="1591" w:type="dxa"/>
            <w:gridSpan w:val="2"/>
            <w:tcBorders>
              <w:tl2br w:val="nil"/>
              <w:tr2bl w:val="nil"/>
            </w:tcBorders>
            <w:vAlign w:val="center"/>
          </w:tcPr>
          <w:p>
            <w:pPr>
              <w:pStyle w:val="17"/>
              <w:spacing w:after="20" w:line="240" w:lineRule="exact"/>
              <w:jc w:val="center"/>
              <w:rPr>
                <w:rFonts w:hAnsi="宋体"/>
                <w:szCs w:val="21"/>
              </w:rPr>
            </w:pPr>
            <w:r>
              <w:rPr>
                <w:rFonts w:hAnsi="宋体"/>
                <w:szCs w:val="21"/>
              </w:rPr>
              <w:t>标准限值</w:t>
            </w:r>
          </w:p>
        </w:tc>
        <w:tc>
          <w:tcPr>
            <w:tcW w:w="662" w:type="dxa"/>
            <w:vMerge w:val="restart"/>
            <w:tcBorders>
              <w:tl2br w:val="nil"/>
              <w:tr2bl w:val="nil"/>
            </w:tcBorders>
            <w:vAlign w:val="center"/>
          </w:tcPr>
          <w:p>
            <w:pPr>
              <w:pStyle w:val="17"/>
              <w:spacing w:line="0" w:lineRule="atLeast"/>
              <w:jc w:val="center"/>
              <w:rPr>
                <w:rFonts w:hAnsi="宋体"/>
                <w:szCs w:val="21"/>
              </w:rPr>
            </w:pPr>
            <w:r>
              <w:rPr>
                <w:rFonts w:hAnsi="宋体"/>
                <w:szCs w:val="21"/>
              </w:rPr>
              <w:t>达标</w:t>
            </w:r>
          </w:p>
          <w:p>
            <w:pPr>
              <w:pStyle w:val="17"/>
              <w:spacing w:line="0" w:lineRule="atLeast"/>
              <w:jc w:val="center"/>
              <w:rPr>
                <w:rFonts w:hAnsi="宋体"/>
                <w:szCs w:val="21"/>
              </w:rPr>
            </w:pPr>
            <w:r>
              <w:rPr>
                <w:rFonts w:hAnsi="宋体"/>
                <w:szCs w:val="21"/>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4" w:hRule="exact"/>
          <w:jc w:val="center"/>
        </w:trPr>
        <w:tc>
          <w:tcPr>
            <w:tcW w:w="586" w:type="dxa"/>
            <w:vMerge w:val="continue"/>
            <w:tcBorders>
              <w:tl2br w:val="nil"/>
              <w:tr2bl w:val="nil"/>
            </w:tcBorders>
            <w:vAlign w:val="center"/>
          </w:tcPr>
          <w:p>
            <w:pPr>
              <w:pStyle w:val="17"/>
              <w:spacing w:after="20" w:line="240" w:lineRule="exact"/>
              <w:jc w:val="center"/>
              <w:rPr>
                <w:rFonts w:hAnsi="宋体"/>
                <w:szCs w:val="21"/>
              </w:rPr>
            </w:pPr>
          </w:p>
        </w:tc>
        <w:tc>
          <w:tcPr>
            <w:tcW w:w="1622" w:type="dxa"/>
            <w:vMerge w:val="continue"/>
            <w:tcBorders>
              <w:tl2br w:val="nil"/>
              <w:tr2bl w:val="nil"/>
            </w:tcBorders>
            <w:vAlign w:val="center"/>
          </w:tcPr>
          <w:p>
            <w:pPr>
              <w:pStyle w:val="17"/>
              <w:spacing w:after="20" w:line="240" w:lineRule="exact"/>
              <w:jc w:val="center"/>
              <w:rPr>
                <w:rFonts w:hAnsi="宋体"/>
                <w:szCs w:val="21"/>
              </w:rPr>
            </w:pPr>
          </w:p>
        </w:tc>
        <w:tc>
          <w:tcPr>
            <w:tcW w:w="1062" w:type="dxa"/>
            <w:vMerge w:val="continue"/>
            <w:tcBorders>
              <w:tl2br w:val="nil"/>
              <w:tr2bl w:val="nil"/>
            </w:tcBorders>
            <w:vAlign w:val="center"/>
          </w:tcPr>
          <w:p>
            <w:pPr>
              <w:pStyle w:val="17"/>
              <w:spacing w:after="20" w:line="240" w:lineRule="exact"/>
              <w:jc w:val="center"/>
              <w:rPr>
                <w:rFonts w:hAnsi="宋体"/>
                <w:szCs w:val="21"/>
              </w:rPr>
            </w:pPr>
          </w:p>
        </w:tc>
        <w:tc>
          <w:tcPr>
            <w:tcW w:w="1833" w:type="dxa"/>
            <w:vMerge w:val="continue"/>
            <w:tcBorders>
              <w:tl2br w:val="nil"/>
              <w:tr2bl w:val="nil"/>
            </w:tcBorders>
            <w:vAlign w:val="center"/>
          </w:tcPr>
          <w:p>
            <w:pPr>
              <w:pStyle w:val="17"/>
              <w:spacing w:after="20" w:line="240" w:lineRule="exact"/>
              <w:jc w:val="center"/>
              <w:rPr>
                <w:rFonts w:hAnsi="宋体"/>
                <w:szCs w:val="21"/>
              </w:rPr>
            </w:pPr>
          </w:p>
        </w:tc>
        <w:tc>
          <w:tcPr>
            <w:tcW w:w="883" w:type="dxa"/>
            <w:tcBorders>
              <w:tl2br w:val="nil"/>
              <w:tr2bl w:val="nil"/>
            </w:tcBorders>
            <w:vAlign w:val="center"/>
          </w:tcPr>
          <w:p>
            <w:pPr>
              <w:pStyle w:val="17"/>
              <w:spacing w:after="20" w:line="240" w:lineRule="exact"/>
              <w:jc w:val="center"/>
              <w:rPr>
                <w:rFonts w:hAnsi="宋体"/>
                <w:szCs w:val="21"/>
              </w:rPr>
            </w:pPr>
            <w:r>
              <w:rPr>
                <w:rFonts w:hAnsi="宋体"/>
                <w:szCs w:val="21"/>
              </w:rPr>
              <w:t>昼间</w:t>
            </w:r>
          </w:p>
        </w:tc>
        <w:tc>
          <w:tcPr>
            <w:tcW w:w="734" w:type="dxa"/>
            <w:tcBorders>
              <w:tl2br w:val="nil"/>
              <w:tr2bl w:val="nil"/>
            </w:tcBorders>
            <w:vAlign w:val="center"/>
          </w:tcPr>
          <w:p>
            <w:pPr>
              <w:pStyle w:val="17"/>
              <w:spacing w:after="20" w:line="240" w:lineRule="exact"/>
              <w:jc w:val="center"/>
              <w:rPr>
                <w:rFonts w:hAnsi="宋体"/>
                <w:szCs w:val="21"/>
              </w:rPr>
            </w:pPr>
            <w:r>
              <w:rPr>
                <w:rFonts w:hAnsi="宋体"/>
                <w:szCs w:val="21"/>
              </w:rPr>
              <w:t>夜间</w:t>
            </w:r>
          </w:p>
        </w:tc>
        <w:tc>
          <w:tcPr>
            <w:tcW w:w="794" w:type="dxa"/>
            <w:tcBorders>
              <w:tl2br w:val="nil"/>
              <w:tr2bl w:val="nil"/>
            </w:tcBorders>
            <w:vAlign w:val="center"/>
          </w:tcPr>
          <w:p>
            <w:pPr>
              <w:pStyle w:val="17"/>
              <w:spacing w:after="20" w:line="240" w:lineRule="exact"/>
              <w:jc w:val="center"/>
              <w:rPr>
                <w:rFonts w:hAnsi="宋体"/>
                <w:szCs w:val="21"/>
              </w:rPr>
            </w:pPr>
            <w:r>
              <w:rPr>
                <w:rFonts w:hAnsi="宋体"/>
                <w:szCs w:val="21"/>
              </w:rPr>
              <w:t>昼间dB(A)</w:t>
            </w:r>
          </w:p>
        </w:tc>
        <w:tc>
          <w:tcPr>
            <w:tcW w:w="797" w:type="dxa"/>
            <w:tcBorders>
              <w:tl2br w:val="nil"/>
              <w:tr2bl w:val="nil"/>
            </w:tcBorders>
            <w:vAlign w:val="center"/>
          </w:tcPr>
          <w:p>
            <w:pPr>
              <w:pStyle w:val="17"/>
              <w:spacing w:after="20" w:line="240" w:lineRule="exact"/>
              <w:jc w:val="center"/>
              <w:rPr>
                <w:rFonts w:hAnsi="宋体"/>
                <w:szCs w:val="21"/>
              </w:rPr>
            </w:pPr>
            <w:r>
              <w:rPr>
                <w:rFonts w:hAnsi="宋体"/>
                <w:szCs w:val="21"/>
              </w:rPr>
              <w:t>夜间dB(A)</w:t>
            </w:r>
          </w:p>
        </w:tc>
        <w:tc>
          <w:tcPr>
            <w:tcW w:w="662" w:type="dxa"/>
            <w:vMerge w:val="continue"/>
            <w:tcBorders>
              <w:tl2br w:val="nil"/>
              <w:tr2bl w:val="nil"/>
            </w:tcBorders>
            <w:vAlign w:val="center"/>
          </w:tcPr>
          <w:p>
            <w:pPr>
              <w:pStyle w:val="17"/>
              <w:spacing w:line="320" w:lineRule="exact"/>
              <w:jc w:val="center"/>
              <w:rPr>
                <w:rFonts w:hAnsi="宋体"/>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86" w:type="dxa"/>
            <w:vMerge w:val="restart"/>
            <w:tcBorders>
              <w:tl2br w:val="nil"/>
              <w:tr2bl w:val="nil"/>
            </w:tcBorders>
            <w:vAlign w:val="center"/>
          </w:tcPr>
          <w:p>
            <w:pPr>
              <w:spacing w:line="0" w:lineRule="atLeast"/>
              <w:jc w:val="center"/>
              <w:rPr>
                <w:rFonts w:ascii="宋体" w:hAnsi="宋体" w:eastAsia="等线"/>
              </w:rPr>
            </w:pPr>
            <w:r>
              <w:rPr>
                <w:rFonts w:hint="eastAsia" w:ascii="宋体" w:hAnsi="宋体" w:eastAsia="等线"/>
              </w:rPr>
              <w:t>4</w:t>
            </w:r>
          </w:p>
          <w:p>
            <w:pPr>
              <w:spacing w:line="0" w:lineRule="atLeast"/>
              <w:jc w:val="center"/>
              <w:rPr>
                <w:rFonts w:ascii="宋体" w:hAnsi="宋体" w:eastAsia="等线"/>
              </w:rPr>
            </w:pPr>
            <w:r>
              <w:rPr>
                <w:rFonts w:hint="eastAsia" w:ascii="宋体" w:hAnsi="宋体" w:eastAsia="等线"/>
              </w:rPr>
              <w:t>月18日</w:t>
            </w:r>
          </w:p>
        </w:tc>
        <w:tc>
          <w:tcPr>
            <w:tcW w:w="1622" w:type="dxa"/>
            <w:tcBorders>
              <w:tl2br w:val="nil"/>
              <w:tr2bl w:val="nil"/>
            </w:tcBorders>
            <w:vAlign w:val="center"/>
          </w:tcPr>
          <w:p>
            <w:pPr>
              <w:adjustRightInd w:val="0"/>
              <w:spacing w:line="0" w:lineRule="atLeast"/>
              <w:jc w:val="center"/>
              <w:rPr>
                <w:rFonts w:ascii="Times New Roman" w:hAnsi="Times New Roman"/>
                <w:szCs w:val="21"/>
              </w:rPr>
            </w:pPr>
            <w:r>
              <w:rPr>
                <w:rFonts w:hint="eastAsia" w:ascii="Times New Roman" w:hAnsi="Times New Roman"/>
                <w:szCs w:val="21"/>
              </w:rPr>
              <w:t>ZS-2204-18-1</w:t>
            </w:r>
          </w:p>
        </w:tc>
        <w:tc>
          <w:tcPr>
            <w:tcW w:w="1062" w:type="dxa"/>
            <w:tcBorders>
              <w:tl2br w:val="nil"/>
              <w:tr2bl w:val="nil"/>
            </w:tcBorders>
            <w:vAlign w:val="center"/>
          </w:tcPr>
          <w:p>
            <w:pPr>
              <w:spacing w:line="0" w:lineRule="atLeast"/>
              <w:jc w:val="center"/>
              <w:rPr>
                <w:rFonts w:ascii="宋体" w:hAnsi="宋体"/>
              </w:rPr>
            </w:pPr>
            <w:r>
              <w:rPr>
                <w:rFonts w:hint="eastAsia" w:ascii="宋体" w:hAnsi="宋体"/>
              </w:rPr>
              <w:t>厂界北</w:t>
            </w:r>
          </w:p>
        </w:tc>
        <w:tc>
          <w:tcPr>
            <w:tcW w:w="1833" w:type="dxa"/>
            <w:tcBorders>
              <w:tl2br w:val="nil"/>
              <w:tr2bl w:val="nil"/>
            </w:tcBorders>
            <w:vAlign w:val="center"/>
          </w:tcPr>
          <w:p>
            <w:pPr>
              <w:adjustRightInd w:val="0"/>
              <w:spacing w:line="0" w:lineRule="atLeast"/>
              <w:jc w:val="center"/>
              <w:rPr>
                <w:rFonts w:ascii="Times New Roman" w:hAnsi="Times New Roman"/>
                <w:szCs w:val="21"/>
              </w:rPr>
            </w:pPr>
            <w:r>
              <w:rPr>
                <w:rFonts w:ascii="Times New Roman" w:hAnsi="Times New Roman"/>
                <w:szCs w:val="21"/>
              </w:rPr>
              <w:t>E</w:t>
            </w:r>
            <w:r>
              <w:rPr>
                <w:rFonts w:hint="eastAsia" w:ascii="Times New Roman" w:hAnsi="Times New Roman"/>
                <w:szCs w:val="21"/>
              </w:rPr>
              <w:t>:</w:t>
            </w: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r>
              <w:rPr>
                <w:rFonts w:hint="eastAsia" w:ascii="Times New Roman" w:hAnsi="Times New Roman"/>
                <w:szCs w:val="21"/>
              </w:rPr>
              <w:t>14.97</w:t>
            </w:r>
            <w:r>
              <w:rPr>
                <w:rFonts w:ascii="Times New Roman" w:hAnsi="Times New Roman"/>
                <w:szCs w:val="21"/>
              </w:rPr>
              <w:t>″</w:t>
            </w:r>
          </w:p>
          <w:p>
            <w:pPr>
              <w:adjustRightInd w:val="0"/>
              <w:spacing w:line="0" w:lineRule="atLeast"/>
              <w:jc w:val="center"/>
              <w:rPr>
                <w:rFonts w:ascii="宋体" w:hAnsi="宋体" w:eastAsia="等线"/>
              </w:rPr>
            </w:pPr>
            <w:r>
              <w:rPr>
                <w:rFonts w:ascii="Times New Roman" w:hAnsi="Times New Roman"/>
                <w:color w:val="000000"/>
                <w:szCs w:val="21"/>
              </w:rPr>
              <w:t>N</w:t>
            </w:r>
            <w:r>
              <w:rPr>
                <w:rFonts w:hint="eastAsia" w:ascii="Times New Roman" w:hAnsi="Times New Roman"/>
                <w:color w:val="000000"/>
                <w:szCs w:val="21"/>
              </w:rPr>
              <w:t>:</w:t>
            </w: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34.36</w:t>
            </w:r>
            <w:r>
              <w:rPr>
                <w:rFonts w:ascii="Times New Roman" w:hAnsi="Times New Roman"/>
                <w:szCs w:val="21"/>
              </w:rPr>
              <w:t>″</w:t>
            </w:r>
          </w:p>
        </w:tc>
        <w:tc>
          <w:tcPr>
            <w:tcW w:w="883"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55.0</w:t>
            </w:r>
          </w:p>
        </w:tc>
        <w:tc>
          <w:tcPr>
            <w:tcW w:w="734"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47.1</w:t>
            </w:r>
          </w:p>
        </w:tc>
        <w:tc>
          <w:tcPr>
            <w:tcW w:w="794" w:type="dxa"/>
            <w:vMerge w:val="restart"/>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60</w:t>
            </w:r>
          </w:p>
        </w:tc>
        <w:tc>
          <w:tcPr>
            <w:tcW w:w="797" w:type="dxa"/>
            <w:vMerge w:val="restart"/>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50</w:t>
            </w:r>
          </w:p>
        </w:tc>
        <w:tc>
          <w:tcPr>
            <w:tcW w:w="662"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86" w:type="dxa"/>
            <w:vMerge w:val="continue"/>
            <w:tcBorders>
              <w:tl2br w:val="nil"/>
              <w:tr2bl w:val="nil"/>
            </w:tcBorders>
            <w:vAlign w:val="center"/>
          </w:tcPr>
          <w:p>
            <w:pPr>
              <w:spacing w:line="0" w:lineRule="atLeast"/>
              <w:jc w:val="center"/>
              <w:rPr>
                <w:rFonts w:ascii="宋体" w:hAnsi="宋体" w:eastAsia="等线"/>
              </w:rPr>
            </w:pPr>
          </w:p>
        </w:tc>
        <w:tc>
          <w:tcPr>
            <w:tcW w:w="1622" w:type="dxa"/>
            <w:tcBorders>
              <w:tl2br w:val="nil"/>
              <w:tr2bl w:val="nil"/>
            </w:tcBorders>
            <w:vAlign w:val="center"/>
          </w:tcPr>
          <w:p>
            <w:pPr>
              <w:adjustRightInd w:val="0"/>
              <w:spacing w:line="0" w:lineRule="atLeast"/>
              <w:jc w:val="center"/>
              <w:rPr>
                <w:rFonts w:ascii="Times New Roman" w:hAnsi="Times New Roman"/>
                <w:szCs w:val="21"/>
              </w:rPr>
            </w:pPr>
            <w:r>
              <w:rPr>
                <w:rFonts w:hint="eastAsia" w:ascii="Times New Roman" w:hAnsi="Times New Roman"/>
                <w:szCs w:val="21"/>
              </w:rPr>
              <w:t>ZS-2204-18-2</w:t>
            </w:r>
          </w:p>
        </w:tc>
        <w:tc>
          <w:tcPr>
            <w:tcW w:w="1062" w:type="dxa"/>
            <w:tcBorders>
              <w:tl2br w:val="nil"/>
              <w:tr2bl w:val="nil"/>
            </w:tcBorders>
            <w:vAlign w:val="center"/>
          </w:tcPr>
          <w:p>
            <w:pPr>
              <w:spacing w:line="0" w:lineRule="atLeast"/>
              <w:jc w:val="center"/>
              <w:rPr>
                <w:rFonts w:ascii="宋体" w:hAnsi="宋体"/>
              </w:rPr>
            </w:pPr>
            <w:r>
              <w:rPr>
                <w:rFonts w:hint="eastAsia" w:ascii="宋体" w:hAnsi="宋体"/>
              </w:rPr>
              <w:t>厂界西</w:t>
            </w:r>
          </w:p>
        </w:tc>
        <w:tc>
          <w:tcPr>
            <w:tcW w:w="1833" w:type="dxa"/>
            <w:tcBorders>
              <w:tl2br w:val="nil"/>
              <w:tr2bl w:val="nil"/>
            </w:tcBorders>
            <w:vAlign w:val="center"/>
          </w:tcPr>
          <w:p>
            <w:pPr>
              <w:adjustRightInd w:val="0"/>
              <w:spacing w:line="0" w:lineRule="atLeast"/>
              <w:jc w:val="center"/>
              <w:rPr>
                <w:rFonts w:ascii="Times New Roman" w:hAnsi="Times New Roman"/>
                <w:szCs w:val="21"/>
              </w:rPr>
            </w:pPr>
            <w:r>
              <w:rPr>
                <w:rFonts w:ascii="Times New Roman" w:hAnsi="Times New Roman"/>
                <w:szCs w:val="21"/>
              </w:rPr>
              <w:t>E</w:t>
            </w:r>
            <w:r>
              <w:rPr>
                <w:rFonts w:hint="eastAsia" w:ascii="Times New Roman" w:hAnsi="Times New Roman"/>
                <w:szCs w:val="21"/>
              </w:rPr>
              <w:t>:</w:t>
            </w: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r>
              <w:rPr>
                <w:rFonts w:hint="eastAsia" w:ascii="Times New Roman" w:hAnsi="Times New Roman"/>
                <w:szCs w:val="21"/>
              </w:rPr>
              <w:t>22.28</w:t>
            </w:r>
            <w:r>
              <w:rPr>
                <w:rFonts w:ascii="Times New Roman" w:hAnsi="Times New Roman"/>
                <w:szCs w:val="21"/>
              </w:rPr>
              <w:t>″</w:t>
            </w:r>
          </w:p>
          <w:p>
            <w:pPr>
              <w:adjustRightInd w:val="0"/>
              <w:spacing w:line="0" w:lineRule="atLeast"/>
              <w:jc w:val="center"/>
              <w:rPr>
                <w:rFonts w:ascii="宋体" w:hAnsi="宋体"/>
              </w:rPr>
            </w:pPr>
            <w:r>
              <w:rPr>
                <w:rFonts w:ascii="Times New Roman" w:hAnsi="Times New Roman"/>
                <w:color w:val="000000"/>
                <w:szCs w:val="21"/>
              </w:rPr>
              <w:t>N</w:t>
            </w:r>
            <w:r>
              <w:rPr>
                <w:rFonts w:hint="eastAsia" w:ascii="Times New Roman" w:hAnsi="Times New Roman"/>
                <w:color w:val="000000"/>
                <w:szCs w:val="21"/>
              </w:rPr>
              <w:t>:</w:t>
            </w: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24.95</w:t>
            </w:r>
            <w:r>
              <w:rPr>
                <w:rFonts w:ascii="Times New Roman" w:hAnsi="Times New Roman"/>
                <w:szCs w:val="21"/>
              </w:rPr>
              <w:t>″</w:t>
            </w:r>
          </w:p>
        </w:tc>
        <w:tc>
          <w:tcPr>
            <w:tcW w:w="883"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57.2</w:t>
            </w:r>
          </w:p>
        </w:tc>
        <w:tc>
          <w:tcPr>
            <w:tcW w:w="734"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48.7</w:t>
            </w:r>
          </w:p>
        </w:tc>
        <w:tc>
          <w:tcPr>
            <w:tcW w:w="794"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797"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662"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10" w:hRule="exact"/>
          <w:jc w:val="center"/>
        </w:trPr>
        <w:tc>
          <w:tcPr>
            <w:tcW w:w="586" w:type="dxa"/>
            <w:vMerge w:val="continue"/>
            <w:tcBorders>
              <w:tl2br w:val="nil"/>
              <w:tr2bl w:val="nil"/>
            </w:tcBorders>
            <w:vAlign w:val="center"/>
          </w:tcPr>
          <w:p>
            <w:pPr>
              <w:spacing w:line="0" w:lineRule="atLeast"/>
              <w:jc w:val="center"/>
              <w:rPr>
                <w:rFonts w:ascii="宋体" w:hAnsi="宋体" w:eastAsia="等线"/>
              </w:rPr>
            </w:pPr>
          </w:p>
        </w:tc>
        <w:tc>
          <w:tcPr>
            <w:tcW w:w="1622" w:type="dxa"/>
            <w:tcBorders>
              <w:tl2br w:val="nil"/>
              <w:tr2bl w:val="nil"/>
            </w:tcBorders>
            <w:vAlign w:val="center"/>
          </w:tcPr>
          <w:p>
            <w:pPr>
              <w:adjustRightInd w:val="0"/>
              <w:spacing w:line="0" w:lineRule="atLeast"/>
              <w:jc w:val="center"/>
              <w:rPr>
                <w:rFonts w:ascii="Times New Roman" w:hAnsi="Times New Roman"/>
                <w:szCs w:val="21"/>
              </w:rPr>
            </w:pPr>
            <w:r>
              <w:rPr>
                <w:rFonts w:hint="eastAsia" w:ascii="Times New Roman" w:hAnsi="Times New Roman"/>
                <w:szCs w:val="21"/>
              </w:rPr>
              <w:t>ZS-2204-18-3</w:t>
            </w:r>
          </w:p>
        </w:tc>
        <w:tc>
          <w:tcPr>
            <w:tcW w:w="1062" w:type="dxa"/>
            <w:tcBorders>
              <w:tl2br w:val="nil"/>
              <w:tr2bl w:val="nil"/>
            </w:tcBorders>
            <w:vAlign w:val="center"/>
          </w:tcPr>
          <w:p>
            <w:pPr>
              <w:spacing w:line="0" w:lineRule="atLeast"/>
              <w:jc w:val="center"/>
              <w:rPr>
                <w:rFonts w:ascii="宋体" w:hAnsi="宋体"/>
              </w:rPr>
            </w:pPr>
            <w:r>
              <w:rPr>
                <w:rFonts w:hint="eastAsia" w:ascii="宋体" w:hAnsi="宋体"/>
              </w:rPr>
              <w:t>厂界南</w:t>
            </w:r>
          </w:p>
        </w:tc>
        <w:tc>
          <w:tcPr>
            <w:tcW w:w="1833"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ascii="Times New Roman" w:hAnsi="Times New Roman"/>
                <w:color w:val="000000"/>
                <w:szCs w:val="21"/>
              </w:rPr>
              <w:t>E</w:t>
            </w:r>
            <w:r>
              <w:rPr>
                <w:rFonts w:hint="eastAsia" w:ascii="Times New Roman" w:hAnsi="Times New Roman"/>
                <w:color w:val="000000"/>
                <w:szCs w:val="21"/>
              </w:rPr>
              <w:t>:</w:t>
            </w:r>
            <w:r>
              <w:rPr>
                <w:rFonts w:ascii="Times New Roman" w:hAnsi="Times New Roman"/>
                <w:color w:val="000000"/>
                <w:szCs w:val="21"/>
              </w:rPr>
              <w:t>10</w:t>
            </w:r>
            <w:r>
              <w:rPr>
                <w:rFonts w:hint="eastAsia" w:ascii="Times New Roman" w:hAnsi="Times New Roman"/>
                <w:color w:val="000000"/>
                <w:szCs w:val="21"/>
              </w:rPr>
              <w:t>5</w:t>
            </w:r>
            <w:r>
              <w:rPr>
                <w:rFonts w:ascii="Times New Roman" w:hAnsi="Times New Roman"/>
                <w:color w:val="000000"/>
                <w:szCs w:val="21"/>
              </w:rPr>
              <w:t>°</w:t>
            </w:r>
            <w:r>
              <w:rPr>
                <w:rFonts w:hint="eastAsia" w:ascii="Times New Roman" w:hAnsi="Times New Roman"/>
                <w:color w:val="000000"/>
                <w:szCs w:val="21"/>
              </w:rPr>
              <w:t>55</w:t>
            </w:r>
            <w:r>
              <w:rPr>
                <w:rFonts w:ascii="Times New Roman" w:hAnsi="Times New Roman"/>
                <w:color w:val="000000"/>
                <w:szCs w:val="21"/>
              </w:rPr>
              <w:t>′</w:t>
            </w:r>
            <w:r>
              <w:rPr>
                <w:rFonts w:hint="eastAsia" w:ascii="Times New Roman" w:hAnsi="Times New Roman"/>
                <w:color w:val="000000"/>
                <w:szCs w:val="21"/>
              </w:rPr>
              <w:t>16.04</w:t>
            </w:r>
            <w:r>
              <w:rPr>
                <w:rFonts w:ascii="Times New Roman" w:hAnsi="Times New Roman"/>
                <w:color w:val="000000"/>
                <w:szCs w:val="21"/>
              </w:rPr>
              <w:t>″</w:t>
            </w:r>
          </w:p>
          <w:p>
            <w:pPr>
              <w:adjustRightInd w:val="0"/>
              <w:spacing w:line="0" w:lineRule="atLeast"/>
              <w:jc w:val="center"/>
              <w:rPr>
                <w:rFonts w:ascii="宋体" w:hAnsi="宋体"/>
              </w:rPr>
            </w:pPr>
            <w:r>
              <w:rPr>
                <w:rFonts w:ascii="Times New Roman" w:hAnsi="Times New Roman"/>
                <w:color w:val="000000"/>
                <w:szCs w:val="21"/>
              </w:rPr>
              <w:t>N</w:t>
            </w:r>
            <w:r>
              <w:rPr>
                <w:rFonts w:hint="eastAsia" w:ascii="Times New Roman" w:hAnsi="Times New Roman"/>
                <w:color w:val="000000"/>
                <w:szCs w:val="21"/>
              </w:rPr>
              <w:t>:</w:t>
            </w:r>
            <w:r>
              <w:rPr>
                <w:rFonts w:ascii="Times New Roman" w:hAnsi="Times New Roman"/>
                <w:color w:val="000000"/>
                <w:szCs w:val="21"/>
              </w:rPr>
              <w:t>3</w:t>
            </w:r>
            <w:r>
              <w:rPr>
                <w:rFonts w:hint="eastAsia" w:ascii="Times New Roman" w:hAnsi="Times New Roman"/>
                <w:color w:val="000000"/>
                <w:szCs w:val="21"/>
              </w:rPr>
              <w:t>5</w:t>
            </w:r>
            <w:r>
              <w:rPr>
                <w:rFonts w:ascii="Times New Roman" w:hAnsi="Times New Roman"/>
                <w:color w:val="000000"/>
                <w:szCs w:val="21"/>
              </w:rPr>
              <w:t>°</w:t>
            </w:r>
            <w:r>
              <w:rPr>
                <w:rFonts w:hint="eastAsia" w:ascii="Times New Roman" w:hAnsi="Times New Roman"/>
                <w:color w:val="000000"/>
                <w:szCs w:val="21"/>
              </w:rPr>
              <w:t>34</w:t>
            </w:r>
            <w:r>
              <w:rPr>
                <w:rFonts w:ascii="Times New Roman" w:hAnsi="Times New Roman"/>
                <w:color w:val="000000"/>
                <w:szCs w:val="21"/>
              </w:rPr>
              <w:t>′</w:t>
            </w:r>
            <w:r>
              <w:rPr>
                <w:rFonts w:hint="eastAsia" w:ascii="Times New Roman" w:hAnsi="Times New Roman"/>
                <w:color w:val="000000"/>
                <w:szCs w:val="21"/>
              </w:rPr>
              <w:t>19.99</w:t>
            </w:r>
            <w:r>
              <w:rPr>
                <w:rFonts w:ascii="Times New Roman" w:hAnsi="Times New Roman"/>
                <w:color w:val="000000"/>
                <w:szCs w:val="21"/>
              </w:rPr>
              <w:t>″</w:t>
            </w:r>
          </w:p>
        </w:tc>
        <w:tc>
          <w:tcPr>
            <w:tcW w:w="883"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53.8</w:t>
            </w:r>
          </w:p>
        </w:tc>
        <w:tc>
          <w:tcPr>
            <w:tcW w:w="734"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47.3</w:t>
            </w:r>
          </w:p>
        </w:tc>
        <w:tc>
          <w:tcPr>
            <w:tcW w:w="794"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797"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662"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86" w:type="dxa"/>
            <w:vMerge w:val="continue"/>
            <w:tcBorders>
              <w:tl2br w:val="nil"/>
              <w:tr2bl w:val="nil"/>
            </w:tcBorders>
            <w:vAlign w:val="center"/>
          </w:tcPr>
          <w:p>
            <w:pPr>
              <w:spacing w:line="0" w:lineRule="atLeast"/>
              <w:jc w:val="center"/>
              <w:rPr>
                <w:rFonts w:ascii="宋体" w:hAnsi="宋体" w:eastAsia="等线"/>
              </w:rPr>
            </w:pPr>
          </w:p>
        </w:tc>
        <w:tc>
          <w:tcPr>
            <w:tcW w:w="1622" w:type="dxa"/>
            <w:tcBorders>
              <w:tl2br w:val="nil"/>
              <w:tr2bl w:val="nil"/>
            </w:tcBorders>
            <w:vAlign w:val="center"/>
          </w:tcPr>
          <w:p>
            <w:pPr>
              <w:adjustRightInd w:val="0"/>
              <w:spacing w:line="0" w:lineRule="atLeast"/>
              <w:jc w:val="center"/>
              <w:rPr>
                <w:rFonts w:ascii="Times New Roman" w:hAnsi="Times New Roman"/>
                <w:szCs w:val="21"/>
              </w:rPr>
            </w:pPr>
            <w:r>
              <w:rPr>
                <w:rFonts w:hint="eastAsia" w:ascii="Times New Roman" w:hAnsi="Times New Roman"/>
                <w:szCs w:val="21"/>
              </w:rPr>
              <w:t>ZS-2204-18-4</w:t>
            </w:r>
          </w:p>
        </w:tc>
        <w:tc>
          <w:tcPr>
            <w:tcW w:w="1062" w:type="dxa"/>
            <w:tcBorders>
              <w:tl2br w:val="nil"/>
              <w:tr2bl w:val="nil"/>
            </w:tcBorders>
            <w:vAlign w:val="center"/>
          </w:tcPr>
          <w:p>
            <w:pPr>
              <w:spacing w:line="0" w:lineRule="atLeast"/>
              <w:jc w:val="center"/>
              <w:rPr>
                <w:rFonts w:ascii="宋体" w:hAnsi="宋体"/>
              </w:rPr>
            </w:pPr>
            <w:r>
              <w:rPr>
                <w:rFonts w:hint="eastAsia" w:ascii="宋体" w:hAnsi="宋体"/>
              </w:rPr>
              <w:t>厂界东</w:t>
            </w:r>
          </w:p>
        </w:tc>
        <w:tc>
          <w:tcPr>
            <w:tcW w:w="1833" w:type="dxa"/>
            <w:tcBorders>
              <w:tl2br w:val="nil"/>
              <w:tr2bl w:val="nil"/>
            </w:tcBorders>
            <w:vAlign w:val="center"/>
          </w:tcPr>
          <w:p>
            <w:pPr>
              <w:adjustRightInd w:val="0"/>
              <w:spacing w:line="0" w:lineRule="atLeast"/>
              <w:jc w:val="center"/>
              <w:rPr>
                <w:rFonts w:ascii="Times New Roman" w:hAnsi="Times New Roman"/>
                <w:szCs w:val="21"/>
              </w:rPr>
            </w:pPr>
            <w:r>
              <w:rPr>
                <w:rFonts w:ascii="Times New Roman" w:hAnsi="Times New Roman"/>
                <w:szCs w:val="21"/>
              </w:rPr>
              <w:t>E</w:t>
            </w:r>
            <w:r>
              <w:rPr>
                <w:rFonts w:hint="eastAsia" w:ascii="Times New Roman" w:hAnsi="Times New Roman"/>
                <w:szCs w:val="21"/>
              </w:rPr>
              <w:t>:</w:t>
            </w: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r>
              <w:rPr>
                <w:rFonts w:hint="eastAsia" w:ascii="Times New Roman" w:hAnsi="Times New Roman"/>
                <w:szCs w:val="21"/>
              </w:rPr>
              <w:t>11.45</w:t>
            </w:r>
            <w:r>
              <w:rPr>
                <w:rFonts w:ascii="Times New Roman" w:hAnsi="Times New Roman"/>
                <w:szCs w:val="21"/>
              </w:rPr>
              <w:t>″</w:t>
            </w:r>
          </w:p>
          <w:p>
            <w:pPr>
              <w:adjustRightInd w:val="0"/>
              <w:spacing w:line="0" w:lineRule="atLeast"/>
              <w:jc w:val="center"/>
              <w:rPr>
                <w:rFonts w:ascii="宋体" w:hAnsi="宋体"/>
              </w:rPr>
            </w:pPr>
            <w:r>
              <w:rPr>
                <w:rFonts w:ascii="Times New Roman" w:hAnsi="Times New Roman"/>
                <w:color w:val="000000"/>
                <w:szCs w:val="21"/>
              </w:rPr>
              <w:t>N</w:t>
            </w:r>
            <w:r>
              <w:rPr>
                <w:rFonts w:hint="eastAsia" w:ascii="Times New Roman" w:hAnsi="Times New Roman"/>
                <w:color w:val="000000"/>
                <w:szCs w:val="21"/>
              </w:rPr>
              <w:t>;</w:t>
            </w: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21.41</w:t>
            </w:r>
            <w:r>
              <w:rPr>
                <w:rFonts w:ascii="Times New Roman" w:hAnsi="Times New Roman"/>
                <w:szCs w:val="21"/>
              </w:rPr>
              <w:t>″</w:t>
            </w:r>
          </w:p>
        </w:tc>
        <w:tc>
          <w:tcPr>
            <w:tcW w:w="883"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56.2</w:t>
            </w:r>
          </w:p>
        </w:tc>
        <w:tc>
          <w:tcPr>
            <w:tcW w:w="734"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48.0</w:t>
            </w:r>
          </w:p>
        </w:tc>
        <w:tc>
          <w:tcPr>
            <w:tcW w:w="794"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797"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662"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86" w:type="dxa"/>
            <w:vMerge w:val="restart"/>
            <w:tcBorders>
              <w:tl2br w:val="nil"/>
              <w:tr2bl w:val="nil"/>
            </w:tcBorders>
            <w:vAlign w:val="center"/>
          </w:tcPr>
          <w:p>
            <w:pPr>
              <w:spacing w:line="0" w:lineRule="atLeast"/>
              <w:jc w:val="center"/>
              <w:rPr>
                <w:rFonts w:ascii="宋体" w:hAnsi="宋体" w:eastAsia="等线"/>
              </w:rPr>
            </w:pPr>
            <w:r>
              <w:rPr>
                <w:rFonts w:hint="eastAsia" w:ascii="宋体" w:hAnsi="宋体" w:eastAsia="等线"/>
              </w:rPr>
              <w:t>4</w:t>
            </w:r>
          </w:p>
          <w:p>
            <w:pPr>
              <w:spacing w:line="0" w:lineRule="atLeast"/>
              <w:jc w:val="center"/>
              <w:rPr>
                <w:rFonts w:ascii="宋体" w:hAnsi="宋体"/>
              </w:rPr>
            </w:pPr>
            <w:r>
              <w:rPr>
                <w:rFonts w:hint="eastAsia" w:ascii="宋体" w:hAnsi="宋体" w:eastAsia="等线"/>
              </w:rPr>
              <w:t>月19日</w:t>
            </w:r>
          </w:p>
        </w:tc>
        <w:tc>
          <w:tcPr>
            <w:tcW w:w="1622" w:type="dxa"/>
            <w:tcBorders>
              <w:tl2br w:val="nil"/>
              <w:tr2bl w:val="nil"/>
            </w:tcBorders>
            <w:vAlign w:val="center"/>
          </w:tcPr>
          <w:p>
            <w:pPr>
              <w:adjustRightInd w:val="0"/>
              <w:spacing w:line="0" w:lineRule="atLeast"/>
              <w:jc w:val="center"/>
              <w:rPr>
                <w:rFonts w:ascii="Times New Roman" w:hAnsi="Times New Roman"/>
                <w:szCs w:val="21"/>
              </w:rPr>
            </w:pPr>
            <w:r>
              <w:rPr>
                <w:rFonts w:hint="eastAsia" w:ascii="Times New Roman" w:hAnsi="Times New Roman"/>
                <w:szCs w:val="21"/>
              </w:rPr>
              <w:t>ZS-2204-19-1</w:t>
            </w:r>
          </w:p>
        </w:tc>
        <w:tc>
          <w:tcPr>
            <w:tcW w:w="1062" w:type="dxa"/>
            <w:tcBorders>
              <w:tl2br w:val="nil"/>
              <w:tr2bl w:val="nil"/>
            </w:tcBorders>
            <w:vAlign w:val="center"/>
          </w:tcPr>
          <w:p>
            <w:pPr>
              <w:spacing w:line="0" w:lineRule="atLeast"/>
              <w:jc w:val="center"/>
              <w:rPr>
                <w:rFonts w:ascii="宋体" w:hAnsi="宋体"/>
                <w:szCs w:val="21"/>
              </w:rPr>
            </w:pPr>
            <w:r>
              <w:rPr>
                <w:rFonts w:hint="eastAsia" w:ascii="宋体" w:hAnsi="宋体"/>
              </w:rPr>
              <w:t>厂界北</w:t>
            </w:r>
          </w:p>
        </w:tc>
        <w:tc>
          <w:tcPr>
            <w:tcW w:w="1833" w:type="dxa"/>
            <w:tcBorders>
              <w:tl2br w:val="nil"/>
              <w:tr2bl w:val="nil"/>
            </w:tcBorders>
            <w:vAlign w:val="center"/>
          </w:tcPr>
          <w:p>
            <w:pPr>
              <w:adjustRightInd w:val="0"/>
              <w:spacing w:line="0" w:lineRule="atLeast"/>
              <w:jc w:val="center"/>
              <w:rPr>
                <w:rFonts w:ascii="Times New Roman" w:hAnsi="Times New Roman"/>
                <w:szCs w:val="21"/>
              </w:rPr>
            </w:pPr>
            <w:r>
              <w:rPr>
                <w:rFonts w:ascii="Times New Roman" w:hAnsi="Times New Roman"/>
                <w:szCs w:val="21"/>
              </w:rPr>
              <w:t>E</w:t>
            </w:r>
            <w:r>
              <w:rPr>
                <w:rFonts w:hint="eastAsia" w:ascii="Times New Roman" w:hAnsi="Times New Roman"/>
                <w:szCs w:val="21"/>
              </w:rPr>
              <w:t>:</w:t>
            </w: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r>
              <w:rPr>
                <w:rFonts w:hint="eastAsia" w:ascii="Times New Roman" w:hAnsi="Times New Roman"/>
                <w:szCs w:val="21"/>
              </w:rPr>
              <w:t>14.90</w:t>
            </w:r>
            <w:r>
              <w:rPr>
                <w:rFonts w:ascii="Times New Roman" w:hAnsi="Times New Roman"/>
                <w:szCs w:val="21"/>
              </w:rPr>
              <w:t>″</w:t>
            </w:r>
          </w:p>
          <w:p>
            <w:pPr>
              <w:adjustRightInd w:val="0"/>
              <w:spacing w:line="0" w:lineRule="atLeast"/>
              <w:jc w:val="center"/>
              <w:rPr>
                <w:rFonts w:ascii="宋体" w:hAnsi="宋体" w:eastAsia="等线"/>
                <w:szCs w:val="21"/>
              </w:rPr>
            </w:pPr>
            <w:r>
              <w:rPr>
                <w:rFonts w:ascii="Times New Roman" w:hAnsi="Times New Roman"/>
                <w:color w:val="000000"/>
                <w:szCs w:val="21"/>
              </w:rPr>
              <w:t>N</w:t>
            </w:r>
            <w:r>
              <w:rPr>
                <w:rFonts w:hint="eastAsia" w:ascii="Times New Roman" w:hAnsi="Times New Roman"/>
                <w:color w:val="000000"/>
                <w:szCs w:val="21"/>
              </w:rPr>
              <w:t>:</w:t>
            </w: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34.31</w:t>
            </w:r>
            <w:r>
              <w:rPr>
                <w:rFonts w:ascii="Times New Roman" w:hAnsi="Times New Roman"/>
                <w:szCs w:val="21"/>
              </w:rPr>
              <w:t>″</w:t>
            </w:r>
          </w:p>
        </w:tc>
        <w:tc>
          <w:tcPr>
            <w:tcW w:w="883"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54.6</w:t>
            </w:r>
          </w:p>
        </w:tc>
        <w:tc>
          <w:tcPr>
            <w:tcW w:w="734"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49.1</w:t>
            </w:r>
          </w:p>
        </w:tc>
        <w:tc>
          <w:tcPr>
            <w:tcW w:w="794"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797"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662"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86" w:type="dxa"/>
            <w:vMerge w:val="continue"/>
            <w:tcBorders>
              <w:tl2br w:val="nil"/>
              <w:tr2bl w:val="nil"/>
            </w:tcBorders>
            <w:vAlign w:val="center"/>
          </w:tcPr>
          <w:p>
            <w:pPr>
              <w:spacing w:line="320" w:lineRule="exact"/>
              <w:jc w:val="center"/>
              <w:rPr>
                <w:rFonts w:ascii="宋体" w:hAnsi="宋体"/>
              </w:rPr>
            </w:pPr>
          </w:p>
        </w:tc>
        <w:tc>
          <w:tcPr>
            <w:tcW w:w="1622" w:type="dxa"/>
            <w:tcBorders>
              <w:tl2br w:val="nil"/>
              <w:tr2bl w:val="nil"/>
            </w:tcBorders>
            <w:vAlign w:val="center"/>
          </w:tcPr>
          <w:p>
            <w:pPr>
              <w:adjustRightInd w:val="0"/>
              <w:spacing w:line="0" w:lineRule="atLeast"/>
              <w:jc w:val="center"/>
              <w:rPr>
                <w:rFonts w:ascii="Times New Roman" w:hAnsi="Times New Roman"/>
                <w:szCs w:val="21"/>
              </w:rPr>
            </w:pPr>
            <w:r>
              <w:rPr>
                <w:rFonts w:hint="eastAsia" w:ascii="Times New Roman" w:hAnsi="Times New Roman"/>
                <w:szCs w:val="21"/>
              </w:rPr>
              <w:t>ZS-2204-19-2</w:t>
            </w:r>
          </w:p>
        </w:tc>
        <w:tc>
          <w:tcPr>
            <w:tcW w:w="1062" w:type="dxa"/>
            <w:tcBorders>
              <w:tl2br w:val="nil"/>
              <w:tr2bl w:val="nil"/>
            </w:tcBorders>
            <w:vAlign w:val="center"/>
          </w:tcPr>
          <w:p>
            <w:pPr>
              <w:spacing w:line="0" w:lineRule="atLeast"/>
              <w:jc w:val="center"/>
              <w:rPr>
                <w:rFonts w:ascii="宋体" w:hAnsi="宋体"/>
                <w:szCs w:val="21"/>
              </w:rPr>
            </w:pPr>
            <w:r>
              <w:rPr>
                <w:rFonts w:hint="eastAsia" w:ascii="宋体" w:hAnsi="宋体"/>
              </w:rPr>
              <w:t>厂界西</w:t>
            </w:r>
          </w:p>
        </w:tc>
        <w:tc>
          <w:tcPr>
            <w:tcW w:w="1833" w:type="dxa"/>
            <w:tcBorders>
              <w:tl2br w:val="nil"/>
              <w:tr2bl w:val="nil"/>
            </w:tcBorders>
            <w:vAlign w:val="center"/>
          </w:tcPr>
          <w:p>
            <w:pPr>
              <w:adjustRightInd w:val="0"/>
              <w:spacing w:line="0" w:lineRule="atLeast"/>
              <w:jc w:val="center"/>
              <w:rPr>
                <w:rFonts w:ascii="Times New Roman" w:hAnsi="Times New Roman"/>
                <w:szCs w:val="21"/>
              </w:rPr>
            </w:pPr>
            <w:r>
              <w:rPr>
                <w:rFonts w:ascii="Times New Roman" w:hAnsi="Times New Roman"/>
                <w:szCs w:val="21"/>
              </w:rPr>
              <w:t>E</w:t>
            </w:r>
            <w:r>
              <w:rPr>
                <w:rFonts w:hint="eastAsia" w:ascii="Times New Roman" w:hAnsi="Times New Roman"/>
                <w:szCs w:val="21"/>
              </w:rPr>
              <w:t>:</w:t>
            </w: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r>
              <w:rPr>
                <w:rFonts w:hint="eastAsia" w:ascii="Times New Roman" w:hAnsi="Times New Roman"/>
                <w:szCs w:val="21"/>
              </w:rPr>
              <w:t>22.22</w:t>
            </w:r>
            <w:r>
              <w:rPr>
                <w:rFonts w:ascii="Times New Roman" w:hAnsi="Times New Roman"/>
                <w:szCs w:val="21"/>
              </w:rPr>
              <w:t>″</w:t>
            </w:r>
          </w:p>
          <w:p>
            <w:pPr>
              <w:adjustRightInd w:val="0"/>
              <w:spacing w:line="0" w:lineRule="atLeast"/>
              <w:jc w:val="center"/>
              <w:rPr>
                <w:rFonts w:ascii="宋体" w:hAnsi="宋体"/>
                <w:szCs w:val="21"/>
              </w:rPr>
            </w:pPr>
            <w:r>
              <w:rPr>
                <w:rFonts w:ascii="Times New Roman" w:hAnsi="Times New Roman"/>
                <w:color w:val="000000"/>
                <w:szCs w:val="21"/>
              </w:rPr>
              <w:t>N</w:t>
            </w:r>
            <w:r>
              <w:rPr>
                <w:rFonts w:hint="eastAsia" w:ascii="Times New Roman" w:hAnsi="Times New Roman"/>
                <w:color w:val="000000"/>
                <w:szCs w:val="21"/>
              </w:rPr>
              <w:t>:</w:t>
            </w: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24.95</w:t>
            </w:r>
            <w:r>
              <w:rPr>
                <w:rFonts w:ascii="Times New Roman" w:hAnsi="Times New Roman"/>
                <w:szCs w:val="21"/>
              </w:rPr>
              <w:t>″</w:t>
            </w:r>
          </w:p>
        </w:tc>
        <w:tc>
          <w:tcPr>
            <w:tcW w:w="883"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53.9</w:t>
            </w:r>
          </w:p>
        </w:tc>
        <w:tc>
          <w:tcPr>
            <w:tcW w:w="734"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48.5</w:t>
            </w:r>
          </w:p>
        </w:tc>
        <w:tc>
          <w:tcPr>
            <w:tcW w:w="794"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797"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662"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10" w:hRule="exact"/>
          <w:jc w:val="center"/>
        </w:trPr>
        <w:tc>
          <w:tcPr>
            <w:tcW w:w="586" w:type="dxa"/>
            <w:vMerge w:val="continue"/>
            <w:tcBorders>
              <w:tl2br w:val="nil"/>
              <w:tr2bl w:val="nil"/>
            </w:tcBorders>
            <w:vAlign w:val="center"/>
          </w:tcPr>
          <w:p>
            <w:pPr>
              <w:spacing w:line="320" w:lineRule="exact"/>
              <w:jc w:val="center"/>
              <w:rPr>
                <w:rFonts w:ascii="宋体" w:hAnsi="宋体"/>
              </w:rPr>
            </w:pPr>
          </w:p>
        </w:tc>
        <w:tc>
          <w:tcPr>
            <w:tcW w:w="1622" w:type="dxa"/>
            <w:tcBorders>
              <w:tl2br w:val="nil"/>
              <w:tr2bl w:val="nil"/>
            </w:tcBorders>
            <w:vAlign w:val="center"/>
          </w:tcPr>
          <w:p>
            <w:pPr>
              <w:adjustRightInd w:val="0"/>
              <w:spacing w:line="0" w:lineRule="atLeast"/>
              <w:jc w:val="center"/>
              <w:rPr>
                <w:rFonts w:ascii="Times New Roman" w:hAnsi="Times New Roman"/>
                <w:szCs w:val="21"/>
              </w:rPr>
            </w:pPr>
            <w:r>
              <w:rPr>
                <w:rFonts w:hint="eastAsia" w:ascii="Times New Roman" w:hAnsi="Times New Roman"/>
                <w:szCs w:val="21"/>
              </w:rPr>
              <w:t>ZS-2204-19-3</w:t>
            </w:r>
          </w:p>
        </w:tc>
        <w:tc>
          <w:tcPr>
            <w:tcW w:w="1062" w:type="dxa"/>
            <w:tcBorders>
              <w:tl2br w:val="nil"/>
              <w:tr2bl w:val="nil"/>
            </w:tcBorders>
            <w:vAlign w:val="center"/>
          </w:tcPr>
          <w:p>
            <w:pPr>
              <w:spacing w:line="0" w:lineRule="atLeast"/>
              <w:jc w:val="center"/>
              <w:rPr>
                <w:rFonts w:ascii="宋体" w:hAnsi="宋体"/>
                <w:szCs w:val="21"/>
              </w:rPr>
            </w:pPr>
            <w:r>
              <w:rPr>
                <w:rFonts w:hint="eastAsia" w:ascii="宋体" w:hAnsi="宋体"/>
              </w:rPr>
              <w:t>厂界南</w:t>
            </w:r>
          </w:p>
        </w:tc>
        <w:tc>
          <w:tcPr>
            <w:tcW w:w="1833"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ascii="Times New Roman" w:hAnsi="Times New Roman"/>
                <w:color w:val="000000"/>
                <w:szCs w:val="21"/>
              </w:rPr>
              <w:t>E</w:t>
            </w:r>
            <w:r>
              <w:rPr>
                <w:rFonts w:hint="eastAsia" w:ascii="Times New Roman" w:hAnsi="Times New Roman"/>
                <w:color w:val="000000"/>
                <w:szCs w:val="21"/>
              </w:rPr>
              <w:t>:</w:t>
            </w:r>
            <w:r>
              <w:rPr>
                <w:rFonts w:ascii="Times New Roman" w:hAnsi="Times New Roman"/>
                <w:color w:val="000000"/>
                <w:szCs w:val="21"/>
              </w:rPr>
              <w:t>10</w:t>
            </w:r>
            <w:r>
              <w:rPr>
                <w:rFonts w:hint="eastAsia" w:ascii="Times New Roman" w:hAnsi="Times New Roman"/>
                <w:color w:val="000000"/>
                <w:szCs w:val="21"/>
              </w:rPr>
              <w:t>5</w:t>
            </w:r>
            <w:r>
              <w:rPr>
                <w:rFonts w:ascii="Times New Roman" w:hAnsi="Times New Roman"/>
                <w:color w:val="000000"/>
                <w:szCs w:val="21"/>
              </w:rPr>
              <w:t>°</w:t>
            </w:r>
            <w:r>
              <w:rPr>
                <w:rFonts w:hint="eastAsia" w:ascii="Times New Roman" w:hAnsi="Times New Roman"/>
                <w:color w:val="000000"/>
                <w:szCs w:val="21"/>
              </w:rPr>
              <w:t>55</w:t>
            </w:r>
            <w:r>
              <w:rPr>
                <w:rFonts w:ascii="Times New Roman" w:hAnsi="Times New Roman"/>
                <w:color w:val="000000"/>
                <w:szCs w:val="21"/>
              </w:rPr>
              <w:t>′</w:t>
            </w:r>
            <w:r>
              <w:rPr>
                <w:rFonts w:hint="eastAsia" w:ascii="Times New Roman" w:hAnsi="Times New Roman"/>
                <w:color w:val="000000"/>
                <w:szCs w:val="21"/>
              </w:rPr>
              <w:t>16.00</w:t>
            </w:r>
            <w:r>
              <w:rPr>
                <w:rFonts w:ascii="Times New Roman" w:hAnsi="Times New Roman"/>
                <w:color w:val="000000"/>
                <w:szCs w:val="21"/>
              </w:rPr>
              <w:t>″</w:t>
            </w:r>
          </w:p>
          <w:p>
            <w:pPr>
              <w:adjustRightInd w:val="0"/>
              <w:spacing w:line="0" w:lineRule="atLeast"/>
              <w:jc w:val="center"/>
              <w:rPr>
                <w:rFonts w:ascii="宋体" w:hAnsi="宋体"/>
                <w:szCs w:val="21"/>
              </w:rPr>
            </w:pPr>
            <w:r>
              <w:rPr>
                <w:rFonts w:ascii="Times New Roman" w:hAnsi="Times New Roman"/>
                <w:color w:val="000000"/>
                <w:szCs w:val="21"/>
              </w:rPr>
              <w:t>N</w:t>
            </w:r>
            <w:r>
              <w:rPr>
                <w:rFonts w:hint="eastAsia" w:ascii="Times New Roman" w:hAnsi="Times New Roman"/>
                <w:color w:val="000000"/>
                <w:szCs w:val="21"/>
              </w:rPr>
              <w:t>:</w:t>
            </w:r>
            <w:r>
              <w:rPr>
                <w:rFonts w:ascii="Times New Roman" w:hAnsi="Times New Roman"/>
                <w:color w:val="000000"/>
                <w:szCs w:val="21"/>
              </w:rPr>
              <w:t>3</w:t>
            </w:r>
            <w:r>
              <w:rPr>
                <w:rFonts w:hint="eastAsia" w:ascii="Times New Roman" w:hAnsi="Times New Roman"/>
                <w:color w:val="000000"/>
                <w:szCs w:val="21"/>
              </w:rPr>
              <w:t>5</w:t>
            </w:r>
            <w:r>
              <w:rPr>
                <w:rFonts w:ascii="Times New Roman" w:hAnsi="Times New Roman"/>
                <w:color w:val="000000"/>
                <w:szCs w:val="21"/>
              </w:rPr>
              <w:t>°</w:t>
            </w:r>
            <w:r>
              <w:rPr>
                <w:rFonts w:hint="eastAsia" w:ascii="Times New Roman" w:hAnsi="Times New Roman"/>
                <w:color w:val="000000"/>
                <w:szCs w:val="21"/>
              </w:rPr>
              <w:t>34</w:t>
            </w:r>
            <w:r>
              <w:rPr>
                <w:rFonts w:ascii="Times New Roman" w:hAnsi="Times New Roman"/>
                <w:color w:val="000000"/>
                <w:szCs w:val="21"/>
              </w:rPr>
              <w:t>′</w:t>
            </w:r>
            <w:r>
              <w:rPr>
                <w:rFonts w:hint="eastAsia" w:ascii="Times New Roman" w:hAnsi="Times New Roman"/>
                <w:color w:val="000000"/>
                <w:szCs w:val="21"/>
              </w:rPr>
              <w:t>19.94</w:t>
            </w:r>
            <w:r>
              <w:rPr>
                <w:rFonts w:ascii="Times New Roman" w:hAnsi="Times New Roman"/>
                <w:color w:val="000000"/>
                <w:szCs w:val="21"/>
              </w:rPr>
              <w:t>″</w:t>
            </w:r>
          </w:p>
        </w:tc>
        <w:tc>
          <w:tcPr>
            <w:tcW w:w="883"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57.7</w:t>
            </w:r>
          </w:p>
        </w:tc>
        <w:tc>
          <w:tcPr>
            <w:tcW w:w="734"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48.0</w:t>
            </w:r>
          </w:p>
        </w:tc>
        <w:tc>
          <w:tcPr>
            <w:tcW w:w="794"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797"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662"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86" w:type="dxa"/>
            <w:vMerge w:val="continue"/>
            <w:tcBorders>
              <w:tl2br w:val="nil"/>
              <w:tr2bl w:val="nil"/>
            </w:tcBorders>
            <w:vAlign w:val="center"/>
          </w:tcPr>
          <w:p>
            <w:pPr>
              <w:spacing w:line="320" w:lineRule="exact"/>
              <w:jc w:val="center"/>
              <w:rPr>
                <w:rFonts w:ascii="宋体" w:hAnsi="宋体"/>
              </w:rPr>
            </w:pPr>
          </w:p>
        </w:tc>
        <w:tc>
          <w:tcPr>
            <w:tcW w:w="1622" w:type="dxa"/>
            <w:tcBorders>
              <w:tl2br w:val="nil"/>
              <w:tr2bl w:val="nil"/>
            </w:tcBorders>
            <w:vAlign w:val="center"/>
          </w:tcPr>
          <w:p>
            <w:pPr>
              <w:adjustRightInd w:val="0"/>
              <w:spacing w:line="0" w:lineRule="atLeast"/>
              <w:jc w:val="center"/>
              <w:rPr>
                <w:rFonts w:ascii="Times New Roman" w:hAnsi="Times New Roman"/>
                <w:szCs w:val="21"/>
              </w:rPr>
            </w:pPr>
            <w:r>
              <w:rPr>
                <w:rFonts w:hint="eastAsia" w:ascii="Times New Roman" w:hAnsi="Times New Roman"/>
                <w:szCs w:val="21"/>
              </w:rPr>
              <w:t>ZS-2204-19-4</w:t>
            </w:r>
          </w:p>
        </w:tc>
        <w:tc>
          <w:tcPr>
            <w:tcW w:w="1062" w:type="dxa"/>
            <w:tcBorders>
              <w:tl2br w:val="nil"/>
              <w:tr2bl w:val="nil"/>
            </w:tcBorders>
            <w:vAlign w:val="center"/>
          </w:tcPr>
          <w:p>
            <w:pPr>
              <w:spacing w:line="0" w:lineRule="atLeast"/>
              <w:jc w:val="center"/>
              <w:rPr>
                <w:rFonts w:ascii="宋体" w:hAnsi="宋体"/>
                <w:szCs w:val="21"/>
              </w:rPr>
            </w:pPr>
            <w:r>
              <w:rPr>
                <w:rFonts w:hint="eastAsia" w:ascii="宋体" w:hAnsi="宋体"/>
              </w:rPr>
              <w:t>厂界东</w:t>
            </w:r>
          </w:p>
        </w:tc>
        <w:tc>
          <w:tcPr>
            <w:tcW w:w="1833" w:type="dxa"/>
            <w:tcBorders>
              <w:tl2br w:val="nil"/>
              <w:tr2bl w:val="nil"/>
            </w:tcBorders>
            <w:vAlign w:val="center"/>
          </w:tcPr>
          <w:p>
            <w:pPr>
              <w:adjustRightInd w:val="0"/>
              <w:spacing w:line="0" w:lineRule="atLeast"/>
              <w:jc w:val="center"/>
              <w:rPr>
                <w:rFonts w:ascii="Times New Roman" w:hAnsi="Times New Roman"/>
                <w:szCs w:val="21"/>
              </w:rPr>
            </w:pPr>
            <w:r>
              <w:rPr>
                <w:rFonts w:ascii="Times New Roman" w:hAnsi="Times New Roman"/>
                <w:szCs w:val="21"/>
              </w:rPr>
              <w:t>E</w:t>
            </w:r>
            <w:r>
              <w:rPr>
                <w:rFonts w:hint="eastAsia" w:ascii="Times New Roman" w:hAnsi="Times New Roman"/>
                <w:szCs w:val="21"/>
              </w:rPr>
              <w:t>:</w:t>
            </w: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55</w:t>
            </w:r>
            <w:r>
              <w:rPr>
                <w:rFonts w:ascii="Times New Roman" w:hAnsi="Times New Roman"/>
                <w:szCs w:val="21"/>
              </w:rPr>
              <w:t>′</w:t>
            </w:r>
            <w:r>
              <w:rPr>
                <w:rFonts w:hint="eastAsia" w:ascii="Times New Roman" w:hAnsi="Times New Roman"/>
                <w:szCs w:val="21"/>
              </w:rPr>
              <w:t>11.49</w:t>
            </w:r>
            <w:r>
              <w:rPr>
                <w:rFonts w:ascii="Times New Roman" w:hAnsi="Times New Roman"/>
                <w:szCs w:val="21"/>
              </w:rPr>
              <w:t>″</w:t>
            </w:r>
          </w:p>
          <w:p>
            <w:pPr>
              <w:adjustRightInd w:val="0"/>
              <w:spacing w:line="0" w:lineRule="atLeast"/>
              <w:jc w:val="center"/>
              <w:rPr>
                <w:rFonts w:ascii="宋体" w:hAnsi="宋体"/>
                <w:szCs w:val="21"/>
              </w:rPr>
            </w:pPr>
            <w:r>
              <w:rPr>
                <w:rFonts w:ascii="Times New Roman" w:hAnsi="Times New Roman"/>
                <w:color w:val="000000"/>
                <w:szCs w:val="21"/>
              </w:rPr>
              <w:t>N</w:t>
            </w:r>
            <w:r>
              <w:rPr>
                <w:rFonts w:hint="eastAsia" w:ascii="Times New Roman" w:hAnsi="Times New Roman"/>
                <w:color w:val="000000"/>
                <w:szCs w:val="21"/>
              </w:rPr>
              <w:t>;</w:t>
            </w:r>
            <w:r>
              <w:rPr>
                <w:rFonts w:ascii="Times New Roman" w:hAnsi="Times New Roman"/>
                <w:szCs w:val="21"/>
              </w:rPr>
              <w:t>3</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34</w:t>
            </w:r>
            <w:r>
              <w:rPr>
                <w:rFonts w:ascii="Times New Roman" w:hAnsi="Times New Roman"/>
                <w:szCs w:val="21"/>
              </w:rPr>
              <w:t>′</w:t>
            </w:r>
            <w:r>
              <w:rPr>
                <w:rFonts w:hint="eastAsia" w:ascii="Times New Roman" w:hAnsi="Times New Roman"/>
                <w:szCs w:val="21"/>
              </w:rPr>
              <w:t>21.41</w:t>
            </w:r>
            <w:r>
              <w:rPr>
                <w:rFonts w:ascii="Times New Roman" w:hAnsi="Times New Roman"/>
                <w:szCs w:val="21"/>
              </w:rPr>
              <w:t>″</w:t>
            </w:r>
          </w:p>
        </w:tc>
        <w:tc>
          <w:tcPr>
            <w:tcW w:w="883"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55.5</w:t>
            </w:r>
          </w:p>
        </w:tc>
        <w:tc>
          <w:tcPr>
            <w:tcW w:w="734"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49.7</w:t>
            </w:r>
          </w:p>
        </w:tc>
        <w:tc>
          <w:tcPr>
            <w:tcW w:w="794"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797" w:type="dxa"/>
            <w:vMerge w:val="continue"/>
            <w:tcBorders>
              <w:tl2br w:val="nil"/>
              <w:tr2bl w:val="nil"/>
            </w:tcBorders>
            <w:vAlign w:val="center"/>
          </w:tcPr>
          <w:p>
            <w:pPr>
              <w:adjustRightInd w:val="0"/>
              <w:spacing w:line="0" w:lineRule="atLeast"/>
              <w:jc w:val="center"/>
              <w:rPr>
                <w:rFonts w:ascii="Times New Roman" w:hAnsi="Times New Roman"/>
                <w:color w:val="000000"/>
                <w:szCs w:val="21"/>
              </w:rPr>
            </w:pPr>
          </w:p>
        </w:tc>
        <w:tc>
          <w:tcPr>
            <w:tcW w:w="662" w:type="dxa"/>
            <w:tcBorders>
              <w:tl2br w:val="nil"/>
              <w:tr2bl w:val="nil"/>
            </w:tcBorders>
            <w:vAlign w:val="center"/>
          </w:tcPr>
          <w:p>
            <w:pPr>
              <w:adjustRightInd w:val="0"/>
              <w:spacing w:line="0" w:lineRule="atLeast"/>
              <w:jc w:val="center"/>
              <w:rPr>
                <w:rFonts w:ascii="Times New Roman" w:hAnsi="Times New Roman"/>
                <w:color w:val="000000"/>
                <w:szCs w:val="21"/>
              </w:rPr>
            </w:pPr>
            <w:r>
              <w:rPr>
                <w:rFonts w:hint="eastAsia" w:ascii="Times New Roman" w:hAnsi="Times New Roman"/>
                <w:color w:val="000000"/>
                <w:szCs w:val="21"/>
              </w:rPr>
              <w:t>达标</w:t>
            </w:r>
          </w:p>
        </w:tc>
      </w:tr>
    </w:tbl>
    <w:p>
      <w:pPr>
        <w:widowControl/>
        <w:spacing w:line="540" w:lineRule="exact"/>
        <w:ind w:firstLine="480" w:firstLineChars="200"/>
        <w:rPr>
          <w:rFonts w:ascii="Times New Roman" w:hAnsi="Times New Roman"/>
          <w:sz w:val="24"/>
        </w:rPr>
      </w:pPr>
      <w:r>
        <w:rPr>
          <w:rFonts w:ascii="Times New Roman" w:hAnsi="Times New Roman"/>
          <w:sz w:val="24"/>
        </w:rPr>
        <w:t>监测期间，</w:t>
      </w:r>
      <w:r>
        <w:rPr>
          <w:rFonts w:hint="eastAsia" w:ascii="Times New Roman" w:hAnsi="Times New Roman"/>
          <w:sz w:val="24"/>
        </w:rPr>
        <w:t>宁夏腾发农业科技有限公司</w:t>
      </w:r>
      <w:r>
        <w:rPr>
          <w:rFonts w:ascii="Times New Roman" w:hAnsi="Times New Roman"/>
          <w:sz w:val="24"/>
        </w:rPr>
        <w:t>厂界噪声昼间噪声值范围为</w:t>
      </w:r>
      <w:r>
        <w:rPr>
          <w:rFonts w:hint="eastAsia" w:ascii="Times New Roman" w:hAnsi="Times New Roman"/>
          <w:sz w:val="24"/>
        </w:rPr>
        <w:t>53.8～57.7</w:t>
      </w:r>
      <w:r>
        <w:rPr>
          <w:rFonts w:ascii="Times New Roman" w:hAnsi="Times New Roman"/>
          <w:sz w:val="24"/>
        </w:rPr>
        <w:t>dB</w:t>
      </w:r>
      <w:r>
        <w:rPr>
          <w:rFonts w:hint="eastAsia" w:ascii="Times New Roman" w:hAnsi="Times New Roman"/>
          <w:sz w:val="24"/>
        </w:rPr>
        <w:t>（A</w:t>
      </w:r>
      <w:r>
        <w:rPr>
          <w:rFonts w:ascii="Times New Roman" w:hAnsi="Times New Roman"/>
          <w:sz w:val="24"/>
        </w:rPr>
        <w:t>)，夜间噪声值范围为</w:t>
      </w:r>
      <w:r>
        <w:rPr>
          <w:rFonts w:hint="eastAsia" w:ascii="Times New Roman" w:hAnsi="Times New Roman"/>
          <w:sz w:val="24"/>
        </w:rPr>
        <w:t>47.1～49.7</w:t>
      </w:r>
      <w:r>
        <w:rPr>
          <w:rFonts w:ascii="Times New Roman" w:hAnsi="Times New Roman"/>
          <w:sz w:val="24"/>
        </w:rPr>
        <w:t>dB(A)，均符合</w:t>
      </w:r>
      <w:r>
        <w:rPr>
          <w:rFonts w:hint="eastAsia" w:ascii="Times New Roman" w:hAnsi="Times New Roman"/>
          <w:sz w:val="24"/>
        </w:rPr>
        <w:t>《声环境质量标准》(GB3096-2008)中</w:t>
      </w:r>
      <w:r>
        <w:rPr>
          <w:rFonts w:hint="eastAsia" w:ascii="Times New Roman" w:hAnsi="Times New Roman"/>
          <w:sz w:val="24"/>
          <w:lang w:val="en-US" w:eastAsia="zh-CN"/>
        </w:rPr>
        <w:t>2</w:t>
      </w:r>
      <w:r>
        <w:rPr>
          <w:rFonts w:hint="eastAsia" w:ascii="Times New Roman" w:hAnsi="Times New Roman"/>
          <w:sz w:val="24"/>
        </w:rPr>
        <w:t>类</w:t>
      </w:r>
      <w:r>
        <w:rPr>
          <w:rFonts w:ascii="Times New Roman" w:hAnsi="Times New Roman"/>
          <w:sz w:val="24"/>
        </w:rPr>
        <w:t>标准中昼间</w:t>
      </w:r>
      <w:r>
        <w:rPr>
          <w:rFonts w:hint="eastAsia" w:ascii="Times New Roman" w:hAnsi="Times New Roman"/>
          <w:sz w:val="24"/>
        </w:rPr>
        <w:t>60</w:t>
      </w:r>
      <w:r>
        <w:rPr>
          <w:rFonts w:ascii="Times New Roman" w:hAnsi="Times New Roman"/>
          <w:sz w:val="24"/>
        </w:rPr>
        <w:t>dB(A)、夜间</w:t>
      </w:r>
      <w:r>
        <w:rPr>
          <w:rFonts w:hint="eastAsia" w:ascii="Times New Roman" w:hAnsi="Times New Roman"/>
          <w:sz w:val="24"/>
        </w:rPr>
        <w:t>50</w:t>
      </w:r>
      <w:r>
        <w:rPr>
          <w:rFonts w:ascii="Times New Roman" w:hAnsi="Times New Roman"/>
          <w:sz w:val="24"/>
        </w:rPr>
        <w:t>dB(A)的排放限值要求。</w:t>
      </w:r>
    </w:p>
    <w:p>
      <w:pPr>
        <w:pStyle w:val="52"/>
        <w:tabs>
          <w:tab w:val="left" w:pos="284"/>
        </w:tabs>
        <w:snapToGrid w:val="0"/>
        <w:spacing w:after="0" w:afterLines="0" w:line="540" w:lineRule="exact"/>
        <w:contextualSpacing/>
        <w:rPr>
          <w:rFonts w:cs="Times New Roman"/>
          <w:bCs w:val="0"/>
          <w:snapToGrid w:val="0"/>
          <w:kern w:val="0"/>
          <w:sz w:val="28"/>
          <w:szCs w:val="28"/>
        </w:rPr>
      </w:pPr>
      <w:bookmarkStart w:id="504" w:name="_Toc7811"/>
      <w:bookmarkStart w:id="505" w:name="_Toc17989"/>
      <w:r>
        <w:rPr>
          <w:rFonts w:cs="Times New Roman"/>
          <w:bCs w:val="0"/>
          <w:snapToGrid w:val="0"/>
          <w:kern w:val="0"/>
          <w:sz w:val="28"/>
          <w:szCs w:val="28"/>
        </w:rPr>
        <w:t>3.2.5土壤环境质量现状监测与评价</w:t>
      </w:r>
      <w:bookmarkEnd w:id="504"/>
      <w:bookmarkEnd w:id="505"/>
    </w:p>
    <w:p>
      <w:pPr>
        <w:pStyle w:val="6"/>
        <w:spacing w:before="0" w:after="0" w:line="540" w:lineRule="exact"/>
        <w:rPr>
          <w:rFonts w:hint="eastAsia" w:ascii="Times New Roman" w:hAnsi="Times New Roman" w:eastAsia="宋体"/>
          <w:bCs w:val="0"/>
          <w:sz w:val="24"/>
          <w:szCs w:val="24"/>
          <w:lang w:eastAsia="zh-CN"/>
        </w:rPr>
      </w:pPr>
      <w:r>
        <w:rPr>
          <w:rFonts w:ascii="Times New Roman" w:hAnsi="Times New Roman" w:eastAsia="宋体"/>
          <w:bCs w:val="0"/>
          <w:sz w:val="24"/>
          <w:szCs w:val="24"/>
        </w:rPr>
        <w:t>3.2.5.</w:t>
      </w:r>
      <w:r>
        <w:rPr>
          <w:rFonts w:hint="eastAsia" w:ascii="Times New Roman" w:hAnsi="Times New Roman" w:eastAsia="宋体"/>
          <w:bCs w:val="0"/>
          <w:sz w:val="24"/>
          <w:szCs w:val="24"/>
        </w:rPr>
        <w:t>1</w:t>
      </w:r>
      <w:r>
        <w:rPr>
          <w:rFonts w:ascii="Times New Roman" w:hAnsi="Times New Roman" w:eastAsia="宋体"/>
          <w:bCs w:val="0"/>
          <w:sz w:val="24"/>
          <w:szCs w:val="24"/>
        </w:rPr>
        <w:t>土壤</w:t>
      </w:r>
      <w:r>
        <w:rPr>
          <w:rFonts w:hint="eastAsia" w:ascii="Times New Roman" w:hAnsi="Times New Roman" w:eastAsia="宋体"/>
          <w:bCs w:val="0"/>
          <w:sz w:val="24"/>
          <w:szCs w:val="24"/>
          <w:lang w:eastAsia="zh-CN"/>
        </w:rPr>
        <w:t>类型及分布</w:t>
      </w:r>
    </w:p>
    <w:p>
      <w:pPr>
        <w:adjustRightInd w:val="0"/>
        <w:snapToGrid w:val="0"/>
        <w:spacing w:line="540" w:lineRule="exact"/>
        <w:ind w:firstLine="480" w:firstLineChars="200"/>
        <w:rPr>
          <w:rFonts w:hint="eastAsia" w:ascii="Times New Roman" w:hAnsi="Times New Roman"/>
          <w:color w:val="000000" w:themeColor="text1"/>
          <w:sz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项目厂址中心地理坐</w:t>
      </w:r>
      <w:r>
        <w:rPr>
          <w:rFonts w:hint="eastAsia" w:ascii="Times New Roman" w:hAnsi="Times New Roman"/>
          <w:color w:val="000000" w:themeColor="text1"/>
          <w:sz w:val="24"/>
          <w:highlight w:val="none"/>
          <w14:textFill>
            <w14:solidFill>
              <w14:schemeClr w14:val="tx1"/>
            </w14:solidFill>
          </w14:textFill>
        </w:rPr>
        <w:t>标为</w:t>
      </w:r>
      <w:r>
        <w:rPr>
          <w:rFonts w:hint="eastAsia" w:ascii="Times New Roman" w:hAnsi="Times New Roman"/>
          <w:color w:val="000000" w:themeColor="text1"/>
          <w:sz w:val="24"/>
          <w:szCs w:val="24"/>
          <w:highlight w:val="none"/>
          <w14:textFill>
            <w14:solidFill>
              <w14:schemeClr w14:val="tx1"/>
            </w14:solidFill>
          </w14:textFill>
        </w:rPr>
        <w:t>东</w:t>
      </w:r>
      <w:r>
        <w:rPr>
          <w:rFonts w:hint="eastAsia" w:ascii="Times New Roman" w:hAnsi="Times New Roman"/>
          <w:color w:val="000000" w:themeColor="text1"/>
          <w:sz w:val="24"/>
          <w:szCs w:val="24"/>
          <w14:textFill>
            <w14:solidFill>
              <w14:schemeClr w14:val="tx1"/>
            </w14:solidFill>
          </w14:textFill>
        </w:rPr>
        <w:t>经105</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55</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15.13</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北纬35</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34</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21.69</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，查阅“国家土壤信息服务平台”，项目厂址土壤类型为</w:t>
      </w:r>
      <w:r>
        <w:rPr>
          <w:rFonts w:hint="eastAsia" w:ascii="Times New Roman" w:hAnsi="Times New Roman"/>
          <w:color w:val="000000" w:themeColor="text1"/>
          <w:sz w:val="24"/>
          <w:lang w:eastAsia="zh-CN"/>
          <w14:textFill>
            <w14:solidFill>
              <w14:schemeClr w14:val="tx1"/>
            </w14:solidFill>
          </w14:textFill>
        </w:rPr>
        <w:t>冲积</w:t>
      </w:r>
      <w:r>
        <w:rPr>
          <w:rFonts w:hint="eastAsia" w:ascii="Times New Roman" w:hAnsi="Times New Roman"/>
          <w:color w:val="000000" w:themeColor="text1"/>
          <w:sz w:val="24"/>
          <w14:textFill>
            <w14:solidFill>
              <w14:schemeClr w14:val="tx1"/>
            </w14:solidFill>
          </w14:textFill>
        </w:rPr>
        <w:t>土。</w:t>
      </w:r>
    </w:p>
    <w:p>
      <w:pPr>
        <w:adjustRightInd w:val="0"/>
        <w:snapToGrid w:val="0"/>
        <w:spacing w:line="540" w:lineRule="exact"/>
        <w:ind w:firstLine="480" w:firstLineChars="200"/>
        <w:rPr>
          <w:rFonts w:hint="eastAsia" w:ascii="Times New Roman" w:hAnsi="Times New Roman"/>
          <w:color w:val="000000" w:themeColor="text1"/>
          <w:sz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根据《中国土壤分类与代码》(GB/T17296-2009)，其土纲为G初育土，土亚纲为G1土质初育土，</w:t>
      </w:r>
      <w:r>
        <w:rPr>
          <w:rFonts w:hint="eastAsia" w:ascii="Times New Roman" w:hAnsi="Times New Roman"/>
          <w:color w:val="000000" w:themeColor="text1"/>
          <w:sz w:val="24"/>
          <w:lang w:eastAsia="zh-CN"/>
          <w14:textFill>
            <w14:solidFill>
              <w14:schemeClr w14:val="tx1"/>
            </w14:solidFill>
          </w14:textFill>
        </w:rPr>
        <w:t>亚</w:t>
      </w:r>
      <w:r>
        <w:rPr>
          <w:rFonts w:hint="eastAsia" w:ascii="Times New Roman" w:hAnsi="Times New Roman"/>
          <w:color w:val="000000" w:themeColor="text1"/>
          <w:sz w:val="24"/>
          <w14:textFill>
            <w14:solidFill>
              <w14:schemeClr w14:val="tx1"/>
            </w14:solidFill>
          </w14:textFill>
        </w:rPr>
        <w:t>类为G1</w:t>
      </w:r>
      <w:r>
        <w:rPr>
          <w:rFonts w:hint="eastAsia" w:ascii="Times New Roman" w:hAnsi="Times New Roman"/>
          <w:color w:val="000000" w:themeColor="text1"/>
          <w:sz w:val="24"/>
          <w:lang w:val="en-US" w:eastAsia="zh-CN"/>
          <w14:textFill>
            <w14:solidFill>
              <w14:schemeClr w14:val="tx1"/>
            </w14:solidFill>
          </w14:textFill>
        </w:rPr>
        <w:t>32</w:t>
      </w:r>
      <w:r>
        <w:rPr>
          <w:rFonts w:hint="eastAsia" w:ascii="Times New Roman" w:hAnsi="Times New Roman"/>
          <w:color w:val="000000" w:themeColor="text1"/>
          <w:sz w:val="24"/>
          <w:lang w:eastAsia="zh-CN"/>
          <w14:textFill>
            <w14:solidFill>
              <w14:schemeClr w14:val="tx1"/>
            </w14:solidFill>
          </w14:textFill>
        </w:rPr>
        <w:t>中级图</w:t>
      </w:r>
      <w:r>
        <w:rPr>
          <w:rFonts w:hint="eastAsia" w:ascii="Times New Roman" w:hAnsi="Times New Roman"/>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540" w:lineRule="exact"/>
        <w:ind w:firstLine="480" w:firstLineChars="200"/>
        <w:jc w:val="left"/>
        <w:textAlignment w:val="auto"/>
        <w:rPr>
          <w:rFonts w:hint="eastAsia" w:ascii="Times New Roman" w:hAnsi="Times New Roman"/>
          <w:color w:val="000000" w:themeColor="text1"/>
          <w:sz w:val="24"/>
          <w:highlight w:val="yellow"/>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项目所在区域土壤类型</w:t>
      </w:r>
      <w:r>
        <w:rPr>
          <w:rFonts w:hint="eastAsia" w:ascii="Times New Roman" w:hAnsi="Times New Roman"/>
          <w:color w:val="000000" w:themeColor="text1"/>
          <w:sz w:val="24"/>
          <w:highlight w:val="none"/>
          <w14:textFill>
            <w14:solidFill>
              <w14:schemeClr w14:val="tx1"/>
            </w14:solidFill>
          </w14:textFill>
        </w:rPr>
        <w:t>见图</w:t>
      </w:r>
      <w:r>
        <w:rPr>
          <w:rFonts w:hint="eastAsia" w:ascii="Times New Roman" w:hAnsi="Times New Roman"/>
          <w:color w:val="000000" w:themeColor="text1"/>
          <w:sz w:val="24"/>
          <w:highlight w:val="none"/>
          <w:lang w:val="en-US" w:eastAsia="zh-CN"/>
          <w14:textFill>
            <w14:solidFill>
              <w14:schemeClr w14:val="tx1"/>
            </w14:solidFill>
          </w14:textFill>
        </w:rPr>
        <w:t>3.2</w:t>
      </w:r>
      <w:r>
        <w:rPr>
          <w:rFonts w:hint="eastAsia" w:ascii="Times New Roman" w:hAnsi="Times New Roman"/>
          <w:color w:val="000000" w:themeColor="text1"/>
          <w:sz w:val="24"/>
          <w:highlight w:val="none"/>
          <w14:textFill>
            <w14:solidFill>
              <w14:schemeClr w14:val="tx1"/>
            </w14:solidFill>
          </w14:textFill>
        </w:rPr>
        <w:t>-2</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b/>
          <w:bCs/>
          <w:sz w:val="24"/>
          <w:szCs w:val="24"/>
          <w:lang w:val="en-US" w:eastAsia="zh-CN"/>
        </w:rPr>
      </w:pPr>
      <w:r>
        <w:rPr>
          <w:rFonts w:hint="eastAsia" w:ascii="Times New Roman" w:hAnsi="Times New Roman" w:eastAsia="宋体"/>
          <w:sz w:val="24"/>
          <w:highlight w:val="yellow"/>
          <w:lang w:eastAsia="zh-CN"/>
        </w:rPr>
        <w:drawing>
          <wp:inline distT="0" distB="0" distL="114300" distR="114300">
            <wp:extent cx="5751830" cy="3046095"/>
            <wp:effectExtent l="0" t="0" r="1270" b="1905"/>
            <wp:docPr id="48" name="图片 48" descr="03c6e2ee4f1a00561bf5c6b5da1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03c6e2ee4f1a00561bf5c6b5da12278"/>
                    <pic:cNvPicPr>
                      <a:picLocks noChangeAspect="1"/>
                    </pic:cNvPicPr>
                  </pic:nvPicPr>
                  <pic:blipFill>
                    <a:blip r:embed="rId41"/>
                    <a:stretch>
                      <a:fillRect/>
                    </a:stretch>
                  </pic:blipFill>
                  <pic:spPr>
                    <a:xfrm>
                      <a:off x="0" y="0"/>
                      <a:ext cx="5751830" cy="3046095"/>
                    </a:xfrm>
                    <a:prstGeom prst="rect">
                      <a:avLst/>
                    </a:prstGeom>
                  </pic:spPr>
                </pic:pic>
              </a:graphicData>
            </a:graphic>
          </wp:inline>
        </w:drawing>
      </w:r>
      <w:r>
        <w:rPr>
          <w:rFonts w:hint="eastAsia" w:ascii="Times New Roman" w:hAnsi="Times New Roman"/>
          <w:b/>
          <w:bCs/>
          <w:sz w:val="24"/>
          <w:szCs w:val="24"/>
          <w:lang w:eastAsia="zh-CN"/>
        </w:rPr>
        <w:t>图</w:t>
      </w:r>
      <w:r>
        <w:rPr>
          <w:rFonts w:hint="eastAsia" w:ascii="Times New Roman" w:hAnsi="Times New Roman"/>
          <w:b/>
          <w:bCs/>
          <w:sz w:val="24"/>
          <w:szCs w:val="24"/>
          <w:lang w:val="en-US" w:eastAsia="zh-CN"/>
        </w:rPr>
        <w:t xml:space="preserve">3.2-4     </w:t>
      </w:r>
      <w:r>
        <w:rPr>
          <w:rFonts w:eastAsia="黑体" w:cs="Times New Roman"/>
          <w:b/>
          <w:bCs/>
          <w:sz w:val="24"/>
          <w:szCs w:val="24"/>
        </w:rPr>
        <w:t>项目所在区域土壤类型图</w:t>
      </w:r>
    </w:p>
    <w:p>
      <w:pPr>
        <w:pStyle w:val="6"/>
        <w:spacing w:before="0" w:after="0" w:line="540" w:lineRule="exact"/>
        <w:rPr>
          <w:rFonts w:hint="eastAsia" w:ascii="Times New Roman" w:hAnsi="Times New Roman" w:eastAsia="宋体"/>
          <w:bCs w:val="0"/>
          <w:sz w:val="24"/>
          <w:szCs w:val="24"/>
          <w:lang w:eastAsia="zh-CN"/>
        </w:rPr>
      </w:pPr>
      <w:r>
        <w:rPr>
          <w:rFonts w:ascii="Times New Roman" w:hAnsi="Times New Roman" w:eastAsia="宋体"/>
          <w:bCs w:val="0"/>
          <w:sz w:val="24"/>
          <w:szCs w:val="24"/>
        </w:rPr>
        <w:t>3.2.5.</w:t>
      </w:r>
      <w:r>
        <w:rPr>
          <w:rFonts w:hint="eastAsia" w:ascii="Times New Roman" w:hAnsi="Times New Roman" w:eastAsia="宋体"/>
          <w:bCs w:val="0"/>
          <w:sz w:val="24"/>
          <w:szCs w:val="24"/>
          <w:lang w:val="en-US" w:eastAsia="zh-CN"/>
        </w:rPr>
        <w:t>2</w:t>
      </w:r>
      <w:r>
        <w:rPr>
          <w:rFonts w:hint="eastAsia" w:ascii="Times New Roman" w:hAnsi="Times New Roman" w:eastAsia="宋体"/>
          <w:bCs w:val="0"/>
          <w:sz w:val="24"/>
          <w:szCs w:val="24"/>
          <w:lang w:eastAsia="zh-CN"/>
        </w:rPr>
        <w:t>土壤环境质量现状监测</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受宁夏盛博恒环保工程有限公司委托，宁夏盛博智环境检测有限公司技术人员于202</w:t>
      </w:r>
      <w:r>
        <w:rPr>
          <w:rFonts w:hint="eastAsia" w:ascii="Times New Roman" w:hAnsi="Times New Roman"/>
          <w:sz w:val="24"/>
        </w:rPr>
        <w:t>2</w:t>
      </w:r>
      <w:r>
        <w:rPr>
          <w:rFonts w:ascii="Times New Roman" w:hAnsi="Times New Roman"/>
          <w:sz w:val="24"/>
        </w:rPr>
        <w:t>年</w:t>
      </w:r>
      <w:r>
        <w:rPr>
          <w:rFonts w:hint="eastAsia" w:ascii="Times New Roman" w:hAnsi="Times New Roman"/>
          <w:sz w:val="24"/>
        </w:rPr>
        <w:t>4</w:t>
      </w:r>
      <w:r>
        <w:rPr>
          <w:rFonts w:ascii="Times New Roman" w:hAnsi="Times New Roman"/>
          <w:sz w:val="24"/>
        </w:rPr>
        <w:t>月</w:t>
      </w:r>
      <w:r>
        <w:rPr>
          <w:rFonts w:hint="eastAsia" w:ascii="Times New Roman" w:hAnsi="Times New Roman"/>
          <w:sz w:val="24"/>
        </w:rPr>
        <w:t>18</w:t>
      </w:r>
      <w:r>
        <w:rPr>
          <w:rFonts w:ascii="Times New Roman" w:hAnsi="Times New Roman"/>
          <w:sz w:val="24"/>
        </w:rPr>
        <w:t>日对规划区</w:t>
      </w:r>
      <w:r>
        <w:rPr>
          <w:rFonts w:hint="eastAsia" w:ascii="Times New Roman" w:hAnsi="Times New Roman"/>
          <w:sz w:val="24"/>
        </w:rPr>
        <w:t>6</w:t>
      </w:r>
      <w:r>
        <w:rPr>
          <w:rFonts w:ascii="Times New Roman" w:hAnsi="Times New Roman"/>
          <w:sz w:val="24"/>
        </w:rPr>
        <w:t>个点位的</w:t>
      </w:r>
      <w:r>
        <w:rPr>
          <w:rFonts w:hint="eastAsia" w:ascii="Times New Roman" w:hAnsi="Times New Roman"/>
          <w:sz w:val="24"/>
        </w:rPr>
        <w:t>进行</w:t>
      </w:r>
      <w:r>
        <w:rPr>
          <w:rFonts w:ascii="Times New Roman" w:hAnsi="Times New Roman"/>
          <w:sz w:val="24"/>
        </w:rPr>
        <w:t>监测。监测点位位于本次评价范围内，根据导则要求，引用该资料可行。</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（1）监测时间及频次</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检测时间及频次：检测时间：20</w:t>
      </w:r>
      <w:r>
        <w:rPr>
          <w:rFonts w:hint="eastAsia" w:ascii="Times New Roman" w:hAnsi="Times New Roman"/>
          <w:sz w:val="24"/>
        </w:rPr>
        <w:t>22</w:t>
      </w:r>
      <w:r>
        <w:rPr>
          <w:rFonts w:ascii="Times New Roman" w:hAnsi="Times New Roman"/>
          <w:sz w:val="24"/>
        </w:rPr>
        <w:t>年</w:t>
      </w:r>
      <w:r>
        <w:rPr>
          <w:rFonts w:hint="eastAsia" w:ascii="Times New Roman" w:hAnsi="Times New Roman"/>
          <w:sz w:val="24"/>
        </w:rPr>
        <w:t>4</w:t>
      </w:r>
      <w:r>
        <w:rPr>
          <w:rFonts w:ascii="Times New Roman" w:hAnsi="Times New Roman"/>
          <w:sz w:val="24"/>
        </w:rPr>
        <w:t>月</w:t>
      </w:r>
      <w:r>
        <w:rPr>
          <w:rFonts w:hint="eastAsia" w:ascii="Times New Roman" w:hAnsi="Times New Roman"/>
          <w:sz w:val="24"/>
        </w:rPr>
        <w:t>18</w:t>
      </w:r>
      <w:r>
        <w:rPr>
          <w:rFonts w:ascii="Times New Roman" w:hAnsi="Times New Roman"/>
          <w:sz w:val="24"/>
        </w:rPr>
        <w:t>日，检测频次：一次。</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（2）监测因子</w:t>
      </w:r>
    </w:p>
    <w:p>
      <w:pPr>
        <w:pStyle w:val="2"/>
        <w:adjustRightInd w:val="0"/>
        <w:spacing w:line="540" w:lineRule="exact"/>
        <w:ind w:firstLine="480" w:firstLineChars="200"/>
        <w:jc w:val="both"/>
        <w:rPr>
          <w:rFonts w:ascii="Times New Roman" w:hAnsi="Times New Roman"/>
          <w:bCs/>
          <w:sz w:val="24"/>
        </w:rPr>
      </w:pPr>
      <w:r>
        <w:rPr>
          <w:rFonts w:ascii="Times New Roman" w:hAnsi="Times New Roman"/>
          <w:bCs/>
          <w:sz w:val="24"/>
        </w:rPr>
        <w:t>监测因子：镍、铜、镉、铅、砷、汞、铬、锌、pH。共计9项。</w:t>
      </w:r>
    </w:p>
    <w:p>
      <w:pPr>
        <w:adjustRightInd w:val="0"/>
        <w:snapToGrid w:val="0"/>
        <w:spacing w:line="540" w:lineRule="exact"/>
        <w:ind w:firstLine="480" w:firstLineChars="200"/>
        <w:rPr>
          <w:rFonts w:ascii="Times New Roman" w:hAnsi="Times New Roman"/>
          <w:sz w:val="24"/>
        </w:rPr>
      </w:pPr>
      <w:r>
        <w:rPr>
          <w:rFonts w:ascii="Times New Roman" w:hAnsi="Times New Roman"/>
          <w:bCs/>
          <w:sz w:val="24"/>
        </w:rPr>
        <w:t>（3）监测点位</w:t>
      </w:r>
    </w:p>
    <w:p>
      <w:pPr>
        <w:adjustRightInd w:val="0"/>
        <w:snapToGrid w:val="0"/>
        <w:spacing w:line="540" w:lineRule="exact"/>
        <w:ind w:firstLine="480" w:firstLineChars="200"/>
        <w:rPr>
          <w:rFonts w:ascii="Times New Roman" w:hAnsi="Times New Roman"/>
          <w:b/>
          <w:bCs/>
          <w:snapToGrid w:val="0"/>
          <w:sz w:val="24"/>
        </w:rPr>
      </w:pPr>
      <w:r>
        <w:rPr>
          <w:rFonts w:ascii="Times New Roman" w:hAnsi="Times New Roman"/>
          <w:sz w:val="24"/>
        </w:rPr>
        <w:t>本次土壤监测在</w:t>
      </w:r>
      <w:r>
        <w:rPr>
          <w:rFonts w:hint="eastAsia" w:ascii="Times New Roman" w:hAnsi="Times New Roman"/>
          <w:sz w:val="24"/>
        </w:rPr>
        <w:t>积粪场</w:t>
      </w:r>
      <w:r>
        <w:rPr>
          <w:rFonts w:ascii="Times New Roman" w:hAnsi="Times New Roman"/>
          <w:sz w:val="24"/>
        </w:rPr>
        <w:t>、</w:t>
      </w:r>
      <w:r>
        <w:rPr>
          <w:rFonts w:hint="eastAsia" w:ascii="Times New Roman" w:hAnsi="Times New Roman"/>
          <w:sz w:val="24"/>
        </w:rPr>
        <w:t>牛棚、办公区、青储池、项目区北侧和项目区南侧</w:t>
      </w:r>
      <w:r>
        <w:rPr>
          <w:rFonts w:ascii="Times New Roman" w:hAnsi="Times New Roman"/>
          <w:sz w:val="24"/>
        </w:rPr>
        <w:t>各布设1个检测点，共</w:t>
      </w:r>
      <w:r>
        <w:rPr>
          <w:rFonts w:hint="eastAsia" w:ascii="Times New Roman" w:hAnsi="Times New Roman"/>
          <w:sz w:val="24"/>
        </w:rPr>
        <w:t>6</w:t>
      </w:r>
      <w:r>
        <w:rPr>
          <w:rFonts w:ascii="Times New Roman" w:hAnsi="Times New Roman"/>
          <w:sz w:val="24"/>
        </w:rPr>
        <w:t>个检测点，采样深度为距地表层20cm，具体采样点位详见表</w:t>
      </w:r>
      <w:r>
        <w:rPr>
          <w:rFonts w:hint="eastAsia" w:ascii="Times New Roman" w:hAnsi="Times New Roman"/>
          <w:sz w:val="24"/>
        </w:rPr>
        <w:t>3.2-12</w:t>
      </w:r>
      <w:r>
        <w:rPr>
          <w:rFonts w:ascii="Times New Roman" w:hAnsi="Times New Roman"/>
          <w:bCs/>
          <w:sz w:val="24"/>
        </w:rPr>
        <w:t>。</w:t>
      </w:r>
    </w:p>
    <w:p>
      <w:pPr>
        <w:autoSpaceDE w:val="0"/>
        <w:adjustRightInd w:val="0"/>
        <w:snapToGrid w:val="0"/>
        <w:jc w:val="center"/>
        <w:rPr>
          <w:rFonts w:ascii="Times New Roman" w:hAnsi="Times New Roman"/>
          <w:b/>
          <w:bCs/>
          <w:snapToGrid w:val="0"/>
          <w:sz w:val="24"/>
        </w:rPr>
      </w:pPr>
    </w:p>
    <w:p>
      <w:pPr>
        <w:autoSpaceDE w:val="0"/>
        <w:adjustRightInd w:val="0"/>
        <w:snapToGrid w:val="0"/>
        <w:jc w:val="center"/>
        <w:rPr>
          <w:rFonts w:ascii="Times New Roman" w:hAnsi="Times New Roman"/>
          <w:snapToGrid w:val="0"/>
          <w:sz w:val="24"/>
        </w:rPr>
      </w:pPr>
      <w:r>
        <w:rPr>
          <w:rFonts w:ascii="Times New Roman" w:hAnsi="Times New Roman"/>
          <w:b/>
          <w:bCs/>
          <w:snapToGrid w:val="0"/>
          <w:sz w:val="24"/>
        </w:rPr>
        <w:t>表3.2-</w:t>
      </w:r>
      <w:r>
        <w:rPr>
          <w:rFonts w:hint="eastAsia" w:ascii="Times New Roman" w:hAnsi="Times New Roman"/>
          <w:b/>
          <w:bCs/>
          <w:snapToGrid w:val="0"/>
          <w:sz w:val="24"/>
        </w:rPr>
        <w:t>12</w:t>
      </w:r>
      <w:r>
        <w:rPr>
          <w:rFonts w:ascii="Times New Roman" w:hAnsi="Times New Roman"/>
          <w:b/>
          <w:bCs/>
          <w:snapToGrid w:val="0"/>
          <w:sz w:val="24"/>
        </w:rPr>
        <w:t xml:space="preserve">  土壤现状监测布点情况一览表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318"/>
        <w:gridCol w:w="1610"/>
        <w:gridCol w:w="2764"/>
        <w:gridCol w:w="33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318" w:type="dxa"/>
            <w:vAlign w:val="center"/>
          </w:tcPr>
          <w:p>
            <w:pPr>
              <w:adjustRightInd w:val="0"/>
              <w:snapToGrid w:val="0"/>
              <w:jc w:val="center"/>
              <w:rPr>
                <w:rFonts w:ascii="Times New Roman" w:hAnsi="Times New Roman"/>
                <w:b/>
                <w:szCs w:val="21"/>
              </w:rPr>
            </w:pPr>
            <w:r>
              <w:rPr>
                <w:rFonts w:ascii="Times New Roman" w:hAnsi="Times New Roman"/>
                <w:b/>
                <w:szCs w:val="21"/>
              </w:rPr>
              <w:t>序号</w:t>
            </w:r>
          </w:p>
        </w:tc>
        <w:tc>
          <w:tcPr>
            <w:tcW w:w="1610" w:type="dxa"/>
            <w:vAlign w:val="center"/>
          </w:tcPr>
          <w:p>
            <w:pPr>
              <w:adjustRightInd w:val="0"/>
              <w:snapToGrid w:val="0"/>
              <w:jc w:val="center"/>
              <w:rPr>
                <w:rFonts w:ascii="Times New Roman" w:hAnsi="Times New Roman"/>
                <w:b/>
                <w:szCs w:val="21"/>
              </w:rPr>
            </w:pPr>
            <w:r>
              <w:rPr>
                <w:rFonts w:ascii="Times New Roman" w:hAnsi="Times New Roman"/>
                <w:b/>
                <w:szCs w:val="21"/>
              </w:rPr>
              <w:t>检测点位置</w:t>
            </w:r>
          </w:p>
        </w:tc>
        <w:tc>
          <w:tcPr>
            <w:tcW w:w="2764" w:type="dxa"/>
            <w:vAlign w:val="center"/>
          </w:tcPr>
          <w:p>
            <w:pPr>
              <w:adjustRightInd w:val="0"/>
              <w:snapToGrid w:val="0"/>
              <w:jc w:val="center"/>
              <w:rPr>
                <w:rFonts w:ascii="Times New Roman" w:hAnsi="Times New Roman"/>
                <w:b/>
                <w:szCs w:val="21"/>
              </w:rPr>
            </w:pPr>
            <w:r>
              <w:rPr>
                <w:rFonts w:ascii="Times New Roman" w:hAnsi="Times New Roman"/>
                <w:b/>
                <w:szCs w:val="21"/>
              </w:rPr>
              <w:t>采样深度</w:t>
            </w:r>
          </w:p>
        </w:tc>
        <w:tc>
          <w:tcPr>
            <w:tcW w:w="3379" w:type="dxa"/>
            <w:vAlign w:val="center"/>
          </w:tcPr>
          <w:p>
            <w:pPr>
              <w:adjustRightInd w:val="0"/>
              <w:snapToGrid w:val="0"/>
              <w:jc w:val="center"/>
              <w:rPr>
                <w:rFonts w:ascii="Times New Roman" w:hAnsi="Times New Roman"/>
                <w:b/>
                <w:szCs w:val="21"/>
              </w:rPr>
            </w:pPr>
            <w:r>
              <w:rPr>
                <w:rFonts w:ascii="Times New Roman" w:hAnsi="Times New Roman"/>
                <w:b/>
                <w:szCs w:val="21"/>
              </w:rPr>
              <w:t>检测点位坐标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318" w:type="dxa"/>
            <w:vAlign w:val="center"/>
          </w:tcPr>
          <w:p>
            <w:pPr>
              <w:adjustRightInd w:val="0"/>
              <w:snapToGrid w:val="0"/>
              <w:jc w:val="center"/>
              <w:rPr>
                <w:rFonts w:ascii="Times New Roman" w:hAnsi="Times New Roman"/>
                <w:szCs w:val="21"/>
              </w:rPr>
            </w:pPr>
            <w:r>
              <w:rPr>
                <w:rFonts w:hint="eastAsia" w:ascii="Times New Roman" w:hAnsi="Times New Roman"/>
                <w:szCs w:val="21"/>
              </w:rPr>
              <w:t>1</w:t>
            </w:r>
          </w:p>
        </w:tc>
        <w:tc>
          <w:tcPr>
            <w:tcW w:w="1610" w:type="dxa"/>
            <w:vAlign w:val="center"/>
          </w:tcPr>
          <w:p>
            <w:pPr>
              <w:pStyle w:val="46"/>
              <w:ind w:firstLine="0" w:firstLineChars="0"/>
              <w:jc w:val="center"/>
              <w:rPr>
                <w:rFonts w:hAnsi="Times New Roman"/>
                <w:szCs w:val="21"/>
              </w:rPr>
            </w:pPr>
            <w:r>
              <w:rPr>
                <w:rFonts w:hint="eastAsia" w:hAnsi="Times New Roman"/>
                <w:szCs w:val="21"/>
              </w:rPr>
              <w:t>积粪场</w:t>
            </w:r>
          </w:p>
        </w:tc>
        <w:tc>
          <w:tcPr>
            <w:tcW w:w="2764" w:type="dxa"/>
            <w:vAlign w:val="center"/>
          </w:tcPr>
          <w:p>
            <w:pPr>
              <w:adjustRightInd w:val="0"/>
              <w:snapToGrid w:val="0"/>
              <w:jc w:val="center"/>
              <w:rPr>
                <w:rFonts w:ascii="Times New Roman" w:hAnsi="Times New Roman"/>
                <w:szCs w:val="21"/>
              </w:rPr>
            </w:pPr>
            <w:r>
              <w:rPr>
                <w:rFonts w:ascii="Times New Roman" w:hAnsi="Times New Roman"/>
                <w:szCs w:val="21"/>
              </w:rPr>
              <w:t>表层样（0-20cm）</w:t>
            </w:r>
          </w:p>
        </w:tc>
        <w:tc>
          <w:tcPr>
            <w:tcW w:w="3379" w:type="dxa"/>
            <w:vAlign w:val="center"/>
          </w:tcPr>
          <w:p>
            <w:pPr>
              <w:pStyle w:val="46"/>
              <w:ind w:firstLine="0" w:firstLineChars="0"/>
              <w:jc w:val="center"/>
              <w:rPr>
                <w:rFonts w:hAnsi="宋体" w:cs="宋体"/>
                <w:szCs w:val="21"/>
                <w:lang w:val="zh-CN" w:bidi="zh-CN"/>
              </w:rPr>
            </w:pPr>
            <w:r>
              <w:rPr>
                <w:rFonts w:hint="eastAsia" w:hAnsi="Times New Roman"/>
              </w:rPr>
              <w:t>E:</w:t>
            </w:r>
            <w:r>
              <w:rPr>
                <w:rFonts w:hAnsi="Times New Roman"/>
              </w:rPr>
              <w:t>10</w:t>
            </w:r>
            <w:r>
              <w:rPr>
                <w:rFonts w:hint="eastAsia" w:hAnsi="Times New Roman"/>
              </w:rPr>
              <w:t>5</w:t>
            </w:r>
            <w:r>
              <w:rPr>
                <w:rFonts w:hAnsi="Times New Roman"/>
              </w:rPr>
              <w:t>°</w:t>
            </w:r>
            <w:r>
              <w:rPr>
                <w:rFonts w:hint="eastAsia" w:hAnsi="Times New Roman"/>
              </w:rPr>
              <w:t>55</w:t>
            </w:r>
            <w:r>
              <w:rPr>
                <w:rFonts w:hAnsi="Times New Roman"/>
              </w:rPr>
              <w:t>′</w:t>
            </w:r>
            <w:r>
              <w:rPr>
                <w:rFonts w:hint="eastAsia" w:hAnsi="Times New Roman"/>
              </w:rPr>
              <w:t>14.23</w:t>
            </w:r>
            <w:r>
              <w:rPr>
                <w:rFonts w:hAnsi="Times New Roman"/>
              </w:rPr>
              <w:t>″</w:t>
            </w:r>
            <w:r>
              <w:rPr>
                <w:rFonts w:hint="eastAsia" w:hAnsi="Times New Roman"/>
              </w:rPr>
              <w:t xml:space="preserve">  N:</w:t>
            </w:r>
            <w:r>
              <w:rPr>
                <w:rFonts w:hAnsi="Times New Roman"/>
              </w:rPr>
              <w:t>3</w:t>
            </w:r>
            <w:r>
              <w:rPr>
                <w:rFonts w:hint="eastAsia" w:hAnsi="Times New Roman"/>
              </w:rPr>
              <w:t>5</w:t>
            </w:r>
            <w:r>
              <w:rPr>
                <w:rFonts w:hAnsi="Times New Roman"/>
              </w:rPr>
              <w:t>°</w:t>
            </w:r>
            <w:r>
              <w:rPr>
                <w:rFonts w:hint="eastAsia" w:hAnsi="Times New Roman"/>
              </w:rPr>
              <w:t>34</w:t>
            </w:r>
            <w:r>
              <w:rPr>
                <w:rFonts w:hAnsi="Times New Roman"/>
              </w:rPr>
              <w:t>′</w:t>
            </w:r>
            <w:r>
              <w:rPr>
                <w:rFonts w:hint="eastAsia" w:hAnsi="Times New Roman"/>
              </w:rPr>
              <w:t>19.91</w:t>
            </w:r>
            <w:r>
              <w:rPr>
                <w:rFonts w:hAnsi="Times New Roma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318" w:type="dxa"/>
            <w:vAlign w:val="center"/>
          </w:tcPr>
          <w:p>
            <w:pPr>
              <w:adjustRightInd w:val="0"/>
              <w:snapToGrid w:val="0"/>
              <w:jc w:val="center"/>
              <w:rPr>
                <w:rFonts w:ascii="Times New Roman" w:hAnsi="Times New Roman"/>
                <w:szCs w:val="21"/>
              </w:rPr>
            </w:pPr>
            <w:r>
              <w:rPr>
                <w:rFonts w:hint="eastAsia" w:ascii="Times New Roman" w:hAnsi="Times New Roman"/>
                <w:szCs w:val="21"/>
              </w:rPr>
              <w:t>2</w:t>
            </w:r>
          </w:p>
        </w:tc>
        <w:tc>
          <w:tcPr>
            <w:tcW w:w="1610" w:type="dxa"/>
            <w:vAlign w:val="center"/>
          </w:tcPr>
          <w:p>
            <w:pPr>
              <w:pStyle w:val="46"/>
              <w:ind w:firstLine="0" w:firstLineChars="0"/>
              <w:jc w:val="center"/>
              <w:rPr>
                <w:rFonts w:hAnsi="Times New Roman"/>
                <w:szCs w:val="21"/>
              </w:rPr>
            </w:pPr>
            <w:r>
              <w:rPr>
                <w:rFonts w:hint="eastAsia" w:hAnsi="Times New Roman"/>
                <w:szCs w:val="21"/>
              </w:rPr>
              <w:t>牛棚</w:t>
            </w:r>
          </w:p>
        </w:tc>
        <w:tc>
          <w:tcPr>
            <w:tcW w:w="2764" w:type="dxa"/>
            <w:vAlign w:val="center"/>
          </w:tcPr>
          <w:p>
            <w:pPr>
              <w:adjustRightInd w:val="0"/>
              <w:snapToGrid w:val="0"/>
              <w:jc w:val="center"/>
              <w:rPr>
                <w:rFonts w:ascii="Times New Roman" w:hAnsi="Times New Roman"/>
                <w:szCs w:val="21"/>
              </w:rPr>
            </w:pPr>
            <w:r>
              <w:rPr>
                <w:rFonts w:ascii="Times New Roman" w:hAnsi="Times New Roman"/>
                <w:szCs w:val="21"/>
              </w:rPr>
              <w:t>表层样（0-20cm）</w:t>
            </w:r>
          </w:p>
        </w:tc>
        <w:tc>
          <w:tcPr>
            <w:tcW w:w="3379" w:type="dxa"/>
            <w:vAlign w:val="center"/>
          </w:tcPr>
          <w:p>
            <w:pPr>
              <w:pStyle w:val="46"/>
              <w:ind w:firstLine="0" w:firstLineChars="0"/>
              <w:jc w:val="center"/>
              <w:rPr>
                <w:rFonts w:hAnsi="宋体" w:cs="宋体"/>
                <w:sz w:val="20"/>
                <w:szCs w:val="21"/>
                <w:lang w:val="zh-CN" w:bidi="zh-CN"/>
              </w:rPr>
            </w:pPr>
            <w:r>
              <w:rPr>
                <w:rFonts w:hint="eastAsia" w:hAnsi="Times New Roman"/>
              </w:rPr>
              <w:t>E:</w:t>
            </w:r>
            <w:r>
              <w:rPr>
                <w:rFonts w:hAnsi="Times New Roman"/>
              </w:rPr>
              <w:t>10</w:t>
            </w:r>
            <w:r>
              <w:rPr>
                <w:rFonts w:hint="eastAsia" w:hAnsi="Times New Roman"/>
              </w:rPr>
              <w:t>5</w:t>
            </w:r>
            <w:r>
              <w:rPr>
                <w:rFonts w:hAnsi="Times New Roman"/>
              </w:rPr>
              <w:t>°</w:t>
            </w:r>
            <w:r>
              <w:rPr>
                <w:rFonts w:hint="eastAsia" w:hAnsi="Times New Roman"/>
              </w:rPr>
              <w:t>55</w:t>
            </w:r>
            <w:r>
              <w:rPr>
                <w:rFonts w:hAnsi="Times New Roman"/>
              </w:rPr>
              <w:t>′</w:t>
            </w:r>
            <w:r>
              <w:rPr>
                <w:rFonts w:hint="eastAsia" w:hAnsi="Times New Roman"/>
              </w:rPr>
              <w:t>13.68</w:t>
            </w:r>
            <w:r>
              <w:rPr>
                <w:rFonts w:hAnsi="Times New Roman"/>
              </w:rPr>
              <w:t>″</w:t>
            </w:r>
            <w:r>
              <w:rPr>
                <w:rFonts w:hint="eastAsia" w:hAnsi="Times New Roman"/>
              </w:rPr>
              <w:t xml:space="preserve">  N:</w:t>
            </w:r>
            <w:r>
              <w:rPr>
                <w:rFonts w:hAnsi="Times New Roman"/>
              </w:rPr>
              <w:t>3</w:t>
            </w:r>
            <w:r>
              <w:rPr>
                <w:rFonts w:hint="eastAsia" w:hAnsi="Times New Roman"/>
              </w:rPr>
              <w:t>5</w:t>
            </w:r>
            <w:r>
              <w:rPr>
                <w:rFonts w:hAnsi="Times New Roman"/>
              </w:rPr>
              <w:t>°</w:t>
            </w:r>
            <w:r>
              <w:rPr>
                <w:rFonts w:hint="eastAsia" w:hAnsi="Times New Roman"/>
              </w:rPr>
              <w:t>34</w:t>
            </w:r>
            <w:r>
              <w:rPr>
                <w:rFonts w:hAnsi="Times New Roman"/>
              </w:rPr>
              <w:t>′</w:t>
            </w:r>
            <w:r>
              <w:rPr>
                <w:rFonts w:hint="eastAsia" w:hAnsi="Times New Roman"/>
              </w:rPr>
              <w:t>21.73</w:t>
            </w:r>
            <w:r>
              <w:rPr>
                <w:rFonts w:hAnsi="Times New Roma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318" w:type="dxa"/>
            <w:vAlign w:val="center"/>
          </w:tcPr>
          <w:p>
            <w:pPr>
              <w:adjustRightInd w:val="0"/>
              <w:snapToGrid w:val="0"/>
              <w:jc w:val="center"/>
              <w:rPr>
                <w:rFonts w:ascii="Times New Roman" w:hAnsi="Times New Roman"/>
                <w:szCs w:val="21"/>
              </w:rPr>
            </w:pPr>
            <w:r>
              <w:rPr>
                <w:rFonts w:hint="eastAsia" w:ascii="Times New Roman" w:hAnsi="Times New Roman"/>
                <w:szCs w:val="21"/>
              </w:rPr>
              <w:t>3</w:t>
            </w:r>
          </w:p>
        </w:tc>
        <w:tc>
          <w:tcPr>
            <w:tcW w:w="1610" w:type="dxa"/>
            <w:vAlign w:val="center"/>
          </w:tcPr>
          <w:p>
            <w:pPr>
              <w:pStyle w:val="46"/>
              <w:ind w:firstLine="0" w:firstLineChars="0"/>
              <w:jc w:val="center"/>
              <w:rPr>
                <w:rFonts w:hAnsi="Times New Roman"/>
                <w:szCs w:val="21"/>
              </w:rPr>
            </w:pPr>
            <w:r>
              <w:rPr>
                <w:rFonts w:hint="eastAsia" w:hAnsi="Times New Roman"/>
                <w:szCs w:val="21"/>
              </w:rPr>
              <w:t>办公区</w:t>
            </w:r>
          </w:p>
        </w:tc>
        <w:tc>
          <w:tcPr>
            <w:tcW w:w="2764" w:type="dxa"/>
            <w:vAlign w:val="center"/>
          </w:tcPr>
          <w:p>
            <w:pPr>
              <w:adjustRightInd w:val="0"/>
              <w:snapToGrid w:val="0"/>
              <w:jc w:val="center"/>
              <w:rPr>
                <w:rFonts w:ascii="Times New Roman" w:hAnsi="Times New Roman"/>
                <w:szCs w:val="21"/>
              </w:rPr>
            </w:pPr>
            <w:r>
              <w:rPr>
                <w:rFonts w:ascii="Times New Roman" w:hAnsi="Times New Roman"/>
                <w:szCs w:val="21"/>
              </w:rPr>
              <w:t>表层样（0-20cm）</w:t>
            </w:r>
          </w:p>
        </w:tc>
        <w:tc>
          <w:tcPr>
            <w:tcW w:w="3379" w:type="dxa"/>
            <w:vAlign w:val="center"/>
          </w:tcPr>
          <w:p>
            <w:pPr>
              <w:pStyle w:val="46"/>
              <w:ind w:firstLine="0" w:firstLineChars="0"/>
              <w:jc w:val="center"/>
              <w:rPr>
                <w:rFonts w:hAnsi="Times New Roman"/>
                <w:szCs w:val="21"/>
                <w:lang w:val="zh-CN" w:bidi="zh-CN"/>
              </w:rPr>
            </w:pPr>
            <w:r>
              <w:rPr>
                <w:rFonts w:hint="eastAsia" w:hAnsi="Times New Roman"/>
              </w:rPr>
              <w:t>E:</w:t>
            </w:r>
            <w:r>
              <w:rPr>
                <w:rFonts w:hAnsi="Times New Roman"/>
                <w:szCs w:val="21"/>
              </w:rPr>
              <w:t>10</w:t>
            </w:r>
            <w:r>
              <w:rPr>
                <w:rFonts w:hint="eastAsia" w:hAnsi="Times New Roman"/>
                <w:szCs w:val="21"/>
              </w:rPr>
              <w:t>5</w:t>
            </w:r>
            <w:r>
              <w:rPr>
                <w:rFonts w:hAnsi="Times New Roman"/>
                <w:szCs w:val="21"/>
              </w:rPr>
              <w:t>°</w:t>
            </w:r>
            <w:r>
              <w:rPr>
                <w:rFonts w:hint="eastAsia" w:hAnsi="Times New Roman"/>
                <w:szCs w:val="21"/>
              </w:rPr>
              <w:t>55</w:t>
            </w:r>
            <w:r>
              <w:rPr>
                <w:rFonts w:hAnsi="Times New Roman"/>
                <w:szCs w:val="21"/>
              </w:rPr>
              <w:t>′</w:t>
            </w:r>
            <w:r>
              <w:rPr>
                <w:rFonts w:hint="eastAsia" w:hAnsi="Times New Roman"/>
                <w:szCs w:val="21"/>
              </w:rPr>
              <w:t>17.37</w:t>
            </w:r>
            <w:r>
              <w:rPr>
                <w:rFonts w:hAnsi="Times New Roman"/>
                <w:szCs w:val="21"/>
              </w:rPr>
              <w:t>″</w:t>
            </w:r>
            <w:r>
              <w:rPr>
                <w:rFonts w:hint="eastAsia" w:hAnsi="Times New Roman"/>
                <w:szCs w:val="21"/>
              </w:rPr>
              <w:t xml:space="preserve">  </w:t>
            </w:r>
            <w:r>
              <w:rPr>
                <w:rFonts w:hint="eastAsia" w:hAnsi="Times New Roman"/>
              </w:rPr>
              <w:t>N:</w:t>
            </w:r>
            <w:r>
              <w:rPr>
                <w:rFonts w:hAnsi="Times New Roman"/>
                <w:szCs w:val="21"/>
              </w:rPr>
              <w:t>3</w:t>
            </w:r>
            <w:r>
              <w:rPr>
                <w:rFonts w:hint="eastAsia" w:hAnsi="Times New Roman"/>
                <w:szCs w:val="21"/>
              </w:rPr>
              <w:t>5</w:t>
            </w:r>
            <w:r>
              <w:rPr>
                <w:rFonts w:hAnsi="Times New Roman"/>
                <w:szCs w:val="21"/>
              </w:rPr>
              <w:t>°</w:t>
            </w:r>
            <w:r>
              <w:rPr>
                <w:rFonts w:hint="eastAsia" w:hAnsi="Times New Roman"/>
                <w:szCs w:val="21"/>
              </w:rPr>
              <w:t>34</w:t>
            </w:r>
            <w:r>
              <w:rPr>
                <w:rFonts w:hAnsi="Times New Roman"/>
                <w:szCs w:val="21"/>
              </w:rPr>
              <w:t>′</w:t>
            </w:r>
            <w:r>
              <w:rPr>
                <w:rFonts w:hint="eastAsia" w:hAnsi="Times New Roman"/>
                <w:szCs w:val="21"/>
              </w:rPr>
              <w:t>25.40</w:t>
            </w:r>
            <w:r>
              <w:rPr>
                <w:rFonts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318" w:type="dxa"/>
            <w:vAlign w:val="center"/>
          </w:tcPr>
          <w:p>
            <w:pPr>
              <w:adjustRightInd w:val="0"/>
              <w:snapToGrid w:val="0"/>
              <w:jc w:val="center"/>
              <w:rPr>
                <w:rFonts w:ascii="Times New Roman" w:hAnsi="Times New Roman"/>
                <w:szCs w:val="21"/>
              </w:rPr>
            </w:pPr>
            <w:r>
              <w:rPr>
                <w:rFonts w:hint="eastAsia" w:ascii="Times New Roman" w:hAnsi="Times New Roman"/>
                <w:szCs w:val="21"/>
              </w:rPr>
              <w:t>4</w:t>
            </w:r>
          </w:p>
        </w:tc>
        <w:tc>
          <w:tcPr>
            <w:tcW w:w="1610" w:type="dxa"/>
            <w:vAlign w:val="center"/>
          </w:tcPr>
          <w:p>
            <w:pPr>
              <w:pStyle w:val="46"/>
              <w:ind w:firstLine="0" w:firstLineChars="0"/>
              <w:jc w:val="center"/>
              <w:rPr>
                <w:rFonts w:hAnsi="Times New Roman"/>
                <w:szCs w:val="21"/>
              </w:rPr>
            </w:pPr>
            <w:r>
              <w:rPr>
                <w:rFonts w:hint="eastAsia" w:hAnsi="Times New Roman"/>
                <w:szCs w:val="21"/>
              </w:rPr>
              <w:t>青储池</w:t>
            </w:r>
          </w:p>
        </w:tc>
        <w:tc>
          <w:tcPr>
            <w:tcW w:w="2764" w:type="dxa"/>
            <w:vAlign w:val="center"/>
          </w:tcPr>
          <w:p>
            <w:pPr>
              <w:adjustRightInd w:val="0"/>
              <w:snapToGrid w:val="0"/>
              <w:jc w:val="center"/>
              <w:rPr>
                <w:rFonts w:ascii="Times New Roman" w:hAnsi="Times New Roman"/>
                <w:szCs w:val="21"/>
              </w:rPr>
            </w:pPr>
            <w:r>
              <w:rPr>
                <w:rFonts w:ascii="Times New Roman" w:hAnsi="Times New Roman"/>
                <w:szCs w:val="21"/>
              </w:rPr>
              <w:t>表层样（0-20cm）</w:t>
            </w:r>
          </w:p>
        </w:tc>
        <w:tc>
          <w:tcPr>
            <w:tcW w:w="3379" w:type="dxa"/>
            <w:vAlign w:val="center"/>
          </w:tcPr>
          <w:p>
            <w:pPr>
              <w:pStyle w:val="46"/>
              <w:ind w:firstLine="0" w:firstLineChars="0"/>
              <w:jc w:val="center"/>
              <w:rPr>
                <w:rFonts w:hAnsi="宋体" w:cs="宋体"/>
                <w:sz w:val="22"/>
                <w:szCs w:val="21"/>
                <w:lang w:val="zh-CN" w:bidi="zh-CN"/>
              </w:rPr>
            </w:pPr>
            <w:r>
              <w:rPr>
                <w:rFonts w:hint="eastAsia" w:hAnsi="Times New Roman"/>
              </w:rPr>
              <w:t>E:</w:t>
            </w:r>
            <w:r>
              <w:rPr>
                <w:rFonts w:hAnsi="Times New Roman"/>
                <w:szCs w:val="21"/>
              </w:rPr>
              <w:t>10</w:t>
            </w:r>
            <w:r>
              <w:rPr>
                <w:rFonts w:hint="eastAsia" w:hAnsi="Times New Roman"/>
                <w:szCs w:val="21"/>
              </w:rPr>
              <w:t>5</w:t>
            </w:r>
            <w:r>
              <w:rPr>
                <w:rFonts w:hAnsi="Times New Roman"/>
                <w:szCs w:val="21"/>
              </w:rPr>
              <w:t>°</w:t>
            </w:r>
            <w:r>
              <w:rPr>
                <w:rFonts w:hint="eastAsia" w:hAnsi="Times New Roman"/>
                <w:szCs w:val="21"/>
              </w:rPr>
              <w:t>55</w:t>
            </w:r>
            <w:r>
              <w:rPr>
                <w:rFonts w:hAnsi="Times New Roman"/>
                <w:szCs w:val="21"/>
              </w:rPr>
              <w:t>′</w:t>
            </w:r>
            <w:r>
              <w:rPr>
                <w:rFonts w:hint="eastAsia" w:hAnsi="Times New Roman"/>
                <w:szCs w:val="21"/>
              </w:rPr>
              <w:t>19.41</w:t>
            </w:r>
            <w:r>
              <w:rPr>
                <w:rFonts w:hAnsi="Times New Roman"/>
                <w:szCs w:val="21"/>
              </w:rPr>
              <w:t>″</w:t>
            </w:r>
            <w:r>
              <w:rPr>
                <w:rFonts w:hint="eastAsia" w:hAnsi="Times New Roman"/>
                <w:szCs w:val="21"/>
              </w:rPr>
              <w:t xml:space="preserve">  </w:t>
            </w:r>
            <w:r>
              <w:rPr>
                <w:rFonts w:hint="eastAsia" w:hAnsi="Times New Roman"/>
              </w:rPr>
              <w:t>N:</w:t>
            </w:r>
            <w:r>
              <w:rPr>
                <w:rFonts w:hAnsi="Times New Roman"/>
                <w:szCs w:val="21"/>
              </w:rPr>
              <w:t>3</w:t>
            </w:r>
            <w:r>
              <w:rPr>
                <w:rFonts w:hint="eastAsia" w:hAnsi="Times New Roman"/>
                <w:szCs w:val="21"/>
              </w:rPr>
              <w:t>5</w:t>
            </w:r>
            <w:r>
              <w:rPr>
                <w:rFonts w:hAnsi="Times New Roman"/>
                <w:szCs w:val="21"/>
              </w:rPr>
              <w:t>°</w:t>
            </w:r>
            <w:r>
              <w:rPr>
                <w:rFonts w:hint="eastAsia" w:hAnsi="Times New Roman"/>
                <w:szCs w:val="21"/>
              </w:rPr>
              <w:t>34</w:t>
            </w:r>
            <w:r>
              <w:rPr>
                <w:rFonts w:hAnsi="Times New Roman"/>
                <w:szCs w:val="21"/>
              </w:rPr>
              <w:t>′</w:t>
            </w:r>
            <w:r>
              <w:rPr>
                <w:rFonts w:hint="eastAsia" w:hAnsi="Times New Roman"/>
                <w:szCs w:val="21"/>
              </w:rPr>
              <w:t>23.93</w:t>
            </w:r>
            <w:r>
              <w:rPr>
                <w:rFonts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318" w:type="dxa"/>
            <w:vAlign w:val="center"/>
          </w:tcPr>
          <w:p>
            <w:pPr>
              <w:adjustRightInd w:val="0"/>
              <w:snapToGrid w:val="0"/>
              <w:jc w:val="center"/>
              <w:rPr>
                <w:rFonts w:ascii="Times New Roman" w:hAnsi="Times New Roman"/>
                <w:szCs w:val="21"/>
              </w:rPr>
            </w:pPr>
            <w:r>
              <w:rPr>
                <w:rFonts w:hint="eastAsia" w:ascii="Times New Roman" w:hAnsi="Times New Roman"/>
                <w:szCs w:val="21"/>
              </w:rPr>
              <w:t>5</w:t>
            </w:r>
          </w:p>
        </w:tc>
        <w:tc>
          <w:tcPr>
            <w:tcW w:w="1610" w:type="dxa"/>
            <w:vAlign w:val="center"/>
          </w:tcPr>
          <w:p>
            <w:pPr>
              <w:pStyle w:val="46"/>
              <w:ind w:firstLine="0" w:firstLineChars="0"/>
              <w:jc w:val="center"/>
              <w:rPr>
                <w:rFonts w:hAnsi="Times New Roman"/>
                <w:szCs w:val="21"/>
              </w:rPr>
            </w:pPr>
            <w:r>
              <w:rPr>
                <w:rFonts w:hint="eastAsia" w:hAnsi="Times New Roman"/>
                <w:szCs w:val="21"/>
              </w:rPr>
              <w:t>项目区北侧</w:t>
            </w:r>
          </w:p>
        </w:tc>
        <w:tc>
          <w:tcPr>
            <w:tcW w:w="2764" w:type="dxa"/>
            <w:vAlign w:val="center"/>
          </w:tcPr>
          <w:p>
            <w:pPr>
              <w:adjustRightInd w:val="0"/>
              <w:snapToGrid w:val="0"/>
              <w:jc w:val="center"/>
              <w:rPr>
                <w:rFonts w:ascii="Times New Roman" w:hAnsi="Times New Roman"/>
                <w:szCs w:val="21"/>
              </w:rPr>
            </w:pPr>
            <w:r>
              <w:rPr>
                <w:rFonts w:ascii="Times New Roman" w:hAnsi="Times New Roman"/>
                <w:szCs w:val="21"/>
              </w:rPr>
              <w:t>表层样（0-20cm）</w:t>
            </w:r>
          </w:p>
        </w:tc>
        <w:tc>
          <w:tcPr>
            <w:tcW w:w="3379" w:type="dxa"/>
            <w:vAlign w:val="center"/>
          </w:tcPr>
          <w:p>
            <w:pPr>
              <w:pStyle w:val="46"/>
              <w:ind w:firstLine="0" w:firstLineChars="0"/>
              <w:jc w:val="center"/>
              <w:rPr>
                <w:rFonts w:hAnsi="宋体" w:eastAsia="Times New Roman" w:cs="宋体"/>
                <w:szCs w:val="21"/>
                <w:lang w:val="zh-CN" w:bidi="zh-CN"/>
              </w:rPr>
            </w:pPr>
            <w:r>
              <w:rPr>
                <w:rFonts w:hint="eastAsia" w:hAnsi="Times New Roman"/>
              </w:rPr>
              <w:t>E:</w:t>
            </w:r>
            <w:r>
              <w:rPr>
                <w:rFonts w:hint="eastAsia" w:eastAsia="Times New Roman"/>
              </w:rPr>
              <w:t>10</w:t>
            </w:r>
            <w:r>
              <w:rPr>
                <w:rFonts w:hint="eastAsia"/>
              </w:rPr>
              <w:t>5</w:t>
            </w:r>
            <w:r>
              <w:rPr>
                <w:rFonts w:hint="eastAsia" w:eastAsia="Times New Roman"/>
              </w:rPr>
              <w:t>°</w:t>
            </w:r>
            <w:r>
              <w:rPr>
                <w:rFonts w:hint="eastAsia"/>
              </w:rPr>
              <w:t>55</w:t>
            </w:r>
            <w:r>
              <w:rPr>
                <w:rFonts w:hint="eastAsia" w:eastAsia="Times New Roman"/>
              </w:rPr>
              <w:t>′</w:t>
            </w:r>
            <w:r>
              <w:rPr>
                <w:rFonts w:hint="eastAsia"/>
              </w:rPr>
              <w:t>17.00</w:t>
            </w:r>
            <w:r>
              <w:rPr>
                <w:rFonts w:hint="eastAsia" w:eastAsia="Times New Roman"/>
              </w:rPr>
              <w:t>″</w:t>
            </w:r>
            <w:r>
              <w:rPr>
                <w:rFonts w:hint="eastAsia"/>
              </w:rPr>
              <w:t xml:space="preserve">  </w:t>
            </w:r>
            <w:r>
              <w:rPr>
                <w:rFonts w:hint="eastAsia" w:hAnsi="Times New Roman"/>
              </w:rPr>
              <w:t>N:</w:t>
            </w:r>
            <w:r>
              <w:rPr>
                <w:rFonts w:hint="eastAsia" w:eastAsia="Times New Roman"/>
              </w:rPr>
              <w:t>3</w:t>
            </w:r>
            <w:r>
              <w:rPr>
                <w:rFonts w:hint="eastAsia"/>
              </w:rPr>
              <w:t>5</w:t>
            </w:r>
            <w:r>
              <w:rPr>
                <w:rFonts w:hint="eastAsia" w:eastAsia="Times New Roman"/>
              </w:rPr>
              <w:t>°</w:t>
            </w:r>
            <w:r>
              <w:rPr>
                <w:rFonts w:hint="eastAsia"/>
              </w:rPr>
              <w:t>34</w:t>
            </w:r>
            <w:r>
              <w:rPr>
                <w:rFonts w:hint="eastAsia" w:eastAsia="Times New Roman"/>
              </w:rPr>
              <w:t>′</w:t>
            </w:r>
            <w:r>
              <w:rPr>
                <w:rFonts w:hint="eastAsia"/>
              </w:rPr>
              <w:t>19.45</w:t>
            </w:r>
            <w:r>
              <w:rPr>
                <w:rFonts w:hint="eastAsia" w:eastAsia="Times New Roma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318" w:type="dxa"/>
            <w:vAlign w:val="center"/>
          </w:tcPr>
          <w:p>
            <w:pPr>
              <w:adjustRightInd w:val="0"/>
              <w:snapToGrid w:val="0"/>
              <w:jc w:val="center"/>
              <w:rPr>
                <w:rFonts w:ascii="Times New Roman" w:hAnsi="Times New Roman"/>
                <w:szCs w:val="21"/>
              </w:rPr>
            </w:pPr>
            <w:r>
              <w:rPr>
                <w:rFonts w:hint="eastAsia" w:ascii="Times New Roman" w:hAnsi="Times New Roman"/>
                <w:szCs w:val="21"/>
              </w:rPr>
              <w:t>6</w:t>
            </w:r>
          </w:p>
        </w:tc>
        <w:tc>
          <w:tcPr>
            <w:tcW w:w="1610" w:type="dxa"/>
            <w:vAlign w:val="center"/>
          </w:tcPr>
          <w:p>
            <w:pPr>
              <w:pStyle w:val="46"/>
              <w:ind w:firstLine="0" w:firstLineChars="0"/>
              <w:jc w:val="center"/>
              <w:rPr>
                <w:rFonts w:hAnsi="Times New Roman"/>
                <w:szCs w:val="21"/>
              </w:rPr>
            </w:pPr>
            <w:r>
              <w:rPr>
                <w:rFonts w:hint="eastAsia" w:hAnsi="Times New Roman"/>
                <w:szCs w:val="21"/>
              </w:rPr>
              <w:t>项目区南侧</w:t>
            </w:r>
          </w:p>
        </w:tc>
        <w:tc>
          <w:tcPr>
            <w:tcW w:w="2764" w:type="dxa"/>
            <w:vAlign w:val="center"/>
          </w:tcPr>
          <w:p>
            <w:pPr>
              <w:adjustRightInd w:val="0"/>
              <w:snapToGrid w:val="0"/>
              <w:jc w:val="center"/>
              <w:rPr>
                <w:rFonts w:ascii="Times New Roman" w:hAnsi="Times New Roman"/>
                <w:szCs w:val="21"/>
              </w:rPr>
            </w:pPr>
            <w:r>
              <w:rPr>
                <w:rFonts w:ascii="Times New Roman" w:hAnsi="Times New Roman"/>
                <w:szCs w:val="21"/>
              </w:rPr>
              <w:t>表层样（0-20cm）</w:t>
            </w:r>
          </w:p>
        </w:tc>
        <w:tc>
          <w:tcPr>
            <w:tcW w:w="3379" w:type="dxa"/>
            <w:vAlign w:val="center"/>
          </w:tcPr>
          <w:p>
            <w:pPr>
              <w:pStyle w:val="46"/>
              <w:ind w:firstLine="0" w:firstLineChars="0"/>
              <w:jc w:val="center"/>
              <w:rPr>
                <w:rFonts w:hAnsi="宋体" w:eastAsia="Times New Roman" w:cs="宋体"/>
                <w:szCs w:val="21"/>
                <w:lang w:val="zh-CN" w:bidi="zh-CN"/>
              </w:rPr>
            </w:pPr>
            <w:r>
              <w:rPr>
                <w:rFonts w:hint="eastAsia" w:hAnsi="Times New Roman"/>
              </w:rPr>
              <w:t>E:</w:t>
            </w:r>
            <w:r>
              <w:rPr>
                <w:rFonts w:hint="eastAsia" w:eastAsia="Times New Roman"/>
              </w:rPr>
              <w:t>10</w:t>
            </w:r>
            <w:r>
              <w:rPr>
                <w:rFonts w:hint="eastAsia"/>
              </w:rPr>
              <w:t>5</w:t>
            </w:r>
            <w:r>
              <w:rPr>
                <w:rFonts w:hint="eastAsia" w:eastAsia="Times New Roman"/>
              </w:rPr>
              <w:t>°</w:t>
            </w:r>
            <w:r>
              <w:rPr>
                <w:rFonts w:hint="eastAsia"/>
              </w:rPr>
              <w:t>55</w:t>
            </w:r>
            <w:r>
              <w:rPr>
                <w:rFonts w:hint="eastAsia" w:eastAsia="Times New Roman"/>
              </w:rPr>
              <w:t>′</w:t>
            </w:r>
            <w:r>
              <w:rPr>
                <w:rFonts w:hint="eastAsia"/>
              </w:rPr>
              <w:t>14.24</w:t>
            </w:r>
            <w:r>
              <w:rPr>
                <w:rFonts w:hint="eastAsia" w:eastAsia="Times New Roman"/>
              </w:rPr>
              <w:t>″</w:t>
            </w:r>
            <w:r>
              <w:rPr>
                <w:rFonts w:hint="eastAsia"/>
              </w:rPr>
              <w:t xml:space="preserve">  </w:t>
            </w:r>
            <w:r>
              <w:rPr>
                <w:rFonts w:hint="eastAsia" w:hAnsi="Times New Roman"/>
              </w:rPr>
              <w:t>N:</w:t>
            </w:r>
            <w:r>
              <w:rPr>
                <w:rFonts w:hint="eastAsia" w:eastAsia="Times New Roman"/>
              </w:rPr>
              <w:t>3</w:t>
            </w:r>
            <w:r>
              <w:rPr>
                <w:rFonts w:hint="eastAsia"/>
              </w:rPr>
              <w:t>5</w:t>
            </w:r>
            <w:r>
              <w:rPr>
                <w:rFonts w:hint="eastAsia" w:eastAsia="Times New Roman"/>
              </w:rPr>
              <w:t>°</w:t>
            </w:r>
            <w:r>
              <w:rPr>
                <w:rFonts w:hint="eastAsia"/>
              </w:rPr>
              <w:t>34</w:t>
            </w:r>
            <w:r>
              <w:rPr>
                <w:rFonts w:hint="eastAsia" w:eastAsia="Times New Roman"/>
              </w:rPr>
              <w:t>′</w:t>
            </w:r>
            <w:r>
              <w:rPr>
                <w:rFonts w:hint="eastAsia"/>
              </w:rPr>
              <w:t>24.51</w:t>
            </w:r>
            <w:r>
              <w:rPr>
                <w:rFonts w:hint="eastAsia" w:eastAsia="Times New Roman"/>
              </w:rPr>
              <w:t>″</w:t>
            </w:r>
          </w:p>
        </w:tc>
      </w:tr>
    </w:tbl>
    <w:p>
      <w:pPr>
        <w:autoSpaceDE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（4）监测方法</w:t>
      </w:r>
      <w:r>
        <w:rPr>
          <w:rFonts w:hint="eastAsia" w:ascii="Times New Roman" w:hAnsi="Times New Roman"/>
          <w:snapToGrid w:val="0"/>
          <w:kern w:val="0"/>
          <w:sz w:val="24"/>
        </w:rPr>
        <w:t>和监测仪器</w:t>
      </w:r>
    </w:p>
    <w:p>
      <w:pPr>
        <w:autoSpaceDE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监测及分析方法</w:t>
      </w:r>
      <w:r>
        <w:rPr>
          <w:rFonts w:hint="eastAsia" w:ascii="Times New Roman" w:hAnsi="Times New Roman"/>
          <w:snapToGrid w:val="0"/>
          <w:kern w:val="0"/>
          <w:sz w:val="24"/>
        </w:rPr>
        <w:t>依据</w:t>
      </w:r>
      <w:r>
        <w:rPr>
          <w:rFonts w:ascii="Times New Roman" w:hAnsi="Times New Roman"/>
          <w:snapToGrid w:val="0"/>
          <w:kern w:val="0"/>
          <w:sz w:val="24"/>
        </w:rPr>
        <w:t>《土壤元素的近代分析方法》、《环境监测分析方法》及《土壤理化分析》的要求进行。具体见表3.2-</w:t>
      </w:r>
      <w:r>
        <w:rPr>
          <w:rFonts w:hint="eastAsia" w:ascii="Times New Roman" w:hAnsi="Times New Roman"/>
          <w:snapToGrid w:val="0"/>
          <w:kern w:val="0"/>
          <w:sz w:val="24"/>
        </w:rPr>
        <w:t>13，监测主要使用仪器见表3-14</w:t>
      </w:r>
    </w:p>
    <w:p>
      <w:pPr>
        <w:autoSpaceDE w:val="0"/>
        <w:adjustRightInd w:val="0"/>
        <w:snapToGrid w:val="0"/>
        <w:jc w:val="center"/>
        <w:rPr>
          <w:rFonts w:ascii="Times New Roman" w:hAnsi="Times New Roman"/>
          <w:b/>
          <w:bCs/>
          <w:snapToGrid w:val="0"/>
          <w:sz w:val="24"/>
          <w:szCs w:val="32"/>
        </w:rPr>
      </w:pPr>
      <w:r>
        <w:rPr>
          <w:rFonts w:ascii="Times New Roman" w:hAnsi="Times New Roman"/>
          <w:b/>
          <w:bCs/>
          <w:snapToGrid w:val="0"/>
          <w:sz w:val="24"/>
          <w:szCs w:val="32"/>
        </w:rPr>
        <w:t>表3.2-</w:t>
      </w:r>
      <w:r>
        <w:rPr>
          <w:rFonts w:hint="eastAsia" w:ascii="Times New Roman" w:hAnsi="Times New Roman"/>
          <w:b/>
          <w:bCs/>
          <w:snapToGrid w:val="0"/>
          <w:sz w:val="24"/>
          <w:szCs w:val="32"/>
        </w:rPr>
        <w:t>13</w:t>
      </w:r>
      <w:r>
        <w:rPr>
          <w:rFonts w:ascii="Times New Roman" w:hAnsi="Times New Roman"/>
          <w:b/>
          <w:bCs/>
          <w:snapToGrid w:val="0"/>
          <w:sz w:val="24"/>
          <w:szCs w:val="32"/>
        </w:rPr>
        <w:t xml:space="preserve">   土壤检测内容及分析方法</w:t>
      </w:r>
    </w:p>
    <w:tbl>
      <w:tblPr>
        <w:tblStyle w:val="29"/>
        <w:tblW w:w="910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8"/>
        <w:gridCol w:w="1220"/>
        <w:gridCol w:w="3405"/>
        <w:gridCol w:w="2307"/>
        <w:gridCol w:w="13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778" w:type="dxa"/>
            <w:tcBorders>
              <w:tl2br w:val="nil"/>
              <w:tr2bl w:val="nil"/>
            </w:tcBorders>
            <w:vAlign w:val="center"/>
          </w:tcPr>
          <w:p>
            <w:pPr>
              <w:snapToGrid w:val="0"/>
              <w:jc w:val="center"/>
              <w:rPr>
                <w:rFonts w:ascii="Times New Roman" w:hAnsi="Times New Roman"/>
                <w:b/>
                <w:bCs/>
              </w:rPr>
            </w:pPr>
            <w:r>
              <w:rPr>
                <w:rFonts w:hint="eastAsia" w:ascii="Times New Roman" w:hAnsi="Times New Roman"/>
                <w:b/>
                <w:bCs/>
              </w:rPr>
              <w:t>序号</w:t>
            </w:r>
          </w:p>
        </w:tc>
        <w:tc>
          <w:tcPr>
            <w:tcW w:w="1220" w:type="dxa"/>
            <w:tcBorders>
              <w:tl2br w:val="nil"/>
              <w:tr2bl w:val="nil"/>
            </w:tcBorders>
            <w:vAlign w:val="center"/>
          </w:tcPr>
          <w:p>
            <w:pPr>
              <w:snapToGrid w:val="0"/>
              <w:jc w:val="center"/>
              <w:rPr>
                <w:rFonts w:ascii="Times New Roman" w:hAnsi="Times New Roman"/>
                <w:b/>
                <w:bCs/>
              </w:rPr>
            </w:pPr>
            <w:r>
              <w:rPr>
                <w:rFonts w:ascii="Times New Roman" w:hAnsi="Times New Roman"/>
                <w:b/>
                <w:bCs/>
              </w:rPr>
              <w:t>检测项目</w:t>
            </w:r>
          </w:p>
        </w:tc>
        <w:tc>
          <w:tcPr>
            <w:tcW w:w="3405" w:type="dxa"/>
            <w:tcBorders>
              <w:tl2br w:val="nil"/>
              <w:tr2bl w:val="nil"/>
            </w:tcBorders>
            <w:vAlign w:val="center"/>
          </w:tcPr>
          <w:p>
            <w:pPr>
              <w:snapToGrid w:val="0"/>
              <w:jc w:val="center"/>
              <w:rPr>
                <w:rFonts w:ascii="Times New Roman" w:hAnsi="Times New Roman"/>
                <w:b/>
                <w:bCs/>
              </w:rPr>
            </w:pPr>
            <w:r>
              <w:rPr>
                <w:rFonts w:ascii="Times New Roman" w:hAnsi="Times New Roman"/>
                <w:b/>
                <w:bCs/>
              </w:rPr>
              <w:t>分析方法</w:t>
            </w:r>
          </w:p>
        </w:tc>
        <w:tc>
          <w:tcPr>
            <w:tcW w:w="2307" w:type="dxa"/>
            <w:tcBorders>
              <w:tl2br w:val="nil"/>
              <w:tr2bl w:val="nil"/>
            </w:tcBorders>
            <w:vAlign w:val="center"/>
          </w:tcPr>
          <w:p>
            <w:pPr>
              <w:snapToGrid w:val="0"/>
              <w:jc w:val="center"/>
              <w:rPr>
                <w:rFonts w:ascii="Times New Roman" w:hAnsi="Times New Roman"/>
                <w:b/>
                <w:bCs/>
              </w:rPr>
            </w:pPr>
            <w:r>
              <w:rPr>
                <w:rFonts w:ascii="Times New Roman" w:hAnsi="Times New Roman"/>
                <w:b/>
                <w:bCs/>
              </w:rPr>
              <w:t>方法来源</w:t>
            </w:r>
          </w:p>
        </w:tc>
        <w:tc>
          <w:tcPr>
            <w:tcW w:w="1390" w:type="dxa"/>
            <w:tcBorders>
              <w:tl2br w:val="nil"/>
              <w:tr2bl w:val="nil"/>
            </w:tcBorders>
            <w:vAlign w:val="center"/>
          </w:tcPr>
          <w:p>
            <w:pPr>
              <w:snapToGrid w:val="0"/>
              <w:jc w:val="center"/>
              <w:rPr>
                <w:rFonts w:ascii="Times New Roman" w:hAnsi="Times New Roman"/>
                <w:b/>
                <w:bCs/>
              </w:rPr>
            </w:pPr>
            <w:r>
              <w:rPr>
                <w:rFonts w:ascii="Times New Roman" w:hAnsi="Times New Roman"/>
                <w:b/>
                <w:bCs/>
              </w:rPr>
              <w:t>检出限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78" w:type="dxa"/>
            <w:tcBorders>
              <w:tl2br w:val="nil"/>
              <w:tr2bl w:val="nil"/>
            </w:tcBorders>
            <w:vAlign w:val="center"/>
          </w:tcPr>
          <w:p>
            <w:pPr>
              <w:snapToGrid w:val="0"/>
              <w:jc w:val="center"/>
              <w:rPr>
                <w:rFonts w:ascii="Times New Roman" w:hAnsi="Times New Roman"/>
              </w:rPr>
            </w:pPr>
            <w:r>
              <w:rPr>
                <w:rFonts w:hint="eastAsia" w:ascii="Times New Roman" w:hAnsi="Times New Roman"/>
              </w:rPr>
              <w:t>1</w:t>
            </w:r>
          </w:p>
        </w:tc>
        <w:tc>
          <w:tcPr>
            <w:tcW w:w="1220" w:type="dxa"/>
            <w:tcBorders>
              <w:tl2br w:val="nil"/>
              <w:tr2bl w:val="nil"/>
            </w:tcBorders>
            <w:vAlign w:val="center"/>
          </w:tcPr>
          <w:p>
            <w:pPr>
              <w:spacing w:line="0" w:lineRule="atLeast"/>
              <w:jc w:val="center"/>
              <w:rPr>
                <w:rFonts w:ascii="Times New Roman" w:hAnsi="Times New Roman"/>
                <w:kern w:val="0"/>
              </w:rPr>
            </w:pPr>
            <w:r>
              <w:rPr>
                <w:rFonts w:hint="eastAsia" w:ascii="Times New Roman" w:hAnsi="Times New Roman"/>
              </w:rPr>
              <w:t>PH</w:t>
            </w:r>
          </w:p>
        </w:tc>
        <w:tc>
          <w:tcPr>
            <w:tcW w:w="3405" w:type="dxa"/>
            <w:tcBorders>
              <w:tl2br w:val="nil"/>
              <w:tr2bl w:val="nil"/>
            </w:tcBorders>
            <w:vAlign w:val="center"/>
          </w:tcPr>
          <w:p>
            <w:pPr>
              <w:snapToGrid w:val="0"/>
              <w:spacing w:line="0" w:lineRule="atLeast"/>
              <w:jc w:val="center"/>
              <w:rPr>
                <w:rFonts w:ascii="Times New Roman" w:hAnsi="Times New Roman"/>
                <w:kern w:val="0"/>
              </w:rPr>
            </w:pPr>
            <w:r>
              <w:rPr>
                <w:rFonts w:hint="eastAsia" w:ascii="Times New Roman" w:hAnsi="Times New Roman"/>
                <w:kern w:val="0"/>
              </w:rPr>
              <w:t>电极法</w:t>
            </w:r>
          </w:p>
        </w:tc>
        <w:tc>
          <w:tcPr>
            <w:tcW w:w="2307" w:type="dxa"/>
            <w:tcBorders>
              <w:tl2br w:val="nil"/>
              <w:tr2bl w:val="nil"/>
            </w:tcBorders>
            <w:vAlign w:val="center"/>
          </w:tcPr>
          <w:p>
            <w:pPr>
              <w:adjustRightInd w:val="0"/>
              <w:snapToGrid w:val="0"/>
              <w:jc w:val="center"/>
              <w:rPr>
                <w:rFonts w:ascii="Times New Roman" w:hAnsi="Times New Roman"/>
              </w:rPr>
            </w:pPr>
            <w:r>
              <w:rPr>
                <w:rFonts w:hint="eastAsia" w:ascii="Times New Roman" w:hAnsi="Times New Roman"/>
                <w:kern w:val="0"/>
              </w:rPr>
              <w:t>HJ962-2018</w:t>
            </w:r>
          </w:p>
        </w:tc>
        <w:tc>
          <w:tcPr>
            <w:tcW w:w="1390" w:type="dxa"/>
            <w:tcBorders>
              <w:tl2br w:val="nil"/>
              <w:tr2bl w:val="nil"/>
            </w:tcBorders>
            <w:vAlign w:val="center"/>
          </w:tcPr>
          <w:p>
            <w:pPr>
              <w:adjustRightInd w:val="0"/>
              <w:snapToGrid w:val="0"/>
              <w:jc w:val="center"/>
              <w:rPr>
                <w:rFonts w:ascii="Times New Roman" w:hAnsi="Times New Roman"/>
              </w:rPr>
            </w:pPr>
            <w:r>
              <w:rPr>
                <w:rFonts w:hint="eastAsia" w:ascii="Times New Roman" w:hAnsi="Times New Roma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78" w:type="dxa"/>
            <w:tcBorders>
              <w:tl2br w:val="nil"/>
              <w:tr2bl w:val="nil"/>
            </w:tcBorders>
            <w:vAlign w:val="center"/>
          </w:tcPr>
          <w:p>
            <w:pPr>
              <w:snapToGrid w:val="0"/>
              <w:jc w:val="center"/>
              <w:rPr>
                <w:rFonts w:ascii="Times New Roman" w:hAnsi="Times New Roman"/>
              </w:rPr>
            </w:pPr>
            <w:r>
              <w:rPr>
                <w:rFonts w:hint="eastAsia" w:ascii="Times New Roman" w:hAnsi="Times New Roman"/>
              </w:rPr>
              <w:t>2</w:t>
            </w:r>
          </w:p>
        </w:tc>
        <w:tc>
          <w:tcPr>
            <w:tcW w:w="1220" w:type="dxa"/>
            <w:tcBorders>
              <w:tl2br w:val="nil"/>
              <w:tr2bl w:val="nil"/>
            </w:tcBorders>
            <w:vAlign w:val="center"/>
          </w:tcPr>
          <w:p>
            <w:pPr>
              <w:spacing w:line="0" w:lineRule="atLeast"/>
              <w:jc w:val="center"/>
              <w:rPr>
                <w:rFonts w:ascii="Times New Roman" w:hAnsi="Times New Roman"/>
                <w:kern w:val="0"/>
                <w:szCs w:val="21"/>
              </w:rPr>
            </w:pPr>
            <w:r>
              <w:rPr>
                <w:rFonts w:hint="eastAsia" w:ascii="Times New Roman" w:hAnsi="Times New Roman"/>
              </w:rPr>
              <w:t>铅</w:t>
            </w:r>
          </w:p>
        </w:tc>
        <w:tc>
          <w:tcPr>
            <w:tcW w:w="3405" w:type="dxa"/>
            <w:tcBorders>
              <w:tl2br w:val="nil"/>
              <w:tr2bl w:val="nil"/>
            </w:tcBorders>
            <w:vAlign w:val="center"/>
          </w:tcPr>
          <w:p>
            <w:pPr>
              <w:snapToGrid w:val="0"/>
              <w:spacing w:line="0" w:lineRule="atLeast"/>
              <w:jc w:val="center"/>
              <w:rPr>
                <w:rFonts w:ascii="Times New Roman" w:hAnsi="Times New Roman"/>
                <w:kern w:val="0"/>
                <w:szCs w:val="21"/>
              </w:rPr>
            </w:pPr>
            <w:r>
              <w:rPr>
                <w:rFonts w:ascii="Times New Roman" w:hAnsi="Times New Roman"/>
              </w:rPr>
              <w:t>石墨炉原子吸收分光光度法</w:t>
            </w:r>
          </w:p>
        </w:tc>
        <w:tc>
          <w:tcPr>
            <w:tcW w:w="2307" w:type="dxa"/>
            <w:tcBorders>
              <w:tl2br w:val="nil"/>
              <w:tr2bl w:val="nil"/>
            </w:tcBorders>
            <w:vAlign w:val="center"/>
          </w:tcPr>
          <w:p>
            <w:pPr>
              <w:jc w:val="center"/>
              <w:rPr>
                <w:rFonts w:ascii="Times New Roman" w:hAnsi="Times New Roman"/>
                <w:szCs w:val="21"/>
              </w:rPr>
            </w:pPr>
            <w:r>
              <w:rPr>
                <w:rFonts w:ascii="Times New Roman" w:hAnsi="Times New Roman"/>
              </w:rPr>
              <w:t>GB/T17141-1997</w:t>
            </w:r>
          </w:p>
        </w:tc>
        <w:tc>
          <w:tcPr>
            <w:tcW w:w="1390" w:type="dxa"/>
            <w:tcBorders>
              <w:tl2br w:val="nil"/>
              <w:tr2bl w:val="nil"/>
            </w:tcBorders>
            <w:vAlign w:val="center"/>
          </w:tcPr>
          <w:p>
            <w:pPr>
              <w:jc w:val="center"/>
              <w:rPr>
                <w:rFonts w:ascii="Times New Roman" w:hAnsi="Times New Roman"/>
                <w:szCs w:val="21"/>
              </w:rPr>
            </w:pPr>
            <w:r>
              <w:rPr>
                <w:rFonts w:ascii="Times New Roman" w:hAnsi="Times New Roman"/>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78" w:type="dxa"/>
            <w:tcBorders>
              <w:tl2br w:val="nil"/>
              <w:tr2bl w:val="nil"/>
            </w:tcBorders>
            <w:vAlign w:val="center"/>
          </w:tcPr>
          <w:p>
            <w:pPr>
              <w:snapToGrid w:val="0"/>
              <w:jc w:val="center"/>
              <w:rPr>
                <w:rFonts w:ascii="Times New Roman" w:hAnsi="Times New Roman"/>
              </w:rPr>
            </w:pPr>
            <w:r>
              <w:rPr>
                <w:rFonts w:hint="eastAsia" w:ascii="Times New Roman" w:hAnsi="Times New Roman"/>
              </w:rPr>
              <w:t>3</w:t>
            </w:r>
          </w:p>
        </w:tc>
        <w:tc>
          <w:tcPr>
            <w:tcW w:w="1220" w:type="dxa"/>
            <w:tcBorders>
              <w:tl2br w:val="nil"/>
              <w:tr2bl w:val="nil"/>
            </w:tcBorders>
            <w:vAlign w:val="center"/>
          </w:tcPr>
          <w:p>
            <w:pPr>
              <w:spacing w:line="0" w:lineRule="atLeast"/>
              <w:jc w:val="center"/>
              <w:rPr>
                <w:rFonts w:ascii="Times New Roman" w:hAnsi="Times New Roman"/>
                <w:kern w:val="0"/>
                <w:szCs w:val="21"/>
              </w:rPr>
            </w:pPr>
            <w:r>
              <w:rPr>
                <w:rFonts w:hint="eastAsia" w:ascii="Times New Roman" w:hAnsi="Times New Roman"/>
              </w:rPr>
              <w:t>镉</w:t>
            </w:r>
          </w:p>
        </w:tc>
        <w:tc>
          <w:tcPr>
            <w:tcW w:w="3405" w:type="dxa"/>
            <w:tcBorders>
              <w:tl2br w:val="nil"/>
              <w:tr2bl w:val="nil"/>
            </w:tcBorders>
            <w:vAlign w:val="center"/>
          </w:tcPr>
          <w:p>
            <w:pPr>
              <w:snapToGrid w:val="0"/>
              <w:spacing w:line="0" w:lineRule="atLeast"/>
              <w:jc w:val="center"/>
              <w:rPr>
                <w:rFonts w:ascii="Times New Roman" w:hAnsi="Times New Roman"/>
                <w:kern w:val="0"/>
                <w:szCs w:val="21"/>
              </w:rPr>
            </w:pPr>
            <w:r>
              <w:rPr>
                <w:rFonts w:ascii="Times New Roman" w:hAnsi="Times New Roman"/>
              </w:rPr>
              <w:t>石墨炉原子吸收分光光度法</w:t>
            </w:r>
          </w:p>
        </w:tc>
        <w:tc>
          <w:tcPr>
            <w:tcW w:w="2307" w:type="dxa"/>
            <w:tcBorders>
              <w:tl2br w:val="nil"/>
              <w:tr2bl w:val="nil"/>
            </w:tcBorders>
            <w:vAlign w:val="center"/>
          </w:tcPr>
          <w:p>
            <w:pPr>
              <w:jc w:val="center"/>
              <w:rPr>
                <w:rFonts w:ascii="Times New Roman" w:hAnsi="Times New Roman"/>
                <w:szCs w:val="21"/>
              </w:rPr>
            </w:pPr>
            <w:r>
              <w:rPr>
                <w:rFonts w:ascii="Times New Roman" w:hAnsi="Times New Roman"/>
              </w:rPr>
              <w:t>GB/T17141-1997</w:t>
            </w:r>
          </w:p>
        </w:tc>
        <w:tc>
          <w:tcPr>
            <w:tcW w:w="1390" w:type="dxa"/>
            <w:tcBorders>
              <w:tl2br w:val="nil"/>
              <w:tr2bl w:val="nil"/>
            </w:tcBorders>
            <w:vAlign w:val="center"/>
          </w:tcPr>
          <w:p>
            <w:pPr>
              <w:jc w:val="center"/>
              <w:rPr>
                <w:rFonts w:ascii="Times New Roman" w:hAnsi="Times New Roman"/>
                <w:szCs w:val="21"/>
              </w:rPr>
            </w:pPr>
            <w:r>
              <w:rPr>
                <w:rFonts w:ascii="Times New Roman" w:hAnsi="Times New Roman"/>
              </w:rPr>
              <w:t>0.01</w:t>
            </w:r>
            <w:r>
              <w:rPr>
                <w:rFonts w:hint="eastAsia" w:ascii="Times New Roman" w:hAnsi="Times New Roman"/>
              </w:rPr>
              <w:t>m</w:t>
            </w:r>
            <w:r>
              <w:rPr>
                <w:rFonts w:ascii="Times New Roman" w:hAnsi="Times New Roman"/>
              </w:rPr>
              <w:t>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78" w:type="dxa"/>
            <w:tcBorders>
              <w:tl2br w:val="nil"/>
              <w:tr2bl w:val="nil"/>
            </w:tcBorders>
            <w:vAlign w:val="center"/>
          </w:tcPr>
          <w:p>
            <w:pPr>
              <w:snapToGrid w:val="0"/>
              <w:jc w:val="center"/>
              <w:rPr>
                <w:rFonts w:ascii="Times New Roman" w:hAnsi="Times New Roman"/>
              </w:rPr>
            </w:pPr>
            <w:r>
              <w:rPr>
                <w:rFonts w:hint="eastAsia" w:ascii="Times New Roman" w:hAnsi="Times New Roman"/>
              </w:rPr>
              <w:t>4</w:t>
            </w:r>
          </w:p>
        </w:tc>
        <w:tc>
          <w:tcPr>
            <w:tcW w:w="1220" w:type="dxa"/>
            <w:tcBorders>
              <w:tl2br w:val="nil"/>
              <w:tr2bl w:val="nil"/>
            </w:tcBorders>
            <w:vAlign w:val="center"/>
          </w:tcPr>
          <w:p>
            <w:pPr>
              <w:spacing w:line="0" w:lineRule="atLeast"/>
              <w:jc w:val="center"/>
              <w:rPr>
                <w:rFonts w:ascii="Times New Roman" w:hAnsi="Times New Roman"/>
                <w:kern w:val="0"/>
                <w:szCs w:val="21"/>
              </w:rPr>
            </w:pPr>
            <w:r>
              <w:rPr>
                <w:rFonts w:hint="eastAsia" w:ascii="Times New Roman" w:hAnsi="Times New Roman"/>
              </w:rPr>
              <w:t>锌</w:t>
            </w:r>
          </w:p>
        </w:tc>
        <w:tc>
          <w:tcPr>
            <w:tcW w:w="3405" w:type="dxa"/>
            <w:tcBorders>
              <w:tl2br w:val="nil"/>
              <w:tr2bl w:val="nil"/>
            </w:tcBorders>
            <w:vAlign w:val="center"/>
          </w:tcPr>
          <w:p>
            <w:pPr>
              <w:snapToGrid w:val="0"/>
              <w:spacing w:line="0" w:lineRule="atLeast"/>
              <w:jc w:val="center"/>
              <w:rPr>
                <w:rFonts w:ascii="Times New Roman" w:hAnsi="Times New Roman"/>
                <w:kern w:val="0"/>
                <w:szCs w:val="21"/>
              </w:rPr>
            </w:pPr>
            <w:r>
              <w:rPr>
                <w:rFonts w:ascii="Times New Roman" w:hAnsi="Times New Roman"/>
              </w:rPr>
              <w:t>火焰原子吸收分光光度法</w:t>
            </w:r>
          </w:p>
        </w:tc>
        <w:tc>
          <w:tcPr>
            <w:tcW w:w="2307" w:type="dxa"/>
            <w:tcBorders>
              <w:tl2br w:val="nil"/>
              <w:tr2bl w:val="nil"/>
            </w:tcBorders>
            <w:vAlign w:val="center"/>
          </w:tcPr>
          <w:p>
            <w:pPr>
              <w:jc w:val="center"/>
              <w:rPr>
                <w:rFonts w:ascii="Times New Roman" w:hAnsi="Times New Roman"/>
                <w:szCs w:val="21"/>
              </w:rPr>
            </w:pPr>
            <w:r>
              <w:rPr>
                <w:rFonts w:ascii="Times New Roman" w:hAnsi="Times New Roman"/>
              </w:rPr>
              <w:t>GB/T 17138-1997</w:t>
            </w:r>
          </w:p>
        </w:tc>
        <w:tc>
          <w:tcPr>
            <w:tcW w:w="1390" w:type="dxa"/>
            <w:tcBorders>
              <w:tl2br w:val="nil"/>
              <w:tr2bl w:val="nil"/>
            </w:tcBorders>
            <w:vAlign w:val="center"/>
          </w:tcPr>
          <w:p>
            <w:pPr>
              <w:jc w:val="center"/>
              <w:rPr>
                <w:rFonts w:ascii="Times New Roman" w:hAnsi="Times New Roman"/>
                <w:szCs w:val="21"/>
              </w:rPr>
            </w:pPr>
            <w:r>
              <w:rPr>
                <w:rFonts w:hint="eastAsia" w:ascii="Times New Roman" w:hAnsi="Times New Roman"/>
              </w:rPr>
              <w:t>0.5</w:t>
            </w:r>
            <w:r>
              <w:rPr>
                <w:rFonts w:ascii="Times New Roman" w:hAnsi="Times New Roman"/>
              </w:rPr>
              <w:t xml:space="preserve">mg/kg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78" w:type="dxa"/>
            <w:tcBorders>
              <w:tl2br w:val="nil"/>
              <w:tr2bl w:val="nil"/>
            </w:tcBorders>
            <w:vAlign w:val="center"/>
          </w:tcPr>
          <w:p>
            <w:pPr>
              <w:snapToGrid w:val="0"/>
              <w:jc w:val="center"/>
              <w:rPr>
                <w:rFonts w:ascii="Times New Roman" w:hAnsi="Times New Roman"/>
              </w:rPr>
            </w:pPr>
            <w:r>
              <w:rPr>
                <w:rFonts w:hint="eastAsia" w:ascii="Times New Roman" w:hAnsi="Times New Roman"/>
              </w:rPr>
              <w:t>5</w:t>
            </w:r>
          </w:p>
        </w:tc>
        <w:tc>
          <w:tcPr>
            <w:tcW w:w="1220" w:type="dxa"/>
            <w:tcBorders>
              <w:tl2br w:val="nil"/>
              <w:tr2bl w:val="nil"/>
            </w:tcBorders>
            <w:vAlign w:val="center"/>
          </w:tcPr>
          <w:p>
            <w:pPr>
              <w:spacing w:line="0" w:lineRule="atLeast"/>
              <w:jc w:val="center"/>
              <w:rPr>
                <w:rFonts w:ascii="Times New Roman" w:hAnsi="Times New Roman"/>
                <w:kern w:val="0"/>
                <w:szCs w:val="21"/>
              </w:rPr>
            </w:pPr>
            <w:r>
              <w:rPr>
                <w:rFonts w:hint="eastAsia" w:ascii="Times New Roman" w:hAnsi="Times New Roman"/>
              </w:rPr>
              <w:t>铜</w:t>
            </w:r>
          </w:p>
        </w:tc>
        <w:tc>
          <w:tcPr>
            <w:tcW w:w="3405" w:type="dxa"/>
            <w:tcBorders>
              <w:tl2br w:val="nil"/>
              <w:tr2bl w:val="nil"/>
            </w:tcBorders>
            <w:vAlign w:val="center"/>
          </w:tcPr>
          <w:p>
            <w:pPr>
              <w:snapToGrid w:val="0"/>
              <w:spacing w:line="0" w:lineRule="atLeast"/>
              <w:jc w:val="center"/>
              <w:rPr>
                <w:rFonts w:ascii="Times New Roman" w:hAnsi="Times New Roman"/>
                <w:kern w:val="0"/>
                <w:szCs w:val="21"/>
              </w:rPr>
            </w:pPr>
            <w:r>
              <w:rPr>
                <w:rFonts w:ascii="Times New Roman" w:hAnsi="Times New Roman"/>
              </w:rPr>
              <w:t>火焰原子吸收分光光度法</w:t>
            </w:r>
          </w:p>
        </w:tc>
        <w:tc>
          <w:tcPr>
            <w:tcW w:w="2307" w:type="dxa"/>
            <w:tcBorders>
              <w:tl2br w:val="nil"/>
              <w:tr2bl w:val="nil"/>
            </w:tcBorders>
            <w:vAlign w:val="center"/>
          </w:tcPr>
          <w:p>
            <w:pPr>
              <w:jc w:val="center"/>
              <w:rPr>
                <w:rFonts w:ascii="Times New Roman" w:hAnsi="Times New Roman"/>
                <w:szCs w:val="21"/>
              </w:rPr>
            </w:pPr>
            <w:r>
              <w:rPr>
                <w:rFonts w:ascii="Times New Roman" w:hAnsi="Times New Roman"/>
              </w:rPr>
              <w:t>GB/T 17138-1997</w:t>
            </w:r>
          </w:p>
        </w:tc>
        <w:tc>
          <w:tcPr>
            <w:tcW w:w="1390" w:type="dxa"/>
            <w:tcBorders>
              <w:tl2br w:val="nil"/>
              <w:tr2bl w:val="nil"/>
            </w:tcBorders>
            <w:vAlign w:val="center"/>
          </w:tcPr>
          <w:p>
            <w:pPr>
              <w:jc w:val="center"/>
              <w:rPr>
                <w:rFonts w:ascii="Times New Roman" w:hAnsi="Times New Roman"/>
                <w:szCs w:val="21"/>
              </w:rPr>
            </w:pPr>
            <w:r>
              <w:rPr>
                <w:rFonts w:ascii="Times New Roman" w:hAnsi="Times New Roman"/>
              </w:rPr>
              <w:t>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78" w:type="dxa"/>
            <w:tcBorders>
              <w:tl2br w:val="nil"/>
              <w:tr2bl w:val="nil"/>
            </w:tcBorders>
            <w:vAlign w:val="center"/>
          </w:tcPr>
          <w:p>
            <w:pPr>
              <w:snapToGrid w:val="0"/>
              <w:jc w:val="center"/>
              <w:rPr>
                <w:rFonts w:ascii="Times New Roman" w:hAnsi="Times New Roman"/>
              </w:rPr>
            </w:pPr>
            <w:r>
              <w:rPr>
                <w:rFonts w:hint="eastAsia" w:ascii="Times New Roman" w:hAnsi="Times New Roman"/>
              </w:rPr>
              <w:t>6</w:t>
            </w:r>
          </w:p>
        </w:tc>
        <w:tc>
          <w:tcPr>
            <w:tcW w:w="1220" w:type="dxa"/>
            <w:tcBorders>
              <w:tl2br w:val="nil"/>
              <w:tr2bl w:val="nil"/>
            </w:tcBorders>
            <w:vAlign w:val="center"/>
          </w:tcPr>
          <w:p>
            <w:pPr>
              <w:spacing w:line="0" w:lineRule="atLeast"/>
              <w:jc w:val="center"/>
              <w:rPr>
                <w:rFonts w:ascii="Times New Roman" w:hAnsi="Times New Roman"/>
                <w:kern w:val="0"/>
                <w:szCs w:val="21"/>
              </w:rPr>
            </w:pPr>
            <w:r>
              <w:rPr>
                <w:rFonts w:hint="eastAsia" w:ascii="Times New Roman" w:hAnsi="Times New Roman"/>
              </w:rPr>
              <w:t>砷</w:t>
            </w:r>
          </w:p>
        </w:tc>
        <w:tc>
          <w:tcPr>
            <w:tcW w:w="3405" w:type="dxa"/>
            <w:tcBorders>
              <w:tl2br w:val="nil"/>
              <w:tr2bl w:val="nil"/>
            </w:tcBorders>
            <w:vAlign w:val="center"/>
          </w:tcPr>
          <w:p>
            <w:pPr>
              <w:snapToGrid w:val="0"/>
              <w:spacing w:line="0" w:lineRule="atLeast"/>
              <w:jc w:val="center"/>
              <w:rPr>
                <w:rFonts w:ascii="Times New Roman" w:hAnsi="Times New Roman"/>
                <w:kern w:val="0"/>
                <w:szCs w:val="21"/>
              </w:rPr>
            </w:pPr>
            <w:r>
              <w:rPr>
                <w:rFonts w:ascii="Times New Roman" w:hAnsi="Times New Roman"/>
              </w:rPr>
              <w:t>原子荧光法</w:t>
            </w:r>
          </w:p>
        </w:tc>
        <w:tc>
          <w:tcPr>
            <w:tcW w:w="2307" w:type="dxa"/>
            <w:tcBorders>
              <w:tl2br w:val="nil"/>
              <w:tr2bl w:val="nil"/>
            </w:tcBorders>
            <w:vAlign w:val="center"/>
          </w:tcPr>
          <w:p>
            <w:pPr>
              <w:spacing w:line="240" w:lineRule="exact"/>
              <w:jc w:val="center"/>
              <w:rPr>
                <w:rFonts w:ascii="Times New Roman" w:hAnsi="Times New Roman"/>
                <w:szCs w:val="21"/>
              </w:rPr>
            </w:pPr>
            <w:r>
              <w:rPr>
                <w:rFonts w:ascii="Times New Roman" w:hAnsi="Times New Roman"/>
              </w:rPr>
              <w:t>GB/T22105.2-2008</w:t>
            </w:r>
          </w:p>
        </w:tc>
        <w:tc>
          <w:tcPr>
            <w:tcW w:w="1390" w:type="dxa"/>
            <w:tcBorders>
              <w:tl2br w:val="nil"/>
              <w:tr2bl w:val="nil"/>
            </w:tcBorders>
            <w:vAlign w:val="center"/>
          </w:tcPr>
          <w:p>
            <w:pPr>
              <w:jc w:val="center"/>
              <w:rPr>
                <w:rFonts w:ascii="Times New Roman" w:hAnsi="Times New Roman"/>
                <w:szCs w:val="21"/>
              </w:rPr>
            </w:pPr>
            <w:r>
              <w:rPr>
                <w:rFonts w:ascii="Times New Roman" w:hAnsi="Times New Roman"/>
              </w:rPr>
              <w:t>0.01 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78" w:type="dxa"/>
            <w:tcBorders>
              <w:tl2br w:val="nil"/>
              <w:tr2bl w:val="nil"/>
            </w:tcBorders>
            <w:vAlign w:val="center"/>
          </w:tcPr>
          <w:p>
            <w:pPr>
              <w:snapToGrid w:val="0"/>
              <w:jc w:val="center"/>
              <w:rPr>
                <w:rFonts w:ascii="Times New Roman" w:hAnsi="Times New Roman"/>
              </w:rPr>
            </w:pPr>
            <w:r>
              <w:rPr>
                <w:rFonts w:hint="eastAsia" w:ascii="Times New Roman" w:hAnsi="Times New Roman"/>
              </w:rPr>
              <w:t>7</w:t>
            </w:r>
          </w:p>
        </w:tc>
        <w:tc>
          <w:tcPr>
            <w:tcW w:w="1220" w:type="dxa"/>
            <w:tcBorders>
              <w:tl2br w:val="nil"/>
              <w:tr2bl w:val="nil"/>
            </w:tcBorders>
            <w:vAlign w:val="center"/>
          </w:tcPr>
          <w:p>
            <w:pPr>
              <w:spacing w:line="0" w:lineRule="atLeast"/>
              <w:jc w:val="center"/>
              <w:rPr>
                <w:rFonts w:ascii="Times New Roman" w:hAnsi="Times New Roman"/>
                <w:kern w:val="0"/>
                <w:szCs w:val="21"/>
              </w:rPr>
            </w:pPr>
            <w:r>
              <w:rPr>
                <w:rFonts w:hint="eastAsia" w:ascii="Times New Roman" w:hAnsi="Times New Roman"/>
              </w:rPr>
              <w:t>汞</w:t>
            </w:r>
          </w:p>
        </w:tc>
        <w:tc>
          <w:tcPr>
            <w:tcW w:w="3405" w:type="dxa"/>
            <w:tcBorders>
              <w:tl2br w:val="nil"/>
              <w:tr2bl w:val="nil"/>
            </w:tcBorders>
            <w:vAlign w:val="center"/>
          </w:tcPr>
          <w:p>
            <w:pPr>
              <w:snapToGrid w:val="0"/>
              <w:spacing w:line="0" w:lineRule="atLeast"/>
              <w:jc w:val="center"/>
              <w:rPr>
                <w:rFonts w:ascii="Times New Roman" w:hAnsi="Times New Roman"/>
                <w:kern w:val="0"/>
                <w:szCs w:val="21"/>
              </w:rPr>
            </w:pPr>
            <w:r>
              <w:rPr>
                <w:rFonts w:ascii="Times New Roman" w:hAnsi="Times New Roman"/>
              </w:rPr>
              <w:t>原子荧光法</w:t>
            </w:r>
          </w:p>
        </w:tc>
        <w:tc>
          <w:tcPr>
            <w:tcW w:w="2307" w:type="dxa"/>
            <w:tcBorders>
              <w:tl2br w:val="nil"/>
              <w:tr2bl w:val="nil"/>
            </w:tcBorders>
            <w:vAlign w:val="center"/>
          </w:tcPr>
          <w:p>
            <w:pPr>
              <w:adjustRightInd w:val="0"/>
              <w:snapToGrid w:val="0"/>
              <w:jc w:val="center"/>
              <w:rPr>
                <w:rFonts w:ascii="Times New Roman" w:hAnsi="Times New Roman"/>
                <w:kern w:val="0"/>
                <w:szCs w:val="21"/>
              </w:rPr>
            </w:pPr>
            <w:r>
              <w:rPr>
                <w:rFonts w:ascii="Times New Roman" w:hAnsi="Times New Roman"/>
              </w:rPr>
              <w:t>GB/T22105.</w:t>
            </w:r>
            <w:r>
              <w:rPr>
                <w:rFonts w:hint="eastAsia" w:ascii="Times New Roman" w:hAnsi="Times New Roman"/>
              </w:rPr>
              <w:t>1</w:t>
            </w:r>
            <w:r>
              <w:rPr>
                <w:rFonts w:ascii="Times New Roman" w:hAnsi="Times New Roman"/>
              </w:rPr>
              <w:t>-2008</w:t>
            </w:r>
          </w:p>
        </w:tc>
        <w:tc>
          <w:tcPr>
            <w:tcW w:w="1390" w:type="dxa"/>
            <w:tcBorders>
              <w:tl2br w:val="nil"/>
              <w:tr2bl w:val="nil"/>
            </w:tcBorders>
            <w:vAlign w:val="center"/>
          </w:tcPr>
          <w:p>
            <w:pPr>
              <w:adjustRightInd w:val="0"/>
              <w:snapToGrid w:val="0"/>
              <w:jc w:val="center"/>
              <w:rPr>
                <w:rFonts w:ascii="Times New Roman" w:hAnsi="Times New Roman"/>
                <w:kern w:val="0"/>
                <w:szCs w:val="21"/>
              </w:rPr>
            </w:pPr>
            <w:r>
              <w:rPr>
                <w:rFonts w:ascii="Times New Roman" w:hAnsi="Times New Roman"/>
              </w:rPr>
              <w:t>0.0</w:t>
            </w:r>
            <w:r>
              <w:rPr>
                <w:rFonts w:hint="eastAsia" w:ascii="Times New Roman" w:hAnsi="Times New Roman"/>
              </w:rPr>
              <w:t>0</w:t>
            </w:r>
            <w:r>
              <w:rPr>
                <w:rFonts w:ascii="Times New Roman" w:hAnsi="Times New Roman"/>
              </w:rPr>
              <w:t>2 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78" w:type="dxa"/>
            <w:tcBorders>
              <w:tl2br w:val="nil"/>
              <w:tr2bl w:val="nil"/>
            </w:tcBorders>
            <w:vAlign w:val="center"/>
          </w:tcPr>
          <w:p>
            <w:pPr>
              <w:snapToGrid w:val="0"/>
              <w:jc w:val="center"/>
              <w:rPr>
                <w:rFonts w:ascii="Times New Roman" w:hAnsi="Times New Roman"/>
              </w:rPr>
            </w:pPr>
            <w:r>
              <w:rPr>
                <w:rFonts w:hint="eastAsia" w:ascii="Times New Roman" w:hAnsi="Times New Roman"/>
              </w:rPr>
              <w:t>8</w:t>
            </w:r>
          </w:p>
        </w:tc>
        <w:tc>
          <w:tcPr>
            <w:tcW w:w="1220" w:type="dxa"/>
            <w:tcBorders>
              <w:tl2br w:val="nil"/>
              <w:tr2bl w:val="nil"/>
            </w:tcBorders>
            <w:vAlign w:val="center"/>
          </w:tcPr>
          <w:p>
            <w:pPr>
              <w:spacing w:line="0" w:lineRule="atLeast"/>
              <w:jc w:val="center"/>
              <w:rPr>
                <w:rFonts w:ascii="Times New Roman" w:hAnsi="Times New Roman"/>
                <w:kern w:val="0"/>
                <w:szCs w:val="21"/>
              </w:rPr>
            </w:pPr>
            <w:r>
              <w:rPr>
                <w:rFonts w:hint="eastAsia" w:ascii="Times New Roman" w:hAnsi="Times New Roman"/>
              </w:rPr>
              <w:t>镍</w:t>
            </w:r>
          </w:p>
        </w:tc>
        <w:tc>
          <w:tcPr>
            <w:tcW w:w="3405" w:type="dxa"/>
            <w:tcBorders>
              <w:tl2br w:val="nil"/>
              <w:tr2bl w:val="nil"/>
            </w:tcBorders>
            <w:vAlign w:val="center"/>
          </w:tcPr>
          <w:p>
            <w:pPr>
              <w:snapToGrid w:val="0"/>
              <w:spacing w:line="0" w:lineRule="atLeast"/>
              <w:jc w:val="center"/>
              <w:rPr>
                <w:rFonts w:ascii="Times New Roman" w:hAnsi="Times New Roman"/>
                <w:kern w:val="0"/>
                <w:szCs w:val="21"/>
              </w:rPr>
            </w:pPr>
            <w:r>
              <w:rPr>
                <w:rFonts w:ascii="Times New Roman" w:hAnsi="Times New Roman"/>
              </w:rPr>
              <w:t>火焰原子吸收分光光度法</w:t>
            </w:r>
          </w:p>
        </w:tc>
        <w:tc>
          <w:tcPr>
            <w:tcW w:w="2307" w:type="dxa"/>
            <w:tcBorders>
              <w:tl2br w:val="nil"/>
              <w:tr2bl w:val="nil"/>
            </w:tcBorders>
            <w:vAlign w:val="center"/>
          </w:tcPr>
          <w:p>
            <w:pPr>
              <w:jc w:val="center"/>
              <w:rPr>
                <w:rFonts w:ascii="Times New Roman" w:hAnsi="Times New Roman"/>
                <w:szCs w:val="21"/>
              </w:rPr>
            </w:pPr>
            <w:r>
              <w:rPr>
                <w:rFonts w:ascii="Times New Roman" w:hAnsi="Times New Roman"/>
              </w:rPr>
              <w:t>GB/T 17139-1997</w:t>
            </w:r>
          </w:p>
        </w:tc>
        <w:tc>
          <w:tcPr>
            <w:tcW w:w="1390" w:type="dxa"/>
            <w:tcBorders>
              <w:tl2br w:val="nil"/>
              <w:tr2bl w:val="nil"/>
            </w:tcBorders>
            <w:vAlign w:val="center"/>
          </w:tcPr>
          <w:p>
            <w:pPr>
              <w:jc w:val="center"/>
              <w:rPr>
                <w:rFonts w:ascii="Times New Roman" w:hAnsi="Times New Roman"/>
                <w:szCs w:val="21"/>
              </w:rPr>
            </w:pPr>
            <w:r>
              <w:rPr>
                <w:rFonts w:ascii="Times New Roman" w:hAnsi="Times New Roman"/>
              </w:rPr>
              <w:t>5mg/kg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78" w:type="dxa"/>
            <w:tcBorders>
              <w:tl2br w:val="nil"/>
              <w:tr2bl w:val="nil"/>
            </w:tcBorders>
            <w:vAlign w:val="center"/>
          </w:tcPr>
          <w:p>
            <w:pPr>
              <w:snapToGrid w:val="0"/>
              <w:jc w:val="center"/>
              <w:rPr>
                <w:rFonts w:ascii="Times New Roman" w:hAnsi="Times New Roman"/>
              </w:rPr>
            </w:pPr>
            <w:r>
              <w:rPr>
                <w:rFonts w:hint="eastAsia" w:ascii="Times New Roman" w:hAnsi="Times New Roman"/>
              </w:rPr>
              <w:t>9</w:t>
            </w:r>
          </w:p>
        </w:tc>
        <w:tc>
          <w:tcPr>
            <w:tcW w:w="122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铬</w:t>
            </w:r>
          </w:p>
        </w:tc>
        <w:tc>
          <w:tcPr>
            <w:tcW w:w="3405"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rPr>
              <w:t>火焰原子吸收分光光度法</w:t>
            </w:r>
          </w:p>
        </w:tc>
        <w:tc>
          <w:tcPr>
            <w:tcW w:w="2307" w:type="dxa"/>
            <w:tcBorders>
              <w:tl2br w:val="nil"/>
              <w:tr2bl w:val="nil"/>
            </w:tcBorders>
            <w:vAlign w:val="center"/>
          </w:tcPr>
          <w:p>
            <w:pPr>
              <w:spacing w:line="0" w:lineRule="atLeast"/>
              <w:jc w:val="center"/>
              <w:rPr>
                <w:rFonts w:ascii="Times New Roman" w:hAnsi="Times New Roman"/>
                <w:szCs w:val="21"/>
              </w:rPr>
            </w:pPr>
            <w:r>
              <w:rPr>
                <w:rFonts w:hint="eastAsia" w:ascii="Times New Roman" w:hAnsi="Times New Roman"/>
              </w:rPr>
              <w:t>HJ491-2009</w:t>
            </w:r>
          </w:p>
        </w:tc>
        <w:tc>
          <w:tcPr>
            <w:tcW w:w="1390" w:type="dxa"/>
            <w:tcBorders>
              <w:tl2br w:val="nil"/>
              <w:tr2bl w:val="nil"/>
            </w:tcBorders>
            <w:vAlign w:val="center"/>
          </w:tcPr>
          <w:p>
            <w:pPr>
              <w:jc w:val="center"/>
              <w:rPr>
                <w:rFonts w:ascii="Times New Roman" w:hAnsi="Times New Roman"/>
              </w:rPr>
            </w:pPr>
            <w:r>
              <w:rPr>
                <w:rFonts w:hint="eastAsia" w:ascii="Times New Roman" w:hAnsi="Times New Roman"/>
              </w:rPr>
              <w:t>5</w:t>
            </w:r>
            <w:r>
              <w:rPr>
                <w:rFonts w:ascii="Times New Roman" w:hAnsi="Times New Roman"/>
              </w:rPr>
              <w:t>mg/kg</w:t>
            </w:r>
          </w:p>
        </w:tc>
      </w:tr>
    </w:tbl>
    <w:p>
      <w:pPr>
        <w:autoSpaceDE w:val="0"/>
        <w:adjustRightInd w:val="0"/>
        <w:snapToGrid w:val="0"/>
        <w:jc w:val="center"/>
        <w:rPr>
          <w:rFonts w:ascii="Times New Roman" w:hAnsi="Times New Roman"/>
          <w:b/>
          <w:bCs/>
          <w:snapToGrid w:val="0"/>
          <w:sz w:val="24"/>
          <w:szCs w:val="32"/>
        </w:rPr>
      </w:pPr>
      <w:r>
        <w:rPr>
          <w:rFonts w:hint="eastAsia" w:ascii="Times New Roman" w:hAnsi="Times New Roman"/>
          <w:b/>
          <w:bCs/>
          <w:snapToGrid w:val="0"/>
          <w:sz w:val="24"/>
          <w:szCs w:val="32"/>
        </w:rPr>
        <w:t>表3-14   主要使用仪器</w:t>
      </w:r>
    </w:p>
    <w:tbl>
      <w:tblPr>
        <w:tblStyle w:val="29"/>
        <w:tblW w:w="904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32"/>
        <w:gridCol w:w="2116"/>
        <w:gridCol w:w="2250"/>
        <w:gridCol w:w="1494"/>
        <w:gridCol w:w="20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132" w:type="dxa"/>
            <w:tcBorders>
              <w:tl2br w:val="nil"/>
              <w:tr2bl w:val="nil"/>
            </w:tcBorders>
            <w:vAlign w:val="center"/>
          </w:tcPr>
          <w:p>
            <w:pPr>
              <w:snapToGrid w:val="0"/>
              <w:jc w:val="center"/>
              <w:rPr>
                <w:rFonts w:ascii="Times New Roman" w:hAnsi="Times New Roman"/>
                <w:b/>
                <w:bCs/>
              </w:rPr>
            </w:pPr>
            <w:r>
              <w:rPr>
                <w:rFonts w:hint="eastAsia" w:ascii="Times New Roman" w:hAnsi="Times New Roman"/>
                <w:b/>
                <w:bCs/>
              </w:rPr>
              <w:t>序号</w:t>
            </w:r>
          </w:p>
        </w:tc>
        <w:tc>
          <w:tcPr>
            <w:tcW w:w="2116" w:type="dxa"/>
            <w:tcBorders>
              <w:tl2br w:val="nil"/>
              <w:tr2bl w:val="nil"/>
            </w:tcBorders>
            <w:vAlign w:val="center"/>
          </w:tcPr>
          <w:p>
            <w:pPr>
              <w:snapToGrid w:val="0"/>
              <w:jc w:val="center"/>
              <w:rPr>
                <w:rFonts w:ascii="Times New Roman" w:hAnsi="Times New Roman"/>
                <w:b/>
                <w:bCs/>
              </w:rPr>
            </w:pPr>
            <w:r>
              <w:rPr>
                <w:rFonts w:ascii="Times New Roman" w:hAnsi="Times New Roman"/>
                <w:b/>
                <w:bCs/>
              </w:rPr>
              <w:t>仪器名称及型号</w:t>
            </w:r>
          </w:p>
        </w:tc>
        <w:tc>
          <w:tcPr>
            <w:tcW w:w="2250" w:type="dxa"/>
            <w:tcBorders>
              <w:tl2br w:val="nil"/>
              <w:tr2bl w:val="nil"/>
            </w:tcBorders>
            <w:vAlign w:val="center"/>
          </w:tcPr>
          <w:p>
            <w:pPr>
              <w:snapToGrid w:val="0"/>
              <w:jc w:val="center"/>
              <w:rPr>
                <w:rFonts w:ascii="Times New Roman" w:hAnsi="Times New Roman"/>
                <w:b/>
                <w:bCs/>
              </w:rPr>
            </w:pPr>
            <w:r>
              <w:rPr>
                <w:rFonts w:ascii="Times New Roman" w:hAnsi="Times New Roman"/>
                <w:b/>
                <w:bCs/>
              </w:rPr>
              <w:t>生产厂家</w:t>
            </w:r>
          </w:p>
        </w:tc>
        <w:tc>
          <w:tcPr>
            <w:tcW w:w="1494" w:type="dxa"/>
            <w:tcBorders>
              <w:tl2br w:val="nil"/>
              <w:tr2bl w:val="nil"/>
            </w:tcBorders>
            <w:vAlign w:val="center"/>
          </w:tcPr>
          <w:p>
            <w:pPr>
              <w:snapToGrid w:val="0"/>
              <w:jc w:val="center"/>
              <w:rPr>
                <w:rFonts w:ascii="Times New Roman" w:hAnsi="Times New Roman"/>
                <w:b/>
                <w:bCs/>
              </w:rPr>
            </w:pPr>
            <w:r>
              <w:rPr>
                <w:rFonts w:ascii="Times New Roman" w:hAnsi="Times New Roman"/>
                <w:b/>
                <w:bCs/>
              </w:rPr>
              <w:t>检定校准有限</w:t>
            </w:r>
          </w:p>
          <w:p>
            <w:pPr>
              <w:snapToGrid w:val="0"/>
              <w:jc w:val="center"/>
              <w:rPr>
                <w:rFonts w:ascii="Times New Roman" w:hAnsi="Times New Roman"/>
                <w:b/>
                <w:bCs/>
              </w:rPr>
            </w:pPr>
            <w:r>
              <w:rPr>
                <w:rFonts w:ascii="Times New Roman" w:hAnsi="Times New Roman"/>
                <w:b/>
                <w:bCs/>
              </w:rPr>
              <w:t>日期</w:t>
            </w:r>
          </w:p>
        </w:tc>
        <w:tc>
          <w:tcPr>
            <w:tcW w:w="2056" w:type="dxa"/>
            <w:tcBorders>
              <w:tl2br w:val="nil"/>
              <w:tr2bl w:val="nil"/>
            </w:tcBorders>
            <w:vAlign w:val="center"/>
          </w:tcPr>
          <w:p>
            <w:pPr>
              <w:snapToGrid w:val="0"/>
              <w:jc w:val="center"/>
              <w:rPr>
                <w:rFonts w:ascii="Times New Roman" w:hAnsi="Times New Roman"/>
                <w:b/>
                <w:bCs/>
              </w:rPr>
            </w:pPr>
            <w:r>
              <w:rPr>
                <w:rFonts w:hint="eastAsia" w:ascii="Times New Roman" w:hAnsi="Times New Roman"/>
                <w:b/>
                <w:bCs/>
              </w:rPr>
              <w:t>检定机构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132" w:type="dxa"/>
            <w:tcBorders>
              <w:tl2br w:val="nil"/>
              <w:tr2bl w:val="nil"/>
            </w:tcBorders>
            <w:vAlign w:val="center"/>
          </w:tcPr>
          <w:p>
            <w:pPr>
              <w:snapToGrid w:val="0"/>
              <w:jc w:val="center"/>
              <w:rPr>
                <w:rFonts w:ascii="Times New Roman" w:hAnsi="Times New Roman"/>
              </w:rPr>
            </w:pPr>
            <w:r>
              <w:rPr>
                <w:rFonts w:hint="eastAsia" w:ascii="Times New Roman" w:hAnsi="Times New Roman"/>
              </w:rPr>
              <w:t>1</w:t>
            </w:r>
          </w:p>
        </w:tc>
        <w:tc>
          <w:tcPr>
            <w:tcW w:w="2116" w:type="dxa"/>
            <w:tcBorders>
              <w:tl2br w:val="nil"/>
              <w:tr2bl w:val="nil"/>
            </w:tcBorders>
            <w:vAlign w:val="center"/>
          </w:tcPr>
          <w:p>
            <w:pPr>
              <w:spacing w:line="0" w:lineRule="atLeast"/>
              <w:jc w:val="center"/>
              <w:rPr>
                <w:rFonts w:ascii="Times New Roman" w:hAnsi="Times New Roman"/>
                <w:bCs/>
              </w:rPr>
            </w:pPr>
            <w:r>
              <w:rPr>
                <w:rFonts w:ascii="Times New Roman" w:hAnsi="Times New Roman"/>
                <w:bCs/>
              </w:rPr>
              <w:t>PHS-3C</w:t>
            </w:r>
          </w:p>
          <w:p>
            <w:pPr>
              <w:spacing w:line="0" w:lineRule="atLeast"/>
              <w:jc w:val="center"/>
              <w:rPr>
                <w:rFonts w:ascii="Times New Roman" w:hAnsi="Times New Roman"/>
                <w:bCs/>
              </w:rPr>
            </w:pPr>
            <w:r>
              <w:rPr>
                <w:rFonts w:hint="eastAsia" w:ascii="Times New Roman" w:hAnsi="Times New Roman"/>
                <w:bCs/>
              </w:rPr>
              <w:t xml:space="preserve"> PH计</w:t>
            </w:r>
          </w:p>
        </w:tc>
        <w:tc>
          <w:tcPr>
            <w:tcW w:w="2250" w:type="dxa"/>
            <w:tcBorders>
              <w:tl2br w:val="nil"/>
              <w:tr2bl w:val="nil"/>
            </w:tcBorders>
            <w:vAlign w:val="center"/>
          </w:tcPr>
          <w:p>
            <w:pPr>
              <w:spacing w:line="0" w:lineRule="atLeast"/>
              <w:jc w:val="center"/>
              <w:rPr>
                <w:rFonts w:ascii="Times New Roman" w:hAnsi="Times New Roman"/>
                <w:bCs/>
              </w:rPr>
            </w:pPr>
            <w:r>
              <w:rPr>
                <w:rFonts w:ascii="Times New Roman" w:hAnsi="Times New Roman"/>
                <w:bCs/>
              </w:rPr>
              <w:t>(上海雷磁)上海仪电科学仪器股份有限公司</w:t>
            </w:r>
          </w:p>
        </w:tc>
        <w:tc>
          <w:tcPr>
            <w:tcW w:w="1494" w:type="dxa"/>
            <w:tcBorders>
              <w:tl2br w:val="nil"/>
              <w:tr2bl w:val="nil"/>
            </w:tcBorders>
            <w:vAlign w:val="center"/>
          </w:tcPr>
          <w:p>
            <w:pPr>
              <w:spacing w:line="0" w:lineRule="atLeast"/>
              <w:jc w:val="center"/>
              <w:rPr>
                <w:rFonts w:ascii="Times New Roman" w:hAnsi="Times New Roman"/>
                <w:bCs/>
              </w:rPr>
            </w:pPr>
            <w:r>
              <w:rPr>
                <w:rFonts w:ascii="Times New Roman" w:hAnsi="Times New Roman"/>
                <w:bCs/>
              </w:rPr>
              <w:t>202</w:t>
            </w:r>
            <w:r>
              <w:rPr>
                <w:rFonts w:hint="eastAsia" w:ascii="Times New Roman" w:hAnsi="Times New Roman"/>
                <w:bCs/>
              </w:rPr>
              <w:t>3</w:t>
            </w:r>
            <w:r>
              <w:rPr>
                <w:rFonts w:ascii="Times New Roman" w:hAnsi="Times New Roman"/>
                <w:bCs/>
              </w:rPr>
              <w:t>年4月</w:t>
            </w:r>
          </w:p>
        </w:tc>
        <w:tc>
          <w:tcPr>
            <w:tcW w:w="2056" w:type="dxa"/>
            <w:tcBorders>
              <w:tl2br w:val="nil"/>
              <w:tr2bl w:val="nil"/>
            </w:tcBorders>
            <w:vAlign w:val="center"/>
          </w:tcPr>
          <w:p>
            <w:pPr>
              <w:widowControl/>
              <w:spacing w:line="240" w:lineRule="exact"/>
              <w:jc w:val="center"/>
              <w:textAlignment w:val="center"/>
              <w:rPr>
                <w:rFonts w:ascii="Times New Roman" w:hAnsi="Times New Roman"/>
                <w:color w:val="000000"/>
                <w:kern w:val="0"/>
              </w:rPr>
            </w:pPr>
            <w:r>
              <w:rPr>
                <w:rFonts w:hint="eastAsia" w:ascii="Times New Roman" w:hAnsi="Times New Roman"/>
                <w:color w:val="000000"/>
                <w:kern w:val="0"/>
              </w:rPr>
              <w:t>广东中准检测有限公司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132" w:type="dxa"/>
            <w:tcBorders>
              <w:tl2br w:val="nil"/>
              <w:tr2bl w:val="nil"/>
            </w:tcBorders>
            <w:vAlign w:val="center"/>
          </w:tcPr>
          <w:p>
            <w:pPr>
              <w:snapToGrid w:val="0"/>
              <w:jc w:val="center"/>
              <w:rPr>
                <w:rFonts w:ascii="Times New Roman" w:hAnsi="Times New Roman"/>
              </w:rPr>
            </w:pPr>
            <w:r>
              <w:rPr>
                <w:rFonts w:hint="eastAsia" w:ascii="Times New Roman" w:hAnsi="Times New Roman"/>
              </w:rPr>
              <w:t>2</w:t>
            </w:r>
          </w:p>
        </w:tc>
        <w:tc>
          <w:tcPr>
            <w:tcW w:w="2116" w:type="dxa"/>
            <w:tcBorders>
              <w:tl2br w:val="nil"/>
              <w:tr2bl w:val="nil"/>
            </w:tcBorders>
            <w:vAlign w:val="center"/>
          </w:tcPr>
          <w:p>
            <w:pPr>
              <w:spacing w:line="0" w:lineRule="atLeast"/>
              <w:jc w:val="center"/>
              <w:rPr>
                <w:rFonts w:ascii="Times New Roman" w:hAnsi="Times New Roman"/>
                <w:bCs/>
              </w:rPr>
            </w:pPr>
            <w:r>
              <w:rPr>
                <w:rFonts w:ascii="Times New Roman" w:hAnsi="Times New Roman"/>
                <w:bCs/>
              </w:rPr>
              <w:t>原子吸收分光光度计</w:t>
            </w:r>
          </w:p>
          <w:p>
            <w:pPr>
              <w:spacing w:line="0" w:lineRule="atLeast"/>
              <w:jc w:val="center"/>
              <w:rPr>
                <w:rFonts w:ascii="Times New Roman" w:hAnsi="Times New Roman"/>
                <w:bCs/>
              </w:rPr>
            </w:pPr>
            <w:r>
              <w:rPr>
                <w:rFonts w:ascii="Times New Roman" w:hAnsi="Times New Roman"/>
                <w:bCs/>
              </w:rPr>
              <w:t>AA-7003型</w:t>
            </w:r>
          </w:p>
        </w:tc>
        <w:tc>
          <w:tcPr>
            <w:tcW w:w="2250" w:type="dxa"/>
            <w:tcBorders>
              <w:tl2br w:val="nil"/>
              <w:tr2bl w:val="nil"/>
            </w:tcBorders>
            <w:vAlign w:val="center"/>
          </w:tcPr>
          <w:p>
            <w:pPr>
              <w:spacing w:line="0" w:lineRule="atLeast"/>
              <w:jc w:val="center"/>
              <w:rPr>
                <w:rFonts w:ascii="Times New Roman" w:hAnsi="Times New Roman"/>
                <w:bCs/>
              </w:rPr>
            </w:pPr>
            <w:r>
              <w:rPr>
                <w:rFonts w:ascii="Times New Roman" w:hAnsi="Times New Roman"/>
                <w:color w:val="000000"/>
                <w:kern w:val="0"/>
              </w:rPr>
              <w:t>北京东西分析仪器有限公司</w:t>
            </w:r>
          </w:p>
        </w:tc>
        <w:tc>
          <w:tcPr>
            <w:tcW w:w="1494" w:type="dxa"/>
            <w:tcBorders>
              <w:tl2br w:val="nil"/>
              <w:tr2bl w:val="nil"/>
            </w:tcBorders>
            <w:vAlign w:val="center"/>
          </w:tcPr>
          <w:p>
            <w:pPr>
              <w:spacing w:line="0" w:lineRule="atLeast"/>
              <w:jc w:val="center"/>
              <w:rPr>
                <w:rFonts w:ascii="Times New Roman" w:hAnsi="Times New Roman"/>
                <w:bCs/>
              </w:rPr>
            </w:pPr>
            <w:r>
              <w:rPr>
                <w:rFonts w:ascii="Times New Roman" w:hAnsi="Times New Roman"/>
                <w:bCs/>
              </w:rPr>
              <w:t>202</w:t>
            </w:r>
            <w:r>
              <w:rPr>
                <w:rFonts w:hint="eastAsia" w:ascii="Times New Roman" w:hAnsi="Times New Roman"/>
                <w:bCs/>
              </w:rPr>
              <w:t>3</w:t>
            </w:r>
            <w:r>
              <w:rPr>
                <w:rFonts w:ascii="Times New Roman" w:hAnsi="Times New Roman"/>
                <w:bCs/>
              </w:rPr>
              <w:t>年4月</w:t>
            </w:r>
          </w:p>
        </w:tc>
        <w:tc>
          <w:tcPr>
            <w:tcW w:w="2056" w:type="dxa"/>
            <w:tcBorders>
              <w:tl2br w:val="nil"/>
              <w:tr2bl w:val="nil"/>
            </w:tcBorders>
            <w:vAlign w:val="center"/>
          </w:tcPr>
          <w:p>
            <w:pPr>
              <w:widowControl/>
              <w:spacing w:line="240" w:lineRule="exact"/>
              <w:jc w:val="center"/>
              <w:textAlignment w:val="center"/>
              <w:rPr>
                <w:rFonts w:ascii="Times New Roman" w:hAnsi="Times New Roman"/>
                <w:color w:val="000000"/>
                <w:kern w:val="0"/>
              </w:rPr>
            </w:pPr>
            <w:r>
              <w:rPr>
                <w:rFonts w:hint="eastAsia" w:ascii="Times New Roman" w:hAnsi="Times New Roman"/>
                <w:color w:val="000000"/>
                <w:kern w:val="0"/>
              </w:rPr>
              <w:t>广东中准检测有限公司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1132" w:type="dxa"/>
            <w:tcBorders>
              <w:tl2br w:val="nil"/>
              <w:tr2bl w:val="nil"/>
            </w:tcBorders>
            <w:vAlign w:val="center"/>
          </w:tcPr>
          <w:p>
            <w:pPr>
              <w:snapToGrid w:val="0"/>
              <w:jc w:val="center"/>
              <w:rPr>
                <w:rFonts w:ascii="Times New Roman" w:hAnsi="Times New Roman"/>
              </w:rPr>
            </w:pPr>
            <w:r>
              <w:rPr>
                <w:rFonts w:hint="eastAsia" w:ascii="Times New Roman" w:hAnsi="Times New Roman"/>
              </w:rPr>
              <w:t>3</w:t>
            </w:r>
          </w:p>
        </w:tc>
        <w:tc>
          <w:tcPr>
            <w:tcW w:w="2116" w:type="dxa"/>
            <w:tcBorders>
              <w:tl2br w:val="nil"/>
              <w:tr2bl w:val="nil"/>
            </w:tcBorders>
            <w:vAlign w:val="center"/>
          </w:tcPr>
          <w:p>
            <w:pPr>
              <w:spacing w:line="240" w:lineRule="exact"/>
              <w:jc w:val="center"/>
              <w:rPr>
                <w:rFonts w:ascii="Times New Roman" w:hAnsi="Times New Roman"/>
                <w:bCs/>
              </w:rPr>
            </w:pPr>
            <w:r>
              <w:rPr>
                <w:rFonts w:ascii="Times New Roman" w:hAnsi="Times New Roman"/>
                <w:bCs/>
              </w:rPr>
              <w:t>原子荧光分光光度计</w:t>
            </w:r>
          </w:p>
          <w:p>
            <w:pPr>
              <w:spacing w:line="240" w:lineRule="exact"/>
              <w:jc w:val="center"/>
              <w:rPr>
                <w:rFonts w:ascii="Times New Roman" w:hAnsi="Times New Roman"/>
                <w:bCs/>
              </w:rPr>
            </w:pPr>
            <w:r>
              <w:rPr>
                <w:rFonts w:ascii="Times New Roman" w:hAnsi="Times New Roman"/>
                <w:bCs/>
              </w:rPr>
              <w:t>AF-7500型</w:t>
            </w:r>
          </w:p>
        </w:tc>
        <w:tc>
          <w:tcPr>
            <w:tcW w:w="2250" w:type="dxa"/>
            <w:tcBorders>
              <w:tl2br w:val="nil"/>
              <w:tr2bl w:val="nil"/>
            </w:tcBorders>
            <w:vAlign w:val="center"/>
          </w:tcPr>
          <w:p>
            <w:pPr>
              <w:widowControl/>
              <w:spacing w:line="240" w:lineRule="exact"/>
              <w:jc w:val="center"/>
              <w:textAlignment w:val="center"/>
              <w:rPr>
                <w:rFonts w:ascii="Times New Roman" w:hAnsi="Times New Roman"/>
                <w:bCs/>
              </w:rPr>
            </w:pPr>
            <w:r>
              <w:rPr>
                <w:rFonts w:ascii="Times New Roman" w:hAnsi="Times New Roman"/>
                <w:color w:val="000000"/>
                <w:kern w:val="0"/>
              </w:rPr>
              <w:t>北京东西分析仪器有限公司</w:t>
            </w:r>
          </w:p>
        </w:tc>
        <w:tc>
          <w:tcPr>
            <w:tcW w:w="1494" w:type="dxa"/>
            <w:tcBorders>
              <w:tl2br w:val="nil"/>
              <w:tr2bl w:val="nil"/>
            </w:tcBorders>
            <w:vAlign w:val="center"/>
          </w:tcPr>
          <w:p>
            <w:pPr>
              <w:spacing w:line="0" w:lineRule="atLeast"/>
              <w:jc w:val="center"/>
              <w:rPr>
                <w:rFonts w:ascii="Times New Roman" w:hAnsi="Times New Roman"/>
                <w:bCs/>
              </w:rPr>
            </w:pPr>
            <w:r>
              <w:rPr>
                <w:rFonts w:ascii="Times New Roman" w:hAnsi="Times New Roman"/>
                <w:bCs/>
              </w:rPr>
              <w:t>202</w:t>
            </w:r>
            <w:r>
              <w:rPr>
                <w:rFonts w:hint="eastAsia" w:ascii="Times New Roman" w:hAnsi="Times New Roman"/>
                <w:bCs/>
              </w:rPr>
              <w:t>3</w:t>
            </w:r>
            <w:r>
              <w:rPr>
                <w:rFonts w:ascii="Times New Roman" w:hAnsi="Times New Roman"/>
                <w:bCs/>
              </w:rPr>
              <w:t>年4月</w:t>
            </w:r>
          </w:p>
        </w:tc>
        <w:tc>
          <w:tcPr>
            <w:tcW w:w="2056" w:type="dxa"/>
            <w:tcBorders>
              <w:tl2br w:val="nil"/>
              <w:tr2bl w:val="nil"/>
            </w:tcBorders>
            <w:vAlign w:val="center"/>
          </w:tcPr>
          <w:p>
            <w:pPr>
              <w:widowControl/>
              <w:spacing w:line="240" w:lineRule="exact"/>
              <w:jc w:val="center"/>
              <w:textAlignment w:val="center"/>
              <w:rPr>
                <w:rFonts w:ascii="Times New Roman" w:hAnsi="Times New Roman"/>
                <w:color w:val="000000"/>
                <w:kern w:val="0"/>
              </w:rPr>
            </w:pPr>
            <w:r>
              <w:rPr>
                <w:rFonts w:hint="eastAsia" w:ascii="Times New Roman" w:hAnsi="Times New Roman"/>
                <w:color w:val="000000"/>
                <w:kern w:val="0"/>
              </w:rPr>
              <w:t>广东中准检测有限公司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132" w:type="dxa"/>
            <w:tcBorders>
              <w:tl2br w:val="nil"/>
              <w:tr2bl w:val="nil"/>
            </w:tcBorders>
            <w:vAlign w:val="center"/>
          </w:tcPr>
          <w:p>
            <w:pPr>
              <w:snapToGrid w:val="0"/>
              <w:jc w:val="center"/>
              <w:rPr>
                <w:rFonts w:ascii="Times New Roman" w:hAnsi="Times New Roman"/>
              </w:rPr>
            </w:pPr>
            <w:r>
              <w:rPr>
                <w:rFonts w:hint="eastAsia" w:ascii="Times New Roman" w:hAnsi="Times New Roman"/>
              </w:rPr>
              <w:t>4</w:t>
            </w:r>
          </w:p>
        </w:tc>
        <w:tc>
          <w:tcPr>
            <w:tcW w:w="2116" w:type="dxa"/>
            <w:tcBorders>
              <w:tl2br w:val="nil"/>
              <w:tr2bl w:val="nil"/>
            </w:tcBorders>
            <w:vAlign w:val="center"/>
          </w:tcPr>
          <w:p>
            <w:pPr>
              <w:spacing w:line="0" w:lineRule="atLeast"/>
              <w:jc w:val="center"/>
              <w:rPr>
                <w:rFonts w:ascii="Times New Roman" w:hAnsi="Times New Roman"/>
                <w:bCs/>
              </w:rPr>
            </w:pPr>
            <w:r>
              <w:rPr>
                <w:rFonts w:ascii="Times New Roman" w:hAnsi="Times New Roman"/>
                <w:bCs/>
              </w:rPr>
              <w:t>电子天平</w:t>
            </w:r>
          </w:p>
          <w:p>
            <w:pPr>
              <w:spacing w:line="0" w:lineRule="atLeast"/>
              <w:jc w:val="center"/>
              <w:rPr>
                <w:rFonts w:ascii="Times New Roman" w:hAnsi="Times New Roman"/>
                <w:bCs/>
              </w:rPr>
            </w:pPr>
            <w:r>
              <w:rPr>
                <w:rFonts w:ascii="Times New Roman" w:hAnsi="Times New Roman"/>
                <w:bCs/>
              </w:rPr>
              <w:t>FA2204B</w:t>
            </w:r>
          </w:p>
        </w:tc>
        <w:tc>
          <w:tcPr>
            <w:tcW w:w="2250" w:type="dxa"/>
            <w:tcBorders>
              <w:tl2br w:val="nil"/>
              <w:tr2bl w:val="nil"/>
            </w:tcBorders>
            <w:vAlign w:val="center"/>
          </w:tcPr>
          <w:p>
            <w:pPr>
              <w:spacing w:line="0" w:lineRule="atLeast"/>
              <w:jc w:val="center"/>
              <w:rPr>
                <w:rFonts w:ascii="Times New Roman" w:hAnsi="Times New Roman"/>
                <w:bCs/>
                <w:szCs w:val="21"/>
              </w:rPr>
            </w:pPr>
            <w:r>
              <w:rPr>
                <w:rFonts w:ascii="Times New Roman" w:hAnsi="Times New Roman"/>
                <w:bCs/>
              </w:rPr>
              <w:t>上海佑科仪器仪表有限公司</w:t>
            </w:r>
          </w:p>
        </w:tc>
        <w:tc>
          <w:tcPr>
            <w:tcW w:w="1494" w:type="dxa"/>
            <w:tcBorders>
              <w:tl2br w:val="nil"/>
              <w:tr2bl w:val="nil"/>
            </w:tcBorders>
            <w:vAlign w:val="center"/>
          </w:tcPr>
          <w:p>
            <w:pPr>
              <w:spacing w:line="0" w:lineRule="atLeast"/>
              <w:jc w:val="center"/>
              <w:rPr>
                <w:rFonts w:ascii="Times New Roman" w:hAnsi="Times New Roman"/>
                <w:bCs/>
              </w:rPr>
            </w:pPr>
            <w:r>
              <w:rPr>
                <w:rFonts w:ascii="Times New Roman" w:hAnsi="Times New Roman"/>
                <w:bCs/>
              </w:rPr>
              <w:t>202</w:t>
            </w:r>
            <w:r>
              <w:rPr>
                <w:rFonts w:hint="eastAsia" w:ascii="Times New Roman" w:hAnsi="Times New Roman"/>
                <w:bCs/>
              </w:rPr>
              <w:t>3</w:t>
            </w:r>
            <w:r>
              <w:rPr>
                <w:rFonts w:ascii="Times New Roman" w:hAnsi="Times New Roman"/>
                <w:bCs/>
              </w:rPr>
              <w:t>年4月</w:t>
            </w:r>
          </w:p>
        </w:tc>
        <w:tc>
          <w:tcPr>
            <w:tcW w:w="2056" w:type="dxa"/>
            <w:tcBorders>
              <w:tl2br w:val="nil"/>
              <w:tr2bl w:val="nil"/>
            </w:tcBorders>
            <w:vAlign w:val="center"/>
          </w:tcPr>
          <w:p>
            <w:pPr>
              <w:widowControl/>
              <w:spacing w:line="240" w:lineRule="exact"/>
              <w:jc w:val="center"/>
              <w:textAlignment w:val="center"/>
              <w:rPr>
                <w:rFonts w:ascii="Times New Roman" w:hAnsi="Times New Roman"/>
                <w:color w:val="000000"/>
                <w:kern w:val="0"/>
              </w:rPr>
            </w:pPr>
            <w:r>
              <w:rPr>
                <w:rFonts w:hint="eastAsia" w:ascii="Times New Roman" w:hAnsi="Times New Roman"/>
                <w:color w:val="000000"/>
                <w:kern w:val="0"/>
              </w:rPr>
              <w:t>广东中准检测有限公司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1132" w:type="dxa"/>
            <w:tcBorders>
              <w:tl2br w:val="nil"/>
              <w:tr2bl w:val="nil"/>
            </w:tcBorders>
            <w:vAlign w:val="center"/>
          </w:tcPr>
          <w:p>
            <w:pPr>
              <w:snapToGrid w:val="0"/>
              <w:jc w:val="center"/>
              <w:rPr>
                <w:rFonts w:ascii="Times New Roman" w:hAnsi="Times New Roman"/>
              </w:rPr>
            </w:pPr>
            <w:r>
              <w:rPr>
                <w:rFonts w:hint="eastAsia" w:ascii="Times New Roman" w:hAnsi="Times New Roman"/>
              </w:rPr>
              <w:t>5</w:t>
            </w:r>
          </w:p>
        </w:tc>
        <w:tc>
          <w:tcPr>
            <w:tcW w:w="2116"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电热鼓风干燥箱</w:t>
            </w:r>
          </w:p>
          <w:p>
            <w:pPr>
              <w:spacing w:line="0" w:lineRule="atLeast"/>
              <w:jc w:val="center"/>
              <w:rPr>
                <w:rFonts w:ascii="Times New Roman" w:hAnsi="Times New Roman"/>
                <w:bCs/>
              </w:rPr>
            </w:pPr>
            <w:r>
              <w:rPr>
                <w:rFonts w:hint="eastAsia" w:ascii="Times New Roman" w:hAnsi="Times New Roman"/>
                <w:bCs/>
              </w:rPr>
              <w:t>WGL-125B</w:t>
            </w:r>
          </w:p>
        </w:tc>
        <w:tc>
          <w:tcPr>
            <w:tcW w:w="2250" w:type="dxa"/>
            <w:tcBorders>
              <w:tl2br w:val="nil"/>
              <w:tr2bl w:val="nil"/>
            </w:tcBorders>
            <w:vAlign w:val="center"/>
          </w:tcPr>
          <w:p>
            <w:pPr>
              <w:spacing w:line="0" w:lineRule="atLeast"/>
              <w:jc w:val="center"/>
              <w:rPr>
                <w:rFonts w:ascii="Times New Roman" w:hAnsi="Times New Roman"/>
                <w:bCs/>
              </w:rPr>
            </w:pPr>
            <w:r>
              <w:rPr>
                <w:rFonts w:hint="eastAsia" w:ascii="Times New Roman" w:hAnsi="Times New Roman"/>
                <w:bCs/>
              </w:rPr>
              <w:t>天津市泰斯特仪器有限公司</w:t>
            </w:r>
          </w:p>
        </w:tc>
        <w:tc>
          <w:tcPr>
            <w:tcW w:w="1494" w:type="dxa"/>
            <w:tcBorders>
              <w:tl2br w:val="nil"/>
              <w:tr2bl w:val="nil"/>
            </w:tcBorders>
            <w:vAlign w:val="center"/>
          </w:tcPr>
          <w:p>
            <w:pPr>
              <w:spacing w:line="0" w:lineRule="atLeast"/>
              <w:jc w:val="center"/>
              <w:rPr>
                <w:rFonts w:ascii="Times New Roman" w:hAnsi="Times New Roman"/>
                <w:bCs/>
              </w:rPr>
            </w:pPr>
            <w:r>
              <w:rPr>
                <w:rFonts w:ascii="Times New Roman" w:hAnsi="Times New Roman"/>
                <w:bCs/>
              </w:rPr>
              <w:t>202</w:t>
            </w:r>
            <w:r>
              <w:rPr>
                <w:rFonts w:hint="eastAsia" w:ascii="Times New Roman" w:hAnsi="Times New Roman"/>
                <w:bCs/>
              </w:rPr>
              <w:t>3</w:t>
            </w:r>
            <w:r>
              <w:rPr>
                <w:rFonts w:ascii="Times New Roman" w:hAnsi="Times New Roman"/>
                <w:bCs/>
              </w:rPr>
              <w:t>年4月</w:t>
            </w:r>
          </w:p>
        </w:tc>
        <w:tc>
          <w:tcPr>
            <w:tcW w:w="2056" w:type="dxa"/>
            <w:tcBorders>
              <w:tl2br w:val="nil"/>
              <w:tr2bl w:val="nil"/>
            </w:tcBorders>
            <w:vAlign w:val="center"/>
          </w:tcPr>
          <w:p>
            <w:pPr>
              <w:widowControl/>
              <w:spacing w:line="240" w:lineRule="exact"/>
              <w:jc w:val="center"/>
              <w:textAlignment w:val="center"/>
              <w:rPr>
                <w:rFonts w:ascii="Times New Roman" w:hAnsi="Times New Roman"/>
                <w:color w:val="000000"/>
                <w:kern w:val="0"/>
              </w:rPr>
            </w:pPr>
            <w:r>
              <w:rPr>
                <w:rFonts w:hint="eastAsia" w:ascii="Times New Roman" w:hAnsi="Times New Roman"/>
                <w:color w:val="000000"/>
                <w:kern w:val="0"/>
              </w:rPr>
              <w:t>广东中准检测有限公司</w:t>
            </w:r>
          </w:p>
        </w:tc>
      </w:tr>
    </w:tbl>
    <w:p>
      <w:pPr>
        <w:autoSpaceDE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（5）评价标准</w:t>
      </w:r>
    </w:p>
    <w:p>
      <w:pPr>
        <w:autoSpaceDE w:val="0"/>
        <w:adjustRightInd w:val="0"/>
        <w:snapToGrid w:val="0"/>
        <w:spacing w:line="540" w:lineRule="exact"/>
        <w:ind w:firstLine="480" w:firstLineChars="200"/>
        <w:rPr>
          <w:rFonts w:ascii="Times New Roman" w:hAnsi="Times New Roman"/>
          <w:snapToGrid w:val="0"/>
          <w:kern w:val="0"/>
          <w:sz w:val="24"/>
        </w:rPr>
      </w:pPr>
      <w:r>
        <w:rPr>
          <w:rFonts w:hint="eastAsia" w:ascii="Times New Roman" w:hAnsi="Times New Roman"/>
          <w:snapToGrid w:val="0"/>
          <w:kern w:val="0"/>
          <w:sz w:val="24"/>
        </w:rPr>
        <w:t>土壤评价执行《土壤环境质量 农用地土壤污染风险管控标准》(试行)(GB15618-2018)中筛选值标准。</w:t>
      </w:r>
    </w:p>
    <w:p>
      <w:pPr>
        <w:autoSpaceDE w:val="0"/>
        <w:adjustRightInd w:val="0"/>
        <w:snapToGrid w:val="0"/>
        <w:spacing w:line="540" w:lineRule="exact"/>
        <w:ind w:firstLine="480" w:firstLineChars="200"/>
        <w:rPr>
          <w:rFonts w:ascii="Times New Roman" w:hAnsi="Times New Roman"/>
          <w:snapToGrid w:val="0"/>
          <w:kern w:val="0"/>
          <w:sz w:val="24"/>
        </w:rPr>
      </w:pPr>
      <w:bookmarkStart w:id="506" w:name="_Hlk15667050"/>
      <w:r>
        <w:rPr>
          <w:rFonts w:hint="eastAsia" w:ascii="Times New Roman" w:hAnsi="Times New Roman"/>
          <w:snapToGrid w:val="0"/>
          <w:kern w:val="0"/>
          <w:sz w:val="24"/>
        </w:rPr>
        <w:t>土壤</w:t>
      </w:r>
      <w:r>
        <w:rPr>
          <w:rFonts w:ascii="Times New Roman" w:hAnsi="Times New Roman"/>
          <w:snapToGrid w:val="0"/>
          <w:kern w:val="0"/>
          <w:sz w:val="24"/>
        </w:rPr>
        <w:t>环境质量现状</w:t>
      </w:r>
      <w:r>
        <w:rPr>
          <w:rFonts w:hint="eastAsia" w:ascii="Times New Roman" w:hAnsi="Times New Roman"/>
          <w:snapToGrid w:val="0"/>
          <w:kern w:val="0"/>
          <w:sz w:val="24"/>
        </w:rPr>
        <w:t>评价</w:t>
      </w:r>
      <w:r>
        <w:rPr>
          <w:rFonts w:ascii="Times New Roman" w:hAnsi="Times New Roman"/>
          <w:snapToGrid w:val="0"/>
          <w:kern w:val="0"/>
          <w:sz w:val="24"/>
        </w:rPr>
        <w:t>方法采用</w:t>
      </w:r>
      <w:r>
        <w:rPr>
          <w:rFonts w:hint="eastAsia" w:ascii="Times New Roman" w:hAnsi="Times New Roman"/>
          <w:snapToGrid w:val="0"/>
          <w:kern w:val="0"/>
          <w:sz w:val="24"/>
        </w:rPr>
        <w:t>标准</w:t>
      </w:r>
      <w:r>
        <w:rPr>
          <w:rFonts w:ascii="Times New Roman" w:hAnsi="Times New Roman"/>
          <w:snapToGrid w:val="0"/>
          <w:kern w:val="0"/>
          <w:sz w:val="24"/>
        </w:rPr>
        <w:t>指数法，</w:t>
      </w:r>
      <w:r>
        <w:rPr>
          <w:rFonts w:hint="eastAsia" w:ascii="Times New Roman" w:hAnsi="Times New Roman"/>
          <w:snapToGrid w:val="0"/>
          <w:kern w:val="0"/>
          <w:sz w:val="24"/>
        </w:rPr>
        <w:t>公式如下</w:t>
      </w:r>
      <w:r>
        <w:rPr>
          <w:rFonts w:ascii="Times New Roman" w:hAnsi="Times New Roman"/>
          <w:snapToGrid w:val="0"/>
          <w:kern w:val="0"/>
          <w:sz w:val="24"/>
        </w:rPr>
        <w:t>：</w:t>
      </w:r>
    </w:p>
    <w:p>
      <w:pPr>
        <w:autoSpaceDE w:val="0"/>
        <w:adjustRightInd w:val="0"/>
        <w:snapToGrid w:val="0"/>
        <w:spacing w:line="540" w:lineRule="exact"/>
        <w:ind w:firstLine="480" w:firstLineChars="200"/>
        <w:jc w:val="center"/>
        <w:rPr>
          <w:rFonts w:ascii="Times New Roman" w:hAnsi="Times New Roman"/>
          <w:snapToGrid w:val="0"/>
          <w:kern w:val="0"/>
          <w:sz w:val="24"/>
        </w:rPr>
      </w:pPr>
      <w:r>
        <w:rPr>
          <w:rFonts w:ascii="Times New Roman" w:hAnsi="Times New Roman"/>
          <w:snapToGrid w:val="0"/>
          <w:kern w:val="0"/>
          <w:sz w:val="24"/>
        </w:rPr>
        <w:drawing>
          <wp:inline distT="0" distB="0" distL="0" distR="0">
            <wp:extent cx="723900" cy="24765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723900" cy="247650"/>
                    </a:xfrm>
                    <a:prstGeom prst="rect">
                      <a:avLst/>
                    </a:prstGeom>
                    <a:noFill/>
                    <a:ln>
                      <a:noFill/>
                    </a:ln>
                  </pic:spPr>
                </pic:pic>
              </a:graphicData>
            </a:graphic>
          </wp:inline>
        </w:drawing>
      </w:r>
    </w:p>
    <w:p>
      <w:pPr>
        <w:autoSpaceDE w:val="0"/>
        <w:adjustRightInd w:val="0"/>
        <w:snapToGrid w:val="0"/>
        <w:spacing w:line="540" w:lineRule="exact"/>
        <w:ind w:firstLine="480" w:firstLineChars="200"/>
        <w:rPr>
          <w:rFonts w:ascii="Times New Roman" w:hAnsi="Times New Roman"/>
          <w:snapToGrid w:val="0"/>
          <w:kern w:val="0"/>
          <w:sz w:val="24"/>
        </w:rPr>
      </w:pPr>
      <w:r>
        <w:rPr>
          <w:rFonts w:hint="eastAsia" w:ascii="Times New Roman" w:hAnsi="Times New Roman"/>
          <w:snapToGrid w:val="0"/>
          <w:kern w:val="0"/>
          <w:sz w:val="24"/>
        </w:rPr>
        <w:t>式中</w:t>
      </w:r>
      <w:r>
        <w:rPr>
          <w:rFonts w:ascii="Times New Roman" w:hAnsi="Times New Roman"/>
          <w:snapToGrid w:val="0"/>
          <w:kern w:val="0"/>
          <w:sz w:val="24"/>
        </w:rPr>
        <w:t>：</w:t>
      </w:r>
      <w:r>
        <w:rPr>
          <w:rFonts w:hint="eastAsia" w:ascii="Times New Roman" w:hAnsi="Times New Roman"/>
          <w:snapToGrid w:val="0"/>
          <w:kern w:val="0"/>
          <w:sz w:val="24"/>
        </w:rPr>
        <w:t>Pi</w:t>
      </w:r>
      <w:r>
        <w:rPr>
          <w:rFonts w:ascii="Times New Roman" w:hAnsi="Times New Roman"/>
          <w:snapToGrid w:val="0"/>
          <w:kern w:val="0"/>
          <w:sz w:val="24"/>
        </w:rPr>
        <w:t>-单项指数；</w:t>
      </w:r>
    </w:p>
    <w:p>
      <w:pPr>
        <w:autoSpaceDE w:val="0"/>
        <w:adjustRightInd w:val="0"/>
        <w:snapToGrid w:val="0"/>
        <w:spacing w:line="540" w:lineRule="exact"/>
        <w:ind w:firstLine="480" w:firstLineChars="200"/>
        <w:rPr>
          <w:rFonts w:ascii="Times New Roman" w:hAnsi="Times New Roman"/>
          <w:snapToGrid w:val="0"/>
          <w:kern w:val="0"/>
          <w:sz w:val="24"/>
        </w:rPr>
      </w:pPr>
      <w:r>
        <w:rPr>
          <w:rFonts w:hint="eastAsia" w:ascii="Times New Roman" w:hAnsi="Times New Roman"/>
          <w:snapToGrid w:val="0"/>
          <w:kern w:val="0"/>
          <w:sz w:val="24"/>
        </w:rPr>
        <w:t xml:space="preserve">      Ci</w:t>
      </w:r>
      <w:r>
        <w:rPr>
          <w:rFonts w:ascii="Times New Roman" w:hAnsi="Times New Roman"/>
          <w:snapToGrid w:val="0"/>
          <w:kern w:val="0"/>
          <w:sz w:val="24"/>
        </w:rPr>
        <w:t>-评价因子的实测平均浓度(</w:t>
      </w:r>
      <w:r>
        <w:rPr>
          <w:rFonts w:hint="eastAsia" w:ascii="Times New Roman" w:hAnsi="Times New Roman"/>
          <w:snapToGrid w:val="0"/>
          <w:kern w:val="0"/>
          <w:sz w:val="24"/>
        </w:rPr>
        <w:t>mg/kg</w:t>
      </w:r>
      <w:r>
        <w:rPr>
          <w:rFonts w:ascii="Times New Roman" w:hAnsi="Times New Roman"/>
          <w:snapToGrid w:val="0"/>
          <w:kern w:val="0"/>
          <w:sz w:val="24"/>
        </w:rPr>
        <w:t>)</w:t>
      </w:r>
      <w:r>
        <w:rPr>
          <w:rFonts w:hint="eastAsia" w:ascii="Times New Roman" w:hAnsi="Times New Roman"/>
          <w:snapToGrid w:val="0"/>
          <w:kern w:val="0"/>
          <w:sz w:val="24"/>
        </w:rPr>
        <w:t>；</w:t>
      </w:r>
    </w:p>
    <w:p>
      <w:pPr>
        <w:autoSpaceDE w:val="0"/>
        <w:adjustRightInd w:val="0"/>
        <w:snapToGrid w:val="0"/>
        <w:spacing w:line="540" w:lineRule="exact"/>
        <w:ind w:firstLine="480" w:firstLineChars="200"/>
        <w:rPr>
          <w:rFonts w:ascii="Times New Roman" w:hAnsi="Times New Roman"/>
          <w:snapToGrid w:val="0"/>
          <w:kern w:val="0"/>
          <w:sz w:val="24"/>
        </w:rPr>
      </w:pPr>
      <w:r>
        <w:rPr>
          <w:rFonts w:hint="eastAsia" w:ascii="Times New Roman" w:hAnsi="Times New Roman"/>
          <w:snapToGrid w:val="0"/>
          <w:kern w:val="0"/>
          <w:sz w:val="24"/>
        </w:rPr>
        <w:t xml:space="preserve">      </w:t>
      </w:r>
      <w:r>
        <w:rPr>
          <w:rFonts w:ascii="Times New Roman" w:hAnsi="Times New Roman"/>
          <w:snapToGrid w:val="0"/>
          <w:kern w:val="0"/>
          <w:sz w:val="24"/>
        </w:rPr>
        <w:t>Si-相应评价因子的标准(</w:t>
      </w:r>
      <w:r>
        <w:rPr>
          <w:rFonts w:hint="eastAsia" w:ascii="Times New Roman" w:hAnsi="Times New Roman"/>
          <w:snapToGrid w:val="0"/>
          <w:kern w:val="0"/>
          <w:sz w:val="24"/>
        </w:rPr>
        <w:t>mg/kg</w:t>
      </w:r>
      <w:r>
        <w:rPr>
          <w:rFonts w:ascii="Times New Roman" w:hAnsi="Times New Roman"/>
          <w:snapToGrid w:val="0"/>
          <w:kern w:val="0"/>
          <w:sz w:val="24"/>
        </w:rPr>
        <w:t>)</w:t>
      </w:r>
      <w:r>
        <w:rPr>
          <w:rFonts w:hint="eastAsia" w:ascii="Times New Roman" w:hAnsi="Times New Roman"/>
          <w:snapToGrid w:val="0"/>
          <w:kern w:val="0"/>
          <w:sz w:val="24"/>
        </w:rPr>
        <w:t>。</w:t>
      </w:r>
    </w:p>
    <w:bookmarkEnd w:id="506"/>
    <w:p>
      <w:pPr>
        <w:autoSpaceDE w:val="0"/>
        <w:adjustRightInd w:val="0"/>
        <w:snapToGrid w:val="0"/>
        <w:spacing w:line="540" w:lineRule="exact"/>
        <w:ind w:firstLine="480" w:firstLineChars="200"/>
        <w:rPr>
          <w:rFonts w:ascii="Times New Roman" w:hAnsi="Times New Roman"/>
          <w:snapToGrid w:val="0"/>
          <w:kern w:val="0"/>
          <w:sz w:val="24"/>
        </w:rPr>
      </w:pPr>
      <w:r>
        <w:rPr>
          <w:rFonts w:hint="eastAsia" w:ascii="Times New Roman" w:hAnsi="Times New Roman"/>
          <w:snapToGrid w:val="0"/>
          <w:kern w:val="0"/>
          <w:sz w:val="24"/>
        </w:rPr>
        <w:t>当</w:t>
      </w:r>
      <w:r>
        <w:rPr>
          <w:rFonts w:ascii="Times New Roman" w:hAnsi="Times New Roman"/>
          <w:snapToGrid w:val="0"/>
          <w:kern w:val="0"/>
          <w:sz w:val="24"/>
        </w:rPr>
        <w:t>单项污染指数</w:t>
      </w:r>
      <w:r>
        <w:rPr>
          <w:rFonts w:hint="eastAsia" w:ascii="Times New Roman" w:hAnsi="Times New Roman"/>
          <w:snapToGrid w:val="0"/>
          <w:kern w:val="0"/>
          <w:sz w:val="24"/>
        </w:rPr>
        <w:t>Pi＞1时</w:t>
      </w:r>
      <w:r>
        <w:rPr>
          <w:rFonts w:ascii="Times New Roman" w:hAnsi="Times New Roman"/>
          <w:snapToGrid w:val="0"/>
          <w:kern w:val="0"/>
          <w:sz w:val="24"/>
        </w:rPr>
        <w:t>，说明该项目</w:t>
      </w:r>
      <w:r>
        <w:rPr>
          <w:rFonts w:hint="eastAsia" w:ascii="Times New Roman" w:hAnsi="Times New Roman"/>
          <w:snapToGrid w:val="0"/>
          <w:kern w:val="0"/>
          <w:sz w:val="24"/>
        </w:rPr>
        <w:t>已</w:t>
      </w:r>
      <w:r>
        <w:rPr>
          <w:rFonts w:ascii="Times New Roman" w:hAnsi="Times New Roman"/>
          <w:snapToGrid w:val="0"/>
          <w:kern w:val="0"/>
          <w:sz w:val="24"/>
        </w:rPr>
        <w:t>超过规定标准，</w:t>
      </w:r>
      <w:r>
        <w:rPr>
          <w:rFonts w:hint="eastAsia" w:ascii="Times New Roman" w:hAnsi="Times New Roman"/>
          <w:snapToGrid w:val="0"/>
          <w:kern w:val="0"/>
          <w:sz w:val="24"/>
        </w:rPr>
        <w:t>Pi越大</w:t>
      </w:r>
      <w:r>
        <w:rPr>
          <w:rFonts w:ascii="Times New Roman" w:hAnsi="Times New Roman"/>
          <w:snapToGrid w:val="0"/>
          <w:kern w:val="0"/>
          <w:sz w:val="24"/>
        </w:rPr>
        <w:t>说明污染越重；反之，则说明满足标准要求。</w:t>
      </w:r>
    </w:p>
    <w:p>
      <w:pPr>
        <w:autoSpaceDE w:val="0"/>
        <w:adjustRightInd w:val="0"/>
        <w:snapToGrid w:val="0"/>
        <w:spacing w:line="540" w:lineRule="exact"/>
        <w:ind w:firstLine="480" w:firstLineChars="200"/>
        <w:rPr>
          <w:rFonts w:ascii="Times New Roman" w:hAnsi="Times New Roman"/>
          <w:bCs/>
          <w:kern w:val="0"/>
          <w:sz w:val="24"/>
        </w:rPr>
      </w:pPr>
      <w:r>
        <w:rPr>
          <w:rFonts w:ascii="Times New Roman" w:hAnsi="Times New Roman"/>
          <w:snapToGrid w:val="0"/>
          <w:kern w:val="0"/>
          <w:sz w:val="24"/>
        </w:rPr>
        <w:t>（6）监测结果：本项目土壤理化性质调查表见表3.2-</w:t>
      </w:r>
      <w:r>
        <w:rPr>
          <w:rFonts w:hint="eastAsia" w:ascii="Times New Roman" w:hAnsi="Times New Roman"/>
          <w:snapToGrid w:val="0"/>
          <w:kern w:val="0"/>
          <w:sz w:val="24"/>
        </w:rPr>
        <w:t>15</w:t>
      </w:r>
      <w:r>
        <w:rPr>
          <w:rFonts w:ascii="Times New Roman" w:hAnsi="Times New Roman"/>
          <w:snapToGrid w:val="0"/>
          <w:kern w:val="0"/>
          <w:sz w:val="24"/>
        </w:rPr>
        <w:t>。本项目土壤环境监测结果见表3.2-</w:t>
      </w:r>
      <w:r>
        <w:rPr>
          <w:rFonts w:hint="eastAsia" w:ascii="Times New Roman" w:hAnsi="Times New Roman"/>
          <w:snapToGrid w:val="0"/>
          <w:kern w:val="0"/>
          <w:sz w:val="24"/>
        </w:rPr>
        <w:t>16</w:t>
      </w:r>
      <w:r>
        <w:rPr>
          <w:rFonts w:ascii="Times New Roman" w:hAnsi="Times New Roman"/>
          <w:snapToGrid w:val="0"/>
          <w:kern w:val="0"/>
          <w:sz w:val="24"/>
        </w:rPr>
        <w:t>。</w:t>
      </w:r>
    </w:p>
    <w:p>
      <w:pPr>
        <w:autoSpaceDE w:val="0"/>
        <w:adjustRightInd w:val="0"/>
        <w:snapToGrid w:val="0"/>
        <w:jc w:val="center"/>
        <w:rPr>
          <w:rFonts w:ascii="Times New Roman" w:hAnsi="Times New Roman"/>
          <w:b/>
          <w:kern w:val="0"/>
          <w:sz w:val="24"/>
        </w:rPr>
      </w:pPr>
      <w:r>
        <w:rPr>
          <w:rFonts w:ascii="Times New Roman" w:hAnsi="Times New Roman"/>
          <w:b/>
          <w:kern w:val="0"/>
          <w:sz w:val="24"/>
        </w:rPr>
        <w:t>表3.2-</w:t>
      </w:r>
      <w:r>
        <w:rPr>
          <w:rFonts w:hint="eastAsia" w:ascii="Times New Roman" w:hAnsi="Times New Roman"/>
          <w:b/>
          <w:kern w:val="0"/>
          <w:sz w:val="24"/>
        </w:rPr>
        <w:t>15</w:t>
      </w:r>
      <w:r>
        <w:rPr>
          <w:rFonts w:ascii="Times New Roman" w:hAnsi="Times New Roman"/>
          <w:b/>
          <w:kern w:val="0"/>
          <w:sz w:val="24"/>
        </w:rPr>
        <w:t xml:space="preserve">     土壤理化性质调查表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98"/>
        <w:gridCol w:w="2494"/>
        <w:gridCol w:w="44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92" w:type="dxa"/>
            <w:gridSpan w:val="2"/>
            <w:vAlign w:val="center"/>
          </w:tcPr>
          <w:p>
            <w:pPr>
              <w:pStyle w:val="41"/>
              <w:adjustRightInd w:val="0"/>
              <w:snapToGrid w:val="0"/>
              <w:ind w:firstLine="0"/>
              <w:jc w:val="center"/>
              <w:rPr>
                <w:rFonts w:eastAsia="宋体" w:cs="Calibri"/>
                <w:b/>
                <w:kern w:val="0"/>
              </w:rPr>
            </w:pPr>
            <w:r>
              <w:rPr>
                <w:rFonts w:eastAsia="宋体" w:cs="Calibri"/>
                <w:b/>
                <w:kern w:val="0"/>
              </w:rPr>
              <w:t>检测点位</w:t>
            </w:r>
          </w:p>
        </w:tc>
        <w:tc>
          <w:tcPr>
            <w:tcW w:w="4479" w:type="dxa"/>
            <w:vAlign w:val="center"/>
          </w:tcPr>
          <w:p>
            <w:pPr>
              <w:pStyle w:val="41"/>
              <w:adjustRightInd w:val="0"/>
              <w:snapToGrid w:val="0"/>
              <w:ind w:firstLine="0"/>
              <w:jc w:val="center"/>
              <w:rPr>
                <w:rFonts w:eastAsia="宋体" w:cs="Calibri"/>
                <w:b/>
                <w:kern w:val="0"/>
              </w:rPr>
            </w:pPr>
            <w:r>
              <w:rPr>
                <w:rFonts w:eastAsia="宋体" w:cs="Calibri"/>
                <w:b/>
              </w:rPr>
              <w:t>厂区东南侧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92" w:type="dxa"/>
            <w:gridSpan w:val="2"/>
            <w:vAlign w:val="center"/>
          </w:tcPr>
          <w:p>
            <w:pPr>
              <w:pStyle w:val="41"/>
              <w:adjustRightInd w:val="0"/>
              <w:snapToGrid w:val="0"/>
              <w:ind w:firstLine="0"/>
              <w:jc w:val="center"/>
              <w:rPr>
                <w:rFonts w:eastAsia="宋体" w:cs="Calibri"/>
                <w:bCs/>
                <w:kern w:val="0"/>
              </w:rPr>
            </w:pPr>
            <w:r>
              <w:rPr>
                <w:rFonts w:eastAsia="宋体" w:cs="Calibri"/>
                <w:kern w:val="0"/>
              </w:rPr>
              <w:t>经度</w:t>
            </w:r>
            <w:r>
              <w:rPr>
                <w:rFonts w:hint="eastAsia" w:eastAsia="宋体" w:cs="Calibri"/>
                <w:kern w:val="0"/>
              </w:rPr>
              <w:t>105°55′14.23″纬度,35°34′19.91″</w:t>
            </w:r>
          </w:p>
        </w:tc>
        <w:tc>
          <w:tcPr>
            <w:tcW w:w="4479" w:type="dxa"/>
            <w:vAlign w:val="center"/>
          </w:tcPr>
          <w:p>
            <w:pPr>
              <w:pStyle w:val="41"/>
              <w:adjustRightInd w:val="0"/>
              <w:snapToGrid w:val="0"/>
              <w:ind w:firstLine="0"/>
              <w:jc w:val="center"/>
              <w:rPr>
                <w:rFonts w:eastAsia="宋体" w:cs="Calibri"/>
                <w:bCs/>
                <w:kern w:val="0"/>
              </w:rPr>
            </w:pPr>
            <w:r>
              <w:rPr>
                <w:rFonts w:eastAsia="宋体" w:cs="Calibri"/>
                <w:bCs/>
                <w:kern w:val="0"/>
              </w:rPr>
              <w:t>采样时间：</w:t>
            </w:r>
            <w:r>
              <w:rPr>
                <w:rFonts w:eastAsia="宋体" w:cs="Calibri"/>
                <w:bCs/>
              </w:rPr>
              <w:t>202</w:t>
            </w:r>
            <w:r>
              <w:rPr>
                <w:rFonts w:hint="eastAsia" w:eastAsia="宋体" w:cs="Calibri"/>
                <w:bCs/>
              </w:rPr>
              <w:t>2年4月18日</w:t>
            </w:r>
            <w:r>
              <w:rPr>
                <w:rFonts w:hint="eastAsia" w:eastAsia="宋体"/>
              </w:rPr>
              <w:t>—4月18日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92" w:type="dxa"/>
            <w:gridSpan w:val="2"/>
            <w:vAlign w:val="center"/>
          </w:tcPr>
          <w:p>
            <w:pPr>
              <w:pStyle w:val="41"/>
              <w:adjustRightInd w:val="0"/>
              <w:snapToGrid w:val="0"/>
              <w:ind w:firstLine="0"/>
              <w:jc w:val="center"/>
              <w:rPr>
                <w:rFonts w:eastAsia="宋体" w:cs="Calibri"/>
                <w:bCs/>
                <w:kern w:val="0"/>
              </w:rPr>
            </w:pPr>
            <w:r>
              <w:rPr>
                <w:rFonts w:eastAsia="宋体" w:cs="Calibri"/>
                <w:bCs/>
                <w:kern w:val="0"/>
              </w:rPr>
              <w:t>层次</w:t>
            </w:r>
          </w:p>
        </w:tc>
        <w:tc>
          <w:tcPr>
            <w:tcW w:w="4479" w:type="dxa"/>
            <w:vAlign w:val="center"/>
          </w:tcPr>
          <w:p>
            <w:pPr>
              <w:pStyle w:val="41"/>
              <w:adjustRightInd w:val="0"/>
              <w:snapToGrid w:val="0"/>
              <w:ind w:firstLine="0"/>
              <w:jc w:val="center"/>
              <w:rPr>
                <w:rFonts w:eastAsia="宋体" w:cs="Calibri"/>
                <w:bCs/>
                <w:kern w:val="0"/>
              </w:rPr>
            </w:pPr>
            <w:r>
              <w:rPr>
                <w:rFonts w:eastAsia="宋体" w:cs="Calibri"/>
                <w:bCs/>
                <w:kern w:val="0"/>
              </w:rPr>
              <w:t>表层（0~20cm）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8" w:type="dxa"/>
            <w:vMerge w:val="restart"/>
            <w:vAlign w:val="center"/>
          </w:tcPr>
          <w:p>
            <w:pPr>
              <w:pStyle w:val="41"/>
              <w:adjustRightInd w:val="0"/>
              <w:snapToGrid w:val="0"/>
              <w:ind w:firstLine="0"/>
              <w:jc w:val="center"/>
              <w:rPr>
                <w:rFonts w:eastAsia="宋体" w:cs="Calibri"/>
                <w:bCs/>
                <w:kern w:val="0"/>
              </w:rPr>
            </w:pPr>
            <w:r>
              <w:rPr>
                <w:rFonts w:eastAsia="宋体" w:cs="Calibri"/>
                <w:bCs/>
                <w:kern w:val="0"/>
              </w:rPr>
              <w:t>现场记录</w:t>
            </w:r>
          </w:p>
        </w:tc>
        <w:tc>
          <w:tcPr>
            <w:tcW w:w="2494" w:type="dxa"/>
            <w:vAlign w:val="center"/>
          </w:tcPr>
          <w:p>
            <w:pPr>
              <w:pStyle w:val="41"/>
              <w:adjustRightInd w:val="0"/>
              <w:snapToGrid w:val="0"/>
              <w:ind w:firstLine="0"/>
              <w:jc w:val="center"/>
              <w:rPr>
                <w:rFonts w:eastAsia="宋体" w:cs="Calibri"/>
                <w:kern w:val="0"/>
              </w:rPr>
            </w:pPr>
            <w:r>
              <w:rPr>
                <w:rFonts w:eastAsia="宋体" w:cs="Calibri"/>
                <w:kern w:val="0"/>
              </w:rPr>
              <w:t>颜色</w:t>
            </w:r>
          </w:p>
        </w:tc>
        <w:tc>
          <w:tcPr>
            <w:tcW w:w="4479" w:type="dxa"/>
            <w:vAlign w:val="center"/>
          </w:tcPr>
          <w:p>
            <w:pPr>
              <w:snapToGrid w:val="0"/>
              <w:spacing w:line="0" w:lineRule="atLeast"/>
              <w:jc w:val="center"/>
              <w:rPr>
                <w:rFonts w:ascii="Times New Roman" w:hAnsi="Times New Roman"/>
                <w:kern w:val="0"/>
                <w:szCs w:val="21"/>
              </w:rPr>
            </w:pPr>
            <w:r>
              <w:rPr>
                <w:rFonts w:hint="eastAsia" w:ascii="Times New Roman" w:hAnsi="Times New Roman"/>
                <w:kern w:val="0"/>
              </w:rPr>
              <w:t>黄壤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8" w:type="dxa"/>
            <w:vMerge w:val="continue"/>
            <w:vAlign w:val="center"/>
          </w:tcPr>
          <w:p>
            <w:pPr>
              <w:pStyle w:val="41"/>
              <w:adjustRightInd w:val="0"/>
              <w:snapToGrid w:val="0"/>
              <w:ind w:firstLine="0"/>
              <w:jc w:val="center"/>
              <w:rPr>
                <w:rFonts w:eastAsia="宋体" w:cs="Calibri"/>
                <w:bCs/>
                <w:kern w:val="0"/>
              </w:rPr>
            </w:pPr>
          </w:p>
        </w:tc>
        <w:tc>
          <w:tcPr>
            <w:tcW w:w="2494" w:type="dxa"/>
            <w:vAlign w:val="center"/>
          </w:tcPr>
          <w:p>
            <w:pPr>
              <w:pStyle w:val="41"/>
              <w:adjustRightInd w:val="0"/>
              <w:snapToGrid w:val="0"/>
              <w:ind w:firstLine="0"/>
              <w:jc w:val="center"/>
              <w:rPr>
                <w:rFonts w:eastAsia="宋体" w:cs="Calibri"/>
                <w:kern w:val="0"/>
              </w:rPr>
            </w:pPr>
            <w:r>
              <w:rPr>
                <w:rFonts w:eastAsia="宋体" w:cs="Calibri"/>
                <w:kern w:val="0"/>
              </w:rPr>
              <w:t>结构</w:t>
            </w:r>
          </w:p>
        </w:tc>
        <w:tc>
          <w:tcPr>
            <w:tcW w:w="4479" w:type="dxa"/>
            <w:vAlign w:val="center"/>
          </w:tcPr>
          <w:p>
            <w:pPr>
              <w:snapToGrid w:val="0"/>
              <w:spacing w:line="0" w:lineRule="atLeast"/>
              <w:jc w:val="center"/>
              <w:rPr>
                <w:rFonts w:ascii="Times New Roman" w:hAnsi="Times New Roman"/>
                <w:kern w:val="0"/>
                <w:szCs w:val="21"/>
              </w:rPr>
            </w:pPr>
            <w:r>
              <w:rPr>
                <w:rFonts w:hint="eastAsia" w:ascii="Times New Roman" w:hAnsi="Times New Roman"/>
                <w:kern w:val="0"/>
              </w:rPr>
              <w:t>块状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8" w:type="dxa"/>
            <w:vMerge w:val="continue"/>
            <w:vAlign w:val="center"/>
          </w:tcPr>
          <w:p>
            <w:pPr>
              <w:pStyle w:val="41"/>
              <w:adjustRightInd w:val="0"/>
              <w:snapToGrid w:val="0"/>
              <w:ind w:firstLine="0"/>
              <w:jc w:val="center"/>
              <w:rPr>
                <w:rFonts w:eastAsia="宋体" w:cs="Calibri"/>
                <w:bCs/>
                <w:kern w:val="0"/>
              </w:rPr>
            </w:pPr>
          </w:p>
        </w:tc>
        <w:tc>
          <w:tcPr>
            <w:tcW w:w="2494" w:type="dxa"/>
            <w:vAlign w:val="center"/>
          </w:tcPr>
          <w:p>
            <w:pPr>
              <w:pStyle w:val="41"/>
              <w:adjustRightInd w:val="0"/>
              <w:snapToGrid w:val="0"/>
              <w:ind w:firstLine="0"/>
              <w:jc w:val="center"/>
              <w:rPr>
                <w:rFonts w:eastAsia="宋体" w:cs="Calibri"/>
                <w:kern w:val="0"/>
              </w:rPr>
            </w:pPr>
            <w:r>
              <w:rPr>
                <w:rFonts w:eastAsia="宋体" w:cs="Calibri"/>
                <w:kern w:val="0"/>
              </w:rPr>
              <w:t>质地</w:t>
            </w:r>
          </w:p>
        </w:tc>
        <w:tc>
          <w:tcPr>
            <w:tcW w:w="4479" w:type="dxa"/>
            <w:vAlign w:val="center"/>
          </w:tcPr>
          <w:p>
            <w:pPr>
              <w:snapToGrid w:val="0"/>
              <w:spacing w:line="0" w:lineRule="atLeast"/>
              <w:jc w:val="center"/>
              <w:rPr>
                <w:rFonts w:ascii="Times New Roman" w:hAnsi="Times New Roman"/>
                <w:kern w:val="0"/>
                <w:szCs w:val="21"/>
              </w:rPr>
            </w:pPr>
            <w:r>
              <w:rPr>
                <w:rFonts w:hint="eastAsia" w:ascii="Times New Roman" w:hAnsi="Times New Roman"/>
                <w:kern w:val="0"/>
              </w:rPr>
              <w:t>壤土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8" w:type="dxa"/>
            <w:vMerge w:val="continue"/>
            <w:vAlign w:val="center"/>
          </w:tcPr>
          <w:p>
            <w:pPr>
              <w:pStyle w:val="41"/>
              <w:adjustRightInd w:val="0"/>
              <w:snapToGrid w:val="0"/>
              <w:ind w:firstLine="0"/>
              <w:jc w:val="center"/>
              <w:rPr>
                <w:rFonts w:eastAsia="宋体" w:cs="Calibri"/>
                <w:bCs/>
                <w:kern w:val="0"/>
              </w:rPr>
            </w:pPr>
          </w:p>
        </w:tc>
        <w:tc>
          <w:tcPr>
            <w:tcW w:w="2494" w:type="dxa"/>
            <w:vAlign w:val="center"/>
          </w:tcPr>
          <w:p>
            <w:pPr>
              <w:pStyle w:val="41"/>
              <w:adjustRightInd w:val="0"/>
              <w:snapToGrid w:val="0"/>
              <w:ind w:firstLine="0"/>
              <w:jc w:val="center"/>
              <w:rPr>
                <w:rFonts w:eastAsia="宋体" w:cs="Calibri"/>
                <w:kern w:val="0"/>
              </w:rPr>
            </w:pPr>
            <w:r>
              <w:rPr>
                <w:rFonts w:eastAsia="宋体" w:cs="Calibri"/>
                <w:kern w:val="0"/>
              </w:rPr>
              <w:t>砂砾含量</w:t>
            </w:r>
          </w:p>
        </w:tc>
        <w:tc>
          <w:tcPr>
            <w:tcW w:w="4479" w:type="dxa"/>
            <w:vAlign w:val="center"/>
          </w:tcPr>
          <w:p>
            <w:pPr>
              <w:snapToGrid w:val="0"/>
              <w:spacing w:line="0" w:lineRule="atLeast"/>
              <w:jc w:val="center"/>
              <w:rPr>
                <w:rFonts w:ascii="Times New Roman" w:hAnsi="Times New Roman"/>
                <w:kern w:val="0"/>
                <w:szCs w:val="21"/>
              </w:rPr>
            </w:pPr>
            <w:r>
              <w:rPr>
                <w:rFonts w:hint="eastAsia" w:ascii="Times New Roman" w:hAnsi="Times New Roman"/>
                <w:kern w:val="0"/>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8" w:type="dxa"/>
            <w:vMerge w:val="continue"/>
            <w:vAlign w:val="center"/>
          </w:tcPr>
          <w:p>
            <w:pPr>
              <w:pStyle w:val="41"/>
              <w:adjustRightInd w:val="0"/>
              <w:snapToGrid w:val="0"/>
              <w:ind w:firstLine="0"/>
              <w:jc w:val="center"/>
              <w:rPr>
                <w:rFonts w:eastAsia="宋体" w:cs="Calibri"/>
                <w:bCs/>
                <w:kern w:val="0"/>
              </w:rPr>
            </w:pPr>
          </w:p>
        </w:tc>
        <w:tc>
          <w:tcPr>
            <w:tcW w:w="2494" w:type="dxa"/>
            <w:vAlign w:val="center"/>
          </w:tcPr>
          <w:p>
            <w:pPr>
              <w:pStyle w:val="41"/>
              <w:adjustRightInd w:val="0"/>
              <w:snapToGrid w:val="0"/>
              <w:ind w:firstLine="0"/>
              <w:jc w:val="center"/>
              <w:rPr>
                <w:rFonts w:eastAsia="宋体" w:cs="Calibri"/>
                <w:kern w:val="0"/>
              </w:rPr>
            </w:pPr>
            <w:r>
              <w:rPr>
                <w:rFonts w:eastAsia="宋体" w:cs="Calibri"/>
                <w:kern w:val="0"/>
              </w:rPr>
              <w:t>其他异物</w:t>
            </w:r>
          </w:p>
        </w:tc>
        <w:tc>
          <w:tcPr>
            <w:tcW w:w="4479" w:type="dxa"/>
            <w:vAlign w:val="center"/>
          </w:tcPr>
          <w:p>
            <w:pPr>
              <w:snapToGrid w:val="0"/>
              <w:spacing w:line="0" w:lineRule="atLeast"/>
              <w:jc w:val="center"/>
              <w:rPr>
                <w:rFonts w:ascii="Times New Roman" w:hAnsi="Times New Roman"/>
                <w:kern w:val="0"/>
                <w:szCs w:val="21"/>
              </w:rPr>
            </w:pPr>
            <w:r>
              <w:rPr>
                <w:rFonts w:hint="eastAsia" w:ascii="Times New Roman" w:hAnsi="Times New Roman"/>
                <w:kern w:val="0"/>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8" w:type="dxa"/>
            <w:vMerge w:val="restart"/>
            <w:vAlign w:val="center"/>
          </w:tcPr>
          <w:p>
            <w:pPr>
              <w:pStyle w:val="41"/>
              <w:adjustRightInd w:val="0"/>
              <w:snapToGrid w:val="0"/>
              <w:ind w:firstLine="0"/>
              <w:jc w:val="center"/>
              <w:rPr>
                <w:rFonts w:eastAsia="宋体" w:cs="Calibri"/>
                <w:bCs/>
                <w:kern w:val="0"/>
              </w:rPr>
            </w:pPr>
            <w:r>
              <w:rPr>
                <w:rFonts w:eastAsia="宋体" w:cs="Calibri"/>
                <w:bCs/>
                <w:kern w:val="0"/>
              </w:rPr>
              <w:t>理化指标</w:t>
            </w:r>
          </w:p>
        </w:tc>
        <w:tc>
          <w:tcPr>
            <w:tcW w:w="2494" w:type="dxa"/>
            <w:vAlign w:val="center"/>
          </w:tcPr>
          <w:p>
            <w:pPr>
              <w:pStyle w:val="41"/>
              <w:adjustRightInd w:val="0"/>
              <w:snapToGrid w:val="0"/>
              <w:ind w:firstLine="0"/>
              <w:jc w:val="center"/>
              <w:rPr>
                <w:rFonts w:eastAsia="宋体" w:cs="Calibri"/>
                <w:kern w:val="0"/>
              </w:rPr>
            </w:pPr>
            <w:r>
              <w:rPr>
                <w:rFonts w:eastAsia="宋体" w:cs="Calibri"/>
                <w:kern w:val="0"/>
              </w:rPr>
              <w:t>pH</w:t>
            </w:r>
            <w:r>
              <w:rPr>
                <w:rFonts w:eastAsia="宋体" w:cs="Calibri"/>
              </w:rPr>
              <w:t>（无量纲）</w:t>
            </w:r>
          </w:p>
        </w:tc>
        <w:tc>
          <w:tcPr>
            <w:tcW w:w="4479" w:type="dxa"/>
            <w:vAlign w:val="center"/>
          </w:tcPr>
          <w:p>
            <w:pPr>
              <w:snapToGrid w:val="0"/>
              <w:spacing w:line="0" w:lineRule="atLeast"/>
              <w:jc w:val="center"/>
              <w:rPr>
                <w:rFonts w:ascii="Times New Roman" w:hAnsi="Times New Roman"/>
                <w:kern w:val="0"/>
                <w:szCs w:val="21"/>
              </w:rPr>
            </w:pPr>
            <w:r>
              <w:rPr>
                <w:rFonts w:hint="eastAsia" w:ascii="Times New Roman" w:hAnsi="Times New Roman"/>
                <w:kern w:val="0"/>
              </w:rPr>
              <w:t>8.25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8" w:type="dxa"/>
            <w:vMerge w:val="continue"/>
            <w:vAlign w:val="center"/>
          </w:tcPr>
          <w:p>
            <w:pPr>
              <w:pStyle w:val="41"/>
              <w:adjustRightInd w:val="0"/>
              <w:snapToGrid w:val="0"/>
              <w:ind w:firstLine="0"/>
              <w:jc w:val="center"/>
              <w:rPr>
                <w:rFonts w:eastAsia="宋体" w:cs="Calibri"/>
                <w:kern w:val="0"/>
              </w:rPr>
            </w:pPr>
          </w:p>
        </w:tc>
        <w:tc>
          <w:tcPr>
            <w:tcW w:w="2494" w:type="dxa"/>
            <w:vAlign w:val="center"/>
          </w:tcPr>
          <w:p>
            <w:pPr>
              <w:pStyle w:val="41"/>
              <w:adjustRightInd w:val="0"/>
              <w:snapToGrid w:val="0"/>
              <w:ind w:firstLine="0"/>
              <w:jc w:val="center"/>
              <w:rPr>
                <w:rFonts w:eastAsia="宋体" w:cs="Calibri"/>
                <w:kern w:val="0"/>
              </w:rPr>
            </w:pPr>
            <w:r>
              <w:rPr>
                <w:rFonts w:eastAsia="宋体" w:cs="Calibri"/>
                <w:kern w:val="0"/>
              </w:rPr>
              <w:t>阳离子交换量</w:t>
            </w:r>
            <w:r>
              <w:rPr>
                <w:rFonts w:eastAsia="宋体" w:cs="Calibri"/>
              </w:rPr>
              <w:t>（cmol</w:t>
            </w:r>
            <w:r>
              <w:rPr>
                <w:rFonts w:eastAsia="宋体" w:cs="Calibri"/>
                <w:vertAlign w:val="superscript"/>
              </w:rPr>
              <w:t>+</w:t>
            </w:r>
            <w:r>
              <w:rPr>
                <w:rFonts w:eastAsia="宋体" w:cs="Calibri"/>
              </w:rPr>
              <w:t>/kg）</w:t>
            </w:r>
          </w:p>
        </w:tc>
        <w:tc>
          <w:tcPr>
            <w:tcW w:w="4479" w:type="dxa"/>
            <w:vAlign w:val="center"/>
          </w:tcPr>
          <w:p>
            <w:pPr>
              <w:snapToGrid w:val="0"/>
              <w:spacing w:line="0" w:lineRule="atLeast"/>
              <w:jc w:val="center"/>
              <w:rPr>
                <w:rFonts w:ascii="Times New Roman" w:hAnsi="Times New Roman"/>
                <w:kern w:val="0"/>
                <w:szCs w:val="21"/>
              </w:rPr>
            </w:pPr>
            <w:r>
              <w:rPr>
                <w:rFonts w:hint="eastAsia" w:ascii="Times New Roman" w:hAnsi="Times New Roman"/>
                <w:kern w:val="0"/>
              </w:rPr>
              <w:t>4.28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8" w:type="dxa"/>
            <w:vMerge w:val="continue"/>
            <w:vAlign w:val="center"/>
          </w:tcPr>
          <w:p>
            <w:pPr>
              <w:pStyle w:val="41"/>
              <w:adjustRightInd w:val="0"/>
              <w:snapToGrid w:val="0"/>
              <w:ind w:firstLine="0"/>
              <w:jc w:val="center"/>
              <w:rPr>
                <w:rFonts w:eastAsia="宋体" w:cs="Calibri"/>
                <w:kern w:val="0"/>
              </w:rPr>
            </w:pPr>
          </w:p>
        </w:tc>
        <w:tc>
          <w:tcPr>
            <w:tcW w:w="2494" w:type="dxa"/>
            <w:vAlign w:val="center"/>
          </w:tcPr>
          <w:p>
            <w:pPr>
              <w:pStyle w:val="41"/>
              <w:adjustRightInd w:val="0"/>
              <w:snapToGrid w:val="0"/>
              <w:ind w:firstLine="0"/>
              <w:jc w:val="center"/>
              <w:rPr>
                <w:rFonts w:eastAsia="宋体" w:cs="Calibri"/>
                <w:kern w:val="0"/>
              </w:rPr>
            </w:pPr>
            <w:r>
              <w:rPr>
                <w:rFonts w:eastAsia="宋体" w:cs="Calibri"/>
                <w:kern w:val="0"/>
              </w:rPr>
              <w:t>氧化还原电位（</w:t>
            </w:r>
            <w:r>
              <w:rPr>
                <w:rFonts w:eastAsia="宋体" w:cs="Calibri"/>
              </w:rPr>
              <w:t>mV</w:t>
            </w:r>
            <w:r>
              <w:rPr>
                <w:rFonts w:eastAsia="宋体" w:cs="Calibri"/>
                <w:kern w:val="0"/>
              </w:rPr>
              <w:t>）</w:t>
            </w:r>
          </w:p>
        </w:tc>
        <w:tc>
          <w:tcPr>
            <w:tcW w:w="4479" w:type="dxa"/>
            <w:vAlign w:val="center"/>
          </w:tcPr>
          <w:p>
            <w:pPr>
              <w:snapToGrid w:val="0"/>
              <w:spacing w:line="0" w:lineRule="atLeast"/>
              <w:jc w:val="center"/>
              <w:rPr>
                <w:rFonts w:ascii="Times New Roman" w:hAnsi="Times New Roman"/>
                <w:kern w:val="0"/>
                <w:szCs w:val="21"/>
              </w:rPr>
            </w:pPr>
            <w:r>
              <w:rPr>
                <w:rFonts w:hint="eastAsia" w:ascii="Times New Roman" w:hAnsi="Times New Roman"/>
                <w:kern w:val="0"/>
              </w:rPr>
              <w:t>542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8" w:type="dxa"/>
            <w:vMerge w:val="continue"/>
            <w:vAlign w:val="center"/>
          </w:tcPr>
          <w:p>
            <w:pPr>
              <w:pStyle w:val="41"/>
              <w:adjustRightInd w:val="0"/>
              <w:snapToGrid w:val="0"/>
              <w:ind w:firstLine="0"/>
              <w:jc w:val="center"/>
              <w:rPr>
                <w:rFonts w:eastAsia="宋体" w:cs="Calibri"/>
                <w:kern w:val="0"/>
              </w:rPr>
            </w:pPr>
          </w:p>
        </w:tc>
        <w:tc>
          <w:tcPr>
            <w:tcW w:w="2494" w:type="dxa"/>
            <w:vAlign w:val="center"/>
          </w:tcPr>
          <w:p>
            <w:pPr>
              <w:pStyle w:val="41"/>
              <w:adjustRightInd w:val="0"/>
              <w:snapToGrid w:val="0"/>
              <w:ind w:firstLine="0"/>
              <w:jc w:val="center"/>
              <w:rPr>
                <w:rFonts w:eastAsia="宋体" w:cs="Calibri"/>
                <w:kern w:val="0"/>
              </w:rPr>
            </w:pPr>
            <w:r>
              <w:rPr>
                <w:rFonts w:eastAsia="宋体" w:cs="Calibri"/>
                <w:kern w:val="0"/>
              </w:rPr>
              <w:t>饱和导水率</w:t>
            </w:r>
            <w:r>
              <w:rPr>
                <w:rFonts w:eastAsia="宋体" w:cs="Calibri"/>
              </w:rPr>
              <w:t>（mm/min）</w:t>
            </w:r>
          </w:p>
        </w:tc>
        <w:tc>
          <w:tcPr>
            <w:tcW w:w="4479" w:type="dxa"/>
            <w:vAlign w:val="center"/>
          </w:tcPr>
          <w:p>
            <w:pPr>
              <w:snapToGrid w:val="0"/>
              <w:spacing w:line="0" w:lineRule="atLeast"/>
              <w:jc w:val="center"/>
              <w:rPr>
                <w:rFonts w:ascii="Times New Roman" w:hAnsi="Times New Roman"/>
                <w:kern w:val="0"/>
                <w:szCs w:val="21"/>
              </w:rPr>
            </w:pPr>
            <w:r>
              <w:rPr>
                <w:rFonts w:hint="eastAsia" w:ascii="Times New Roman" w:hAnsi="Times New Roman"/>
                <w:kern w:val="0"/>
              </w:rPr>
              <w:t>0.48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8" w:type="dxa"/>
            <w:vMerge w:val="continue"/>
            <w:vAlign w:val="center"/>
          </w:tcPr>
          <w:p>
            <w:pPr>
              <w:pStyle w:val="41"/>
              <w:adjustRightInd w:val="0"/>
              <w:snapToGrid w:val="0"/>
              <w:ind w:firstLine="0"/>
              <w:jc w:val="center"/>
              <w:rPr>
                <w:rFonts w:eastAsia="宋体" w:cs="Calibri"/>
                <w:kern w:val="0"/>
              </w:rPr>
            </w:pPr>
          </w:p>
        </w:tc>
        <w:tc>
          <w:tcPr>
            <w:tcW w:w="2494" w:type="dxa"/>
            <w:vAlign w:val="center"/>
          </w:tcPr>
          <w:p>
            <w:pPr>
              <w:pStyle w:val="41"/>
              <w:adjustRightInd w:val="0"/>
              <w:snapToGrid w:val="0"/>
              <w:ind w:firstLine="0"/>
              <w:jc w:val="center"/>
              <w:rPr>
                <w:rFonts w:eastAsia="宋体" w:cs="Calibri"/>
                <w:kern w:val="0"/>
              </w:rPr>
            </w:pPr>
            <w:r>
              <w:rPr>
                <w:rFonts w:eastAsia="宋体" w:cs="Calibri"/>
                <w:kern w:val="0"/>
              </w:rPr>
              <w:t>土壤容重（g/</w:t>
            </w:r>
            <w:r>
              <w:rPr>
                <w:rFonts w:eastAsia="宋体" w:cs="Calibri"/>
              </w:rPr>
              <w:t xml:space="preserve"> m</w:t>
            </w:r>
            <w:r>
              <w:rPr>
                <w:rFonts w:eastAsia="宋体" w:cs="Calibri"/>
                <w:vertAlign w:val="superscript"/>
              </w:rPr>
              <w:t>3</w:t>
            </w:r>
            <w:r>
              <w:rPr>
                <w:rFonts w:eastAsia="宋体" w:cs="Calibri"/>
                <w:kern w:val="0"/>
              </w:rPr>
              <w:t>）</w:t>
            </w:r>
          </w:p>
        </w:tc>
        <w:tc>
          <w:tcPr>
            <w:tcW w:w="4479" w:type="dxa"/>
            <w:vAlign w:val="center"/>
          </w:tcPr>
          <w:p>
            <w:pPr>
              <w:snapToGrid w:val="0"/>
              <w:spacing w:line="0" w:lineRule="atLeast"/>
              <w:jc w:val="center"/>
              <w:rPr>
                <w:rFonts w:ascii="Times New Roman" w:hAnsi="Times New Roman"/>
                <w:kern w:val="0"/>
                <w:szCs w:val="21"/>
              </w:rPr>
            </w:pPr>
            <w:r>
              <w:rPr>
                <w:rFonts w:hint="eastAsia" w:ascii="Times New Roman" w:hAnsi="Times New Roman"/>
                <w:kern w:val="0"/>
              </w:rPr>
              <w:t>1.43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8" w:type="dxa"/>
            <w:vMerge w:val="continue"/>
            <w:vAlign w:val="center"/>
          </w:tcPr>
          <w:p>
            <w:pPr>
              <w:pStyle w:val="41"/>
              <w:adjustRightInd w:val="0"/>
              <w:snapToGrid w:val="0"/>
              <w:ind w:firstLine="0"/>
              <w:jc w:val="center"/>
              <w:rPr>
                <w:rFonts w:eastAsia="宋体" w:cs="Calibri"/>
                <w:kern w:val="0"/>
              </w:rPr>
            </w:pPr>
          </w:p>
        </w:tc>
        <w:tc>
          <w:tcPr>
            <w:tcW w:w="2494" w:type="dxa"/>
            <w:vAlign w:val="center"/>
          </w:tcPr>
          <w:p>
            <w:pPr>
              <w:pStyle w:val="41"/>
              <w:adjustRightInd w:val="0"/>
              <w:snapToGrid w:val="0"/>
              <w:ind w:firstLine="0"/>
              <w:jc w:val="center"/>
              <w:rPr>
                <w:rFonts w:eastAsia="宋体" w:cs="Calibri"/>
                <w:kern w:val="0"/>
              </w:rPr>
            </w:pPr>
            <w:r>
              <w:rPr>
                <w:rFonts w:eastAsia="宋体" w:cs="Calibri"/>
                <w:kern w:val="0"/>
              </w:rPr>
              <w:t>孔隙度（%）</w:t>
            </w:r>
          </w:p>
        </w:tc>
        <w:tc>
          <w:tcPr>
            <w:tcW w:w="4479" w:type="dxa"/>
            <w:vAlign w:val="center"/>
          </w:tcPr>
          <w:p>
            <w:pPr>
              <w:snapToGrid w:val="0"/>
              <w:spacing w:line="0" w:lineRule="atLeast"/>
              <w:jc w:val="center"/>
              <w:rPr>
                <w:rFonts w:ascii="Times New Roman" w:hAnsi="Times New Roman"/>
                <w:kern w:val="0"/>
                <w:szCs w:val="21"/>
              </w:rPr>
            </w:pPr>
            <w:r>
              <w:rPr>
                <w:rFonts w:hint="eastAsia" w:ascii="Times New Roman" w:hAnsi="Times New Roman"/>
                <w:kern w:val="0"/>
              </w:rPr>
              <w:t>27.0</w:t>
            </w:r>
          </w:p>
        </w:tc>
      </w:tr>
    </w:tbl>
    <w:p>
      <w:pPr>
        <w:autoSpaceDE w:val="0"/>
        <w:adjustRightInd w:val="0"/>
        <w:snapToGrid w:val="0"/>
        <w:jc w:val="center"/>
        <w:rPr>
          <w:rFonts w:ascii="Times New Roman" w:hAnsi="Times New Roman"/>
          <w:b/>
          <w:bCs/>
          <w:sz w:val="24"/>
        </w:rPr>
      </w:pPr>
      <w:r>
        <w:rPr>
          <w:rFonts w:ascii="Times New Roman" w:hAnsi="Times New Roman"/>
          <w:b/>
          <w:bCs/>
          <w:snapToGrid w:val="0"/>
          <w:sz w:val="24"/>
          <w:szCs w:val="32"/>
        </w:rPr>
        <w:t>表3.2-</w:t>
      </w:r>
      <w:r>
        <w:rPr>
          <w:rFonts w:hint="eastAsia" w:ascii="Times New Roman" w:hAnsi="Times New Roman"/>
          <w:b/>
          <w:bCs/>
          <w:snapToGrid w:val="0"/>
          <w:sz w:val="24"/>
          <w:szCs w:val="32"/>
        </w:rPr>
        <w:t>16</w:t>
      </w:r>
      <w:r>
        <w:rPr>
          <w:rFonts w:ascii="Times New Roman" w:hAnsi="Times New Roman"/>
          <w:b/>
          <w:bCs/>
          <w:snapToGrid w:val="0"/>
          <w:sz w:val="24"/>
          <w:szCs w:val="32"/>
        </w:rPr>
        <w:t xml:space="preserve">     本项目土壤环境监测结果一览表     单位：mg/kg</w:t>
      </w:r>
    </w:p>
    <w:tbl>
      <w:tblPr>
        <w:tblStyle w:val="29"/>
        <w:tblW w:w="904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25"/>
        <w:gridCol w:w="779"/>
        <w:gridCol w:w="743"/>
        <w:gridCol w:w="742"/>
        <w:gridCol w:w="692"/>
        <w:gridCol w:w="730"/>
        <w:gridCol w:w="817"/>
        <w:gridCol w:w="730"/>
        <w:gridCol w:w="830"/>
        <w:gridCol w:w="8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2125" w:type="dxa"/>
            <w:vMerge w:val="restart"/>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样品编号</w:t>
            </w:r>
          </w:p>
        </w:tc>
        <w:tc>
          <w:tcPr>
            <w:tcW w:w="6923" w:type="dxa"/>
            <w:gridSpan w:val="9"/>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检测结果(mg/kg)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125" w:type="dxa"/>
            <w:vMerge w:val="continue"/>
            <w:tcBorders>
              <w:tl2br w:val="nil"/>
              <w:tr2bl w:val="nil"/>
            </w:tcBorders>
            <w:vAlign w:val="center"/>
          </w:tcPr>
          <w:p>
            <w:pPr>
              <w:spacing w:line="0" w:lineRule="atLeast"/>
              <w:jc w:val="center"/>
              <w:rPr>
                <w:rFonts w:ascii="Times New Roman" w:hAnsi="Times New Roman"/>
                <w:sz w:val="22"/>
              </w:rPr>
            </w:pPr>
          </w:p>
        </w:tc>
        <w:tc>
          <w:tcPr>
            <w:tcW w:w="779"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rPr>
              <w:t>PH</w:t>
            </w:r>
          </w:p>
        </w:tc>
        <w:tc>
          <w:tcPr>
            <w:tcW w:w="743" w:type="dxa"/>
            <w:tcBorders>
              <w:tl2br w:val="nil"/>
              <w:tr2bl w:val="nil"/>
            </w:tcBorders>
            <w:vAlign w:val="center"/>
          </w:tcPr>
          <w:p>
            <w:pPr>
              <w:spacing w:line="0" w:lineRule="atLeast"/>
              <w:jc w:val="center"/>
              <w:rPr>
                <w:rFonts w:ascii="Times New Roman" w:hAnsi="Times New Roman"/>
                <w:sz w:val="22"/>
                <w:szCs w:val="21"/>
              </w:rPr>
            </w:pPr>
            <w:r>
              <w:rPr>
                <w:rFonts w:hint="eastAsia" w:ascii="Times New Roman" w:hAnsi="Times New Roman"/>
              </w:rPr>
              <w:t>铅</w:t>
            </w:r>
          </w:p>
        </w:tc>
        <w:tc>
          <w:tcPr>
            <w:tcW w:w="742" w:type="dxa"/>
            <w:tcBorders>
              <w:tl2br w:val="nil"/>
              <w:tr2bl w:val="nil"/>
            </w:tcBorders>
            <w:vAlign w:val="center"/>
          </w:tcPr>
          <w:p>
            <w:pPr>
              <w:spacing w:line="0" w:lineRule="atLeast"/>
              <w:jc w:val="center"/>
              <w:rPr>
                <w:rFonts w:ascii="Times New Roman" w:hAnsi="Times New Roman"/>
                <w:sz w:val="22"/>
                <w:szCs w:val="21"/>
              </w:rPr>
            </w:pPr>
            <w:r>
              <w:rPr>
                <w:rFonts w:hint="eastAsia" w:ascii="Times New Roman" w:hAnsi="Times New Roman"/>
              </w:rPr>
              <w:t>镉</w:t>
            </w:r>
          </w:p>
        </w:tc>
        <w:tc>
          <w:tcPr>
            <w:tcW w:w="692" w:type="dxa"/>
            <w:tcBorders>
              <w:tl2br w:val="nil"/>
              <w:tr2bl w:val="nil"/>
            </w:tcBorders>
            <w:vAlign w:val="center"/>
          </w:tcPr>
          <w:p>
            <w:pPr>
              <w:spacing w:line="0" w:lineRule="atLeast"/>
              <w:jc w:val="center"/>
              <w:rPr>
                <w:rFonts w:ascii="Times New Roman" w:hAnsi="Times New Roman"/>
                <w:sz w:val="22"/>
                <w:szCs w:val="21"/>
              </w:rPr>
            </w:pPr>
            <w:r>
              <w:rPr>
                <w:rFonts w:hint="eastAsia" w:ascii="Times New Roman" w:hAnsi="Times New Roman"/>
              </w:rPr>
              <w:t>锌</w:t>
            </w:r>
          </w:p>
        </w:tc>
        <w:tc>
          <w:tcPr>
            <w:tcW w:w="730" w:type="dxa"/>
            <w:tcBorders>
              <w:tl2br w:val="nil"/>
              <w:tr2bl w:val="nil"/>
            </w:tcBorders>
            <w:vAlign w:val="center"/>
          </w:tcPr>
          <w:p>
            <w:pPr>
              <w:spacing w:line="0" w:lineRule="atLeast"/>
              <w:jc w:val="center"/>
              <w:rPr>
                <w:rFonts w:ascii="Times New Roman" w:hAnsi="Times New Roman"/>
                <w:sz w:val="22"/>
                <w:szCs w:val="21"/>
              </w:rPr>
            </w:pPr>
            <w:r>
              <w:rPr>
                <w:rFonts w:hint="eastAsia" w:ascii="Times New Roman" w:hAnsi="Times New Roman"/>
              </w:rPr>
              <w:t>铜</w:t>
            </w:r>
          </w:p>
        </w:tc>
        <w:tc>
          <w:tcPr>
            <w:tcW w:w="817" w:type="dxa"/>
            <w:tcBorders>
              <w:tl2br w:val="nil"/>
              <w:tr2bl w:val="nil"/>
            </w:tcBorders>
            <w:vAlign w:val="center"/>
          </w:tcPr>
          <w:p>
            <w:pPr>
              <w:spacing w:line="0" w:lineRule="atLeast"/>
              <w:jc w:val="center"/>
              <w:rPr>
                <w:rFonts w:ascii="Times New Roman" w:hAnsi="Times New Roman"/>
                <w:sz w:val="22"/>
                <w:szCs w:val="21"/>
              </w:rPr>
            </w:pPr>
            <w:r>
              <w:rPr>
                <w:rFonts w:hint="eastAsia" w:ascii="Times New Roman" w:hAnsi="Times New Roman"/>
              </w:rPr>
              <w:t>砷</w:t>
            </w:r>
          </w:p>
        </w:tc>
        <w:tc>
          <w:tcPr>
            <w:tcW w:w="730" w:type="dxa"/>
            <w:tcBorders>
              <w:tl2br w:val="nil"/>
              <w:tr2bl w:val="nil"/>
            </w:tcBorders>
            <w:vAlign w:val="center"/>
          </w:tcPr>
          <w:p>
            <w:pPr>
              <w:spacing w:line="0" w:lineRule="atLeast"/>
              <w:jc w:val="center"/>
              <w:rPr>
                <w:rFonts w:ascii="Times New Roman" w:hAnsi="Times New Roman"/>
                <w:sz w:val="22"/>
                <w:szCs w:val="21"/>
              </w:rPr>
            </w:pPr>
            <w:r>
              <w:rPr>
                <w:rFonts w:hint="eastAsia" w:ascii="Times New Roman" w:hAnsi="Times New Roman"/>
              </w:rPr>
              <w:t>汞</w:t>
            </w:r>
          </w:p>
        </w:tc>
        <w:tc>
          <w:tcPr>
            <w:tcW w:w="830" w:type="dxa"/>
            <w:tcBorders>
              <w:tl2br w:val="nil"/>
              <w:tr2bl w:val="nil"/>
            </w:tcBorders>
            <w:vAlign w:val="center"/>
          </w:tcPr>
          <w:p>
            <w:pPr>
              <w:spacing w:line="0" w:lineRule="atLeast"/>
              <w:jc w:val="center"/>
              <w:rPr>
                <w:rFonts w:ascii="Times New Roman" w:hAnsi="Times New Roman"/>
                <w:sz w:val="22"/>
                <w:szCs w:val="21"/>
              </w:rPr>
            </w:pPr>
            <w:r>
              <w:rPr>
                <w:rFonts w:hint="eastAsia" w:ascii="Times New Roman" w:hAnsi="Times New Roman"/>
              </w:rPr>
              <w:t>镍</w:t>
            </w:r>
          </w:p>
        </w:tc>
        <w:tc>
          <w:tcPr>
            <w:tcW w:w="860" w:type="dxa"/>
            <w:tcBorders>
              <w:tl2br w:val="nil"/>
              <w:tr2bl w:val="nil"/>
            </w:tcBorders>
            <w:vAlign w:val="center"/>
          </w:tcPr>
          <w:p>
            <w:pPr>
              <w:spacing w:line="0" w:lineRule="atLeast"/>
              <w:jc w:val="center"/>
              <w:rPr>
                <w:rFonts w:ascii="Times New Roman" w:hAnsi="Times New Roman"/>
              </w:rPr>
            </w:pPr>
            <w:r>
              <w:rPr>
                <w:rFonts w:hint="eastAsia" w:ascii="Times New Roman" w:hAnsi="Times New Roman"/>
              </w:rPr>
              <w:t>铬</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2125" w:type="dxa"/>
            <w:tcBorders>
              <w:tl2br w:val="nil"/>
              <w:tr2bl w:val="nil"/>
            </w:tcBorders>
            <w:vAlign w:val="center"/>
          </w:tcPr>
          <w:p>
            <w:pPr>
              <w:jc w:val="center"/>
              <w:rPr>
                <w:rFonts w:ascii="Times New Roman" w:hAnsi="Times New Roman"/>
              </w:rPr>
            </w:pPr>
            <w:r>
              <w:rPr>
                <w:rFonts w:hint="eastAsia" w:ascii="Times New Roman" w:hAnsi="Times New Roman"/>
              </w:rPr>
              <w:t>TR-2204-18-1</w:t>
            </w:r>
          </w:p>
        </w:tc>
        <w:tc>
          <w:tcPr>
            <w:tcW w:w="779"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6.78</w:t>
            </w:r>
          </w:p>
        </w:tc>
        <w:tc>
          <w:tcPr>
            <w:tcW w:w="743"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19.4</w:t>
            </w:r>
          </w:p>
        </w:tc>
        <w:tc>
          <w:tcPr>
            <w:tcW w:w="74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0.084</w:t>
            </w:r>
          </w:p>
        </w:tc>
        <w:tc>
          <w:tcPr>
            <w:tcW w:w="69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55.0</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24.7</w:t>
            </w:r>
          </w:p>
        </w:tc>
        <w:tc>
          <w:tcPr>
            <w:tcW w:w="817"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10.8</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0.020</w:t>
            </w:r>
          </w:p>
        </w:tc>
        <w:tc>
          <w:tcPr>
            <w:tcW w:w="8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27.3</w:t>
            </w:r>
          </w:p>
        </w:tc>
        <w:tc>
          <w:tcPr>
            <w:tcW w:w="86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53.0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125" w:type="dxa"/>
            <w:tcBorders>
              <w:tl2br w:val="nil"/>
              <w:tr2bl w:val="nil"/>
            </w:tcBorders>
            <w:vAlign w:val="center"/>
          </w:tcPr>
          <w:p>
            <w:pPr>
              <w:jc w:val="center"/>
            </w:pPr>
            <w:r>
              <w:rPr>
                <w:rFonts w:hint="eastAsia" w:ascii="Times New Roman" w:hAnsi="Times New Roman"/>
              </w:rPr>
              <w:t>TR-2204-18-2</w:t>
            </w:r>
          </w:p>
        </w:tc>
        <w:tc>
          <w:tcPr>
            <w:tcW w:w="779"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6.80</w:t>
            </w:r>
          </w:p>
        </w:tc>
        <w:tc>
          <w:tcPr>
            <w:tcW w:w="743"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20.7</w:t>
            </w:r>
          </w:p>
        </w:tc>
        <w:tc>
          <w:tcPr>
            <w:tcW w:w="74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0.112</w:t>
            </w:r>
          </w:p>
        </w:tc>
        <w:tc>
          <w:tcPr>
            <w:tcW w:w="69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59.7</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22.3</w:t>
            </w:r>
          </w:p>
        </w:tc>
        <w:tc>
          <w:tcPr>
            <w:tcW w:w="817"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10.0</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0.025</w:t>
            </w:r>
          </w:p>
        </w:tc>
        <w:tc>
          <w:tcPr>
            <w:tcW w:w="8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25.4</w:t>
            </w:r>
          </w:p>
        </w:tc>
        <w:tc>
          <w:tcPr>
            <w:tcW w:w="86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49.8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125" w:type="dxa"/>
            <w:tcBorders>
              <w:tl2br w:val="nil"/>
              <w:tr2bl w:val="nil"/>
            </w:tcBorders>
            <w:vAlign w:val="center"/>
          </w:tcPr>
          <w:p>
            <w:pPr>
              <w:jc w:val="center"/>
            </w:pPr>
            <w:r>
              <w:rPr>
                <w:rFonts w:hint="eastAsia" w:ascii="Times New Roman" w:hAnsi="Times New Roman"/>
              </w:rPr>
              <w:t>TR-2204-18-3</w:t>
            </w:r>
          </w:p>
        </w:tc>
        <w:tc>
          <w:tcPr>
            <w:tcW w:w="779"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6.58</w:t>
            </w:r>
          </w:p>
        </w:tc>
        <w:tc>
          <w:tcPr>
            <w:tcW w:w="743"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20.2</w:t>
            </w:r>
          </w:p>
        </w:tc>
        <w:tc>
          <w:tcPr>
            <w:tcW w:w="74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0.153</w:t>
            </w:r>
          </w:p>
        </w:tc>
        <w:tc>
          <w:tcPr>
            <w:tcW w:w="69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69.1</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24.0</w:t>
            </w:r>
          </w:p>
        </w:tc>
        <w:tc>
          <w:tcPr>
            <w:tcW w:w="817"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12.2</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0.023</w:t>
            </w:r>
          </w:p>
        </w:tc>
        <w:tc>
          <w:tcPr>
            <w:tcW w:w="8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30.1</w:t>
            </w:r>
          </w:p>
        </w:tc>
        <w:tc>
          <w:tcPr>
            <w:tcW w:w="86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51.5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125" w:type="dxa"/>
            <w:tcBorders>
              <w:tl2br w:val="nil"/>
              <w:tr2bl w:val="nil"/>
            </w:tcBorders>
            <w:vAlign w:val="center"/>
          </w:tcPr>
          <w:p>
            <w:pPr>
              <w:jc w:val="center"/>
              <w:rPr>
                <w:rFonts w:ascii="Times New Roman" w:hAnsi="Times New Roman"/>
              </w:rPr>
            </w:pPr>
            <w:r>
              <w:rPr>
                <w:rFonts w:hint="eastAsia" w:ascii="Times New Roman" w:hAnsi="Times New Roman"/>
              </w:rPr>
              <w:t>TR-2204-18-4</w:t>
            </w:r>
          </w:p>
        </w:tc>
        <w:tc>
          <w:tcPr>
            <w:tcW w:w="779"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6.70</w:t>
            </w:r>
          </w:p>
        </w:tc>
        <w:tc>
          <w:tcPr>
            <w:tcW w:w="743"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21.0</w:t>
            </w:r>
          </w:p>
        </w:tc>
        <w:tc>
          <w:tcPr>
            <w:tcW w:w="74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0.206</w:t>
            </w:r>
          </w:p>
        </w:tc>
        <w:tc>
          <w:tcPr>
            <w:tcW w:w="69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54.3</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26.2</w:t>
            </w:r>
          </w:p>
        </w:tc>
        <w:tc>
          <w:tcPr>
            <w:tcW w:w="817"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9.55</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0.039</w:t>
            </w:r>
          </w:p>
        </w:tc>
        <w:tc>
          <w:tcPr>
            <w:tcW w:w="8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22.9</w:t>
            </w:r>
          </w:p>
        </w:tc>
        <w:tc>
          <w:tcPr>
            <w:tcW w:w="86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62.6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125" w:type="dxa"/>
            <w:tcBorders>
              <w:tl2br w:val="nil"/>
              <w:tr2bl w:val="nil"/>
            </w:tcBorders>
            <w:vAlign w:val="center"/>
          </w:tcPr>
          <w:p>
            <w:pPr>
              <w:jc w:val="center"/>
              <w:rPr>
                <w:rFonts w:ascii="Times New Roman" w:hAnsi="Times New Roman"/>
              </w:rPr>
            </w:pPr>
            <w:r>
              <w:rPr>
                <w:rFonts w:hint="eastAsia" w:ascii="Times New Roman" w:hAnsi="Times New Roman"/>
              </w:rPr>
              <w:t>TR-2204-18-5</w:t>
            </w:r>
          </w:p>
        </w:tc>
        <w:tc>
          <w:tcPr>
            <w:tcW w:w="779"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6.67</w:t>
            </w:r>
          </w:p>
        </w:tc>
        <w:tc>
          <w:tcPr>
            <w:tcW w:w="743"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20.5</w:t>
            </w:r>
          </w:p>
        </w:tc>
        <w:tc>
          <w:tcPr>
            <w:tcW w:w="74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0.199</w:t>
            </w:r>
          </w:p>
        </w:tc>
        <w:tc>
          <w:tcPr>
            <w:tcW w:w="69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65.3</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25.0</w:t>
            </w:r>
          </w:p>
        </w:tc>
        <w:tc>
          <w:tcPr>
            <w:tcW w:w="817"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9.91</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0.030</w:t>
            </w:r>
          </w:p>
        </w:tc>
        <w:tc>
          <w:tcPr>
            <w:tcW w:w="8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28.6</w:t>
            </w:r>
          </w:p>
        </w:tc>
        <w:tc>
          <w:tcPr>
            <w:tcW w:w="86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57.4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125" w:type="dxa"/>
            <w:tcBorders>
              <w:tl2br w:val="nil"/>
              <w:tr2bl w:val="nil"/>
            </w:tcBorders>
            <w:vAlign w:val="center"/>
          </w:tcPr>
          <w:p>
            <w:pPr>
              <w:jc w:val="center"/>
              <w:rPr>
                <w:rFonts w:ascii="Times New Roman" w:hAnsi="Times New Roman"/>
              </w:rPr>
            </w:pPr>
            <w:r>
              <w:rPr>
                <w:rFonts w:hint="eastAsia" w:ascii="Times New Roman" w:hAnsi="Times New Roman"/>
              </w:rPr>
              <w:t>TR-2204-18-6</w:t>
            </w:r>
          </w:p>
        </w:tc>
        <w:tc>
          <w:tcPr>
            <w:tcW w:w="779"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6.64</w:t>
            </w:r>
          </w:p>
        </w:tc>
        <w:tc>
          <w:tcPr>
            <w:tcW w:w="743"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19.9</w:t>
            </w:r>
          </w:p>
        </w:tc>
        <w:tc>
          <w:tcPr>
            <w:tcW w:w="74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0.175</w:t>
            </w:r>
          </w:p>
        </w:tc>
        <w:tc>
          <w:tcPr>
            <w:tcW w:w="692"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70.2</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23.8</w:t>
            </w:r>
          </w:p>
        </w:tc>
        <w:tc>
          <w:tcPr>
            <w:tcW w:w="817"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10.3</w:t>
            </w:r>
          </w:p>
        </w:tc>
        <w:tc>
          <w:tcPr>
            <w:tcW w:w="7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0.028</w:t>
            </w:r>
          </w:p>
        </w:tc>
        <w:tc>
          <w:tcPr>
            <w:tcW w:w="83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23.4</w:t>
            </w:r>
          </w:p>
        </w:tc>
        <w:tc>
          <w:tcPr>
            <w:tcW w:w="860" w:type="dxa"/>
            <w:tcBorders>
              <w:tl2br w:val="nil"/>
              <w:tr2bl w:val="nil"/>
            </w:tcBorders>
            <w:vAlign w:val="center"/>
          </w:tcPr>
          <w:p>
            <w:pPr>
              <w:spacing w:line="0" w:lineRule="atLeast"/>
              <w:jc w:val="center"/>
              <w:rPr>
                <w:rFonts w:ascii="Times New Roman" w:hAnsi="Times New Roman"/>
                <w:sz w:val="22"/>
              </w:rPr>
            </w:pPr>
            <w:r>
              <w:rPr>
                <w:rFonts w:hint="eastAsia" w:ascii="Times New Roman" w:hAnsi="Times New Roman"/>
                <w:sz w:val="22"/>
              </w:rPr>
              <w:t>60.9</w:t>
            </w:r>
          </w:p>
        </w:tc>
      </w:tr>
    </w:tbl>
    <w:p>
      <w:pPr>
        <w:pStyle w:val="11"/>
        <w:adjustRightInd w:val="0"/>
        <w:snapToGrid w:val="0"/>
        <w:spacing w:after="0" w:line="540" w:lineRule="exact"/>
        <w:ind w:firstLine="480"/>
        <w:rPr>
          <w:rFonts w:cs="Times New Roman"/>
          <w:szCs w:val="24"/>
        </w:rPr>
      </w:pPr>
      <w:r>
        <w:rPr>
          <w:rFonts w:ascii="Times New Roman" w:hAnsi="Times New Roman"/>
          <w:bCs/>
          <w:sz w:val="24"/>
        </w:rPr>
        <w:t>监测期间，</w:t>
      </w:r>
      <w:r>
        <w:rPr>
          <w:rFonts w:hint="eastAsia" w:ascii="Times New Roman" w:hAnsi="Times New Roman"/>
          <w:bCs/>
          <w:sz w:val="24"/>
        </w:rPr>
        <w:t>宁夏腾发农业科技有限公司土壤中各项检测因子均</w:t>
      </w:r>
      <w:r>
        <w:rPr>
          <w:rFonts w:hint="eastAsia" w:ascii="Times New Roman" w:hAnsi="Times New Roman"/>
          <w:bCs/>
          <w:sz w:val="24"/>
          <w:highlight w:val="none"/>
        </w:rPr>
        <w:t xml:space="preserve">低于《土壤环境质量 </w:t>
      </w:r>
      <w:r>
        <w:rPr>
          <w:rFonts w:hint="eastAsia" w:ascii="Times New Roman" w:hAnsi="Times New Roman"/>
          <w:bCs/>
          <w:sz w:val="24"/>
          <w:highlight w:val="none"/>
          <w:lang w:eastAsia="zh-CN"/>
        </w:rPr>
        <w:t>农</w:t>
      </w:r>
      <w:r>
        <w:rPr>
          <w:rFonts w:hint="eastAsia" w:ascii="Times New Roman" w:hAnsi="Times New Roman"/>
          <w:bCs/>
          <w:sz w:val="24"/>
          <w:highlight w:val="none"/>
        </w:rPr>
        <w:t>用地土壤污染风险管控标准（试行）》（GB</w:t>
      </w:r>
      <w:r>
        <w:rPr>
          <w:rFonts w:hint="eastAsia" w:ascii="Times New Roman" w:hAnsi="Times New Roman"/>
          <w:bCs/>
          <w:sz w:val="24"/>
          <w:highlight w:val="none"/>
          <w:lang w:val="en-US" w:eastAsia="zh-CN"/>
        </w:rPr>
        <w:t>15618</w:t>
      </w:r>
      <w:r>
        <w:rPr>
          <w:rFonts w:hint="eastAsia" w:ascii="Times New Roman" w:hAnsi="Times New Roman"/>
          <w:bCs/>
          <w:sz w:val="24"/>
          <w:highlight w:val="none"/>
        </w:rPr>
        <w:t>-2018）</w:t>
      </w:r>
      <w:r>
        <w:rPr>
          <w:rFonts w:hint="eastAsia" w:ascii="Times New Roman" w:hAnsi="Times New Roman"/>
          <w:bCs/>
          <w:sz w:val="24"/>
          <w:highlight w:val="none"/>
          <w:lang w:eastAsia="zh-CN"/>
        </w:rPr>
        <w:t>中</w:t>
      </w:r>
      <w:r>
        <w:rPr>
          <w:rFonts w:hint="eastAsia" w:ascii="Times New Roman" w:hAnsi="Times New Roman"/>
          <w:bCs/>
          <w:sz w:val="24"/>
          <w:highlight w:val="none"/>
        </w:rPr>
        <w:t>筛选值</w:t>
      </w:r>
      <w:r>
        <w:rPr>
          <w:rFonts w:hint="eastAsia" w:ascii="Times New Roman" w:hAnsi="Times New Roman"/>
          <w:bCs/>
          <w:sz w:val="24"/>
        </w:rPr>
        <w:t>要求，说明评价区土壤生态环境风险低，一般情况下可忽略。</w:t>
      </w:r>
    </w:p>
    <w:p>
      <w:pPr>
        <w:pStyle w:val="5"/>
        <w:spacing w:before="0" w:after="0" w:line="540" w:lineRule="exact"/>
        <w:outlineLvl w:val="2"/>
        <w:rPr>
          <w:rFonts w:ascii="Times New Roman" w:hAnsi="Times New Roman" w:eastAsia="宋体"/>
          <w:bCs w:val="0"/>
          <w:color w:val="FF0000"/>
          <w:sz w:val="24"/>
          <w:szCs w:val="24"/>
        </w:rPr>
      </w:pPr>
      <w:r>
        <w:rPr>
          <w:rFonts w:hint="eastAsia" w:ascii="Times New Roman" w:hAnsi="Times New Roman" w:eastAsia="宋体"/>
          <w:bCs w:val="0"/>
          <w:sz w:val="24"/>
          <w:szCs w:val="24"/>
          <w:lang w:val="en-US" w:eastAsia="zh-CN"/>
        </w:rPr>
        <w:t>3.2.6</w:t>
      </w:r>
      <w:r>
        <w:rPr>
          <w:rFonts w:hint="eastAsia" w:ascii="Times New Roman" w:hAnsi="Times New Roman" w:eastAsia="宋体"/>
          <w:bCs w:val="0"/>
          <w:sz w:val="24"/>
          <w:szCs w:val="24"/>
        </w:rPr>
        <w:t xml:space="preserve"> </w:t>
      </w:r>
      <w:r>
        <w:rPr>
          <w:rFonts w:hint="eastAsia" w:ascii="Times New Roman" w:hAnsi="Times New Roman" w:eastAsia="宋体"/>
          <w:bCs w:val="0"/>
          <w:color w:val="FF0000"/>
          <w:sz w:val="24"/>
          <w:szCs w:val="24"/>
        </w:rPr>
        <w:t>生态环境质量</w:t>
      </w:r>
      <w:r>
        <w:rPr>
          <w:rFonts w:ascii="Times New Roman" w:hAnsi="Times New Roman" w:eastAsia="宋体"/>
          <w:bCs w:val="0"/>
          <w:color w:val="FF0000"/>
          <w:sz w:val="24"/>
          <w:szCs w:val="24"/>
        </w:rPr>
        <w:t>现状</w:t>
      </w:r>
      <w:r>
        <w:rPr>
          <w:rFonts w:hint="eastAsia" w:ascii="Times New Roman" w:hAnsi="Times New Roman" w:eastAsia="宋体"/>
          <w:bCs w:val="0"/>
          <w:color w:val="FF0000"/>
          <w:sz w:val="24"/>
          <w:szCs w:val="24"/>
        </w:rPr>
        <w:t>调查</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ascii="Times New Roman" w:hAnsi="Times New Roman" w:eastAsia="宋体" w:cs="Times New Roman"/>
          <w:bCs/>
          <w:color w:val="FF0000"/>
          <w:kern w:val="2"/>
          <w:sz w:val="24"/>
          <w:szCs w:val="24"/>
          <w:lang w:val="en-US" w:eastAsia="zh-CN" w:bidi="ar-SA"/>
        </w:rPr>
      </w:pPr>
      <w:r>
        <w:rPr>
          <w:rFonts w:hint="eastAsia" w:ascii="Times New Roman" w:hAnsi="Times New Roman" w:eastAsia="宋体" w:cs="Times New Roman"/>
          <w:bCs/>
          <w:color w:val="FF0000"/>
          <w:kern w:val="2"/>
          <w:sz w:val="24"/>
          <w:szCs w:val="24"/>
          <w:lang w:val="en-US" w:eastAsia="zh-CN" w:bidi="ar-SA"/>
        </w:rPr>
        <w:t>项目位于固原市隆德县</w:t>
      </w:r>
      <w:r>
        <w:rPr>
          <w:rFonts w:hint="eastAsia" w:ascii="Times New Roman" w:hAnsi="Times New Roman" w:cs="Times New Roman"/>
          <w:bCs/>
          <w:color w:val="FF0000"/>
          <w:kern w:val="2"/>
          <w:sz w:val="24"/>
          <w:szCs w:val="24"/>
          <w:lang w:val="en-US" w:eastAsia="zh-CN" w:bidi="ar-SA"/>
        </w:rPr>
        <w:t>神林乡神林村</w:t>
      </w:r>
      <w:r>
        <w:rPr>
          <w:rFonts w:hint="eastAsia" w:ascii="Times New Roman" w:hAnsi="Times New Roman" w:eastAsia="宋体" w:cs="Times New Roman"/>
          <w:bCs/>
          <w:color w:val="FF0000"/>
          <w:kern w:val="2"/>
          <w:sz w:val="24"/>
          <w:szCs w:val="24"/>
          <w:lang w:val="en-US" w:eastAsia="zh-CN" w:bidi="ar-SA"/>
        </w:rPr>
        <w:t>，评价区以农业生态系统为主，项目厂址周边主要分布耕地、林地。</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ascii="Times New Roman" w:hAnsi="Times New Roman" w:eastAsia="宋体" w:cs="Times New Roman"/>
          <w:bCs/>
          <w:kern w:val="2"/>
          <w:sz w:val="24"/>
          <w:szCs w:val="24"/>
          <w:lang w:val="en-US" w:eastAsia="zh-CN" w:bidi="ar-SA"/>
        </w:rPr>
        <w:sectPr>
          <w:footerReference r:id="rId10" w:type="default"/>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bCs/>
          <w:color w:val="FF0000"/>
          <w:kern w:val="2"/>
          <w:sz w:val="24"/>
          <w:szCs w:val="24"/>
          <w:lang w:val="en-US" w:eastAsia="zh-CN" w:bidi="ar-SA"/>
        </w:rPr>
        <w:t>根据调查，项目所在区域人类活动频繁，评价区内植被主要有小麦、马铃薯、荞麦、狗尾草、碱蓬草、黄蒿、柠条等，野生动物主要为一些鸟类及小型啮齿类动物等，不涉及国家公园、自然保护区、自然公园等自然保护地、世界自然遗产、生态保护红线等区域，也不涉及重要物种的天然集中分布区、栖息地，重要水生生物的产卵场、索饵场、越冬场和洄游通道，迁徙鸟类的重要繁殖地、停歇地、越冬地以及野生动物迁徙通道等</w:t>
      </w:r>
      <w:r>
        <w:rPr>
          <w:rFonts w:hint="eastAsia" w:ascii="Times New Roman" w:hAnsi="Times New Roman" w:cs="Times New Roman"/>
          <w:bCs/>
          <w:kern w:val="2"/>
          <w:sz w:val="24"/>
          <w:szCs w:val="24"/>
          <w:lang w:val="en-US" w:eastAsia="zh-CN" w:bidi="ar-SA"/>
        </w:rPr>
        <w:t>。</w:t>
      </w:r>
    </w:p>
    <w:p>
      <w:pPr>
        <w:pStyle w:val="45"/>
        <w:snapToGrid w:val="0"/>
        <w:spacing w:before="240" w:beforeLines="100" w:after="120" w:afterLines="50" w:line="540" w:lineRule="exact"/>
        <w:contextualSpacing/>
        <w:rPr>
          <w:bCs w:val="0"/>
          <w:snapToGrid w:val="0"/>
          <w:kern w:val="0"/>
          <w:sz w:val="32"/>
          <w:szCs w:val="32"/>
        </w:rPr>
      </w:pPr>
      <w:bookmarkStart w:id="507" w:name="_Toc11672"/>
      <w:bookmarkStart w:id="508" w:name="_Toc22760"/>
      <w:bookmarkStart w:id="509" w:name="_Toc22128"/>
      <w:bookmarkStart w:id="510" w:name="_Toc18241"/>
      <w:r>
        <w:rPr>
          <w:rFonts w:hint="eastAsia"/>
          <w:bCs w:val="0"/>
          <w:snapToGrid w:val="0"/>
          <w:kern w:val="0"/>
          <w:sz w:val="32"/>
          <w:szCs w:val="32"/>
        </w:rPr>
        <w:t>4施工期</w:t>
      </w:r>
      <w:r>
        <w:rPr>
          <w:bCs w:val="0"/>
          <w:snapToGrid w:val="0"/>
          <w:kern w:val="0"/>
          <w:sz w:val="32"/>
          <w:szCs w:val="32"/>
        </w:rPr>
        <w:t>环境影响预测与评价</w:t>
      </w:r>
      <w:bookmarkEnd w:id="507"/>
      <w:bookmarkEnd w:id="508"/>
      <w:bookmarkEnd w:id="509"/>
      <w:bookmarkEnd w:id="510"/>
    </w:p>
    <w:p>
      <w:pPr>
        <w:pStyle w:val="51"/>
        <w:snapToGrid w:val="0"/>
        <w:spacing w:before="120" w:beforeLines="50" w:after="120" w:afterLines="50" w:line="540" w:lineRule="exact"/>
        <w:contextualSpacing/>
        <w:rPr>
          <w:rFonts w:cs="Times New Roman"/>
          <w:bCs w:val="0"/>
          <w:snapToGrid w:val="0"/>
          <w:kern w:val="0"/>
          <w:sz w:val="30"/>
          <w:szCs w:val="30"/>
        </w:rPr>
      </w:pPr>
      <w:bookmarkStart w:id="511" w:name="_Toc12279"/>
      <w:bookmarkStart w:id="512" w:name="_Toc20488"/>
      <w:bookmarkStart w:id="513" w:name="_Toc17073"/>
      <w:bookmarkStart w:id="514" w:name="_Toc20169"/>
      <w:bookmarkStart w:id="515" w:name="_Toc4037"/>
      <w:bookmarkStart w:id="516" w:name="_Toc24658"/>
      <w:bookmarkStart w:id="517" w:name="_Toc30351"/>
      <w:r>
        <w:rPr>
          <w:rFonts w:hint="eastAsia" w:cs="Times New Roman"/>
          <w:bCs w:val="0"/>
          <w:snapToGrid w:val="0"/>
          <w:kern w:val="0"/>
          <w:sz w:val="30"/>
          <w:szCs w:val="30"/>
        </w:rPr>
        <w:t>4.1施工期环境空气影响分析与防护措施</w:t>
      </w:r>
      <w:bookmarkEnd w:id="511"/>
      <w:bookmarkEnd w:id="512"/>
      <w:bookmarkEnd w:id="513"/>
      <w:bookmarkEnd w:id="514"/>
      <w:bookmarkEnd w:id="515"/>
      <w:bookmarkEnd w:id="516"/>
      <w:bookmarkEnd w:id="517"/>
    </w:p>
    <w:p>
      <w:pPr>
        <w:pStyle w:val="2"/>
        <w:adjustRightInd w:val="0"/>
        <w:spacing w:line="540" w:lineRule="exact"/>
        <w:ind w:firstLine="480" w:firstLineChars="200"/>
        <w:jc w:val="both"/>
        <w:rPr>
          <w:rFonts w:ascii="Times New Roman" w:hAnsi="Times New Roman"/>
          <w:sz w:val="24"/>
        </w:rPr>
      </w:pPr>
      <w:bookmarkStart w:id="518" w:name="_Toc5382000"/>
      <w:bookmarkStart w:id="519" w:name="_Toc503861246"/>
      <w:bookmarkStart w:id="520" w:name="_Toc490447664"/>
      <w:bookmarkStart w:id="521" w:name="_Toc61255607"/>
      <w:bookmarkStart w:id="522" w:name="_Toc9221311"/>
      <w:bookmarkStart w:id="523" w:name="_Toc49915777"/>
      <w:bookmarkStart w:id="524" w:name="_Toc61368444"/>
      <w:bookmarkStart w:id="525" w:name="_Toc61426871"/>
      <w:bookmarkStart w:id="526" w:name="_Toc5257124"/>
      <w:bookmarkStart w:id="527" w:name="_Toc503860820"/>
      <w:bookmarkStart w:id="528" w:name="_Toc206933760"/>
      <w:bookmarkStart w:id="529" w:name="_Toc240270224"/>
      <w:bookmarkStart w:id="530" w:name="_Toc240269902"/>
      <w:bookmarkStart w:id="531" w:name="_Toc240270063"/>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rPr>
        <w:t>施工期环境空气影响</w:t>
      </w:r>
      <w:bookmarkEnd w:id="518"/>
      <w:bookmarkEnd w:id="519"/>
      <w:bookmarkEnd w:id="520"/>
      <w:bookmarkEnd w:id="521"/>
      <w:bookmarkEnd w:id="522"/>
      <w:bookmarkEnd w:id="523"/>
      <w:bookmarkEnd w:id="524"/>
      <w:bookmarkEnd w:id="525"/>
      <w:bookmarkEnd w:id="526"/>
      <w:bookmarkEnd w:id="527"/>
      <w:r>
        <w:rPr>
          <w:rFonts w:ascii="Times New Roman" w:hAnsi="Times New Roman"/>
          <w:sz w:val="24"/>
        </w:rPr>
        <w:t>因素</w:t>
      </w:r>
      <w:bookmarkEnd w:id="528"/>
      <w:bookmarkEnd w:id="529"/>
      <w:bookmarkEnd w:id="530"/>
      <w:bookmarkEnd w:id="531"/>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在本项目施工期间，施工扬尘主要产生于以下环节：①施工时，场地的平整、路面的开挖及土方的挖掘等环节产生的扬尘；②水泥、砂石等建筑材料的装卸和车辆运输过程中产生的扬尘；③施工中产生的弃土，若堆放时覆盖不当或装卸运输时撒落产生的扬尘。</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施工期间对环境空气影响最主要的是扬尘。干燥地表开挖时产生的粉尘，一部分悬浮于空中，另一部分随风飘落到附近地面和建筑物表面；开挖的弃土堆放过程中，在风力较大时，会产生风力扬尘；而装卸和运输过程中，又会造成部分粉尘扬起和洒落。</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rPr>
        <w:t>施工期环境空气污染的防护措施</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结合本项目区域周围的特点，为使施工过程中产生的粉尘对周围环境空气的影响降低到最小程度，应当采取以下防护措施：</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①对施工现场进行科学管理，砂石料应统一堆放。</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②对作业面和临时土堆应适当地洒水，使其保持一定的湿度，减小起尘量，施工便道应进行夯实硬化处理，减少起尘量，由于施工需要，不能硬化的道路，应采取定期洒水，铺草帘子等措施减少扬尘量。</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③谨防运输车辆装载过满，并采取遮盖、密闭措施，减少其沿途抛洒，并及时清扫散落在路面的泥土和灰尘，冲洗轮胎，定时洒水压尘，减少运输过程中的扬尘。散装车辆装运货物的高度不得超过马槽的高度，文明装卸和驾驶，限速驾驶，在装卸点须对散落在车顶、蓬布、马槽外部等处的物料进行清扫。</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④施工现场要使用围栏进行遮挡，减少施工扬尘扩散范围。</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⑤风速超过6m/s时应停止施工作业，并对堆放的砂石等建筑材料进行遮盖处理。</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采取以上措施后，将会降低扬尘量50~70%，可有效减少扬尘对周围环境的影响。随着施工过程的结束，这些污染也将随之结束。</w:t>
      </w:r>
    </w:p>
    <w:p>
      <w:pPr>
        <w:pStyle w:val="51"/>
        <w:snapToGrid w:val="0"/>
        <w:spacing w:before="120" w:beforeLines="50" w:after="120" w:afterLines="50" w:line="540" w:lineRule="exact"/>
        <w:contextualSpacing/>
        <w:rPr>
          <w:rFonts w:cs="Times New Roman"/>
          <w:bCs w:val="0"/>
          <w:snapToGrid w:val="0"/>
          <w:kern w:val="0"/>
          <w:sz w:val="30"/>
          <w:szCs w:val="30"/>
        </w:rPr>
      </w:pPr>
      <w:bookmarkStart w:id="532" w:name="_Toc857"/>
      <w:bookmarkStart w:id="533" w:name="_Toc16301"/>
      <w:bookmarkStart w:id="534" w:name="_Toc15107"/>
      <w:bookmarkStart w:id="535" w:name="_Toc11555"/>
      <w:bookmarkStart w:id="536" w:name="_Toc26988"/>
      <w:bookmarkStart w:id="537" w:name="_Toc22394"/>
      <w:bookmarkStart w:id="538" w:name="_Toc13288"/>
      <w:r>
        <w:rPr>
          <w:rFonts w:hint="eastAsia" w:cs="Times New Roman"/>
          <w:bCs w:val="0"/>
          <w:snapToGrid w:val="0"/>
          <w:kern w:val="0"/>
          <w:sz w:val="30"/>
          <w:szCs w:val="30"/>
        </w:rPr>
        <w:t>4.2施工期声环境影响分析与防护措施</w:t>
      </w:r>
      <w:bookmarkEnd w:id="532"/>
      <w:bookmarkEnd w:id="533"/>
      <w:bookmarkEnd w:id="534"/>
      <w:bookmarkEnd w:id="535"/>
      <w:bookmarkEnd w:id="536"/>
      <w:bookmarkEnd w:id="537"/>
      <w:bookmarkEnd w:id="538"/>
    </w:p>
    <w:p>
      <w:pPr>
        <w:pStyle w:val="2"/>
        <w:adjustRightInd w:val="0"/>
        <w:spacing w:line="540" w:lineRule="exact"/>
        <w:ind w:firstLine="480" w:firstLineChars="200"/>
        <w:jc w:val="both"/>
        <w:rPr>
          <w:rFonts w:ascii="Times New Roman" w:hAnsi="Times New Roman"/>
          <w:sz w:val="24"/>
        </w:rPr>
      </w:pPr>
      <w:bookmarkStart w:id="539" w:name="_Toc240270066"/>
      <w:bookmarkStart w:id="540" w:name="_Toc206933756"/>
      <w:bookmarkStart w:id="541" w:name="_Toc49915771"/>
      <w:bookmarkStart w:id="542" w:name="_Toc503861240"/>
      <w:bookmarkStart w:id="543" w:name="_Toc9221305"/>
      <w:bookmarkStart w:id="544" w:name="_Toc503860814"/>
      <w:bookmarkStart w:id="545" w:name="_Toc5381994"/>
      <w:bookmarkStart w:id="546" w:name="_Toc5257118"/>
      <w:bookmarkStart w:id="547" w:name="_Toc31912"/>
      <w:bookmarkStart w:id="548" w:name="_Toc61426864"/>
      <w:bookmarkStart w:id="549" w:name="_Toc61368437"/>
      <w:bookmarkStart w:id="550" w:name="_Toc61255601"/>
      <w:bookmarkStart w:id="551" w:name="_Toc240269905"/>
      <w:bookmarkStart w:id="552" w:name="_Toc490447658"/>
      <w:bookmarkStart w:id="553" w:name="_Toc5061"/>
      <w:bookmarkStart w:id="554" w:name="_Toc240270227"/>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rPr>
        <w:t>执行标准</w:t>
      </w:r>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项目施工期间噪声评价标准采用《建筑施工场界环境噪声排放标准》（GB12523-2011），该标准对不同施工阶段作业所产生的施工噪声在其施工场界的限值见表</w:t>
      </w:r>
      <w:r>
        <w:rPr>
          <w:rFonts w:hint="eastAsia" w:ascii="Times New Roman" w:hAnsi="Times New Roman"/>
          <w:sz w:val="24"/>
        </w:rPr>
        <w:t>4</w:t>
      </w:r>
      <w:r>
        <w:rPr>
          <w:rFonts w:ascii="Times New Roman" w:hAnsi="Times New Roman"/>
          <w:sz w:val="24"/>
        </w:rPr>
        <w:t>.1-1。</w:t>
      </w:r>
    </w:p>
    <w:p>
      <w:pPr>
        <w:adjustRightInd w:val="0"/>
        <w:snapToGrid w:val="0"/>
        <w:spacing w:line="540" w:lineRule="exact"/>
        <w:jc w:val="center"/>
        <w:rPr>
          <w:rFonts w:ascii="Times New Roman" w:hAnsi="Times New Roman"/>
          <w:b/>
          <w:bCs/>
          <w:sz w:val="24"/>
        </w:rPr>
      </w:pPr>
      <w:r>
        <w:rPr>
          <w:rFonts w:ascii="Times New Roman" w:hAnsi="Times New Roman"/>
          <w:b/>
          <w:bCs/>
          <w:sz w:val="24"/>
        </w:rPr>
        <w:t>表</w:t>
      </w:r>
      <w:r>
        <w:rPr>
          <w:rFonts w:hint="eastAsia" w:ascii="Times New Roman" w:hAnsi="Times New Roman"/>
          <w:b/>
          <w:bCs/>
          <w:sz w:val="24"/>
        </w:rPr>
        <w:t>4</w:t>
      </w:r>
      <w:r>
        <w:rPr>
          <w:rFonts w:ascii="Times New Roman" w:hAnsi="Times New Roman"/>
          <w:b/>
          <w:bCs/>
          <w:sz w:val="24"/>
        </w:rPr>
        <w:t>.1-1    建筑施工场界环境噪声排放标准      单位：dB(A)</w:t>
      </w:r>
    </w:p>
    <w:tbl>
      <w:tblPr>
        <w:tblStyle w:val="29"/>
        <w:tblW w:w="9071"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28" w:type="dxa"/>
          <w:bottom w:w="0" w:type="dxa"/>
          <w:right w:w="28" w:type="dxa"/>
        </w:tblCellMar>
      </w:tblPr>
      <w:tblGrid>
        <w:gridCol w:w="4536"/>
        <w:gridCol w:w="453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9240" w:type="dxa"/>
            <w:gridSpan w:val="2"/>
            <w:vAlign w:val="center"/>
          </w:tcPr>
          <w:p>
            <w:pPr>
              <w:widowControl/>
              <w:autoSpaceDE w:val="0"/>
              <w:autoSpaceDN w:val="0"/>
              <w:jc w:val="center"/>
              <w:textAlignment w:val="bottom"/>
              <w:rPr>
                <w:rFonts w:ascii="Times New Roman" w:hAnsi="Times New Roman"/>
                <w:snapToGrid w:val="0"/>
                <w:szCs w:val="21"/>
              </w:rPr>
            </w:pPr>
            <w:r>
              <w:rPr>
                <w:rFonts w:ascii="Times New Roman" w:hAnsi="Times New Roman"/>
                <w:snapToGrid w:val="0"/>
                <w:szCs w:val="21"/>
              </w:rPr>
              <w:t>噪声限值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620" w:type="dxa"/>
            <w:vAlign w:val="center"/>
          </w:tcPr>
          <w:p>
            <w:pPr>
              <w:widowControl/>
              <w:autoSpaceDE w:val="0"/>
              <w:autoSpaceDN w:val="0"/>
              <w:jc w:val="center"/>
              <w:textAlignment w:val="bottom"/>
              <w:rPr>
                <w:rFonts w:ascii="Times New Roman" w:hAnsi="Times New Roman"/>
                <w:snapToGrid w:val="0"/>
                <w:szCs w:val="21"/>
              </w:rPr>
            </w:pPr>
            <w:r>
              <w:rPr>
                <w:rFonts w:ascii="Times New Roman" w:hAnsi="Times New Roman"/>
                <w:snapToGrid w:val="0"/>
                <w:szCs w:val="21"/>
              </w:rPr>
              <w:t>昼间</w:t>
            </w:r>
          </w:p>
        </w:tc>
        <w:tc>
          <w:tcPr>
            <w:tcW w:w="4620" w:type="dxa"/>
            <w:vAlign w:val="center"/>
          </w:tcPr>
          <w:p>
            <w:pPr>
              <w:widowControl/>
              <w:autoSpaceDE w:val="0"/>
              <w:autoSpaceDN w:val="0"/>
              <w:jc w:val="center"/>
              <w:textAlignment w:val="bottom"/>
              <w:rPr>
                <w:rFonts w:ascii="Times New Roman" w:hAnsi="Times New Roman"/>
                <w:snapToGrid w:val="0"/>
                <w:szCs w:val="21"/>
              </w:rPr>
            </w:pPr>
            <w:r>
              <w:rPr>
                <w:rFonts w:ascii="Times New Roman" w:hAnsi="Times New Roman"/>
                <w:snapToGrid w:val="0"/>
                <w:szCs w:val="21"/>
              </w:rPr>
              <w:t>夜间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620" w:type="dxa"/>
            <w:vAlign w:val="center"/>
          </w:tcPr>
          <w:p>
            <w:pPr>
              <w:widowControl/>
              <w:autoSpaceDE w:val="0"/>
              <w:autoSpaceDN w:val="0"/>
              <w:jc w:val="center"/>
              <w:textAlignment w:val="bottom"/>
              <w:rPr>
                <w:rFonts w:ascii="Times New Roman" w:hAnsi="Times New Roman"/>
                <w:bCs/>
                <w:snapToGrid w:val="0"/>
                <w:szCs w:val="21"/>
              </w:rPr>
            </w:pPr>
            <w:r>
              <w:rPr>
                <w:rFonts w:ascii="Times New Roman" w:hAnsi="Times New Roman"/>
                <w:bCs/>
                <w:snapToGrid w:val="0"/>
                <w:szCs w:val="21"/>
              </w:rPr>
              <w:t>70</w:t>
            </w:r>
          </w:p>
        </w:tc>
        <w:tc>
          <w:tcPr>
            <w:tcW w:w="4620" w:type="dxa"/>
            <w:vAlign w:val="center"/>
          </w:tcPr>
          <w:p>
            <w:pPr>
              <w:widowControl/>
              <w:autoSpaceDE w:val="0"/>
              <w:autoSpaceDN w:val="0"/>
              <w:jc w:val="center"/>
              <w:textAlignment w:val="bottom"/>
              <w:rPr>
                <w:rFonts w:ascii="Times New Roman" w:hAnsi="Times New Roman"/>
                <w:bCs/>
                <w:snapToGrid w:val="0"/>
                <w:szCs w:val="21"/>
              </w:rPr>
            </w:pPr>
            <w:r>
              <w:rPr>
                <w:rFonts w:ascii="Times New Roman" w:hAnsi="Times New Roman"/>
                <w:bCs/>
                <w:snapToGrid w:val="0"/>
                <w:szCs w:val="21"/>
              </w:rPr>
              <w:t>55</w:t>
            </w:r>
          </w:p>
        </w:tc>
      </w:tr>
    </w:tbl>
    <w:p>
      <w:pPr>
        <w:pStyle w:val="2"/>
        <w:adjustRightInd w:val="0"/>
        <w:spacing w:line="540" w:lineRule="exact"/>
        <w:ind w:firstLine="480" w:firstLineChars="200"/>
        <w:jc w:val="both"/>
        <w:rPr>
          <w:rFonts w:ascii="Times New Roman" w:hAnsi="Times New Roman"/>
          <w:sz w:val="24"/>
        </w:rPr>
      </w:pPr>
      <w:bookmarkStart w:id="555" w:name="_Toc49915772"/>
      <w:bookmarkStart w:id="556" w:name="_Toc9221306"/>
      <w:bookmarkStart w:id="557" w:name="_Toc503860815"/>
      <w:bookmarkStart w:id="558" w:name="_Toc206933757"/>
      <w:bookmarkStart w:id="559" w:name="_Toc19893"/>
      <w:bookmarkStart w:id="560" w:name="_Toc503861241"/>
      <w:bookmarkStart w:id="561" w:name="_Toc240270228"/>
      <w:bookmarkStart w:id="562" w:name="_Toc5257119"/>
      <w:bookmarkStart w:id="563" w:name="_Toc61255602"/>
      <w:bookmarkStart w:id="564" w:name="_Toc490447659"/>
      <w:bookmarkStart w:id="565" w:name="_Toc240270067"/>
      <w:bookmarkStart w:id="566" w:name="_Toc61368438"/>
      <w:bookmarkStart w:id="567" w:name="_Toc25731"/>
      <w:bookmarkStart w:id="568" w:name="_Toc240269906"/>
      <w:bookmarkStart w:id="569" w:name="_Toc5381995"/>
      <w:bookmarkStart w:id="570" w:name="_Toc61426865"/>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rPr>
        <w:t>施工噪声强度调查</w:t>
      </w:r>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p>
    <w:p>
      <w:pPr>
        <w:pStyle w:val="2"/>
        <w:adjustRightInd w:val="0"/>
        <w:spacing w:line="540" w:lineRule="exact"/>
        <w:ind w:firstLine="480" w:firstLineChars="200"/>
        <w:jc w:val="both"/>
        <w:rPr>
          <w:rFonts w:ascii="Times New Roman" w:hAnsi="Times New Roman"/>
          <w:sz w:val="24"/>
        </w:rPr>
      </w:pPr>
      <w:bookmarkStart w:id="571" w:name="_Toc30256"/>
      <w:bookmarkStart w:id="572" w:name="_Toc184"/>
      <w:r>
        <w:rPr>
          <w:rFonts w:ascii="Times New Roman" w:hAnsi="Times New Roman"/>
          <w:sz w:val="24"/>
        </w:rPr>
        <w:t>施工噪声主要有设备噪声、机械噪声等。施工设备噪声主要是翻斗车、载重机等设备的发动机噪声；机械噪声主要是装卸材料的碰击声、拆除模板及清除模板上附着物的敲击声。这些噪声源的声级值最高可达110dB（A）左右。各种施工机械设备的噪声源强见表</w:t>
      </w:r>
      <w:r>
        <w:rPr>
          <w:rFonts w:hint="eastAsia" w:ascii="Times New Roman" w:hAnsi="Times New Roman"/>
          <w:sz w:val="24"/>
        </w:rPr>
        <w:t>4</w:t>
      </w:r>
      <w:r>
        <w:rPr>
          <w:rFonts w:ascii="Times New Roman" w:hAnsi="Times New Roman"/>
          <w:sz w:val="24"/>
        </w:rPr>
        <w:t>.1-2。</w:t>
      </w:r>
      <w:bookmarkEnd w:id="571"/>
      <w:bookmarkEnd w:id="572"/>
    </w:p>
    <w:p>
      <w:pPr>
        <w:pStyle w:val="2"/>
        <w:adjustRightInd w:val="0"/>
        <w:jc w:val="center"/>
        <w:rPr>
          <w:rFonts w:ascii="Times New Roman" w:hAnsi="Times New Roman"/>
          <w:sz w:val="24"/>
        </w:rPr>
      </w:pPr>
      <w:r>
        <w:rPr>
          <w:rFonts w:ascii="Times New Roman" w:hAnsi="Times New Roman"/>
          <w:b/>
          <w:bCs/>
          <w:sz w:val="24"/>
        </w:rPr>
        <w:t>表</w:t>
      </w:r>
      <w:r>
        <w:rPr>
          <w:rFonts w:hint="eastAsia" w:ascii="Times New Roman" w:hAnsi="Times New Roman"/>
          <w:b/>
          <w:bCs/>
          <w:sz w:val="24"/>
        </w:rPr>
        <w:t>4</w:t>
      </w:r>
      <w:r>
        <w:rPr>
          <w:rFonts w:ascii="Times New Roman" w:hAnsi="Times New Roman"/>
          <w:b/>
          <w:bCs/>
          <w:sz w:val="24"/>
        </w:rPr>
        <w:t xml:space="preserve">.1-2  </w:t>
      </w:r>
      <w:r>
        <w:rPr>
          <w:rFonts w:hint="eastAsia" w:ascii="Times New Roman" w:hAnsi="Times New Roman"/>
          <w:b/>
          <w:bCs/>
          <w:sz w:val="24"/>
        </w:rPr>
        <w:t xml:space="preserve">  </w:t>
      </w:r>
      <w:r>
        <w:rPr>
          <w:rFonts w:ascii="Times New Roman" w:hAnsi="Times New Roman"/>
          <w:b/>
          <w:bCs/>
          <w:sz w:val="24"/>
        </w:rPr>
        <w:t>各种施工机械在不同距离的噪声预测值     单位：dB(A</w:t>
      </w:r>
      <w:r>
        <w:rPr>
          <w:rFonts w:ascii="Times New Roman" w:hAnsi="Times New Roman"/>
          <w:sz w:val="24"/>
        </w:rPr>
        <w:t>)</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01"/>
        <w:gridCol w:w="552"/>
        <w:gridCol w:w="520"/>
        <w:gridCol w:w="561"/>
        <w:gridCol w:w="567"/>
        <w:gridCol w:w="567"/>
        <w:gridCol w:w="584"/>
        <w:gridCol w:w="575"/>
        <w:gridCol w:w="567"/>
        <w:gridCol w:w="576"/>
        <w:gridCol w:w="567"/>
        <w:gridCol w:w="544"/>
        <w:gridCol w:w="561"/>
        <w:gridCol w:w="520"/>
        <w:gridCol w:w="520"/>
        <w:gridCol w:w="4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restart"/>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施工</w:t>
            </w:r>
          </w:p>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机械</w:t>
            </w:r>
          </w:p>
        </w:tc>
        <w:tc>
          <w:tcPr>
            <w:tcW w:w="8422" w:type="dxa"/>
            <w:gridSpan w:val="15"/>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Merge w:val="continue"/>
            <w:vAlign w:val="center"/>
          </w:tcPr>
          <w:p>
            <w:pPr>
              <w:adjustRightInd w:val="0"/>
              <w:snapToGrid w:val="0"/>
              <w:ind w:left="-105" w:leftChars="-50" w:right="-105" w:rightChars="-50"/>
              <w:jc w:val="center"/>
              <w:textAlignment w:val="center"/>
              <w:rPr>
                <w:rFonts w:ascii="Times New Roman" w:hAnsi="Times New Roman" w:cs="Calibri"/>
                <w:bCs/>
                <w:szCs w:val="21"/>
              </w:rPr>
            </w:pPr>
          </w:p>
        </w:tc>
        <w:tc>
          <w:tcPr>
            <w:tcW w:w="562"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15</w:t>
            </w:r>
          </w:p>
        </w:tc>
        <w:tc>
          <w:tcPr>
            <w:tcW w:w="529"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25</w:t>
            </w:r>
          </w:p>
        </w:tc>
        <w:tc>
          <w:tcPr>
            <w:tcW w:w="571"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50</w:t>
            </w:r>
          </w:p>
        </w:tc>
        <w:tc>
          <w:tcPr>
            <w:tcW w:w="578"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80</w:t>
            </w:r>
          </w:p>
        </w:tc>
        <w:tc>
          <w:tcPr>
            <w:tcW w:w="578"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100</w:t>
            </w:r>
          </w:p>
        </w:tc>
        <w:tc>
          <w:tcPr>
            <w:tcW w:w="595"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150</w:t>
            </w:r>
          </w:p>
        </w:tc>
        <w:tc>
          <w:tcPr>
            <w:tcW w:w="586"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200</w:t>
            </w:r>
          </w:p>
        </w:tc>
        <w:tc>
          <w:tcPr>
            <w:tcW w:w="578"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250</w:t>
            </w:r>
          </w:p>
        </w:tc>
        <w:tc>
          <w:tcPr>
            <w:tcW w:w="587"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300</w:t>
            </w:r>
          </w:p>
        </w:tc>
        <w:tc>
          <w:tcPr>
            <w:tcW w:w="578"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400</w:t>
            </w:r>
          </w:p>
        </w:tc>
        <w:tc>
          <w:tcPr>
            <w:tcW w:w="554"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500</w:t>
            </w:r>
          </w:p>
        </w:tc>
        <w:tc>
          <w:tcPr>
            <w:tcW w:w="571"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600</w:t>
            </w:r>
          </w:p>
        </w:tc>
        <w:tc>
          <w:tcPr>
            <w:tcW w:w="529"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700</w:t>
            </w:r>
          </w:p>
        </w:tc>
        <w:tc>
          <w:tcPr>
            <w:tcW w:w="529"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800</w:t>
            </w:r>
          </w:p>
        </w:tc>
        <w:tc>
          <w:tcPr>
            <w:tcW w:w="497" w:type="dxa"/>
            <w:vAlign w:val="center"/>
          </w:tcPr>
          <w:p>
            <w:pPr>
              <w:adjustRightInd w:val="0"/>
              <w:snapToGrid w:val="0"/>
              <w:ind w:left="-105" w:leftChars="-50" w:right="-105" w:rightChars="-50"/>
              <w:jc w:val="center"/>
              <w:textAlignment w:val="center"/>
              <w:rPr>
                <w:rFonts w:ascii="Times New Roman" w:hAnsi="Times New Roman" w:cs="Calibri"/>
                <w:bCs/>
                <w:szCs w:val="21"/>
              </w:rPr>
            </w:pPr>
            <w:r>
              <w:rPr>
                <w:rFonts w:ascii="Times New Roman" w:hAnsi="Times New Roman" w:cs="Calibri"/>
                <w:bCs/>
                <w:szCs w:val="21"/>
              </w:rPr>
              <w:t>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装载机</w:t>
            </w:r>
          </w:p>
        </w:tc>
        <w:tc>
          <w:tcPr>
            <w:tcW w:w="562"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85.0</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80.6</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74.5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70.5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68.5</w:t>
            </w:r>
          </w:p>
        </w:tc>
        <w:tc>
          <w:tcPr>
            <w:tcW w:w="595"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65.0</w:t>
            </w:r>
          </w:p>
        </w:tc>
        <w:tc>
          <w:tcPr>
            <w:tcW w:w="586"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62.5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60.5</w:t>
            </w:r>
          </w:p>
        </w:tc>
        <w:tc>
          <w:tcPr>
            <w:tcW w:w="58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59.0</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56.5</w:t>
            </w:r>
          </w:p>
        </w:tc>
        <w:tc>
          <w:tcPr>
            <w:tcW w:w="554"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54.5</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52.4</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51.1</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49.9</w:t>
            </w:r>
          </w:p>
        </w:tc>
        <w:tc>
          <w:tcPr>
            <w:tcW w:w="49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铲土机</w:t>
            </w:r>
          </w:p>
        </w:tc>
        <w:tc>
          <w:tcPr>
            <w:tcW w:w="562"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83.0</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78.6</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72.5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68.5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66.5</w:t>
            </w:r>
          </w:p>
        </w:tc>
        <w:tc>
          <w:tcPr>
            <w:tcW w:w="595"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63.0</w:t>
            </w:r>
          </w:p>
        </w:tc>
        <w:tc>
          <w:tcPr>
            <w:tcW w:w="586"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60.5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58.5</w:t>
            </w:r>
          </w:p>
        </w:tc>
        <w:tc>
          <w:tcPr>
            <w:tcW w:w="58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57.0</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54.5</w:t>
            </w:r>
          </w:p>
        </w:tc>
        <w:tc>
          <w:tcPr>
            <w:tcW w:w="554"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52.5</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51.4</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50.1</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48.9</w:t>
            </w:r>
          </w:p>
        </w:tc>
        <w:tc>
          <w:tcPr>
            <w:tcW w:w="49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推土机</w:t>
            </w:r>
          </w:p>
        </w:tc>
        <w:tc>
          <w:tcPr>
            <w:tcW w:w="562"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86.0</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81.6</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75.5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71.5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69.5</w:t>
            </w:r>
          </w:p>
        </w:tc>
        <w:tc>
          <w:tcPr>
            <w:tcW w:w="595"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66.0</w:t>
            </w:r>
          </w:p>
        </w:tc>
        <w:tc>
          <w:tcPr>
            <w:tcW w:w="586"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63.5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61.5</w:t>
            </w:r>
          </w:p>
        </w:tc>
        <w:tc>
          <w:tcPr>
            <w:tcW w:w="58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60.0</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57.5</w:t>
            </w:r>
          </w:p>
        </w:tc>
        <w:tc>
          <w:tcPr>
            <w:tcW w:w="554"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55.5</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54.4</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53.1</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51.9</w:t>
            </w:r>
          </w:p>
        </w:tc>
        <w:tc>
          <w:tcPr>
            <w:tcW w:w="49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混凝</w:t>
            </w:r>
          </w:p>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土泵</w:t>
            </w:r>
          </w:p>
        </w:tc>
        <w:tc>
          <w:tcPr>
            <w:tcW w:w="562"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79.0</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74.6</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68.5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64.5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62.5</w:t>
            </w:r>
          </w:p>
        </w:tc>
        <w:tc>
          <w:tcPr>
            <w:tcW w:w="595"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59.0</w:t>
            </w:r>
          </w:p>
        </w:tc>
        <w:tc>
          <w:tcPr>
            <w:tcW w:w="586"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56.5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54.5</w:t>
            </w:r>
          </w:p>
        </w:tc>
        <w:tc>
          <w:tcPr>
            <w:tcW w:w="58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53.5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51.0</w:t>
            </w:r>
          </w:p>
        </w:tc>
        <w:tc>
          <w:tcPr>
            <w:tcW w:w="554"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48.5</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48.4</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47.1</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45.9</w:t>
            </w:r>
          </w:p>
        </w:tc>
        <w:tc>
          <w:tcPr>
            <w:tcW w:w="49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载重</w:t>
            </w:r>
          </w:p>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汽车</w:t>
            </w:r>
          </w:p>
        </w:tc>
        <w:tc>
          <w:tcPr>
            <w:tcW w:w="562"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82.0</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77.6</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71.5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67.5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65.5</w:t>
            </w:r>
          </w:p>
        </w:tc>
        <w:tc>
          <w:tcPr>
            <w:tcW w:w="595"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62.0</w:t>
            </w:r>
          </w:p>
        </w:tc>
        <w:tc>
          <w:tcPr>
            <w:tcW w:w="586"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59.5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57.5</w:t>
            </w:r>
          </w:p>
        </w:tc>
        <w:tc>
          <w:tcPr>
            <w:tcW w:w="58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56.0</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53.5</w:t>
            </w:r>
          </w:p>
        </w:tc>
        <w:tc>
          <w:tcPr>
            <w:tcW w:w="554"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51.5</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50.4</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49.1</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47.9</w:t>
            </w:r>
          </w:p>
        </w:tc>
        <w:tc>
          <w:tcPr>
            <w:tcW w:w="49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振捣机</w:t>
            </w:r>
          </w:p>
        </w:tc>
        <w:tc>
          <w:tcPr>
            <w:tcW w:w="562"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74.0</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69.6</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63.5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59.5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57.5</w:t>
            </w:r>
          </w:p>
        </w:tc>
        <w:tc>
          <w:tcPr>
            <w:tcW w:w="595"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54.0</w:t>
            </w:r>
          </w:p>
        </w:tc>
        <w:tc>
          <w:tcPr>
            <w:tcW w:w="586"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51.5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49.5</w:t>
            </w:r>
          </w:p>
        </w:tc>
        <w:tc>
          <w:tcPr>
            <w:tcW w:w="58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48.0</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45.5</w:t>
            </w:r>
          </w:p>
        </w:tc>
        <w:tc>
          <w:tcPr>
            <w:tcW w:w="554"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43.5</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42.4</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41.1</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39.9</w:t>
            </w:r>
          </w:p>
        </w:tc>
        <w:tc>
          <w:tcPr>
            <w:tcW w:w="49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38.9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锯床</w:t>
            </w:r>
          </w:p>
        </w:tc>
        <w:tc>
          <w:tcPr>
            <w:tcW w:w="562"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82.0</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77.6</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71.5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67.5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65.5</w:t>
            </w:r>
          </w:p>
        </w:tc>
        <w:tc>
          <w:tcPr>
            <w:tcW w:w="595"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62.0</w:t>
            </w:r>
          </w:p>
        </w:tc>
        <w:tc>
          <w:tcPr>
            <w:tcW w:w="586"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59.5</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57.5</w:t>
            </w:r>
          </w:p>
        </w:tc>
        <w:tc>
          <w:tcPr>
            <w:tcW w:w="58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56.0</w:t>
            </w:r>
          </w:p>
        </w:tc>
        <w:tc>
          <w:tcPr>
            <w:tcW w:w="578"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53.5</w:t>
            </w:r>
          </w:p>
        </w:tc>
        <w:tc>
          <w:tcPr>
            <w:tcW w:w="554"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51.5</w:t>
            </w:r>
          </w:p>
        </w:tc>
        <w:tc>
          <w:tcPr>
            <w:tcW w:w="571"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50.2</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49.0</w:t>
            </w:r>
          </w:p>
        </w:tc>
        <w:tc>
          <w:tcPr>
            <w:tcW w:w="529"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47.6</w:t>
            </w:r>
          </w:p>
        </w:tc>
        <w:tc>
          <w:tcPr>
            <w:tcW w:w="497" w:type="dxa"/>
            <w:vAlign w:val="center"/>
          </w:tcPr>
          <w:p>
            <w:pPr>
              <w:adjustRightInd w:val="0"/>
              <w:snapToGrid w:val="0"/>
              <w:ind w:left="-105" w:leftChars="-50" w:right="-105" w:rightChars="-50"/>
              <w:jc w:val="center"/>
              <w:textAlignment w:val="center"/>
              <w:rPr>
                <w:rFonts w:ascii="Times New Roman" w:hAnsi="Times New Roman" w:cs="Calibri"/>
                <w:szCs w:val="21"/>
              </w:rPr>
            </w:pPr>
            <w:r>
              <w:rPr>
                <w:rFonts w:ascii="Times New Roman" w:hAnsi="Times New Roman" w:cs="Calibri"/>
                <w:szCs w:val="21"/>
              </w:rPr>
              <w:t>46.6</w:t>
            </w:r>
          </w:p>
        </w:tc>
      </w:tr>
    </w:tbl>
    <w:p>
      <w:pPr>
        <w:pStyle w:val="2"/>
        <w:adjustRightInd w:val="0"/>
        <w:spacing w:line="540" w:lineRule="exact"/>
        <w:ind w:firstLine="480" w:firstLineChars="200"/>
        <w:jc w:val="both"/>
        <w:rPr>
          <w:rFonts w:ascii="Times New Roman" w:hAnsi="Times New Roman"/>
          <w:sz w:val="24"/>
        </w:rPr>
      </w:pPr>
      <w:bookmarkStart w:id="573" w:name="_Toc14030"/>
      <w:bookmarkStart w:id="574" w:name="_Toc24633"/>
      <w:r>
        <w:rPr>
          <w:rFonts w:ascii="Times New Roman" w:hAnsi="Times New Roman"/>
          <w:sz w:val="24"/>
        </w:rPr>
        <w:t>施工期间各种机械设备除少部分高噪声设备可以固定安装在一个地方外，绝大多数设备都会因施工地点的不同而不能固定在一个地方。</w:t>
      </w:r>
      <w:bookmarkEnd w:id="573"/>
      <w:bookmarkEnd w:id="574"/>
    </w:p>
    <w:p>
      <w:pPr>
        <w:pStyle w:val="2"/>
        <w:adjustRightInd w:val="0"/>
        <w:spacing w:line="540" w:lineRule="exact"/>
        <w:ind w:firstLine="480" w:firstLineChars="200"/>
        <w:jc w:val="both"/>
        <w:rPr>
          <w:rFonts w:ascii="Times New Roman" w:hAnsi="Times New Roman"/>
          <w:sz w:val="24"/>
        </w:rPr>
      </w:pPr>
      <w:bookmarkStart w:id="575" w:name="_Toc22277"/>
      <w:bookmarkStart w:id="576" w:name="_Toc20465"/>
      <w:r>
        <w:rPr>
          <w:rFonts w:ascii="Times New Roman" w:hAnsi="Times New Roman"/>
          <w:sz w:val="24"/>
        </w:rPr>
        <w:fldChar w:fldCharType="begin"/>
      </w:r>
      <w:r>
        <w:rPr>
          <w:rFonts w:ascii="Times New Roman" w:hAnsi="Times New Roman"/>
          <w:sz w:val="24"/>
        </w:rPr>
        <w:instrText xml:space="preserve"> = 3 \* GB2 \* MERGEFORMAT </w:instrText>
      </w:r>
      <w:r>
        <w:rPr>
          <w:rFonts w:ascii="Times New Roman" w:hAnsi="Times New Roman"/>
          <w:sz w:val="24"/>
        </w:rPr>
        <w:fldChar w:fldCharType="separate"/>
      </w:r>
      <w:r>
        <w:rPr>
          <w:rFonts w:ascii="Times New Roman" w:hAnsi="Times New Roman"/>
          <w:sz w:val="24"/>
        </w:rPr>
        <w:t>⑶</w:t>
      </w:r>
      <w:r>
        <w:rPr>
          <w:rFonts w:ascii="Times New Roman" w:hAnsi="Times New Roman"/>
          <w:sz w:val="24"/>
        </w:rPr>
        <w:fldChar w:fldCharType="end"/>
      </w:r>
      <w:r>
        <w:rPr>
          <w:rFonts w:ascii="Times New Roman" w:hAnsi="Times New Roman"/>
          <w:sz w:val="24"/>
        </w:rPr>
        <w:t>施工期噪声预测</w:t>
      </w:r>
      <w:bookmarkEnd w:id="575"/>
      <w:bookmarkEnd w:id="576"/>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施工期各种噪声源为多点源，根据点声源噪声衰减模式，可估算其施工期间离噪声源不同距离处的噪声值，预测模式如下:</w:t>
      </w:r>
    </w:p>
    <w:p>
      <w:pPr>
        <w:adjustRightInd w:val="0"/>
        <w:snapToGrid w:val="0"/>
        <w:spacing w:line="540" w:lineRule="exact"/>
        <w:ind w:firstLine="480" w:firstLineChars="200"/>
        <w:jc w:val="center"/>
        <w:rPr>
          <w:rFonts w:ascii="Times New Roman" w:hAnsi="Times New Roman"/>
          <w:snapToGrid w:val="0"/>
          <w:sz w:val="24"/>
        </w:rPr>
      </w:pPr>
      <w:r>
        <w:rPr>
          <w:rFonts w:ascii="Times New Roman" w:hAnsi="Times New Roman"/>
          <w:snapToGrid w:val="0"/>
          <w:sz w:val="24"/>
        </w:rPr>
        <w:t>L</w:t>
      </w:r>
      <w:r>
        <w:rPr>
          <w:rFonts w:ascii="Times New Roman" w:hAnsi="Times New Roman"/>
          <w:snapToGrid w:val="0"/>
          <w:sz w:val="24"/>
          <w:vertAlign w:val="subscript"/>
        </w:rPr>
        <w:t>p</w:t>
      </w:r>
      <w:r>
        <w:rPr>
          <w:rFonts w:ascii="Times New Roman" w:hAnsi="Times New Roman"/>
          <w:snapToGrid w:val="0"/>
          <w:sz w:val="24"/>
        </w:rPr>
        <w:t>=Lp</w:t>
      </w:r>
      <w:r>
        <w:rPr>
          <w:rFonts w:ascii="Times New Roman" w:hAnsi="Times New Roman"/>
          <w:snapToGrid w:val="0"/>
          <w:sz w:val="24"/>
          <w:vertAlign w:val="subscript"/>
        </w:rPr>
        <w:t>0</w:t>
      </w:r>
      <w:r>
        <w:rPr>
          <w:rFonts w:ascii="Times New Roman" w:hAnsi="Times New Roman"/>
          <w:snapToGrid w:val="0"/>
          <w:sz w:val="24"/>
        </w:rPr>
        <w:t>—20Log(r/r</w:t>
      </w:r>
      <w:r>
        <w:rPr>
          <w:rFonts w:ascii="Times New Roman" w:hAnsi="Times New Roman"/>
          <w:snapToGrid w:val="0"/>
          <w:sz w:val="24"/>
          <w:vertAlign w:val="subscript"/>
        </w:rPr>
        <w:t>0</w:t>
      </w:r>
      <w:r>
        <w:rPr>
          <w:rFonts w:ascii="Times New Roman" w:hAnsi="Times New Roman"/>
          <w:snapToGrid w:val="0"/>
          <w:sz w:val="24"/>
        </w:rPr>
        <w:t>)—△Loct</w:t>
      </w:r>
    </w:p>
    <w:p>
      <w:pPr>
        <w:adjustRightInd w:val="0"/>
        <w:snapToGrid w:val="0"/>
        <w:spacing w:line="540" w:lineRule="exact"/>
        <w:ind w:firstLine="480" w:firstLineChars="200"/>
        <w:jc w:val="left"/>
        <w:rPr>
          <w:rFonts w:ascii="Times New Roman" w:hAnsi="Times New Roman"/>
          <w:snapToGrid w:val="0"/>
          <w:sz w:val="24"/>
        </w:rPr>
      </w:pPr>
      <w:r>
        <w:rPr>
          <w:rFonts w:ascii="Times New Roman" w:hAnsi="Times New Roman"/>
          <w:snapToGrid w:val="0"/>
          <w:sz w:val="24"/>
        </w:rPr>
        <w:t>式中：L</w:t>
      </w:r>
      <w:r>
        <w:rPr>
          <w:rFonts w:ascii="Times New Roman" w:hAnsi="Times New Roman"/>
          <w:snapToGrid w:val="0"/>
          <w:sz w:val="24"/>
          <w:vertAlign w:val="subscript"/>
        </w:rPr>
        <w:t>p</w:t>
      </w:r>
      <w:r>
        <w:rPr>
          <w:rFonts w:ascii="Times New Roman" w:hAnsi="Times New Roman"/>
          <w:snapToGrid w:val="0"/>
          <w:sz w:val="24"/>
        </w:rPr>
        <w:t>——距声源r米处的施工噪声预测值dB(A)；</w:t>
      </w:r>
    </w:p>
    <w:p>
      <w:pPr>
        <w:adjustRightInd w:val="0"/>
        <w:snapToGrid w:val="0"/>
        <w:spacing w:line="540" w:lineRule="exact"/>
        <w:ind w:firstLine="1200" w:firstLineChars="500"/>
        <w:jc w:val="left"/>
        <w:rPr>
          <w:rFonts w:ascii="Times New Roman" w:hAnsi="Times New Roman"/>
          <w:snapToGrid w:val="0"/>
          <w:sz w:val="24"/>
        </w:rPr>
      </w:pPr>
      <w:r>
        <w:rPr>
          <w:rFonts w:ascii="Times New Roman" w:hAnsi="Times New Roman"/>
          <w:snapToGrid w:val="0"/>
          <w:sz w:val="24"/>
        </w:rPr>
        <w:t>L</w:t>
      </w:r>
      <w:r>
        <w:rPr>
          <w:rFonts w:ascii="Times New Roman" w:hAnsi="Times New Roman"/>
          <w:snapToGrid w:val="0"/>
          <w:sz w:val="24"/>
          <w:vertAlign w:val="subscript"/>
        </w:rPr>
        <w:t>p0</w:t>
      </w:r>
      <w:r>
        <w:rPr>
          <w:rFonts w:ascii="Times New Roman" w:hAnsi="Times New Roman"/>
          <w:snapToGrid w:val="0"/>
          <w:sz w:val="24"/>
        </w:rPr>
        <w:t>——距声源r米处的参考声级dB(A)；</w:t>
      </w:r>
    </w:p>
    <w:p>
      <w:pPr>
        <w:adjustRightInd w:val="0"/>
        <w:snapToGrid w:val="0"/>
        <w:spacing w:line="540" w:lineRule="exact"/>
        <w:ind w:firstLine="1200" w:firstLineChars="500"/>
        <w:jc w:val="left"/>
        <w:rPr>
          <w:rFonts w:ascii="Times New Roman" w:hAnsi="Times New Roman"/>
          <w:snapToGrid w:val="0"/>
          <w:sz w:val="24"/>
        </w:rPr>
      </w:pPr>
      <w:r>
        <w:rPr>
          <w:rFonts w:ascii="Times New Roman" w:hAnsi="Times New Roman"/>
          <w:snapToGrid w:val="0"/>
          <w:sz w:val="24"/>
        </w:rPr>
        <w:t>r、r</w:t>
      </w:r>
      <w:r>
        <w:rPr>
          <w:rFonts w:ascii="Times New Roman" w:hAnsi="Times New Roman"/>
          <w:snapToGrid w:val="0"/>
          <w:sz w:val="24"/>
          <w:vertAlign w:val="subscript"/>
        </w:rPr>
        <w:t>0</w:t>
      </w:r>
      <w:r>
        <w:rPr>
          <w:rFonts w:ascii="Times New Roman" w:hAnsi="Times New Roman"/>
          <w:snapToGrid w:val="0"/>
          <w:sz w:val="24"/>
        </w:rPr>
        <w:t>——点距离声源(m)；</w:t>
      </w:r>
    </w:p>
    <w:p>
      <w:pPr>
        <w:adjustRightInd w:val="0"/>
        <w:snapToGrid w:val="0"/>
        <w:spacing w:line="540" w:lineRule="exact"/>
        <w:ind w:firstLine="1200" w:firstLineChars="500"/>
        <w:jc w:val="left"/>
        <w:rPr>
          <w:rFonts w:ascii="Times New Roman" w:hAnsi="Times New Roman"/>
          <w:sz w:val="24"/>
        </w:rPr>
      </w:pPr>
      <w:r>
        <w:rPr>
          <w:rFonts w:ascii="Times New Roman" w:hAnsi="Times New Roman"/>
          <w:snapToGrid w:val="0"/>
          <w:sz w:val="24"/>
        </w:rPr>
        <w:t>△Loct—各种因素引起的衰减量(包括声障、遮挡物、空气吸收、地面效应引起的衰减量)。</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根据表</w:t>
      </w:r>
      <w:r>
        <w:rPr>
          <w:rFonts w:hint="eastAsia" w:ascii="Times New Roman" w:hAnsi="Times New Roman"/>
          <w:sz w:val="24"/>
        </w:rPr>
        <w:t>4</w:t>
      </w:r>
      <w:r>
        <w:rPr>
          <w:rFonts w:ascii="Times New Roman" w:hAnsi="Times New Roman"/>
          <w:sz w:val="24"/>
        </w:rPr>
        <w:t>.1-2中各种施工机械噪声值，通过计算可以得出不同类型施工机械在不同距离处的噪声预测值，见表</w:t>
      </w:r>
      <w:r>
        <w:rPr>
          <w:rFonts w:hint="eastAsia" w:ascii="Times New Roman" w:hAnsi="Times New Roman"/>
          <w:sz w:val="24"/>
        </w:rPr>
        <w:t>4</w:t>
      </w:r>
      <w:r>
        <w:rPr>
          <w:rFonts w:ascii="Times New Roman" w:hAnsi="Times New Roman"/>
          <w:sz w:val="24"/>
        </w:rPr>
        <w:t>.1-3。</w:t>
      </w:r>
    </w:p>
    <w:p>
      <w:pPr>
        <w:pStyle w:val="2"/>
        <w:adjustRightInd w:val="0"/>
        <w:jc w:val="center"/>
        <w:rPr>
          <w:rFonts w:ascii="Times New Roman" w:hAnsi="Times New Roman"/>
          <w:b/>
          <w:bCs/>
          <w:sz w:val="24"/>
        </w:rPr>
      </w:pPr>
      <w:r>
        <w:rPr>
          <w:rFonts w:ascii="Times New Roman" w:hAnsi="Times New Roman"/>
          <w:b/>
          <w:bCs/>
          <w:sz w:val="24"/>
        </w:rPr>
        <w:t>表</w:t>
      </w:r>
      <w:r>
        <w:rPr>
          <w:rFonts w:hint="eastAsia" w:ascii="Times New Roman" w:hAnsi="Times New Roman"/>
          <w:b/>
          <w:bCs/>
          <w:sz w:val="24"/>
        </w:rPr>
        <w:t>4</w:t>
      </w:r>
      <w:r>
        <w:rPr>
          <w:rFonts w:ascii="Times New Roman" w:hAnsi="Times New Roman"/>
          <w:b/>
          <w:bCs/>
          <w:sz w:val="24"/>
        </w:rPr>
        <w:t>.1-3     施工机械噪声影响范围预测结果       单位：dB(A)</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2455"/>
        <w:gridCol w:w="2028"/>
        <w:gridCol w:w="1733"/>
        <w:gridCol w:w="17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vAlign w:val="center"/>
          </w:tcPr>
          <w:p>
            <w:pPr>
              <w:adjustRightInd w:val="0"/>
              <w:snapToGrid w:val="0"/>
              <w:jc w:val="center"/>
              <w:rPr>
                <w:rFonts w:ascii="Times New Roman" w:hAnsi="Times New Roman"/>
                <w:bCs/>
                <w:szCs w:val="21"/>
              </w:rPr>
            </w:pPr>
            <w:r>
              <w:rPr>
                <w:rFonts w:ascii="Times New Roman" w:hAnsi="Times New Roman"/>
                <w:bCs/>
                <w:szCs w:val="21"/>
              </w:rPr>
              <w:t>施工阶段</w:t>
            </w:r>
          </w:p>
        </w:tc>
        <w:tc>
          <w:tcPr>
            <w:tcW w:w="2441" w:type="dxa"/>
            <w:vAlign w:val="center"/>
          </w:tcPr>
          <w:p>
            <w:pPr>
              <w:adjustRightInd w:val="0"/>
              <w:snapToGrid w:val="0"/>
              <w:jc w:val="center"/>
              <w:rPr>
                <w:rFonts w:ascii="Times New Roman" w:hAnsi="Times New Roman"/>
                <w:bCs/>
                <w:szCs w:val="21"/>
              </w:rPr>
            </w:pPr>
            <w:r>
              <w:rPr>
                <w:rFonts w:ascii="Times New Roman" w:hAnsi="Times New Roman"/>
                <w:bCs/>
                <w:szCs w:val="21"/>
              </w:rPr>
              <w:t>主要噪声源</w:t>
            </w:r>
          </w:p>
        </w:tc>
        <w:tc>
          <w:tcPr>
            <w:tcW w:w="2016" w:type="dxa"/>
            <w:vAlign w:val="center"/>
          </w:tcPr>
          <w:p>
            <w:pPr>
              <w:adjustRightInd w:val="0"/>
              <w:snapToGrid w:val="0"/>
              <w:jc w:val="center"/>
              <w:rPr>
                <w:rFonts w:ascii="Times New Roman" w:hAnsi="Times New Roman"/>
                <w:bCs/>
                <w:szCs w:val="21"/>
              </w:rPr>
            </w:pPr>
            <w:r>
              <w:rPr>
                <w:rFonts w:ascii="Times New Roman" w:hAnsi="Times New Roman"/>
                <w:bCs/>
                <w:szCs w:val="21"/>
              </w:rPr>
              <w:t>执行标准Leq[dB(A)]昼/夜</w:t>
            </w:r>
          </w:p>
        </w:tc>
        <w:tc>
          <w:tcPr>
            <w:tcW w:w="1723" w:type="dxa"/>
            <w:vAlign w:val="center"/>
          </w:tcPr>
          <w:p>
            <w:pPr>
              <w:adjustRightInd w:val="0"/>
              <w:snapToGrid w:val="0"/>
              <w:jc w:val="center"/>
              <w:rPr>
                <w:rFonts w:ascii="Times New Roman" w:hAnsi="Times New Roman"/>
                <w:bCs/>
                <w:szCs w:val="21"/>
              </w:rPr>
            </w:pPr>
            <w:r>
              <w:rPr>
                <w:rFonts w:ascii="Times New Roman" w:hAnsi="Times New Roman"/>
                <w:bCs/>
                <w:szCs w:val="21"/>
              </w:rPr>
              <w:t>昼间影响距离m</w:t>
            </w:r>
          </w:p>
        </w:tc>
        <w:tc>
          <w:tcPr>
            <w:tcW w:w="1721" w:type="dxa"/>
            <w:vAlign w:val="center"/>
          </w:tcPr>
          <w:p>
            <w:pPr>
              <w:adjustRightInd w:val="0"/>
              <w:snapToGrid w:val="0"/>
              <w:jc w:val="center"/>
              <w:rPr>
                <w:rFonts w:ascii="Times New Roman" w:hAnsi="Times New Roman"/>
                <w:bCs/>
                <w:szCs w:val="21"/>
              </w:rPr>
            </w:pPr>
            <w:r>
              <w:rPr>
                <w:rFonts w:ascii="Times New Roman" w:hAnsi="Times New Roman"/>
                <w:bCs/>
                <w:szCs w:val="21"/>
              </w:rPr>
              <w:t>夜间影响距离m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vAlign w:val="center"/>
          </w:tcPr>
          <w:p>
            <w:pPr>
              <w:adjustRightInd w:val="0"/>
              <w:snapToGrid w:val="0"/>
              <w:jc w:val="center"/>
              <w:rPr>
                <w:rFonts w:ascii="Times New Roman" w:hAnsi="Times New Roman"/>
                <w:bCs/>
                <w:szCs w:val="21"/>
              </w:rPr>
            </w:pPr>
            <w:r>
              <w:rPr>
                <w:rFonts w:ascii="Times New Roman" w:hAnsi="Times New Roman"/>
                <w:bCs/>
                <w:szCs w:val="21"/>
              </w:rPr>
              <w:t>土石方</w:t>
            </w:r>
          </w:p>
        </w:tc>
        <w:tc>
          <w:tcPr>
            <w:tcW w:w="2441" w:type="dxa"/>
            <w:vAlign w:val="center"/>
          </w:tcPr>
          <w:p>
            <w:pPr>
              <w:adjustRightInd w:val="0"/>
              <w:snapToGrid w:val="0"/>
              <w:jc w:val="center"/>
              <w:rPr>
                <w:rFonts w:ascii="Times New Roman" w:hAnsi="Times New Roman"/>
                <w:bCs/>
                <w:szCs w:val="21"/>
              </w:rPr>
            </w:pPr>
            <w:r>
              <w:rPr>
                <w:rFonts w:ascii="Times New Roman" w:hAnsi="Times New Roman"/>
                <w:bCs/>
                <w:szCs w:val="21"/>
              </w:rPr>
              <w:t>推土机、挖掘机、装载机载重汽车、重型碾压机等</w:t>
            </w:r>
          </w:p>
        </w:tc>
        <w:tc>
          <w:tcPr>
            <w:tcW w:w="2016" w:type="dxa"/>
            <w:vAlign w:val="center"/>
          </w:tcPr>
          <w:p>
            <w:pPr>
              <w:adjustRightInd w:val="0"/>
              <w:snapToGrid w:val="0"/>
              <w:jc w:val="center"/>
              <w:rPr>
                <w:rFonts w:ascii="Times New Roman" w:hAnsi="Times New Roman"/>
                <w:bCs/>
                <w:szCs w:val="21"/>
              </w:rPr>
            </w:pPr>
            <w:r>
              <w:rPr>
                <w:rFonts w:ascii="Times New Roman" w:hAnsi="Times New Roman"/>
                <w:bCs/>
                <w:szCs w:val="21"/>
              </w:rPr>
              <w:t>70/55</w:t>
            </w:r>
          </w:p>
        </w:tc>
        <w:tc>
          <w:tcPr>
            <w:tcW w:w="1723" w:type="dxa"/>
            <w:vAlign w:val="center"/>
          </w:tcPr>
          <w:p>
            <w:pPr>
              <w:adjustRightInd w:val="0"/>
              <w:snapToGrid w:val="0"/>
              <w:jc w:val="center"/>
              <w:rPr>
                <w:rFonts w:ascii="Times New Roman" w:hAnsi="Times New Roman"/>
                <w:bCs/>
                <w:szCs w:val="21"/>
              </w:rPr>
            </w:pPr>
            <w:r>
              <w:rPr>
                <w:rFonts w:ascii="Times New Roman" w:hAnsi="Times New Roman"/>
                <w:bCs/>
                <w:szCs w:val="21"/>
              </w:rPr>
              <w:t>100</w:t>
            </w:r>
          </w:p>
        </w:tc>
        <w:tc>
          <w:tcPr>
            <w:tcW w:w="1721" w:type="dxa"/>
            <w:vAlign w:val="center"/>
          </w:tcPr>
          <w:p>
            <w:pPr>
              <w:adjustRightInd w:val="0"/>
              <w:snapToGrid w:val="0"/>
              <w:jc w:val="center"/>
              <w:rPr>
                <w:rFonts w:ascii="Times New Roman" w:hAnsi="Times New Roman"/>
                <w:bCs/>
                <w:szCs w:val="21"/>
              </w:rPr>
            </w:pPr>
            <w:r>
              <w:rPr>
                <w:rFonts w:ascii="Times New Roman" w:hAnsi="Times New Roman"/>
                <w:bCs/>
                <w:szCs w:val="21"/>
              </w:rPr>
              <w:t>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vAlign w:val="center"/>
          </w:tcPr>
          <w:p>
            <w:pPr>
              <w:adjustRightInd w:val="0"/>
              <w:snapToGrid w:val="0"/>
              <w:jc w:val="center"/>
              <w:rPr>
                <w:rFonts w:ascii="Times New Roman" w:hAnsi="Times New Roman"/>
                <w:bCs/>
                <w:szCs w:val="21"/>
              </w:rPr>
            </w:pPr>
            <w:r>
              <w:rPr>
                <w:rFonts w:ascii="Times New Roman" w:hAnsi="Times New Roman"/>
                <w:bCs/>
                <w:szCs w:val="21"/>
              </w:rPr>
              <w:t>结构</w:t>
            </w:r>
          </w:p>
        </w:tc>
        <w:tc>
          <w:tcPr>
            <w:tcW w:w="2441" w:type="dxa"/>
            <w:vAlign w:val="center"/>
          </w:tcPr>
          <w:p>
            <w:pPr>
              <w:adjustRightInd w:val="0"/>
              <w:snapToGrid w:val="0"/>
              <w:jc w:val="center"/>
              <w:rPr>
                <w:rFonts w:ascii="Times New Roman" w:hAnsi="Times New Roman"/>
                <w:bCs/>
                <w:szCs w:val="21"/>
              </w:rPr>
            </w:pPr>
            <w:r>
              <w:rPr>
                <w:rFonts w:ascii="Times New Roman" w:hAnsi="Times New Roman"/>
                <w:bCs/>
                <w:szCs w:val="21"/>
              </w:rPr>
              <w:t>混凝土搅拌机、振捣棒等</w:t>
            </w:r>
          </w:p>
        </w:tc>
        <w:tc>
          <w:tcPr>
            <w:tcW w:w="2016" w:type="dxa"/>
            <w:vAlign w:val="center"/>
          </w:tcPr>
          <w:p>
            <w:pPr>
              <w:adjustRightInd w:val="0"/>
              <w:snapToGrid w:val="0"/>
              <w:jc w:val="center"/>
              <w:rPr>
                <w:rFonts w:ascii="Times New Roman" w:hAnsi="Times New Roman"/>
                <w:bCs/>
                <w:szCs w:val="21"/>
              </w:rPr>
            </w:pPr>
            <w:r>
              <w:rPr>
                <w:rFonts w:ascii="Times New Roman" w:hAnsi="Times New Roman"/>
                <w:bCs/>
                <w:szCs w:val="21"/>
              </w:rPr>
              <w:t>70/55</w:t>
            </w:r>
          </w:p>
        </w:tc>
        <w:tc>
          <w:tcPr>
            <w:tcW w:w="1723" w:type="dxa"/>
            <w:vAlign w:val="center"/>
          </w:tcPr>
          <w:p>
            <w:pPr>
              <w:adjustRightInd w:val="0"/>
              <w:snapToGrid w:val="0"/>
              <w:jc w:val="center"/>
              <w:rPr>
                <w:rFonts w:ascii="Times New Roman" w:hAnsi="Times New Roman"/>
                <w:bCs/>
                <w:szCs w:val="21"/>
              </w:rPr>
            </w:pPr>
            <w:r>
              <w:rPr>
                <w:rFonts w:ascii="Times New Roman" w:hAnsi="Times New Roman"/>
                <w:bCs/>
                <w:szCs w:val="21"/>
              </w:rPr>
              <w:t>50</w:t>
            </w:r>
          </w:p>
        </w:tc>
        <w:tc>
          <w:tcPr>
            <w:tcW w:w="1721" w:type="dxa"/>
            <w:vAlign w:val="center"/>
          </w:tcPr>
          <w:p>
            <w:pPr>
              <w:adjustRightInd w:val="0"/>
              <w:snapToGrid w:val="0"/>
              <w:jc w:val="center"/>
              <w:rPr>
                <w:rFonts w:ascii="Times New Roman" w:hAnsi="Times New Roman"/>
                <w:bCs/>
                <w:szCs w:val="21"/>
              </w:rPr>
            </w:pPr>
            <w:r>
              <w:rPr>
                <w:rFonts w:ascii="Times New Roman" w:hAnsi="Times New Roman"/>
                <w:bCs/>
                <w:szCs w:val="21"/>
              </w:rPr>
              <w:t>350</w:t>
            </w:r>
          </w:p>
        </w:tc>
      </w:tr>
    </w:tbl>
    <w:p>
      <w:pPr>
        <w:pStyle w:val="2"/>
        <w:adjustRightInd w:val="0"/>
        <w:spacing w:line="540" w:lineRule="exact"/>
        <w:ind w:firstLine="480" w:firstLineChars="200"/>
        <w:jc w:val="both"/>
        <w:rPr>
          <w:rFonts w:ascii="Times New Roman" w:hAnsi="Times New Roman"/>
          <w:sz w:val="24"/>
        </w:rPr>
      </w:pPr>
      <w:bookmarkStart w:id="577" w:name="_Toc23975"/>
      <w:r>
        <w:rPr>
          <w:rFonts w:ascii="Times New Roman" w:hAnsi="Times New Roman"/>
          <w:sz w:val="24"/>
        </w:rPr>
        <w:t>从表中预测结果看，对照《建筑施工场界环境噪声排放标准》（GB 12523-2011），在声源与受声点之间无任何屏障时，项目施工机械影响情况为：</w:t>
      </w:r>
    </w:p>
    <w:p>
      <w:pPr>
        <w:pStyle w:val="2"/>
        <w:adjustRightInd w:val="0"/>
        <w:spacing w:line="540" w:lineRule="exact"/>
        <w:ind w:firstLine="480" w:firstLineChars="200"/>
        <w:jc w:val="both"/>
        <w:rPr>
          <w:rFonts w:ascii="Times New Roman" w:hAnsi="Times New Roman"/>
          <w:sz w:val="24"/>
        </w:rPr>
      </w:pPr>
      <w:bookmarkStart w:id="578" w:name="_Toc22683_WPSOffice_Level3"/>
      <w:bookmarkStart w:id="579" w:name="_Toc29597_WPSOffice_Level3"/>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rPr>
        <w:t>土石方施工阶段</w:t>
      </w:r>
      <w:bookmarkEnd w:id="578"/>
      <w:bookmarkEnd w:id="579"/>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施工机械噪声昼间的超标范围在距声源300m以内，夜间超标范围在500m以内。</w:t>
      </w:r>
    </w:p>
    <w:p>
      <w:pPr>
        <w:pStyle w:val="2"/>
        <w:adjustRightInd w:val="0"/>
        <w:spacing w:line="540" w:lineRule="exact"/>
        <w:ind w:firstLine="480" w:firstLineChars="200"/>
        <w:jc w:val="both"/>
        <w:rPr>
          <w:rFonts w:ascii="Times New Roman" w:hAnsi="Times New Roman"/>
          <w:sz w:val="24"/>
        </w:rPr>
      </w:pPr>
      <w:bookmarkStart w:id="580" w:name="_Toc15984_WPSOffice_Level3"/>
      <w:bookmarkStart w:id="581" w:name="_Toc14441_WPSOffice_Level3"/>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rPr>
        <w:t>结构施工阶段</w:t>
      </w:r>
      <w:bookmarkEnd w:id="580"/>
      <w:bookmarkEnd w:id="581"/>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施工机械噪声昼间的超标范围在距声源50m以内，夜间超标范围在350m以内。在上述范围之外，施工噪声能够达到《建筑施工场界环境噪声排放标准》（GB 12523-2011）标准要求。</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本项目所在区域属</w:t>
      </w:r>
      <w:r>
        <w:rPr>
          <w:rFonts w:hint="eastAsia" w:ascii="Times New Roman" w:hAnsi="Times New Roman"/>
          <w:sz w:val="24"/>
        </w:rPr>
        <w:t>2</w:t>
      </w:r>
      <w:r>
        <w:rPr>
          <w:rFonts w:ascii="Times New Roman" w:hAnsi="Times New Roman"/>
          <w:sz w:val="24"/>
        </w:rPr>
        <w:t>类标准适用区，执行《声环境质量标准》（GB 3096-2008）中的2类标准，即昼间60dB(A)、夜间50dB(A)；由预测结果可知，在采用噪声强度较大的施工机械施工时，项目施工噪声对周边区域声环境有一定影响，但本项目评价范围内无声环境保护目标，因此不会造成噪声扰民现象发生。</w:t>
      </w:r>
    </w:p>
    <w:p>
      <w:pPr>
        <w:pStyle w:val="51"/>
        <w:keepNext/>
        <w:keepLines/>
        <w:pageBreakBefore w:val="0"/>
        <w:widowControl w:val="0"/>
        <w:kinsoku/>
        <w:wordWrap/>
        <w:overflowPunct/>
        <w:topLinePunct w:val="0"/>
        <w:autoSpaceDE/>
        <w:autoSpaceDN/>
        <w:bidi w:val="0"/>
        <w:adjustRightInd/>
        <w:snapToGrid w:val="0"/>
        <w:spacing w:before="0" w:beforeLines="0" w:after="0" w:afterLines="0" w:line="540" w:lineRule="exact"/>
        <w:contextualSpacing/>
        <w:textAlignment w:val="auto"/>
        <w:rPr>
          <w:rFonts w:cs="Times New Roman"/>
          <w:bCs w:val="0"/>
          <w:snapToGrid w:val="0"/>
          <w:kern w:val="0"/>
          <w:sz w:val="30"/>
          <w:szCs w:val="30"/>
        </w:rPr>
      </w:pPr>
      <w:bookmarkStart w:id="582" w:name="_Toc21189"/>
      <w:bookmarkStart w:id="583" w:name="_Toc16302"/>
      <w:bookmarkStart w:id="584" w:name="_Toc12694"/>
      <w:bookmarkStart w:id="585" w:name="_Toc9254"/>
      <w:bookmarkStart w:id="586" w:name="_Toc25434"/>
      <w:bookmarkStart w:id="587" w:name="_Toc28734"/>
      <w:r>
        <w:rPr>
          <w:rFonts w:hint="eastAsia" w:cs="Times New Roman"/>
          <w:bCs w:val="0"/>
          <w:snapToGrid w:val="0"/>
          <w:kern w:val="0"/>
          <w:sz w:val="30"/>
          <w:szCs w:val="30"/>
        </w:rPr>
        <w:t>4.3</w:t>
      </w:r>
      <w:bookmarkStart w:id="588" w:name="_Toc23101"/>
      <w:r>
        <w:rPr>
          <w:rFonts w:hint="eastAsia" w:cs="Times New Roman"/>
          <w:bCs w:val="0"/>
          <w:snapToGrid w:val="0"/>
          <w:kern w:val="0"/>
          <w:sz w:val="30"/>
          <w:szCs w:val="30"/>
        </w:rPr>
        <w:fldChar w:fldCharType="begin"/>
      </w:r>
      <w:r>
        <w:rPr>
          <w:rFonts w:hint="eastAsia" w:cs="Times New Roman"/>
          <w:bCs w:val="0"/>
          <w:snapToGrid w:val="0"/>
          <w:kern w:val="0"/>
          <w:sz w:val="30"/>
          <w:szCs w:val="30"/>
        </w:rPr>
        <w:instrText xml:space="preserve"> HYPERLINK \l "_Toc237827476" </w:instrText>
      </w:r>
      <w:r>
        <w:rPr>
          <w:rFonts w:hint="eastAsia" w:cs="Times New Roman"/>
          <w:bCs w:val="0"/>
          <w:snapToGrid w:val="0"/>
          <w:kern w:val="0"/>
          <w:sz w:val="30"/>
          <w:szCs w:val="30"/>
        </w:rPr>
        <w:fldChar w:fldCharType="separate"/>
      </w:r>
      <w:bookmarkStart w:id="589" w:name="_Toc240269908"/>
      <w:bookmarkStart w:id="590" w:name="_Toc240273962"/>
      <w:bookmarkStart w:id="591" w:name="_Toc324171508"/>
      <w:bookmarkStart w:id="592" w:name="_Toc240338505"/>
      <w:bookmarkStart w:id="593" w:name="_Toc240270069"/>
      <w:bookmarkStart w:id="594" w:name="_Toc240270230"/>
      <w:r>
        <w:rPr>
          <w:rFonts w:hint="eastAsia" w:cs="Times New Roman"/>
          <w:bCs w:val="0"/>
          <w:snapToGrid w:val="0"/>
          <w:kern w:val="0"/>
          <w:sz w:val="30"/>
          <w:szCs w:val="30"/>
        </w:rPr>
        <w:t>施工期水环境影响分析及防控措施</w:t>
      </w:r>
      <w:bookmarkEnd w:id="589"/>
      <w:bookmarkEnd w:id="590"/>
      <w:bookmarkEnd w:id="591"/>
      <w:bookmarkEnd w:id="592"/>
      <w:bookmarkEnd w:id="593"/>
      <w:bookmarkEnd w:id="594"/>
      <w:r>
        <w:rPr>
          <w:rFonts w:hint="eastAsia" w:cs="Times New Roman"/>
          <w:bCs w:val="0"/>
          <w:snapToGrid w:val="0"/>
          <w:kern w:val="0"/>
          <w:sz w:val="30"/>
          <w:szCs w:val="30"/>
        </w:rPr>
        <w:fldChar w:fldCharType="end"/>
      </w:r>
      <w:bookmarkEnd w:id="577"/>
      <w:bookmarkEnd w:id="582"/>
      <w:bookmarkEnd w:id="583"/>
      <w:bookmarkEnd w:id="584"/>
      <w:bookmarkEnd w:id="585"/>
      <w:bookmarkEnd w:id="586"/>
      <w:bookmarkEnd w:id="587"/>
      <w:bookmarkEnd w:id="588"/>
    </w:p>
    <w:p>
      <w:pPr>
        <w:pStyle w:val="2"/>
        <w:adjustRightInd w:val="0"/>
        <w:spacing w:line="540" w:lineRule="exact"/>
        <w:ind w:firstLine="480" w:firstLineChars="200"/>
        <w:jc w:val="both"/>
        <w:rPr>
          <w:rFonts w:ascii="Times New Roman" w:hAnsi="Times New Roman"/>
          <w:sz w:val="24"/>
        </w:rPr>
      </w:pPr>
      <w:bookmarkStart w:id="595" w:name="_Toc61255610"/>
      <w:bookmarkStart w:id="596" w:name="_Toc5382003"/>
      <w:bookmarkStart w:id="597" w:name="_Toc503860823"/>
      <w:bookmarkStart w:id="598" w:name="_Toc490447667"/>
      <w:bookmarkStart w:id="599" w:name="_Toc61426874"/>
      <w:bookmarkStart w:id="600" w:name="_Toc61368447"/>
      <w:bookmarkStart w:id="601" w:name="_Toc503861249"/>
      <w:bookmarkStart w:id="602" w:name="_Toc49915780"/>
      <w:bookmarkStart w:id="603" w:name="_Toc9221314"/>
      <w:bookmarkStart w:id="604" w:name="_Toc5257127"/>
      <w:bookmarkStart w:id="605" w:name="_Toc240270231"/>
      <w:bookmarkStart w:id="606" w:name="_Toc240269909"/>
      <w:bookmarkStart w:id="607" w:name="_Toc22568"/>
      <w:bookmarkStart w:id="608" w:name="_Toc206933763"/>
      <w:bookmarkStart w:id="609" w:name="_Toc18399"/>
      <w:bookmarkStart w:id="610" w:name="_Toc240270070"/>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rPr>
        <w:t>施工期水环境影响</w:t>
      </w:r>
      <w:bookmarkEnd w:id="595"/>
      <w:bookmarkEnd w:id="596"/>
      <w:bookmarkEnd w:id="597"/>
      <w:bookmarkEnd w:id="598"/>
      <w:bookmarkEnd w:id="599"/>
      <w:bookmarkEnd w:id="600"/>
      <w:bookmarkEnd w:id="601"/>
      <w:bookmarkEnd w:id="602"/>
      <w:bookmarkEnd w:id="603"/>
      <w:bookmarkEnd w:id="604"/>
      <w:r>
        <w:rPr>
          <w:rFonts w:ascii="Times New Roman" w:hAnsi="Times New Roman"/>
          <w:sz w:val="24"/>
        </w:rPr>
        <w:t>因素</w:t>
      </w:r>
      <w:bookmarkEnd w:id="605"/>
      <w:bookmarkEnd w:id="606"/>
      <w:bookmarkEnd w:id="607"/>
      <w:bookmarkEnd w:id="608"/>
      <w:bookmarkEnd w:id="609"/>
      <w:bookmarkEnd w:id="610"/>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项目施工期间，由于场地清洗、建筑安装等工程的实施，将会产生一定量的施工废水。此外，还有施工人员产生的生活污水。</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施工废水包括地基、道路开挖和管道铺设、场房建设过程中产生的泥浆水、机械设备运转的冷却水和施工现场的清洗废水。施工污水中含有较多的建筑砂石、水泥、弃土等悬浮物。</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生活污水包括施工人员的盥洗水。此外，暴雨地表径流冲刷浮土、建筑砂石、垃圾、弃土等，还将夹带大量泥沙，但该地区暴雨极少。</w:t>
      </w:r>
    </w:p>
    <w:p>
      <w:pPr>
        <w:pStyle w:val="2"/>
        <w:adjustRightInd w:val="0"/>
        <w:spacing w:line="540" w:lineRule="exact"/>
        <w:ind w:firstLine="480" w:firstLineChars="200"/>
        <w:jc w:val="both"/>
        <w:rPr>
          <w:rFonts w:ascii="Times New Roman" w:hAnsi="Times New Roman"/>
          <w:sz w:val="24"/>
        </w:rPr>
      </w:pPr>
      <w:bookmarkStart w:id="611" w:name="_Toc490447668"/>
      <w:bookmarkStart w:id="612" w:name="_Toc4429"/>
      <w:bookmarkStart w:id="613" w:name="_Toc503860824"/>
      <w:bookmarkStart w:id="614" w:name="_Toc5257128"/>
      <w:bookmarkStart w:id="615" w:name="_Toc9221315"/>
      <w:bookmarkStart w:id="616" w:name="_Toc503861250"/>
      <w:bookmarkStart w:id="617" w:name="_Toc5798"/>
      <w:bookmarkStart w:id="618" w:name="_Toc240270071"/>
      <w:bookmarkStart w:id="619" w:name="_Toc5382004"/>
      <w:bookmarkStart w:id="620" w:name="_Toc240270232"/>
      <w:bookmarkStart w:id="621" w:name="_Toc49915781"/>
      <w:bookmarkStart w:id="622" w:name="_Toc206933764"/>
      <w:bookmarkStart w:id="623" w:name="_Toc240269910"/>
      <w:bookmarkStart w:id="624" w:name="_Toc61255611"/>
      <w:bookmarkStart w:id="625" w:name="_Toc61368448"/>
      <w:bookmarkStart w:id="626" w:name="_Toc61426875"/>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rPr>
        <w:t>施工期污水防控措施</w:t>
      </w:r>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施工单位应严格执行相关环境管理规定，对地面水的排放进行组织设计，严禁乱排、乱流污染道路、环境等。施工时产生的泥浆水未经处理不得随意排放，不得污染现场及周围环境。在回填土堆放场、施工泥浆产生点以及商品混凝土及输送系统的冲洗废水应设置临时沉沙池，含泥沙雨水、泥浆水经沉沙池沉淀后回用到施工过程中去。</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施工期施工人员</w:t>
      </w:r>
      <w:r>
        <w:rPr>
          <w:rFonts w:hint="eastAsia" w:ascii="Times New Roman" w:hAnsi="Times New Roman"/>
          <w:sz w:val="24"/>
        </w:rPr>
        <w:t>20</w:t>
      </w:r>
      <w:r>
        <w:rPr>
          <w:rFonts w:ascii="Times New Roman" w:hAnsi="Times New Roman"/>
          <w:sz w:val="24"/>
        </w:rPr>
        <w:t>人，建设工期</w:t>
      </w:r>
      <w:r>
        <w:rPr>
          <w:rFonts w:hint="eastAsia" w:ascii="Times New Roman" w:hAnsi="Times New Roman"/>
          <w:sz w:val="24"/>
        </w:rPr>
        <w:t>3</w:t>
      </w:r>
      <w:r>
        <w:rPr>
          <w:rFonts w:ascii="Times New Roman" w:hAnsi="Times New Roman"/>
          <w:sz w:val="24"/>
        </w:rPr>
        <w:t>个月，生活用水量约</w:t>
      </w:r>
      <w:r>
        <w:rPr>
          <w:rFonts w:hint="eastAsia" w:ascii="Times New Roman" w:hAnsi="Times New Roman"/>
          <w:sz w:val="24"/>
        </w:rPr>
        <w:t>5</w:t>
      </w:r>
      <w:r>
        <w:rPr>
          <w:rFonts w:ascii="Times New Roman" w:hAnsi="Times New Roman"/>
          <w:sz w:val="24"/>
        </w:rPr>
        <w:t>0L/人·d，施工期生活用水量为</w:t>
      </w:r>
      <w:r>
        <w:rPr>
          <w:rFonts w:hint="eastAsia" w:ascii="Times New Roman" w:hAnsi="Times New Roman"/>
          <w:sz w:val="24"/>
        </w:rPr>
        <w:t>90</w:t>
      </w:r>
      <w:r>
        <w:rPr>
          <w:rFonts w:ascii="Times New Roman" w:hAnsi="Times New Roman"/>
          <w:sz w:val="24"/>
        </w:rPr>
        <w:t>m</w:t>
      </w:r>
      <w:r>
        <w:rPr>
          <w:rFonts w:ascii="Times New Roman" w:hAnsi="Times New Roman"/>
          <w:sz w:val="24"/>
          <w:vertAlign w:val="superscript"/>
        </w:rPr>
        <w:t>3</w:t>
      </w:r>
      <w:r>
        <w:rPr>
          <w:rFonts w:ascii="Times New Roman" w:hAnsi="Times New Roman"/>
          <w:sz w:val="24"/>
        </w:rPr>
        <w:t>，排水量按用水量的80%计，则施工期生活污水产生量为</w:t>
      </w:r>
      <w:r>
        <w:rPr>
          <w:rFonts w:hint="eastAsia" w:ascii="Times New Roman" w:hAnsi="Times New Roman"/>
          <w:sz w:val="24"/>
        </w:rPr>
        <w:t>72</w:t>
      </w:r>
      <w:r>
        <w:rPr>
          <w:rFonts w:ascii="Times New Roman" w:hAnsi="Times New Roman"/>
          <w:sz w:val="24"/>
        </w:rPr>
        <w:t>m</w:t>
      </w:r>
      <w:r>
        <w:rPr>
          <w:rFonts w:ascii="Times New Roman" w:hAnsi="Times New Roman"/>
          <w:sz w:val="24"/>
          <w:vertAlign w:val="superscript"/>
        </w:rPr>
        <w:t>3</w:t>
      </w:r>
      <w:r>
        <w:rPr>
          <w:rFonts w:ascii="Times New Roman" w:hAnsi="Times New Roman"/>
          <w:sz w:val="24"/>
        </w:rPr>
        <w:t>。施工人员的生活设施相对比较集中，如果施工期生活污水直接排放，易对环境体造成污染。施工单位拟在施工人员集中生活区建设简易旱厕，定期清掏用于周边农田施肥。项目施工期产生的少量废水经沉淀后，回用于施工场地洒水抑尘。</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此外，施工期间要尽量求得土石方工程的平衡，减少弃土，做好各项排水、截水、防止水土流失的设计。在施工中，应合理安排施工计划、施工程序，协调好各个施工步骤，雨季中尽量减少地面坡度，减少开挖面，并争取土料随挖、随运，减少堆土裸土的暴露时间，以避免受降雨的直接冲刷，如果遇到暴雨期，还应采取应急措施，尽量用覆盖物覆盖新开挖的陡坡，防止冲刷。</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本项目拟采取以下防护措施以降低对地下水的影响。</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GB3 \* MERGEFORMAT </w:instrText>
      </w:r>
      <w:r>
        <w:rPr>
          <w:rFonts w:ascii="Times New Roman" w:hAnsi="Times New Roman"/>
          <w:sz w:val="24"/>
        </w:rPr>
        <w:fldChar w:fldCharType="separate"/>
      </w:r>
      <w:r>
        <w:rPr>
          <w:rFonts w:ascii="Times New Roman" w:hAnsi="Times New Roman"/>
          <w:sz w:val="24"/>
        </w:rPr>
        <w:t>①</w:t>
      </w:r>
      <w:r>
        <w:rPr>
          <w:rFonts w:ascii="Times New Roman" w:hAnsi="Times New Roman"/>
          <w:sz w:val="24"/>
        </w:rPr>
        <w:fldChar w:fldCharType="end"/>
      </w:r>
      <w:r>
        <w:rPr>
          <w:rFonts w:ascii="Times New Roman" w:hAnsi="Times New Roman"/>
          <w:sz w:val="24"/>
        </w:rPr>
        <w:t>科学选择施工方案，优化配置各种资源，合理安排施工作业面，强化质量安全意识，配备先进适用的技术装备、优质、快速、安全地完成基础工程是施工任务；</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GB3 \* MERGEFORMAT </w:instrText>
      </w:r>
      <w:r>
        <w:rPr>
          <w:rFonts w:ascii="Times New Roman" w:hAnsi="Times New Roman"/>
          <w:sz w:val="24"/>
        </w:rPr>
        <w:fldChar w:fldCharType="separate"/>
      </w:r>
      <w:r>
        <w:rPr>
          <w:rFonts w:ascii="Times New Roman" w:hAnsi="Times New Roman"/>
          <w:sz w:val="24"/>
        </w:rPr>
        <w:t>②</w:t>
      </w:r>
      <w:r>
        <w:rPr>
          <w:rFonts w:ascii="Times New Roman" w:hAnsi="Times New Roman"/>
          <w:sz w:val="24"/>
        </w:rPr>
        <w:fldChar w:fldCharType="end"/>
      </w:r>
      <w:r>
        <w:rPr>
          <w:rFonts w:ascii="Times New Roman" w:hAnsi="Times New Roman"/>
          <w:sz w:val="24"/>
        </w:rPr>
        <w:t>经修建的沉</w:t>
      </w:r>
      <w:r>
        <w:rPr>
          <w:rFonts w:hint="eastAsia" w:ascii="Times New Roman" w:hAnsi="Times New Roman"/>
          <w:sz w:val="24"/>
        </w:rPr>
        <w:t>淀</w:t>
      </w:r>
      <w:r>
        <w:rPr>
          <w:rFonts w:ascii="Times New Roman" w:hAnsi="Times New Roman"/>
          <w:sz w:val="24"/>
        </w:rPr>
        <w:t>池处理后用于场地洒水抑尘，严禁渗漏和回灌。</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采取以上方案后，施工期对地下水的影响较小。</w:t>
      </w:r>
    </w:p>
    <w:p>
      <w:pPr>
        <w:pStyle w:val="51"/>
        <w:snapToGrid w:val="0"/>
        <w:spacing w:before="120" w:beforeLines="50" w:after="120" w:afterLines="50" w:line="540" w:lineRule="exact"/>
        <w:contextualSpacing/>
        <w:rPr>
          <w:rFonts w:cs="Times New Roman"/>
          <w:bCs w:val="0"/>
          <w:snapToGrid w:val="0"/>
          <w:kern w:val="0"/>
          <w:sz w:val="30"/>
          <w:szCs w:val="30"/>
        </w:rPr>
      </w:pPr>
      <w:bookmarkStart w:id="627" w:name="_Toc6338"/>
      <w:bookmarkStart w:id="628" w:name="_Toc21121"/>
      <w:bookmarkStart w:id="629" w:name="_Toc10444"/>
      <w:bookmarkStart w:id="630" w:name="_Toc24339"/>
      <w:bookmarkStart w:id="631" w:name="_Toc21873"/>
      <w:bookmarkStart w:id="632" w:name="_Toc17166"/>
      <w:bookmarkStart w:id="633" w:name="_Toc17961"/>
      <w:bookmarkStart w:id="634" w:name="_Toc29904"/>
      <w:r>
        <w:rPr>
          <w:rFonts w:hint="eastAsia" w:cs="Times New Roman"/>
          <w:bCs w:val="0"/>
          <w:snapToGrid w:val="0"/>
          <w:kern w:val="0"/>
          <w:sz w:val="30"/>
          <w:szCs w:val="30"/>
        </w:rPr>
        <w:fldChar w:fldCharType="begin"/>
      </w:r>
      <w:r>
        <w:rPr>
          <w:rFonts w:hint="eastAsia" w:cs="Times New Roman"/>
          <w:bCs w:val="0"/>
          <w:snapToGrid w:val="0"/>
          <w:kern w:val="0"/>
          <w:sz w:val="30"/>
          <w:szCs w:val="30"/>
        </w:rPr>
        <w:instrText xml:space="preserve"> HYPERLINK \l "_Toc237827477" </w:instrText>
      </w:r>
      <w:r>
        <w:rPr>
          <w:rFonts w:hint="eastAsia" w:cs="Times New Roman"/>
          <w:bCs w:val="0"/>
          <w:snapToGrid w:val="0"/>
          <w:kern w:val="0"/>
          <w:sz w:val="30"/>
          <w:szCs w:val="30"/>
        </w:rPr>
        <w:fldChar w:fldCharType="separate"/>
      </w:r>
      <w:bookmarkStart w:id="635" w:name="_Toc240273963"/>
      <w:bookmarkStart w:id="636" w:name="_Toc240270233"/>
      <w:bookmarkStart w:id="637" w:name="_Toc240270072"/>
      <w:bookmarkStart w:id="638" w:name="_Toc240338506"/>
      <w:bookmarkStart w:id="639" w:name="_Toc324171509"/>
      <w:bookmarkStart w:id="640" w:name="_Toc240269911"/>
      <w:r>
        <w:rPr>
          <w:rFonts w:hint="eastAsia" w:cs="Times New Roman"/>
          <w:bCs w:val="0"/>
          <w:snapToGrid w:val="0"/>
          <w:kern w:val="0"/>
          <w:sz w:val="30"/>
          <w:szCs w:val="30"/>
        </w:rPr>
        <w:t>4.4施工期固体废物影响分析及防控措施</w:t>
      </w:r>
      <w:bookmarkEnd w:id="635"/>
      <w:bookmarkEnd w:id="636"/>
      <w:bookmarkEnd w:id="637"/>
      <w:bookmarkEnd w:id="638"/>
      <w:bookmarkEnd w:id="639"/>
      <w:bookmarkEnd w:id="640"/>
      <w:r>
        <w:rPr>
          <w:rFonts w:hint="eastAsia" w:cs="Times New Roman"/>
          <w:bCs w:val="0"/>
          <w:snapToGrid w:val="0"/>
          <w:kern w:val="0"/>
          <w:sz w:val="30"/>
          <w:szCs w:val="30"/>
        </w:rPr>
        <w:fldChar w:fldCharType="end"/>
      </w:r>
      <w:bookmarkEnd w:id="627"/>
      <w:bookmarkEnd w:id="628"/>
      <w:bookmarkEnd w:id="629"/>
      <w:bookmarkEnd w:id="630"/>
      <w:bookmarkEnd w:id="631"/>
      <w:bookmarkEnd w:id="632"/>
      <w:bookmarkEnd w:id="633"/>
      <w:bookmarkEnd w:id="634"/>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rPr>
        <w:t>施工期固体废物影响因素</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施工期间施工场地平整会产生渣土、施工剩余废物料等。如不妥善处理这些建筑垃圾，会在一定程度上对周围环境造成影响。在运输过程中，车辆如不注意清洁运输，沿途撒漏泥土，会给沿线镇村的环境卫生带来危害。</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施工期人员每天平均产生0.5kg/d生活垃圾，施工期间，生活垃圾产生量最多约为</w:t>
      </w:r>
      <w:r>
        <w:rPr>
          <w:rFonts w:hint="eastAsia" w:ascii="Times New Roman" w:hAnsi="Times New Roman"/>
          <w:sz w:val="24"/>
        </w:rPr>
        <w:t>30</w:t>
      </w:r>
      <w:r>
        <w:rPr>
          <w:rFonts w:ascii="Times New Roman" w:hAnsi="Times New Roman"/>
          <w:sz w:val="24"/>
        </w:rPr>
        <w:t>kg/d，这些生活垃圾经分类，统一收集后，定期由施工单位交由园区环卫部门处置，不会对环境产生明显影响。</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建筑垃圾主要包括施工过程地基处理和建材损耗、内部装修阶段产生的少量砂土石块、水泥、废金属、钢筋、铁丝、废电线、废光缆等。建筑垃圾应当外运至当地政府指定地点堆放。</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rPr>
        <w:t>施工期固体废物影响防治措施</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为减少弃土在堆放和运输过程中对环境的影响，应当采取如下措施：</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①车辆运输散体物料和废弃物时，必须密闭、包扎、覆盖，不得沿途漏撒。</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②施工期间，施工人员产生的生活垃圾集中收集后，运至就近垃圾填埋场安全填埋。</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③施工期产生的一些金属、木材及建筑材料的碎屑和废弃的混凝土等应指派专人专车收集处理，不得随意丢放。</w:t>
      </w:r>
    </w:p>
    <w:p>
      <w:pPr>
        <w:pStyle w:val="2"/>
        <w:adjustRightInd w:val="0"/>
        <w:spacing w:line="540" w:lineRule="exact"/>
        <w:ind w:firstLine="480" w:firstLineChars="200"/>
        <w:jc w:val="both"/>
        <w:rPr>
          <w:rFonts w:ascii="Times New Roman" w:hAnsi="Times New Roman"/>
          <w:snapToGrid w:val="0"/>
          <w:sz w:val="24"/>
        </w:rPr>
      </w:pPr>
      <w:r>
        <w:rPr>
          <w:rFonts w:ascii="Times New Roman" w:hAnsi="Times New Roman"/>
          <w:sz w:val="24"/>
        </w:rPr>
        <w:t>④施工结束后及时清理施工现场，拆除临时工棚等建筑物。</w:t>
      </w:r>
    </w:p>
    <w:p>
      <w:pPr>
        <w:pStyle w:val="51"/>
        <w:snapToGrid w:val="0"/>
        <w:spacing w:before="120" w:beforeLines="50" w:after="120" w:afterLines="50" w:line="540" w:lineRule="exact"/>
        <w:contextualSpacing/>
        <w:rPr>
          <w:rFonts w:cs="Times New Roman"/>
          <w:bCs w:val="0"/>
          <w:snapToGrid w:val="0"/>
          <w:kern w:val="0"/>
          <w:sz w:val="30"/>
          <w:szCs w:val="30"/>
        </w:rPr>
      </w:pPr>
      <w:bookmarkStart w:id="641" w:name="_Toc12090"/>
      <w:bookmarkStart w:id="642" w:name="_Toc4999"/>
      <w:bookmarkStart w:id="643" w:name="_Toc7671"/>
      <w:bookmarkStart w:id="644" w:name="_Toc15921"/>
      <w:bookmarkStart w:id="645" w:name="_Toc32105"/>
      <w:bookmarkStart w:id="646" w:name="_Toc324171510"/>
      <w:bookmarkStart w:id="647" w:name="_Toc31652"/>
      <w:bookmarkStart w:id="648" w:name="_Toc22205"/>
      <w:bookmarkStart w:id="649" w:name="_Toc6735"/>
      <w:bookmarkStart w:id="650" w:name="_Toc305148666"/>
      <w:r>
        <w:rPr>
          <w:rFonts w:hint="eastAsia" w:cs="Times New Roman"/>
          <w:bCs w:val="0"/>
          <w:snapToGrid w:val="0"/>
          <w:kern w:val="0"/>
          <w:sz w:val="30"/>
          <w:szCs w:val="30"/>
        </w:rPr>
        <w:t>4.5施工期生态环境影响分析</w:t>
      </w:r>
      <w:bookmarkEnd w:id="641"/>
      <w:bookmarkEnd w:id="642"/>
      <w:bookmarkEnd w:id="643"/>
      <w:bookmarkEnd w:id="644"/>
      <w:bookmarkEnd w:id="645"/>
      <w:bookmarkEnd w:id="646"/>
      <w:bookmarkEnd w:id="647"/>
      <w:bookmarkEnd w:id="648"/>
      <w:bookmarkEnd w:id="649"/>
      <w:bookmarkEnd w:id="650"/>
    </w:p>
    <w:p>
      <w:pPr>
        <w:pStyle w:val="2"/>
        <w:adjustRightInd w:val="0"/>
        <w:spacing w:line="540" w:lineRule="exact"/>
        <w:ind w:firstLine="480" w:firstLineChars="200"/>
        <w:jc w:val="both"/>
        <w:rPr>
          <w:rFonts w:ascii="Times New Roman" w:hAnsi="Times New Roman"/>
          <w:sz w:val="24"/>
        </w:rPr>
      </w:pPr>
      <w:bookmarkStart w:id="651" w:name="_Toc29322"/>
      <w:bookmarkStart w:id="652" w:name="_Toc20179"/>
      <w:bookmarkStart w:id="653" w:name="_Toc30366"/>
      <w:bookmarkStart w:id="654" w:name="_Toc20235"/>
      <w:bookmarkStart w:id="655" w:name="_Toc16068"/>
      <w:bookmarkStart w:id="656" w:name="_Toc12736"/>
      <w:r>
        <w:rPr>
          <w:rFonts w:ascii="Times New Roman" w:hAnsi="Times New Roman"/>
          <w:sz w:val="24"/>
        </w:rPr>
        <w:t>在项目施工期内，项目占地范围内的部分地表将被清除，造成地表裸露，会对项目区域内的植被和动物造成一定的影响。</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rPr>
        <w:t>施工期对土地功能变化</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项目区建设前土地利用状况为未利用</w:t>
      </w:r>
      <w:r>
        <w:rPr>
          <w:rFonts w:hint="eastAsia" w:ascii="Times New Roman" w:hAnsi="Times New Roman"/>
          <w:sz w:val="24"/>
        </w:rPr>
        <w:t>建设用地</w:t>
      </w:r>
      <w:r>
        <w:rPr>
          <w:rFonts w:ascii="Times New Roman" w:hAnsi="Times New Roman"/>
          <w:sz w:val="24"/>
        </w:rPr>
        <w:t>，项目建成后将完全改变土地的原有利用状况，将未利用</w:t>
      </w:r>
      <w:r>
        <w:rPr>
          <w:rFonts w:hint="eastAsia" w:ascii="Times New Roman" w:hAnsi="Times New Roman"/>
          <w:sz w:val="24"/>
        </w:rPr>
        <w:t>建设</w:t>
      </w:r>
      <w:r>
        <w:rPr>
          <w:rFonts w:ascii="Times New Roman" w:hAnsi="Times New Roman"/>
          <w:sz w:val="24"/>
        </w:rPr>
        <w:t>地变更为国有养殖用地，并种植大面积绿化植被。</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rPr>
        <w:t>施工期对植被的影响分析</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经现场调查，项目所在区域分布着猫头刺、油蒿等植被，项目施工期间由于各种施工机械、运输车辆进入施工现场，运输车辆产生的扬尘和排放的尾气将对该区域环境产生一定的影响。此外，项目区在建设期间，由于土地使用功能发生变化，施工过程中，所有植被都被去除，表面植被遭到短期破坏。随着工程建设的完成，除被永久性占用外，部分地段植被通过绿化措施得到恢复。</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3 \* GB2 \* MERGEFORMAT </w:instrText>
      </w:r>
      <w:r>
        <w:rPr>
          <w:rFonts w:ascii="Times New Roman" w:hAnsi="Times New Roman"/>
          <w:sz w:val="24"/>
        </w:rPr>
        <w:fldChar w:fldCharType="separate"/>
      </w:r>
      <w:r>
        <w:rPr>
          <w:rFonts w:ascii="Times New Roman" w:hAnsi="Times New Roman"/>
          <w:sz w:val="24"/>
        </w:rPr>
        <w:t>⑶</w:t>
      </w:r>
      <w:r>
        <w:rPr>
          <w:rFonts w:ascii="Times New Roman" w:hAnsi="Times New Roman"/>
          <w:sz w:val="24"/>
        </w:rPr>
        <w:fldChar w:fldCharType="end"/>
      </w:r>
      <w:r>
        <w:rPr>
          <w:rFonts w:ascii="Times New Roman" w:hAnsi="Times New Roman"/>
          <w:sz w:val="24"/>
        </w:rPr>
        <w:t>施工期对动物的影响分析</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根据现场走访了解，项目区域范围内野生动物品种、数量均很少，主要是一些常见种类，兽类有野兔和鼠类，爬行类主要有沙蜥；鸟类主要有麻雀、喜鹊等常见种，没有国家级保护动物及珍稀濒危保护动物。项目施工影响范围较小，项目施工期不会对区域内的野生动物产生较大影响。</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4 \* GB2 \* MERGEFORMAT </w:instrText>
      </w:r>
      <w:r>
        <w:rPr>
          <w:rFonts w:ascii="Times New Roman" w:hAnsi="Times New Roman"/>
          <w:sz w:val="24"/>
        </w:rPr>
        <w:fldChar w:fldCharType="separate"/>
      </w:r>
      <w:r>
        <w:rPr>
          <w:rFonts w:ascii="Times New Roman" w:hAnsi="Times New Roman"/>
          <w:sz w:val="24"/>
        </w:rPr>
        <w:t>⑷</w:t>
      </w:r>
      <w:r>
        <w:rPr>
          <w:rFonts w:ascii="Times New Roman" w:hAnsi="Times New Roman"/>
          <w:sz w:val="24"/>
        </w:rPr>
        <w:fldChar w:fldCharType="end"/>
      </w:r>
      <w:r>
        <w:rPr>
          <w:rFonts w:ascii="Times New Roman" w:hAnsi="Times New Roman"/>
          <w:sz w:val="24"/>
        </w:rPr>
        <w:t>施工期生态保护措施</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为减少工程施工期的生态环境影响，应加强下列生态保护措施，具体如下：</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①加强施工人员的环保措施的宣传教育及相关培训，让他们充分认识到环保工作的重要性，使环保措施落到实处；</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②施工机械和施工人员应严格控制在施工作业范围内，施工机械及其他建筑材料不得乱停乱放，防止破坏植被；</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③爱护生态环境，禁止破坏施工范围以外的植被；</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④尽可能缩短疏松地面、坡面的裸露时间，合理安排施工时间，定期洒水抑尘，减少施工扬尘污染；</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⑤施工单位在施工期应加强对项目区域现有植被的保护，以免对现有植被造成破坏；</w:t>
      </w:r>
    </w:p>
    <w:p>
      <w:pPr>
        <w:pStyle w:val="2"/>
        <w:adjustRightInd w:val="0"/>
        <w:spacing w:line="540" w:lineRule="exact"/>
        <w:ind w:firstLine="480" w:firstLineChars="200"/>
        <w:jc w:val="both"/>
        <w:rPr>
          <w:rFonts w:ascii="Times New Roman" w:hAnsi="Times New Roman"/>
          <w:sz w:val="24"/>
        </w:rPr>
        <w:sectPr>
          <w:headerReference r:id="rId11" w:type="default"/>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r>
        <w:rPr>
          <w:rFonts w:ascii="Times New Roman" w:hAnsi="Times New Roman"/>
          <w:sz w:val="24"/>
        </w:rPr>
        <w:t>⑥加强施工期的监理工作，确保施工过程中产生废水、废气、废渣、噪声等环保治理措施落实到位。</w:t>
      </w:r>
    </w:p>
    <w:bookmarkEnd w:id="651"/>
    <w:bookmarkEnd w:id="652"/>
    <w:bookmarkEnd w:id="653"/>
    <w:bookmarkEnd w:id="654"/>
    <w:bookmarkEnd w:id="655"/>
    <w:bookmarkEnd w:id="656"/>
    <w:p>
      <w:pPr>
        <w:pStyle w:val="45"/>
        <w:snapToGrid w:val="0"/>
        <w:spacing w:before="240" w:beforeLines="100" w:after="120" w:afterLines="50" w:line="540" w:lineRule="exact"/>
        <w:contextualSpacing/>
        <w:rPr>
          <w:bCs w:val="0"/>
          <w:snapToGrid w:val="0"/>
          <w:kern w:val="0"/>
          <w:sz w:val="32"/>
          <w:szCs w:val="32"/>
        </w:rPr>
      </w:pPr>
      <w:bookmarkStart w:id="657" w:name="_Toc30740"/>
      <w:bookmarkStart w:id="658" w:name="_Toc16779"/>
      <w:bookmarkStart w:id="659" w:name="_Toc30045"/>
      <w:bookmarkStart w:id="660" w:name="_Toc342"/>
      <w:r>
        <w:rPr>
          <w:bCs w:val="0"/>
          <w:snapToGrid w:val="0"/>
          <w:kern w:val="0"/>
          <w:sz w:val="32"/>
          <w:szCs w:val="32"/>
        </w:rPr>
        <w:t>5运营期环境影响预测与评价</w:t>
      </w:r>
      <w:bookmarkEnd w:id="657"/>
      <w:bookmarkEnd w:id="658"/>
    </w:p>
    <w:p>
      <w:pPr>
        <w:pStyle w:val="51"/>
        <w:snapToGrid w:val="0"/>
        <w:spacing w:before="120" w:beforeLines="50" w:after="120" w:afterLines="50" w:line="540" w:lineRule="exact"/>
        <w:contextualSpacing/>
        <w:rPr>
          <w:rFonts w:cs="Times New Roman"/>
          <w:bCs w:val="0"/>
          <w:snapToGrid w:val="0"/>
          <w:kern w:val="0"/>
          <w:sz w:val="30"/>
          <w:szCs w:val="30"/>
        </w:rPr>
      </w:pPr>
      <w:bookmarkStart w:id="661" w:name="_Toc31096"/>
      <w:bookmarkStart w:id="662" w:name="_Toc32679"/>
      <w:bookmarkStart w:id="663" w:name="_Toc8260"/>
      <w:bookmarkStart w:id="664" w:name="_Toc1186"/>
      <w:bookmarkStart w:id="665" w:name="_Toc32268"/>
      <w:bookmarkStart w:id="666" w:name="_Toc30096"/>
      <w:r>
        <w:rPr>
          <w:rFonts w:cs="Times New Roman"/>
          <w:bCs w:val="0"/>
          <w:snapToGrid w:val="0"/>
          <w:kern w:val="0"/>
          <w:sz w:val="30"/>
          <w:szCs w:val="30"/>
        </w:rPr>
        <w:t>5.1环境空气影响</w:t>
      </w:r>
      <w:bookmarkEnd w:id="661"/>
      <w:bookmarkEnd w:id="662"/>
      <w:r>
        <w:rPr>
          <w:rFonts w:cs="Times New Roman"/>
          <w:bCs w:val="0"/>
          <w:snapToGrid w:val="0"/>
          <w:kern w:val="0"/>
          <w:sz w:val="30"/>
          <w:szCs w:val="30"/>
        </w:rPr>
        <w:t>分析</w:t>
      </w:r>
      <w:bookmarkEnd w:id="663"/>
      <w:bookmarkEnd w:id="664"/>
      <w:bookmarkEnd w:id="665"/>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667" w:name="_Toc24754"/>
      <w:bookmarkStart w:id="668" w:name="_Toc21354"/>
      <w:r>
        <w:rPr>
          <w:rFonts w:cs="Times New Roman"/>
          <w:bCs w:val="0"/>
          <w:snapToGrid w:val="0"/>
          <w:kern w:val="0"/>
          <w:sz w:val="28"/>
          <w:szCs w:val="28"/>
        </w:rPr>
        <w:t>5.1.1</w:t>
      </w:r>
      <w:bookmarkEnd w:id="666"/>
      <w:bookmarkEnd w:id="667"/>
      <w:bookmarkStart w:id="669" w:name="_Toc21656"/>
      <w:r>
        <w:rPr>
          <w:rFonts w:cs="Times New Roman"/>
          <w:bCs w:val="0"/>
          <w:snapToGrid w:val="0"/>
          <w:kern w:val="0"/>
          <w:sz w:val="28"/>
          <w:szCs w:val="28"/>
        </w:rPr>
        <w:t>污染源调查</w:t>
      </w:r>
      <w:bookmarkEnd w:id="668"/>
    </w:p>
    <w:p>
      <w:pPr>
        <w:adjustRightInd w:val="0"/>
        <w:snapToGrid w:val="0"/>
        <w:spacing w:line="540" w:lineRule="exact"/>
        <w:ind w:firstLine="480" w:firstLineChars="200"/>
        <w:rPr>
          <w:rFonts w:hint="eastAsia" w:ascii="Times New Roman" w:hAnsi="Times New Roman" w:eastAsia="宋体"/>
          <w:sz w:val="24"/>
          <w:lang w:eastAsia="zh-CN"/>
        </w:rPr>
      </w:pPr>
      <w:r>
        <w:rPr>
          <w:rFonts w:ascii="Times New Roman" w:hAnsi="Times New Roman"/>
          <w:sz w:val="24"/>
        </w:rPr>
        <w:t>根据《环境影响评价技术导则 大气环境》（HJ2.2-2018）要求，结合本项目评价工作等级（二级）及污染源排放情况，本次污染源调查清单</w:t>
      </w:r>
      <w:r>
        <w:rPr>
          <w:rFonts w:hint="eastAsia" w:ascii="Times New Roman" w:hAnsi="Times New Roman"/>
          <w:sz w:val="24"/>
          <w:lang w:eastAsia="zh-CN"/>
        </w:rPr>
        <w:t>为</w:t>
      </w:r>
      <w:r>
        <w:rPr>
          <w:rFonts w:ascii="Times New Roman" w:hAnsi="Times New Roman"/>
          <w:sz w:val="24"/>
        </w:rPr>
        <w:t>新增污染源</w:t>
      </w:r>
      <w:r>
        <w:rPr>
          <w:rFonts w:hint="eastAsia" w:ascii="Times New Roman" w:hAnsi="Times New Roman"/>
          <w:sz w:val="24"/>
          <w:lang w:eastAsia="zh-CN"/>
        </w:rPr>
        <w:t>。</w:t>
      </w:r>
    </w:p>
    <w:p>
      <w:pPr>
        <w:pStyle w:val="7"/>
        <w:snapToGrid w:val="0"/>
        <w:spacing w:line="540" w:lineRule="exact"/>
        <w:rPr>
          <w:rFonts w:ascii="Times New Roman" w:hAnsi="Times New Roman" w:eastAsia="宋体"/>
          <w:snapToGrid w:val="0"/>
          <w:kern w:val="0"/>
        </w:rPr>
      </w:pPr>
      <w:r>
        <w:rPr>
          <w:rFonts w:ascii="Times New Roman" w:hAnsi="Times New Roman" w:eastAsia="宋体"/>
        </w:rPr>
        <w:t>本项目新增污染源参数具体见表5.1-1。</w:t>
      </w:r>
    </w:p>
    <w:p>
      <w:pPr>
        <w:spacing w:before="120" w:beforeLines="50"/>
        <w:jc w:val="center"/>
        <w:textAlignment w:val="baseline"/>
        <w:rPr>
          <w:rFonts w:ascii="Times New Roman" w:hAnsi="Times New Roman"/>
          <w:b/>
          <w:bCs/>
          <w:sz w:val="24"/>
        </w:rPr>
      </w:pPr>
      <w:r>
        <w:rPr>
          <w:rFonts w:ascii="Times New Roman" w:hAnsi="Times New Roman"/>
          <w:b/>
          <w:bCs/>
          <w:sz w:val="24"/>
        </w:rPr>
        <w:t>表</w:t>
      </w:r>
      <w:r>
        <w:rPr>
          <w:rFonts w:hint="eastAsia" w:ascii="Times New Roman" w:hAnsi="Times New Roman"/>
          <w:b/>
          <w:bCs/>
          <w:sz w:val="24"/>
        </w:rPr>
        <w:t>5.1-1</w:t>
      </w:r>
      <w:r>
        <w:rPr>
          <w:rFonts w:ascii="Times New Roman" w:hAnsi="Times New Roman"/>
          <w:b/>
          <w:bCs/>
          <w:sz w:val="24"/>
        </w:rPr>
        <w:t xml:space="preserve">   </w:t>
      </w:r>
      <w:r>
        <w:rPr>
          <w:rFonts w:hint="eastAsia" w:ascii="Times New Roman" w:hAnsi="Times New Roman"/>
          <w:b/>
          <w:bCs/>
          <w:sz w:val="24"/>
        </w:rPr>
        <w:t>矩形</w:t>
      </w:r>
      <w:r>
        <w:rPr>
          <w:rFonts w:ascii="Times New Roman" w:hAnsi="Times New Roman"/>
          <w:b/>
          <w:bCs/>
          <w:sz w:val="24"/>
        </w:rPr>
        <w:t>面源污染物排放源强及参数一览表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78"/>
        <w:gridCol w:w="1134"/>
        <w:gridCol w:w="992"/>
        <w:gridCol w:w="992"/>
        <w:gridCol w:w="992"/>
        <w:gridCol w:w="851"/>
        <w:gridCol w:w="689"/>
        <w:gridCol w:w="817"/>
        <w:gridCol w:w="947"/>
        <w:gridCol w:w="67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8" w:type="dxa"/>
            <w:vMerge w:val="restart"/>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污染源名称</w:t>
            </w:r>
          </w:p>
        </w:tc>
        <w:tc>
          <w:tcPr>
            <w:tcW w:w="2126" w:type="dxa"/>
            <w:gridSpan w:val="2"/>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中心点坐标(°)</w:t>
            </w:r>
          </w:p>
        </w:tc>
        <w:tc>
          <w:tcPr>
            <w:tcW w:w="992" w:type="dxa"/>
            <w:vMerge w:val="restart"/>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海拔高度(m)</w:t>
            </w:r>
          </w:p>
        </w:tc>
        <w:tc>
          <w:tcPr>
            <w:tcW w:w="992" w:type="dxa"/>
            <w:vMerge w:val="restart"/>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面源有效排放高度(m)</w:t>
            </w:r>
          </w:p>
        </w:tc>
        <w:tc>
          <w:tcPr>
            <w:tcW w:w="851" w:type="dxa"/>
            <w:vMerge w:val="restart"/>
            <w:vAlign w:val="center"/>
          </w:tcPr>
          <w:p>
            <w:pPr>
              <w:jc w:val="center"/>
              <w:rPr>
                <w:rFonts w:ascii="Times New Roman" w:hAnsi="Times New Roman"/>
                <w:b/>
                <w:bCs/>
                <w:szCs w:val="21"/>
              </w:rPr>
            </w:pPr>
            <w:r>
              <w:rPr>
                <w:rFonts w:ascii="宋体" w:hAnsi="宋体"/>
                <w:b/>
                <w:sz w:val="23"/>
                <w:szCs w:val="23"/>
              </w:rPr>
              <w:t>长度(m)</w:t>
            </w:r>
          </w:p>
        </w:tc>
        <w:tc>
          <w:tcPr>
            <w:tcW w:w="689" w:type="dxa"/>
            <w:vMerge w:val="restart"/>
            <w:vAlign w:val="center"/>
          </w:tcPr>
          <w:p>
            <w:pPr>
              <w:jc w:val="center"/>
              <w:rPr>
                <w:rFonts w:ascii="Times New Roman" w:hAnsi="Times New Roman"/>
                <w:b/>
                <w:bCs/>
                <w:szCs w:val="21"/>
              </w:rPr>
            </w:pPr>
            <w:r>
              <w:rPr>
                <w:rFonts w:ascii="宋体" w:hAnsi="宋体"/>
                <w:b/>
                <w:sz w:val="23"/>
                <w:szCs w:val="23"/>
              </w:rPr>
              <w:t>宽度(m)</w:t>
            </w:r>
          </w:p>
        </w:tc>
        <w:tc>
          <w:tcPr>
            <w:tcW w:w="2443" w:type="dxa"/>
            <w:gridSpan w:val="3"/>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污染物排放速率(kg/h)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8" w:type="dxa"/>
            <w:vMerge w:val="continue"/>
            <w:vAlign w:val="center"/>
          </w:tcPr>
          <w:p>
            <w:pPr>
              <w:adjustRightInd w:val="0"/>
              <w:snapToGrid w:val="0"/>
              <w:ind w:left="-105" w:leftChars="-50" w:right="-105" w:rightChars="-50"/>
              <w:jc w:val="center"/>
              <w:rPr>
                <w:rFonts w:ascii="Times New Roman" w:hAnsi="Times New Roman"/>
                <w:b/>
                <w:bCs/>
                <w:szCs w:val="21"/>
              </w:rPr>
            </w:pPr>
          </w:p>
        </w:tc>
        <w:tc>
          <w:tcPr>
            <w:tcW w:w="1134" w:type="dxa"/>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经度</w:t>
            </w:r>
          </w:p>
        </w:tc>
        <w:tc>
          <w:tcPr>
            <w:tcW w:w="992" w:type="dxa"/>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纬度</w:t>
            </w:r>
          </w:p>
        </w:tc>
        <w:tc>
          <w:tcPr>
            <w:tcW w:w="992" w:type="dxa"/>
            <w:vMerge w:val="continue"/>
            <w:vAlign w:val="center"/>
          </w:tcPr>
          <w:p>
            <w:pPr>
              <w:adjustRightInd w:val="0"/>
              <w:snapToGrid w:val="0"/>
              <w:ind w:left="-105" w:leftChars="-50" w:right="-105" w:rightChars="-50"/>
              <w:jc w:val="center"/>
              <w:rPr>
                <w:rFonts w:ascii="Times New Roman" w:hAnsi="Times New Roman"/>
                <w:b/>
                <w:bCs/>
                <w:szCs w:val="21"/>
              </w:rPr>
            </w:pPr>
          </w:p>
        </w:tc>
        <w:tc>
          <w:tcPr>
            <w:tcW w:w="992" w:type="dxa"/>
            <w:vMerge w:val="continue"/>
            <w:vAlign w:val="center"/>
          </w:tcPr>
          <w:p>
            <w:pPr>
              <w:adjustRightInd w:val="0"/>
              <w:snapToGrid w:val="0"/>
              <w:ind w:left="-105" w:leftChars="-50" w:right="-105" w:rightChars="-50"/>
              <w:jc w:val="center"/>
              <w:rPr>
                <w:rFonts w:ascii="Times New Roman" w:hAnsi="Times New Roman"/>
                <w:b/>
                <w:bCs/>
                <w:szCs w:val="21"/>
              </w:rPr>
            </w:pPr>
          </w:p>
        </w:tc>
        <w:tc>
          <w:tcPr>
            <w:tcW w:w="851" w:type="dxa"/>
            <w:vMerge w:val="continue"/>
            <w:vAlign w:val="center"/>
          </w:tcPr>
          <w:p>
            <w:pPr>
              <w:adjustRightInd w:val="0"/>
              <w:snapToGrid w:val="0"/>
              <w:ind w:left="-105" w:leftChars="-50" w:right="-105" w:rightChars="-50"/>
              <w:jc w:val="center"/>
              <w:rPr>
                <w:rFonts w:ascii="Times New Roman" w:hAnsi="Times New Roman"/>
                <w:b/>
                <w:bCs/>
                <w:szCs w:val="21"/>
              </w:rPr>
            </w:pPr>
          </w:p>
        </w:tc>
        <w:tc>
          <w:tcPr>
            <w:tcW w:w="689" w:type="dxa"/>
            <w:vMerge w:val="continue"/>
            <w:vAlign w:val="center"/>
          </w:tcPr>
          <w:p>
            <w:pPr>
              <w:adjustRightInd w:val="0"/>
              <w:snapToGrid w:val="0"/>
              <w:ind w:left="-105" w:leftChars="-50" w:right="-105" w:rightChars="-50"/>
              <w:jc w:val="center"/>
              <w:rPr>
                <w:rFonts w:ascii="Times New Roman" w:hAnsi="Times New Roman"/>
                <w:b/>
                <w:bCs/>
                <w:szCs w:val="21"/>
              </w:rPr>
            </w:pPr>
          </w:p>
        </w:tc>
        <w:tc>
          <w:tcPr>
            <w:tcW w:w="817" w:type="dxa"/>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H</w:t>
            </w:r>
            <w:r>
              <w:rPr>
                <w:rFonts w:ascii="Times New Roman" w:hAnsi="Times New Roman"/>
                <w:b/>
                <w:bCs/>
                <w:szCs w:val="21"/>
                <w:vertAlign w:val="subscript"/>
              </w:rPr>
              <w:t>2</w:t>
            </w:r>
            <w:r>
              <w:rPr>
                <w:rFonts w:ascii="Times New Roman" w:hAnsi="Times New Roman"/>
                <w:b/>
                <w:bCs/>
                <w:szCs w:val="21"/>
              </w:rPr>
              <w:t>S</w:t>
            </w:r>
          </w:p>
        </w:tc>
        <w:tc>
          <w:tcPr>
            <w:tcW w:w="947" w:type="dxa"/>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NH</w:t>
            </w:r>
            <w:r>
              <w:rPr>
                <w:rFonts w:ascii="Times New Roman" w:hAnsi="Times New Roman"/>
                <w:b/>
                <w:bCs/>
                <w:szCs w:val="21"/>
                <w:vertAlign w:val="subscript"/>
              </w:rPr>
              <w:t>3</w:t>
            </w:r>
          </w:p>
        </w:tc>
        <w:tc>
          <w:tcPr>
            <w:tcW w:w="679" w:type="dxa"/>
            <w:vAlign w:val="center"/>
          </w:tcPr>
          <w:p>
            <w:pPr>
              <w:adjustRightInd w:val="0"/>
              <w:snapToGrid w:val="0"/>
              <w:ind w:left="-105" w:leftChars="-50" w:right="-105" w:rightChars="-50"/>
              <w:jc w:val="center"/>
              <w:rPr>
                <w:rFonts w:ascii="Times New Roman" w:hAnsi="Times New Roman"/>
                <w:b/>
                <w:bCs/>
                <w:szCs w:val="21"/>
              </w:rPr>
            </w:pPr>
            <w:r>
              <w:rPr>
                <w:rFonts w:ascii="Times New Roman" w:hAnsi="Times New Roman"/>
                <w:b/>
                <w:bCs/>
                <w:szCs w:val="21"/>
              </w:rPr>
              <w:t>TSP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8"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牛棚</w:t>
            </w:r>
          </w:p>
        </w:tc>
        <w:tc>
          <w:tcPr>
            <w:tcW w:w="1134"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105.919795</w:t>
            </w:r>
          </w:p>
        </w:tc>
        <w:tc>
          <w:tcPr>
            <w:tcW w:w="992"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35.572938</w:t>
            </w:r>
          </w:p>
        </w:tc>
        <w:tc>
          <w:tcPr>
            <w:tcW w:w="992"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1814.00</w:t>
            </w:r>
          </w:p>
        </w:tc>
        <w:tc>
          <w:tcPr>
            <w:tcW w:w="992"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5.00</w:t>
            </w:r>
          </w:p>
        </w:tc>
        <w:tc>
          <w:tcPr>
            <w:tcW w:w="851"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199.52</w:t>
            </w:r>
          </w:p>
        </w:tc>
        <w:tc>
          <w:tcPr>
            <w:tcW w:w="689"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84.15</w:t>
            </w:r>
          </w:p>
        </w:tc>
        <w:tc>
          <w:tcPr>
            <w:tcW w:w="817"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0.0003</w:t>
            </w:r>
          </w:p>
        </w:tc>
        <w:tc>
          <w:tcPr>
            <w:tcW w:w="947"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0.0039</w:t>
            </w:r>
          </w:p>
        </w:tc>
        <w:tc>
          <w:tcPr>
            <w:tcW w:w="679" w:type="dxa"/>
            <w:vAlign w:val="center"/>
          </w:tcPr>
          <w:p>
            <w:pPr>
              <w:adjustRightInd w:val="0"/>
              <w:snapToGrid w:val="0"/>
              <w:ind w:left="-105" w:leftChars="-50" w:right="-105" w:rightChars="-50"/>
              <w:jc w:val="center"/>
              <w:rPr>
                <w:rFonts w:ascii="Times New Roman" w:hAnsi="Times New Roman"/>
                <w:szCs w:val="21"/>
              </w:rPr>
            </w:pPr>
            <w:r>
              <w:rPr>
                <w:rFonts w:ascii="Times New Roman"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78"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积粪场</w:t>
            </w:r>
          </w:p>
        </w:tc>
        <w:tc>
          <w:tcPr>
            <w:tcW w:w="1134"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105.920444</w:t>
            </w:r>
          </w:p>
        </w:tc>
        <w:tc>
          <w:tcPr>
            <w:tcW w:w="992"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35.572244</w:t>
            </w:r>
          </w:p>
        </w:tc>
        <w:tc>
          <w:tcPr>
            <w:tcW w:w="992"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1839.00</w:t>
            </w:r>
          </w:p>
        </w:tc>
        <w:tc>
          <w:tcPr>
            <w:tcW w:w="992"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5.00</w:t>
            </w:r>
          </w:p>
        </w:tc>
        <w:tc>
          <w:tcPr>
            <w:tcW w:w="851"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139.49</w:t>
            </w:r>
          </w:p>
        </w:tc>
        <w:tc>
          <w:tcPr>
            <w:tcW w:w="689"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46.00</w:t>
            </w:r>
          </w:p>
        </w:tc>
        <w:tc>
          <w:tcPr>
            <w:tcW w:w="817"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0.0002</w:t>
            </w:r>
          </w:p>
        </w:tc>
        <w:tc>
          <w:tcPr>
            <w:tcW w:w="947"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0.0010</w:t>
            </w:r>
          </w:p>
        </w:tc>
        <w:tc>
          <w:tcPr>
            <w:tcW w:w="679" w:type="dxa"/>
            <w:vAlign w:val="center"/>
          </w:tcPr>
          <w:p>
            <w:pPr>
              <w:adjustRightInd w:val="0"/>
              <w:snapToGrid w:val="0"/>
              <w:ind w:left="-105" w:leftChars="-50" w:right="-105" w:rightChars="-50"/>
              <w:jc w:val="center"/>
              <w:rPr>
                <w:rFonts w:ascii="Times New Roman" w:hAnsi="Times New Roman"/>
                <w:szCs w:val="21"/>
              </w:rPr>
            </w:pPr>
            <w:r>
              <w:rPr>
                <w:rFonts w:ascii="Times New Roman"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8"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饲草加工</w:t>
            </w:r>
          </w:p>
        </w:tc>
        <w:tc>
          <w:tcPr>
            <w:tcW w:w="1134"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105.920996</w:t>
            </w:r>
          </w:p>
        </w:tc>
        <w:tc>
          <w:tcPr>
            <w:tcW w:w="992"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35.573422</w:t>
            </w:r>
          </w:p>
        </w:tc>
        <w:tc>
          <w:tcPr>
            <w:tcW w:w="992"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1820.00</w:t>
            </w:r>
          </w:p>
        </w:tc>
        <w:tc>
          <w:tcPr>
            <w:tcW w:w="992"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5.00</w:t>
            </w:r>
          </w:p>
        </w:tc>
        <w:tc>
          <w:tcPr>
            <w:tcW w:w="851" w:type="dxa"/>
            <w:vAlign w:val="center"/>
          </w:tcPr>
          <w:p>
            <w:pPr>
              <w:adjustRightInd w:val="0"/>
              <w:snapToGrid w:val="0"/>
              <w:ind w:left="-105" w:leftChars="-50" w:right="-105" w:rightChars="-50"/>
              <w:jc w:val="center"/>
              <w:rPr>
                <w:rFonts w:ascii="Times New Roman" w:hAnsi="Times New Roman"/>
                <w:szCs w:val="21"/>
              </w:rPr>
            </w:pPr>
            <w:r>
              <w:rPr>
                <w:rFonts w:ascii="Times New Roman" w:hAnsi="Times New Roman"/>
                <w:szCs w:val="21"/>
              </w:rPr>
              <w:t>35.15</w:t>
            </w:r>
          </w:p>
        </w:tc>
        <w:tc>
          <w:tcPr>
            <w:tcW w:w="689" w:type="dxa"/>
            <w:vAlign w:val="center"/>
          </w:tcPr>
          <w:p>
            <w:pPr>
              <w:adjustRightInd w:val="0"/>
              <w:snapToGrid w:val="0"/>
              <w:ind w:left="-105" w:leftChars="-50" w:right="-105" w:rightChars="-50"/>
              <w:jc w:val="center"/>
              <w:rPr>
                <w:rFonts w:ascii="Times New Roman" w:hAnsi="Times New Roman"/>
                <w:szCs w:val="21"/>
              </w:rPr>
            </w:pPr>
            <w:r>
              <w:rPr>
                <w:rFonts w:ascii="Times New Roman" w:hAnsi="Times New Roman"/>
                <w:szCs w:val="21"/>
              </w:rPr>
              <w:t>91.78</w:t>
            </w:r>
          </w:p>
        </w:tc>
        <w:tc>
          <w:tcPr>
            <w:tcW w:w="817"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w:t>
            </w:r>
          </w:p>
        </w:tc>
        <w:tc>
          <w:tcPr>
            <w:tcW w:w="947"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w:t>
            </w:r>
          </w:p>
        </w:tc>
        <w:tc>
          <w:tcPr>
            <w:tcW w:w="679" w:type="dxa"/>
            <w:vAlign w:val="center"/>
          </w:tcPr>
          <w:p>
            <w:pPr>
              <w:adjustRightInd w:val="0"/>
              <w:snapToGrid w:val="0"/>
              <w:ind w:left="-105" w:leftChars="-50" w:right="-105" w:rightChars="-50"/>
              <w:jc w:val="center"/>
              <w:rPr>
                <w:rFonts w:ascii="Times New Roman" w:hAnsi="Times New Roman"/>
                <w:szCs w:val="21"/>
              </w:rPr>
            </w:pPr>
            <w:r>
              <w:rPr>
                <w:rFonts w:hint="eastAsia" w:ascii="Times New Roman" w:hAnsi="Times New Roman"/>
                <w:szCs w:val="21"/>
              </w:rPr>
              <w:t>0.0002</w:t>
            </w:r>
          </w:p>
        </w:tc>
      </w:tr>
    </w:tbl>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670" w:name="_Toc9801"/>
      <w:r>
        <w:rPr>
          <w:rFonts w:cs="Times New Roman"/>
          <w:bCs w:val="0"/>
          <w:snapToGrid w:val="0"/>
          <w:kern w:val="0"/>
          <w:sz w:val="28"/>
          <w:szCs w:val="28"/>
        </w:rPr>
        <w:t>5.1.2环境空气环境影响预测与评价</w:t>
      </w:r>
      <w:bookmarkEnd w:id="669"/>
      <w:bookmarkEnd w:id="670"/>
    </w:p>
    <w:p>
      <w:pPr>
        <w:pStyle w:val="6"/>
        <w:snapToGrid w:val="0"/>
        <w:spacing w:before="120" w:after="120" w:line="540" w:lineRule="exact"/>
        <w:contextualSpacing/>
        <w:rPr>
          <w:rFonts w:ascii="Times New Roman" w:hAnsi="Times New Roman" w:eastAsia="宋体"/>
          <w:bCs w:val="0"/>
          <w:sz w:val="24"/>
        </w:rPr>
      </w:pPr>
      <w:bookmarkStart w:id="671" w:name="_Toc394052814"/>
      <w:bookmarkStart w:id="672" w:name="_Toc394051737"/>
      <w:bookmarkStart w:id="673" w:name="_Toc394052447"/>
      <w:bookmarkStart w:id="674" w:name="_Toc392064556"/>
      <w:r>
        <w:rPr>
          <w:rFonts w:ascii="Times New Roman" w:hAnsi="Times New Roman" w:eastAsia="宋体"/>
          <w:bCs w:val="0"/>
          <w:sz w:val="24"/>
        </w:rPr>
        <w:t>5.1.2.1</w:t>
      </w:r>
      <w:bookmarkEnd w:id="671"/>
      <w:bookmarkEnd w:id="672"/>
      <w:bookmarkEnd w:id="673"/>
      <w:bookmarkEnd w:id="674"/>
      <w:r>
        <w:rPr>
          <w:rFonts w:ascii="Times New Roman" w:hAnsi="Times New Roman" w:eastAsia="宋体"/>
          <w:bCs w:val="0"/>
          <w:sz w:val="24"/>
        </w:rPr>
        <w:t>污染物排放量核算</w:t>
      </w:r>
    </w:p>
    <w:p>
      <w:pPr>
        <w:overflowPunct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⑴无组织污染物核算</w:t>
      </w:r>
    </w:p>
    <w:p>
      <w:pPr>
        <w:overflowPunct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根据导则，二级评价项目只进行污染量的核算。</w:t>
      </w:r>
    </w:p>
    <w:p>
      <w:pPr>
        <w:overflowPunct w:val="0"/>
        <w:adjustRightInd w:val="0"/>
        <w:snapToGrid w:val="0"/>
        <w:spacing w:line="540" w:lineRule="exact"/>
        <w:ind w:firstLine="480" w:firstLineChars="200"/>
        <w:rPr>
          <w:rFonts w:ascii="Times New Roman" w:hAnsi="Times New Roman"/>
          <w:b/>
          <w:bCs/>
          <w:sz w:val="24"/>
        </w:rPr>
      </w:pPr>
      <w:r>
        <w:rPr>
          <w:rFonts w:ascii="Times New Roman" w:hAnsi="Times New Roman"/>
          <w:snapToGrid w:val="0"/>
          <w:kern w:val="0"/>
          <w:sz w:val="24"/>
        </w:rPr>
        <w:t>无组织污染物排放量核算见表5.1-</w:t>
      </w:r>
      <w:r>
        <w:rPr>
          <w:rFonts w:hint="eastAsia" w:ascii="Times New Roman" w:hAnsi="Times New Roman"/>
          <w:snapToGrid w:val="0"/>
          <w:kern w:val="0"/>
          <w:sz w:val="24"/>
        </w:rPr>
        <w:t>2。</w:t>
      </w:r>
    </w:p>
    <w:p>
      <w:pPr>
        <w:jc w:val="center"/>
        <w:rPr>
          <w:rFonts w:ascii="Times New Roman" w:hAnsi="Times New Roman"/>
          <w:b/>
          <w:bCs/>
          <w:sz w:val="24"/>
        </w:rPr>
      </w:pPr>
      <w:r>
        <w:rPr>
          <w:rFonts w:ascii="Times New Roman" w:hAnsi="Times New Roman"/>
          <w:b/>
          <w:bCs/>
          <w:sz w:val="24"/>
        </w:rPr>
        <w:t>表</w:t>
      </w:r>
      <w:r>
        <w:rPr>
          <w:rFonts w:hint="eastAsia" w:ascii="Times New Roman" w:hAnsi="Times New Roman"/>
          <w:b/>
          <w:bCs/>
          <w:sz w:val="24"/>
        </w:rPr>
        <w:t>5.1-2</w:t>
      </w:r>
      <w:r>
        <w:rPr>
          <w:rFonts w:ascii="Times New Roman" w:hAnsi="Times New Roman"/>
          <w:b/>
          <w:bCs/>
          <w:sz w:val="24"/>
        </w:rPr>
        <w:t xml:space="preserve">  本项目大气污染物无组织排放量核算表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1"/>
        <w:gridCol w:w="727"/>
        <w:gridCol w:w="826"/>
        <w:gridCol w:w="714"/>
        <w:gridCol w:w="2330"/>
        <w:gridCol w:w="1802"/>
        <w:gridCol w:w="1284"/>
        <w:gridCol w:w="9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dxa"/>
            <w:vMerge w:val="restart"/>
            <w:tcBorders>
              <w:top w:val="single" w:color="auto" w:sz="12" w:space="0"/>
              <w:left w:val="single" w:color="auto" w:sz="12" w:space="0"/>
              <w:bottom w:val="single" w:color="auto" w:sz="4" w:space="0"/>
              <w:right w:val="single" w:color="auto" w:sz="4" w:space="0"/>
            </w:tcBorders>
            <w:vAlign w:val="center"/>
          </w:tcPr>
          <w:p>
            <w:pPr>
              <w:adjustRightInd w:val="0"/>
              <w:snapToGrid w:val="0"/>
              <w:jc w:val="center"/>
              <w:rPr>
                <w:rFonts w:ascii="Times New Roman" w:hAnsi="Times New Roman"/>
                <w:b/>
                <w:kern w:val="0"/>
                <w:szCs w:val="21"/>
              </w:rPr>
            </w:pPr>
            <w:r>
              <w:rPr>
                <w:rFonts w:ascii="Times New Roman" w:hAnsi="Times New Roman"/>
                <w:b/>
                <w:kern w:val="0"/>
                <w:szCs w:val="21"/>
              </w:rPr>
              <w:t>序号</w:t>
            </w:r>
          </w:p>
        </w:tc>
        <w:tc>
          <w:tcPr>
            <w:tcW w:w="717" w:type="dxa"/>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kern w:val="0"/>
                <w:szCs w:val="21"/>
              </w:rPr>
            </w:pPr>
            <w:r>
              <w:rPr>
                <w:rFonts w:ascii="Times New Roman" w:hAnsi="Times New Roman"/>
                <w:b/>
                <w:kern w:val="0"/>
                <w:szCs w:val="21"/>
              </w:rPr>
              <w:t>排放口编号</w:t>
            </w:r>
          </w:p>
        </w:tc>
        <w:tc>
          <w:tcPr>
            <w:tcW w:w="815" w:type="dxa"/>
            <w:vMerge w:val="restart"/>
            <w:tcBorders>
              <w:top w:val="single" w:color="auto" w:sz="12" w:space="0"/>
              <w:left w:val="single" w:color="auto" w:sz="4" w:space="0"/>
              <w:bottom w:val="single" w:color="auto" w:sz="4" w:space="0"/>
              <w:right w:val="single" w:color="auto" w:sz="4" w:space="0"/>
            </w:tcBorders>
            <w:vAlign w:val="center"/>
          </w:tcPr>
          <w:p>
            <w:pPr>
              <w:overflowPunct w:val="0"/>
              <w:adjustRightInd w:val="0"/>
              <w:snapToGrid w:val="0"/>
              <w:jc w:val="center"/>
              <w:rPr>
                <w:rFonts w:ascii="Times New Roman" w:hAnsi="Times New Roman"/>
                <w:b/>
                <w:kern w:val="0"/>
                <w:szCs w:val="21"/>
              </w:rPr>
            </w:pPr>
            <w:r>
              <w:rPr>
                <w:rFonts w:ascii="Times New Roman" w:hAnsi="Times New Roman"/>
                <w:b/>
                <w:kern w:val="0"/>
                <w:szCs w:val="21"/>
              </w:rPr>
              <w:t>产污环节</w:t>
            </w:r>
          </w:p>
        </w:tc>
        <w:tc>
          <w:tcPr>
            <w:tcW w:w="704" w:type="dxa"/>
            <w:vMerge w:val="restart"/>
            <w:tcBorders>
              <w:top w:val="single" w:color="auto" w:sz="12" w:space="0"/>
              <w:left w:val="single" w:color="auto" w:sz="4" w:space="0"/>
              <w:bottom w:val="single" w:color="auto" w:sz="4" w:space="0"/>
              <w:right w:val="single" w:color="auto" w:sz="4" w:space="0"/>
            </w:tcBorders>
            <w:vAlign w:val="center"/>
          </w:tcPr>
          <w:p>
            <w:pPr>
              <w:overflowPunct w:val="0"/>
              <w:adjustRightInd w:val="0"/>
              <w:snapToGrid w:val="0"/>
              <w:jc w:val="center"/>
              <w:rPr>
                <w:rFonts w:ascii="Times New Roman" w:hAnsi="Times New Roman"/>
                <w:b/>
                <w:kern w:val="0"/>
                <w:szCs w:val="21"/>
              </w:rPr>
            </w:pPr>
            <w:r>
              <w:rPr>
                <w:rFonts w:ascii="Times New Roman" w:hAnsi="Times New Roman"/>
                <w:b/>
                <w:kern w:val="0"/>
                <w:szCs w:val="21"/>
              </w:rPr>
              <w:t>污染物</w:t>
            </w:r>
          </w:p>
        </w:tc>
        <w:tc>
          <w:tcPr>
            <w:tcW w:w="2298" w:type="dxa"/>
            <w:vMerge w:val="restart"/>
            <w:tcBorders>
              <w:top w:val="single" w:color="auto" w:sz="12" w:space="0"/>
              <w:left w:val="single" w:color="auto" w:sz="4" w:space="0"/>
              <w:bottom w:val="single" w:color="auto" w:sz="4" w:space="0"/>
              <w:right w:val="single" w:color="auto" w:sz="4" w:space="0"/>
            </w:tcBorders>
            <w:vAlign w:val="center"/>
          </w:tcPr>
          <w:p>
            <w:pPr>
              <w:overflowPunct w:val="0"/>
              <w:adjustRightInd w:val="0"/>
              <w:snapToGrid w:val="0"/>
              <w:jc w:val="center"/>
              <w:rPr>
                <w:rFonts w:ascii="Times New Roman" w:hAnsi="Times New Roman"/>
                <w:b/>
                <w:kern w:val="0"/>
                <w:szCs w:val="21"/>
              </w:rPr>
            </w:pPr>
            <w:r>
              <w:rPr>
                <w:rFonts w:ascii="Times New Roman" w:hAnsi="Times New Roman"/>
                <w:b/>
                <w:kern w:val="0"/>
                <w:szCs w:val="21"/>
              </w:rPr>
              <w:t>主要污染防治措施</w:t>
            </w:r>
          </w:p>
        </w:tc>
        <w:tc>
          <w:tcPr>
            <w:tcW w:w="3045" w:type="dxa"/>
            <w:gridSpan w:val="2"/>
            <w:tcBorders>
              <w:top w:val="single" w:color="auto" w:sz="12" w:space="0"/>
              <w:left w:val="single" w:color="auto" w:sz="4" w:space="0"/>
              <w:bottom w:val="single" w:color="auto" w:sz="4" w:space="0"/>
              <w:right w:val="single" w:color="auto" w:sz="4" w:space="0"/>
            </w:tcBorders>
            <w:vAlign w:val="center"/>
          </w:tcPr>
          <w:p>
            <w:pPr>
              <w:overflowPunct w:val="0"/>
              <w:adjustRightInd w:val="0"/>
              <w:snapToGrid w:val="0"/>
              <w:jc w:val="center"/>
              <w:rPr>
                <w:rFonts w:ascii="Times New Roman" w:hAnsi="Times New Roman"/>
                <w:b/>
                <w:kern w:val="0"/>
                <w:szCs w:val="21"/>
              </w:rPr>
            </w:pPr>
            <w:r>
              <w:rPr>
                <w:rFonts w:ascii="Times New Roman" w:hAnsi="Times New Roman"/>
                <w:b/>
                <w:kern w:val="0"/>
                <w:szCs w:val="21"/>
              </w:rPr>
              <w:t>国家或地方污染物排放标准</w:t>
            </w:r>
          </w:p>
        </w:tc>
        <w:tc>
          <w:tcPr>
            <w:tcW w:w="944" w:type="dxa"/>
            <w:vMerge w:val="restart"/>
            <w:tcBorders>
              <w:top w:val="single" w:color="auto" w:sz="12" w:space="0"/>
              <w:left w:val="single" w:color="auto" w:sz="4" w:space="0"/>
              <w:bottom w:val="single" w:color="auto" w:sz="4" w:space="0"/>
              <w:right w:val="single" w:color="auto" w:sz="12" w:space="0"/>
            </w:tcBorders>
            <w:vAlign w:val="center"/>
          </w:tcPr>
          <w:p>
            <w:pPr>
              <w:overflowPunct w:val="0"/>
              <w:adjustRightInd w:val="0"/>
              <w:snapToGrid w:val="0"/>
              <w:jc w:val="center"/>
              <w:rPr>
                <w:rFonts w:ascii="Times New Roman" w:hAnsi="Times New Roman"/>
                <w:b/>
                <w:kern w:val="0"/>
                <w:szCs w:val="21"/>
              </w:rPr>
            </w:pPr>
            <w:r>
              <w:rPr>
                <w:rFonts w:ascii="Times New Roman" w:hAnsi="Times New Roman"/>
                <w:b/>
                <w:kern w:val="0"/>
                <w:szCs w:val="21"/>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5" w:type="dxa"/>
            <w:vMerge w:val="continue"/>
            <w:tcBorders>
              <w:top w:val="single" w:color="auto" w:sz="12" w:space="0"/>
              <w:left w:val="single" w:color="auto" w:sz="12" w:space="0"/>
              <w:bottom w:val="single" w:color="auto" w:sz="4" w:space="0"/>
              <w:right w:val="single" w:color="auto" w:sz="4" w:space="0"/>
            </w:tcBorders>
            <w:vAlign w:val="center"/>
          </w:tcPr>
          <w:p>
            <w:pPr>
              <w:jc w:val="center"/>
              <w:rPr>
                <w:rFonts w:ascii="Times New Roman" w:hAnsi="Times New Roman"/>
                <w:bCs/>
                <w:kern w:val="0"/>
                <w:szCs w:val="21"/>
              </w:rPr>
            </w:pPr>
          </w:p>
        </w:tc>
        <w:tc>
          <w:tcPr>
            <w:tcW w:w="717" w:type="dxa"/>
            <w:vMerge w:val="continue"/>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bCs/>
                <w:kern w:val="0"/>
                <w:szCs w:val="21"/>
              </w:rPr>
            </w:pPr>
          </w:p>
        </w:tc>
        <w:tc>
          <w:tcPr>
            <w:tcW w:w="815" w:type="dxa"/>
            <w:vMerge w:val="continue"/>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bCs/>
                <w:kern w:val="0"/>
                <w:szCs w:val="21"/>
              </w:rPr>
            </w:pPr>
          </w:p>
        </w:tc>
        <w:tc>
          <w:tcPr>
            <w:tcW w:w="704" w:type="dxa"/>
            <w:vMerge w:val="continue"/>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bCs/>
                <w:kern w:val="0"/>
                <w:szCs w:val="21"/>
              </w:rPr>
            </w:pPr>
          </w:p>
        </w:tc>
        <w:tc>
          <w:tcPr>
            <w:tcW w:w="2298" w:type="dxa"/>
            <w:vMerge w:val="continue"/>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bCs/>
                <w:kern w:val="0"/>
                <w:szCs w:val="21"/>
              </w:rPr>
            </w:pPr>
          </w:p>
        </w:tc>
        <w:tc>
          <w:tcPr>
            <w:tcW w:w="177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kern w:val="0"/>
                <w:szCs w:val="21"/>
              </w:rPr>
            </w:pPr>
            <w:r>
              <w:rPr>
                <w:rFonts w:ascii="Times New Roman" w:hAnsi="Times New Roman"/>
                <w:b/>
                <w:kern w:val="0"/>
                <w:szCs w:val="21"/>
              </w:rPr>
              <w:t>标准名称</w:t>
            </w:r>
          </w:p>
        </w:tc>
        <w:tc>
          <w:tcPr>
            <w:tcW w:w="12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kern w:val="0"/>
                <w:szCs w:val="21"/>
              </w:rPr>
            </w:pPr>
            <w:r>
              <w:rPr>
                <w:rFonts w:ascii="Times New Roman" w:hAnsi="Times New Roman"/>
                <w:b/>
                <w:kern w:val="0"/>
                <w:szCs w:val="21"/>
              </w:rPr>
              <w:t>浓度限值（um/m</w:t>
            </w:r>
            <w:r>
              <w:rPr>
                <w:rFonts w:ascii="Times New Roman" w:hAnsi="Times New Roman"/>
                <w:b/>
                <w:kern w:val="0"/>
                <w:szCs w:val="21"/>
                <w:vertAlign w:val="superscript"/>
              </w:rPr>
              <w:t>3</w:t>
            </w:r>
            <w:r>
              <w:rPr>
                <w:rFonts w:ascii="Times New Roman" w:hAnsi="Times New Roman"/>
                <w:b/>
                <w:kern w:val="0"/>
                <w:szCs w:val="21"/>
              </w:rPr>
              <w:t>）</w:t>
            </w:r>
          </w:p>
        </w:tc>
        <w:tc>
          <w:tcPr>
            <w:tcW w:w="944" w:type="dxa"/>
            <w:vMerge w:val="continue"/>
            <w:tcBorders>
              <w:top w:val="single" w:color="auto" w:sz="12" w:space="0"/>
              <w:left w:val="single" w:color="auto" w:sz="4" w:space="0"/>
              <w:bottom w:val="single" w:color="auto" w:sz="4" w:space="0"/>
              <w:right w:val="single" w:color="auto" w:sz="12" w:space="0"/>
            </w:tcBorders>
            <w:vAlign w:val="center"/>
          </w:tcPr>
          <w:p>
            <w:pPr>
              <w:jc w:val="center"/>
              <w:rPr>
                <w:rFonts w:ascii="Times New Roman" w:hAnsi="Times New Roman"/>
                <w:bCs/>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dxa"/>
            <w:vMerge w:val="restar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ascii="Times New Roman" w:hAnsi="Times New Roman"/>
                <w:kern w:val="0"/>
                <w:szCs w:val="21"/>
              </w:rPr>
            </w:pPr>
            <w:r>
              <w:rPr>
                <w:rFonts w:ascii="Times New Roman" w:hAnsi="Times New Roman"/>
                <w:kern w:val="0"/>
                <w:szCs w:val="21"/>
              </w:rPr>
              <w:t>1</w:t>
            </w:r>
          </w:p>
        </w:tc>
        <w:tc>
          <w:tcPr>
            <w:tcW w:w="717"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kern w:val="0"/>
                <w:szCs w:val="21"/>
              </w:rPr>
            </w:pPr>
            <w:r>
              <w:rPr>
                <w:rFonts w:ascii="Times New Roman" w:hAnsi="Times New Roman"/>
                <w:kern w:val="0"/>
                <w:szCs w:val="21"/>
              </w:rPr>
              <w:t>A1</w:t>
            </w:r>
          </w:p>
        </w:tc>
        <w:tc>
          <w:tcPr>
            <w:tcW w:w="815" w:type="dxa"/>
            <w:vMerge w:val="restart"/>
            <w:tcBorders>
              <w:top w:val="single" w:color="auto" w:sz="4" w:space="0"/>
              <w:left w:val="single" w:color="auto" w:sz="4" w:space="0"/>
              <w:bottom w:val="single" w:color="auto" w:sz="4" w:space="0"/>
              <w:right w:val="single" w:color="auto" w:sz="4" w:space="0"/>
            </w:tcBorders>
            <w:vAlign w:val="center"/>
          </w:tcPr>
          <w:p>
            <w:pPr>
              <w:snapToGrid w:val="0"/>
              <w:jc w:val="center"/>
              <w:rPr>
                <w:rFonts w:ascii="Times New Roman" w:hAnsi="Times New Roman"/>
                <w:kern w:val="0"/>
                <w:szCs w:val="21"/>
              </w:rPr>
            </w:pPr>
            <w:r>
              <w:rPr>
                <w:rFonts w:ascii="Times New Roman" w:hAnsi="Times New Roman"/>
                <w:kern w:val="0"/>
                <w:szCs w:val="21"/>
              </w:rPr>
              <w:t>牛棚</w:t>
            </w:r>
          </w:p>
        </w:tc>
        <w:tc>
          <w:tcPr>
            <w:tcW w:w="70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kern w:val="0"/>
                <w:szCs w:val="21"/>
              </w:rPr>
            </w:pPr>
            <w:r>
              <w:rPr>
                <w:rFonts w:ascii="Times New Roman" w:hAnsi="Times New Roman"/>
                <w:szCs w:val="21"/>
              </w:rPr>
              <w:t>NH</w:t>
            </w:r>
            <w:r>
              <w:rPr>
                <w:rFonts w:ascii="Times New Roman" w:hAnsi="Times New Roman"/>
                <w:szCs w:val="21"/>
                <w:vertAlign w:val="subscript"/>
              </w:rPr>
              <w:t>3</w:t>
            </w:r>
          </w:p>
        </w:tc>
        <w:tc>
          <w:tcPr>
            <w:tcW w:w="2298"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kern w:val="0"/>
                <w:szCs w:val="21"/>
              </w:rPr>
            </w:pPr>
            <w:r>
              <w:rPr>
                <w:rFonts w:ascii="Times New Roman" w:hAnsi="Times New Roman"/>
                <w:szCs w:val="21"/>
              </w:rPr>
              <w:t>喷洒生物菌种除臭剂、定期消毒、科学管理、合理调配饲料、每天及时清理粪污等措施。</w:t>
            </w:r>
          </w:p>
        </w:tc>
        <w:tc>
          <w:tcPr>
            <w:tcW w:w="1778" w:type="dxa"/>
            <w:vMerge w:val="restart"/>
            <w:tcBorders>
              <w:top w:val="single" w:color="auto" w:sz="4" w:space="0"/>
              <w:left w:val="single" w:color="auto" w:sz="4" w:space="0"/>
              <w:right w:val="single" w:color="auto" w:sz="4" w:space="0"/>
            </w:tcBorders>
            <w:vAlign w:val="center"/>
          </w:tcPr>
          <w:p>
            <w:pPr>
              <w:adjustRightInd w:val="0"/>
              <w:snapToGrid w:val="0"/>
              <w:jc w:val="center"/>
              <w:rPr>
                <w:rFonts w:ascii="Times New Roman" w:hAnsi="Times New Roman"/>
                <w:kern w:val="0"/>
                <w:szCs w:val="21"/>
              </w:rPr>
            </w:pPr>
            <w:bookmarkStart w:id="675" w:name="_Hlk43211161"/>
            <w:r>
              <w:rPr>
                <w:rFonts w:ascii="Times New Roman" w:hAnsi="Times New Roman"/>
                <w:kern w:val="0"/>
                <w:szCs w:val="21"/>
              </w:rPr>
              <w:t>《恶臭污染物排放标准》（GB14554-93）</w:t>
            </w:r>
            <w:bookmarkEnd w:id="675"/>
          </w:p>
        </w:tc>
        <w:tc>
          <w:tcPr>
            <w:tcW w:w="12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kern w:val="0"/>
                <w:szCs w:val="21"/>
              </w:rPr>
            </w:pPr>
            <w:r>
              <w:rPr>
                <w:rFonts w:ascii="Times New Roman" w:hAnsi="Times New Roman"/>
                <w:szCs w:val="21"/>
              </w:rPr>
              <w:t>1.5(厂界)</w:t>
            </w:r>
          </w:p>
        </w:tc>
        <w:tc>
          <w:tcPr>
            <w:tcW w:w="944" w:type="dxa"/>
            <w:tcBorders>
              <w:top w:val="single" w:color="auto" w:sz="4" w:space="0"/>
              <w:left w:val="single" w:color="auto" w:sz="4" w:space="0"/>
              <w:bottom w:val="single" w:color="auto" w:sz="4" w:space="0"/>
              <w:right w:val="single" w:color="auto" w:sz="12" w:space="0"/>
            </w:tcBorders>
            <w:vAlign w:val="center"/>
          </w:tcPr>
          <w:p>
            <w:pPr>
              <w:widowControl/>
              <w:jc w:val="center"/>
              <w:textAlignment w:val="center"/>
              <w:rPr>
                <w:rFonts w:ascii="Times New Roman" w:hAnsi="Times New Roman"/>
                <w:color w:val="FF0000"/>
                <w:kern w:val="0"/>
                <w:szCs w:val="21"/>
              </w:rPr>
            </w:pPr>
            <w:r>
              <w:rPr>
                <w:rFonts w:hint="eastAsia" w:ascii="Times New Roman" w:hAnsi="Times New Roman"/>
                <w:kern w:val="0"/>
                <w:szCs w:val="21"/>
              </w:rPr>
              <w:t>0.0297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dxa"/>
            <w:vMerge w:val="continue"/>
            <w:tcBorders>
              <w:top w:val="single" w:color="auto" w:sz="4" w:space="0"/>
              <w:left w:val="single" w:color="auto" w:sz="12" w:space="0"/>
              <w:bottom w:val="single" w:color="auto" w:sz="4" w:space="0"/>
              <w:right w:val="single" w:color="auto" w:sz="4" w:space="0"/>
            </w:tcBorders>
            <w:vAlign w:val="center"/>
          </w:tcPr>
          <w:p>
            <w:pPr>
              <w:jc w:val="center"/>
              <w:rPr>
                <w:rFonts w:ascii="Times New Roman" w:hAnsi="Times New Roman"/>
                <w:kern w:val="0"/>
                <w:szCs w:val="21"/>
              </w:rPr>
            </w:pPr>
          </w:p>
        </w:tc>
        <w:tc>
          <w:tcPr>
            <w:tcW w:w="717" w:type="dxa"/>
            <w:vMerge w:val="continue"/>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0"/>
                <w:szCs w:val="21"/>
              </w:rPr>
            </w:pPr>
          </w:p>
        </w:tc>
        <w:tc>
          <w:tcPr>
            <w:tcW w:w="815" w:type="dxa"/>
            <w:vMerge w:val="continue"/>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0"/>
                <w:szCs w:val="21"/>
              </w:rPr>
            </w:pPr>
          </w:p>
        </w:tc>
        <w:tc>
          <w:tcPr>
            <w:tcW w:w="70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kern w:val="0"/>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2298" w:type="dxa"/>
            <w:vMerge w:val="continue"/>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0"/>
                <w:szCs w:val="21"/>
              </w:rPr>
            </w:pPr>
          </w:p>
        </w:tc>
        <w:tc>
          <w:tcPr>
            <w:tcW w:w="1778" w:type="dxa"/>
            <w:vMerge w:val="continue"/>
            <w:tcBorders>
              <w:left w:val="single" w:color="auto" w:sz="4" w:space="0"/>
              <w:right w:val="single" w:color="auto" w:sz="4" w:space="0"/>
            </w:tcBorders>
            <w:vAlign w:val="center"/>
          </w:tcPr>
          <w:p>
            <w:pPr>
              <w:jc w:val="center"/>
              <w:rPr>
                <w:rFonts w:ascii="Times New Roman" w:hAnsi="Times New Roman"/>
                <w:kern w:val="0"/>
                <w:szCs w:val="21"/>
              </w:rPr>
            </w:pPr>
          </w:p>
        </w:tc>
        <w:tc>
          <w:tcPr>
            <w:tcW w:w="12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kern w:val="0"/>
                <w:szCs w:val="21"/>
              </w:rPr>
            </w:pPr>
            <w:r>
              <w:rPr>
                <w:rFonts w:ascii="Times New Roman" w:hAnsi="Times New Roman"/>
                <w:szCs w:val="21"/>
              </w:rPr>
              <w:t>0.06(厂界)</w:t>
            </w:r>
          </w:p>
        </w:tc>
        <w:tc>
          <w:tcPr>
            <w:tcW w:w="944" w:type="dxa"/>
            <w:tcBorders>
              <w:top w:val="single" w:color="auto" w:sz="4" w:space="0"/>
              <w:left w:val="single" w:color="auto" w:sz="4" w:space="0"/>
              <w:bottom w:val="single" w:color="auto" w:sz="4" w:space="0"/>
              <w:right w:val="single" w:color="auto" w:sz="12" w:space="0"/>
            </w:tcBorders>
            <w:vAlign w:val="center"/>
          </w:tcPr>
          <w:p>
            <w:pPr>
              <w:widowControl/>
              <w:jc w:val="center"/>
              <w:textAlignment w:val="center"/>
              <w:rPr>
                <w:rFonts w:ascii="Times New Roman" w:hAnsi="Times New Roman"/>
                <w:color w:val="FF0000"/>
                <w:kern w:val="0"/>
                <w:szCs w:val="21"/>
              </w:rPr>
            </w:pPr>
            <w:r>
              <w:rPr>
                <w:rFonts w:hint="eastAsia" w:ascii="Times New Roman" w:hAnsi="Times New Roman"/>
                <w:kern w:val="0"/>
                <w:szCs w:val="21"/>
              </w:rPr>
              <w:t>0.0023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dxa"/>
            <w:vMerge w:val="restart"/>
            <w:tcBorders>
              <w:top w:val="single" w:color="auto" w:sz="4" w:space="0"/>
              <w:left w:val="single" w:color="auto" w:sz="12" w:space="0"/>
              <w:right w:val="single" w:color="auto" w:sz="4" w:space="0"/>
            </w:tcBorders>
            <w:vAlign w:val="center"/>
          </w:tcPr>
          <w:p>
            <w:pPr>
              <w:jc w:val="center"/>
              <w:rPr>
                <w:rFonts w:ascii="Times New Roman" w:hAnsi="Times New Roman"/>
                <w:kern w:val="0"/>
                <w:szCs w:val="21"/>
              </w:rPr>
            </w:pPr>
            <w:r>
              <w:rPr>
                <w:rFonts w:ascii="Times New Roman" w:hAnsi="Times New Roman"/>
                <w:kern w:val="0"/>
                <w:szCs w:val="21"/>
              </w:rPr>
              <w:t>2</w:t>
            </w:r>
          </w:p>
        </w:tc>
        <w:tc>
          <w:tcPr>
            <w:tcW w:w="717" w:type="dxa"/>
            <w:vMerge w:val="restart"/>
            <w:tcBorders>
              <w:top w:val="single" w:color="auto" w:sz="4" w:space="0"/>
              <w:left w:val="single" w:color="auto" w:sz="4" w:space="0"/>
              <w:right w:val="single" w:color="auto" w:sz="4" w:space="0"/>
            </w:tcBorders>
            <w:vAlign w:val="center"/>
          </w:tcPr>
          <w:p>
            <w:pPr>
              <w:jc w:val="center"/>
              <w:rPr>
                <w:rFonts w:ascii="Times New Roman" w:hAnsi="Times New Roman"/>
                <w:kern w:val="0"/>
                <w:szCs w:val="21"/>
              </w:rPr>
            </w:pPr>
            <w:r>
              <w:rPr>
                <w:rFonts w:ascii="Times New Roman" w:hAnsi="Times New Roman"/>
                <w:kern w:val="0"/>
                <w:szCs w:val="21"/>
              </w:rPr>
              <w:t>A2</w:t>
            </w:r>
          </w:p>
        </w:tc>
        <w:tc>
          <w:tcPr>
            <w:tcW w:w="815" w:type="dxa"/>
            <w:vMerge w:val="restart"/>
            <w:tcBorders>
              <w:top w:val="single" w:color="auto" w:sz="4" w:space="0"/>
              <w:left w:val="single" w:color="auto" w:sz="4" w:space="0"/>
              <w:right w:val="single" w:color="auto" w:sz="4" w:space="0"/>
            </w:tcBorders>
            <w:vAlign w:val="center"/>
          </w:tcPr>
          <w:p>
            <w:pPr>
              <w:jc w:val="center"/>
              <w:rPr>
                <w:rFonts w:ascii="Times New Roman" w:hAnsi="Times New Roman"/>
                <w:kern w:val="0"/>
                <w:szCs w:val="21"/>
              </w:rPr>
            </w:pPr>
            <w:r>
              <w:rPr>
                <w:rFonts w:hint="eastAsia" w:ascii="Times New Roman" w:hAnsi="Times New Roman"/>
                <w:kern w:val="0"/>
                <w:szCs w:val="21"/>
              </w:rPr>
              <w:t>积粪场</w:t>
            </w:r>
          </w:p>
        </w:tc>
        <w:tc>
          <w:tcPr>
            <w:tcW w:w="70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NH</w:t>
            </w:r>
            <w:r>
              <w:rPr>
                <w:rFonts w:ascii="Times New Roman" w:hAnsi="Times New Roman"/>
                <w:szCs w:val="21"/>
                <w:vertAlign w:val="subscript"/>
              </w:rPr>
              <w:t>3</w:t>
            </w:r>
          </w:p>
        </w:tc>
        <w:tc>
          <w:tcPr>
            <w:tcW w:w="2298" w:type="dxa"/>
            <w:vMerge w:val="restart"/>
            <w:tcBorders>
              <w:top w:val="single" w:color="auto" w:sz="4" w:space="0"/>
              <w:left w:val="single" w:color="auto" w:sz="4" w:space="0"/>
              <w:right w:val="single" w:color="auto" w:sz="4" w:space="0"/>
            </w:tcBorders>
            <w:vAlign w:val="center"/>
          </w:tcPr>
          <w:p>
            <w:pPr>
              <w:jc w:val="center"/>
              <w:rPr>
                <w:rFonts w:ascii="Times New Roman" w:hAnsi="Times New Roman"/>
                <w:kern w:val="0"/>
                <w:szCs w:val="21"/>
              </w:rPr>
            </w:pPr>
            <w:r>
              <w:rPr>
                <w:rFonts w:ascii="Times New Roman" w:hAnsi="Times New Roman"/>
                <w:szCs w:val="21"/>
              </w:rPr>
              <w:t>喷洒生物菌种除臭剂、定期消毒、科学管理、合理调配饲料、每天及时清理粪污等措施</w:t>
            </w:r>
          </w:p>
        </w:tc>
        <w:tc>
          <w:tcPr>
            <w:tcW w:w="1778" w:type="dxa"/>
            <w:vMerge w:val="continue"/>
            <w:tcBorders>
              <w:left w:val="single" w:color="auto" w:sz="4" w:space="0"/>
              <w:right w:val="single" w:color="auto" w:sz="4" w:space="0"/>
            </w:tcBorders>
            <w:vAlign w:val="center"/>
          </w:tcPr>
          <w:p>
            <w:pPr>
              <w:jc w:val="center"/>
              <w:rPr>
                <w:rFonts w:ascii="Times New Roman" w:hAnsi="Times New Roman"/>
                <w:kern w:val="0"/>
                <w:szCs w:val="21"/>
              </w:rPr>
            </w:pPr>
          </w:p>
        </w:tc>
        <w:tc>
          <w:tcPr>
            <w:tcW w:w="12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1.5(厂界)</w:t>
            </w:r>
          </w:p>
        </w:tc>
        <w:tc>
          <w:tcPr>
            <w:tcW w:w="944" w:type="dxa"/>
            <w:tcBorders>
              <w:top w:val="single" w:color="auto" w:sz="4" w:space="0"/>
              <w:left w:val="single" w:color="auto" w:sz="4" w:space="0"/>
              <w:bottom w:val="single" w:color="auto" w:sz="4" w:space="0"/>
              <w:right w:val="single" w:color="auto" w:sz="12" w:space="0"/>
            </w:tcBorders>
            <w:vAlign w:val="center"/>
          </w:tcPr>
          <w:p>
            <w:pPr>
              <w:widowControl/>
              <w:jc w:val="center"/>
              <w:rPr>
                <w:rFonts w:ascii="Times New Roman" w:hAnsi="Times New Roman"/>
                <w:color w:val="FF0000"/>
                <w:kern w:val="0"/>
                <w:szCs w:val="21"/>
              </w:rPr>
            </w:pPr>
            <w:r>
              <w:rPr>
                <w:rFonts w:hint="eastAsia" w:ascii="Times New Roman" w:hAnsi="Times New Roman"/>
                <w:bCs/>
                <w:szCs w:val="21"/>
              </w:rPr>
              <w:t>0.0090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dxa"/>
            <w:vMerge w:val="continue"/>
            <w:tcBorders>
              <w:left w:val="single" w:color="auto" w:sz="12" w:space="0"/>
              <w:bottom w:val="single" w:color="auto" w:sz="4" w:space="0"/>
              <w:right w:val="single" w:color="auto" w:sz="4" w:space="0"/>
            </w:tcBorders>
            <w:vAlign w:val="center"/>
          </w:tcPr>
          <w:p>
            <w:pPr>
              <w:jc w:val="center"/>
              <w:rPr>
                <w:rFonts w:ascii="Times New Roman" w:hAnsi="Times New Roman"/>
                <w:kern w:val="0"/>
                <w:szCs w:val="21"/>
              </w:rPr>
            </w:pPr>
          </w:p>
        </w:tc>
        <w:tc>
          <w:tcPr>
            <w:tcW w:w="717" w:type="dxa"/>
            <w:vMerge w:val="continue"/>
            <w:tcBorders>
              <w:left w:val="single" w:color="auto" w:sz="4" w:space="0"/>
              <w:bottom w:val="single" w:color="auto" w:sz="4" w:space="0"/>
              <w:right w:val="single" w:color="auto" w:sz="4" w:space="0"/>
            </w:tcBorders>
            <w:vAlign w:val="center"/>
          </w:tcPr>
          <w:p>
            <w:pPr>
              <w:jc w:val="center"/>
              <w:rPr>
                <w:rFonts w:ascii="Times New Roman" w:hAnsi="Times New Roman"/>
                <w:kern w:val="0"/>
                <w:szCs w:val="21"/>
              </w:rPr>
            </w:pPr>
          </w:p>
        </w:tc>
        <w:tc>
          <w:tcPr>
            <w:tcW w:w="815" w:type="dxa"/>
            <w:vMerge w:val="continue"/>
            <w:tcBorders>
              <w:left w:val="single" w:color="auto" w:sz="4" w:space="0"/>
              <w:bottom w:val="single" w:color="auto" w:sz="4" w:space="0"/>
              <w:right w:val="single" w:color="auto" w:sz="4" w:space="0"/>
            </w:tcBorders>
            <w:vAlign w:val="center"/>
          </w:tcPr>
          <w:p>
            <w:pPr>
              <w:jc w:val="center"/>
              <w:rPr>
                <w:rFonts w:ascii="Times New Roman" w:hAnsi="Times New Roman"/>
                <w:kern w:val="0"/>
                <w:szCs w:val="21"/>
              </w:rPr>
            </w:pPr>
          </w:p>
        </w:tc>
        <w:tc>
          <w:tcPr>
            <w:tcW w:w="70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2298" w:type="dxa"/>
            <w:vMerge w:val="continue"/>
            <w:tcBorders>
              <w:left w:val="single" w:color="auto" w:sz="4" w:space="0"/>
              <w:bottom w:val="single" w:color="auto" w:sz="4" w:space="0"/>
              <w:right w:val="single" w:color="auto" w:sz="4" w:space="0"/>
            </w:tcBorders>
            <w:vAlign w:val="center"/>
          </w:tcPr>
          <w:p>
            <w:pPr>
              <w:jc w:val="center"/>
              <w:rPr>
                <w:rFonts w:ascii="Times New Roman" w:hAnsi="Times New Roman"/>
                <w:kern w:val="0"/>
                <w:szCs w:val="21"/>
              </w:rPr>
            </w:pPr>
          </w:p>
        </w:tc>
        <w:tc>
          <w:tcPr>
            <w:tcW w:w="1778" w:type="dxa"/>
            <w:vMerge w:val="continue"/>
            <w:tcBorders>
              <w:left w:val="single" w:color="auto" w:sz="4" w:space="0"/>
              <w:right w:val="single" w:color="auto" w:sz="4" w:space="0"/>
            </w:tcBorders>
            <w:vAlign w:val="center"/>
          </w:tcPr>
          <w:p>
            <w:pPr>
              <w:jc w:val="center"/>
              <w:rPr>
                <w:rFonts w:ascii="Times New Roman" w:hAnsi="Times New Roman"/>
                <w:kern w:val="0"/>
                <w:szCs w:val="21"/>
              </w:rPr>
            </w:pPr>
          </w:p>
        </w:tc>
        <w:tc>
          <w:tcPr>
            <w:tcW w:w="12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0.06(厂界)</w:t>
            </w:r>
          </w:p>
        </w:tc>
        <w:tc>
          <w:tcPr>
            <w:tcW w:w="944" w:type="dxa"/>
            <w:tcBorders>
              <w:top w:val="single" w:color="auto" w:sz="4" w:space="0"/>
              <w:left w:val="single" w:color="auto" w:sz="4" w:space="0"/>
              <w:bottom w:val="single" w:color="auto" w:sz="4" w:space="0"/>
              <w:right w:val="single" w:color="auto" w:sz="12" w:space="0"/>
            </w:tcBorders>
            <w:vAlign w:val="center"/>
          </w:tcPr>
          <w:p>
            <w:pPr>
              <w:widowControl/>
              <w:jc w:val="center"/>
              <w:rPr>
                <w:rFonts w:ascii="Times New Roman" w:hAnsi="Times New Roman"/>
                <w:color w:val="FF0000"/>
                <w:kern w:val="0"/>
                <w:szCs w:val="21"/>
              </w:rPr>
            </w:pPr>
            <w:r>
              <w:rPr>
                <w:rFonts w:hint="eastAsia" w:ascii="Times New Roman" w:hAnsi="Times New Roman"/>
                <w:bCs/>
                <w:szCs w:val="21"/>
              </w:rPr>
              <w:t>0.0018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dxa"/>
            <w:tcBorders>
              <w:top w:val="single" w:color="auto" w:sz="4" w:space="0"/>
              <w:left w:val="single" w:color="auto" w:sz="12" w:space="0"/>
              <w:bottom w:val="single" w:color="auto" w:sz="4" w:space="0"/>
              <w:right w:val="single" w:color="auto" w:sz="4" w:space="0"/>
            </w:tcBorders>
            <w:vAlign w:val="center"/>
          </w:tcPr>
          <w:p>
            <w:pPr>
              <w:jc w:val="center"/>
              <w:rPr>
                <w:rFonts w:ascii="Times New Roman" w:hAnsi="Times New Roman"/>
                <w:kern w:val="0"/>
                <w:szCs w:val="21"/>
              </w:rPr>
            </w:pPr>
            <w:r>
              <w:rPr>
                <w:rFonts w:ascii="Times New Roman" w:hAnsi="Times New Roman"/>
                <w:kern w:val="0"/>
                <w:szCs w:val="21"/>
              </w:rPr>
              <w:t>3</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0"/>
                <w:szCs w:val="21"/>
              </w:rPr>
            </w:pPr>
            <w:r>
              <w:rPr>
                <w:rFonts w:ascii="Times New Roman" w:hAnsi="Times New Roman"/>
                <w:szCs w:val="21"/>
              </w:rPr>
              <w:t>A</w:t>
            </w:r>
            <w:r>
              <w:rPr>
                <w:rFonts w:hint="eastAsia" w:ascii="Times New Roman" w:hAnsi="Times New Roman"/>
                <w:szCs w:val="21"/>
              </w:rPr>
              <w:t>3</w:t>
            </w:r>
          </w:p>
        </w:tc>
        <w:tc>
          <w:tcPr>
            <w:tcW w:w="81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szCs w:val="21"/>
              </w:rPr>
            </w:pPr>
            <w:r>
              <w:rPr>
                <w:rFonts w:ascii="Times New Roman" w:hAnsi="Times New Roman"/>
                <w:szCs w:val="21"/>
              </w:rPr>
              <w:t>饲料</w:t>
            </w:r>
          </w:p>
          <w:p>
            <w:pPr>
              <w:jc w:val="center"/>
              <w:rPr>
                <w:rFonts w:ascii="Times New Roman" w:hAnsi="Times New Roman"/>
                <w:kern w:val="0"/>
                <w:szCs w:val="21"/>
              </w:rPr>
            </w:pPr>
            <w:r>
              <w:rPr>
                <w:rFonts w:ascii="Times New Roman" w:hAnsi="Times New Roman"/>
                <w:szCs w:val="21"/>
              </w:rPr>
              <w:t>加工</w:t>
            </w:r>
          </w:p>
        </w:tc>
        <w:tc>
          <w:tcPr>
            <w:tcW w:w="70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TSP</w:t>
            </w:r>
          </w:p>
        </w:tc>
        <w:tc>
          <w:tcPr>
            <w:tcW w:w="229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0"/>
                <w:szCs w:val="21"/>
              </w:rPr>
            </w:pPr>
            <w:r>
              <w:rPr>
                <w:rFonts w:ascii="Times New Roman" w:hAnsi="Times New Roman"/>
                <w:szCs w:val="21"/>
              </w:rPr>
              <w:t>采用密闭设备，且设备布置在车间内。</w:t>
            </w:r>
          </w:p>
        </w:tc>
        <w:tc>
          <w:tcPr>
            <w:tcW w:w="177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kern w:val="0"/>
                <w:szCs w:val="21"/>
              </w:rPr>
            </w:pPr>
            <w:r>
              <w:rPr>
                <w:rFonts w:ascii="Times New Roman" w:hAnsi="Times New Roman"/>
                <w:szCs w:val="21"/>
                <w:lang w:val="zh-CN"/>
              </w:rPr>
              <w:t>《大气污染物综合排放标准》（GB16297-1996）无组织排放浓度限值</w:t>
            </w:r>
          </w:p>
        </w:tc>
        <w:tc>
          <w:tcPr>
            <w:tcW w:w="126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1.0mg/m</w:t>
            </w:r>
            <w:r>
              <w:rPr>
                <w:rFonts w:ascii="Times New Roman" w:hAnsi="Times New Roman"/>
                <w:szCs w:val="21"/>
                <w:vertAlign w:val="superscript"/>
              </w:rPr>
              <w:t>3</w:t>
            </w:r>
          </w:p>
        </w:tc>
        <w:tc>
          <w:tcPr>
            <w:tcW w:w="944"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ascii="Times New Roman" w:hAnsi="Times New Roman"/>
                <w:color w:val="FF0000"/>
                <w:kern w:val="0"/>
                <w:szCs w:val="21"/>
              </w:rPr>
            </w:pPr>
            <w:r>
              <w:rPr>
                <w:rFonts w:hint="eastAsia" w:ascii="Times New Roman" w:hAnsi="Times New Roman"/>
                <w:kern w:val="0"/>
                <w:szCs w:val="21"/>
              </w:rPr>
              <w:t>0.0016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2" w:type="dxa"/>
            <w:gridSpan w:val="2"/>
            <w:vMerge w:val="restart"/>
            <w:tcBorders>
              <w:top w:val="single" w:color="auto" w:sz="4" w:space="0"/>
              <w:left w:val="single" w:color="auto" w:sz="12" w:space="0"/>
              <w:right w:val="single" w:color="auto" w:sz="4" w:space="0"/>
            </w:tcBorders>
            <w:vAlign w:val="center"/>
          </w:tcPr>
          <w:p>
            <w:pPr>
              <w:overflowPunct w:val="0"/>
              <w:adjustRightInd w:val="0"/>
              <w:snapToGrid w:val="0"/>
              <w:jc w:val="center"/>
              <w:rPr>
                <w:rFonts w:ascii="Times New Roman" w:hAnsi="Times New Roman"/>
                <w:kern w:val="0"/>
                <w:szCs w:val="21"/>
              </w:rPr>
            </w:pPr>
            <w:r>
              <w:rPr>
                <w:rFonts w:ascii="Times New Roman" w:hAnsi="Times New Roman"/>
                <w:kern w:val="0"/>
                <w:szCs w:val="21"/>
              </w:rPr>
              <w:t>无组织排放总计</w:t>
            </w:r>
          </w:p>
        </w:tc>
        <w:tc>
          <w:tcPr>
            <w:tcW w:w="6862" w:type="dxa"/>
            <w:gridSpan w:val="5"/>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kern w:val="0"/>
                <w:szCs w:val="21"/>
              </w:rPr>
            </w:pPr>
            <w:r>
              <w:rPr>
                <w:rFonts w:ascii="Times New Roman" w:hAnsi="Times New Roman"/>
                <w:szCs w:val="21"/>
              </w:rPr>
              <w:t>NH</w:t>
            </w:r>
            <w:r>
              <w:rPr>
                <w:rFonts w:ascii="Times New Roman" w:hAnsi="Times New Roman"/>
                <w:szCs w:val="21"/>
                <w:vertAlign w:val="subscript"/>
              </w:rPr>
              <w:t>3</w:t>
            </w:r>
          </w:p>
        </w:tc>
        <w:tc>
          <w:tcPr>
            <w:tcW w:w="944"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ascii="Times New Roman" w:hAnsi="Times New Roman"/>
                <w:kern w:val="0"/>
                <w:szCs w:val="21"/>
              </w:rPr>
            </w:pPr>
            <w:r>
              <w:rPr>
                <w:rFonts w:hint="eastAsia" w:ascii="Times New Roman" w:hAnsi="Times New Roman"/>
                <w:kern w:val="0"/>
                <w:szCs w:val="21"/>
              </w:rPr>
              <w:t>0.0387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2" w:type="dxa"/>
            <w:gridSpan w:val="2"/>
            <w:vMerge w:val="continue"/>
            <w:tcBorders>
              <w:left w:val="single" w:color="auto" w:sz="12" w:space="0"/>
              <w:right w:val="single" w:color="auto" w:sz="4" w:space="0"/>
            </w:tcBorders>
            <w:vAlign w:val="center"/>
          </w:tcPr>
          <w:p>
            <w:pPr>
              <w:jc w:val="center"/>
              <w:rPr>
                <w:rFonts w:ascii="Times New Roman" w:hAnsi="Times New Roman"/>
                <w:kern w:val="0"/>
                <w:szCs w:val="21"/>
              </w:rPr>
            </w:pPr>
          </w:p>
        </w:tc>
        <w:tc>
          <w:tcPr>
            <w:tcW w:w="6862" w:type="dxa"/>
            <w:gridSpan w:val="5"/>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kern w:val="0"/>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944"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ascii="Times New Roman" w:hAnsi="Times New Roman"/>
                <w:kern w:val="0"/>
                <w:szCs w:val="21"/>
              </w:rPr>
            </w:pPr>
            <w:r>
              <w:rPr>
                <w:rFonts w:hint="eastAsia" w:ascii="Times New Roman" w:hAnsi="Times New Roman"/>
                <w:kern w:val="0"/>
                <w:szCs w:val="21"/>
              </w:rPr>
              <w:t>0.0041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2" w:type="dxa"/>
            <w:gridSpan w:val="2"/>
            <w:vMerge w:val="continue"/>
            <w:tcBorders>
              <w:left w:val="single" w:color="auto" w:sz="12" w:space="0"/>
              <w:bottom w:val="single" w:color="auto" w:sz="12" w:space="0"/>
              <w:right w:val="single" w:color="auto" w:sz="4" w:space="0"/>
            </w:tcBorders>
            <w:vAlign w:val="center"/>
          </w:tcPr>
          <w:p>
            <w:pPr>
              <w:jc w:val="center"/>
              <w:rPr>
                <w:rFonts w:ascii="Times New Roman" w:hAnsi="Times New Roman"/>
                <w:kern w:val="0"/>
                <w:szCs w:val="21"/>
              </w:rPr>
            </w:pPr>
          </w:p>
        </w:tc>
        <w:tc>
          <w:tcPr>
            <w:tcW w:w="6862" w:type="dxa"/>
            <w:gridSpan w:val="5"/>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TSP</w:t>
            </w:r>
          </w:p>
        </w:tc>
        <w:tc>
          <w:tcPr>
            <w:tcW w:w="944" w:type="dxa"/>
            <w:tcBorders>
              <w:top w:val="single" w:color="auto" w:sz="4" w:space="0"/>
              <w:left w:val="single" w:color="auto" w:sz="4" w:space="0"/>
              <w:bottom w:val="single" w:color="auto" w:sz="12" w:space="0"/>
              <w:right w:val="single" w:color="auto" w:sz="12" w:space="0"/>
            </w:tcBorders>
            <w:vAlign w:val="center"/>
          </w:tcPr>
          <w:p>
            <w:pPr>
              <w:adjustRightInd w:val="0"/>
              <w:snapToGrid w:val="0"/>
              <w:jc w:val="center"/>
              <w:rPr>
                <w:rFonts w:ascii="Times New Roman" w:hAnsi="Times New Roman"/>
                <w:kern w:val="0"/>
                <w:szCs w:val="21"/>
              </w:rPr>
            </w:pPr>
            <w:r>
              <w:rPr>
                <w:rFonts w:hint="eastAsia" w:ascii="Times New Roman" w:hAnsi="Times New Roman"/>
                <w:kern w:val="0"/>
                <w:szCs w:val="21"/>
              </w:rPr>
              <w:t>0.0016</w:t>
            </w:r>
          </w:p>
        </w:tc>
      </w:tr>
    </w:tbl>
    <w:p>
      <w:pPr>
        <w:overflowPunct w:val="0"/>
        <w:adjustRightInd w:val="0"/>
        <w:snapToGrid w:val="0"/>
        <w:spacing w:before="120" w:beforeLines="50" w:line="540" w:lineRule="exact"/>
        <w:ind w:firstLine="480" w:firstLineChars="200"/>
        <w:rPr>
          <w:rFonts w:ascii="Times New Roman" w:hAnsi="Times New Roman"/>
          <w:snapToGrid w:val="0"/>
          <w:kern w:val="0"/>
          <w:sz w:val="24"/>
        </w:rPr>
      </w:pPr>
      <w:r>
        <w:rPr>
          <w:rFonts w:ascii="Times New Roman" w:hAnsi="Times New Roman"/>
          <w:snapToGrid w:val="0"/>
          <w:kern w:val="0"/>
          <w:sz w:val="24"/>
        </w:rPr>
        <w:t>⑵项目大气污染物年排放量核算</w:t>
      </w:r>
    </w:p>
    <w:p>
      <w:pPr>
        <w:overflowPunct w:val="0"/>
        <w:adjustRightInd w:val="0"/>
        <w:snapToGrid w:val="0"/>
        <w:spacing w:line="540" w:lineRule="exact"/>
        <w:ind w:firstLine="480" w:firstLineChars="200"/>
      </w:pPr>
      <w:r>
        <w:rPr>
          <w:rFonts w:ascii="Times New Roman" w:hAnsi="Times New Roman"/>
          <w:snapToGrid w:val="0"/>
          <w:kern w:val="0"/>
          <w:sz w:val="24"/>
        </w:rPr>
        <w:t>本项目大气污染物年排放量核算见表5.1-</w:t>
      </w:r>
      <w:r>
        <w:rPr>
          <w:rFonts w:hint="eastAsia" w:ascii="Times New Roman" w:hAnsi="Times New Roman"/>
          <w:snapToGrid w:val="0"/>
          <w:kern w:val="0"/>
          <w:sz w:val="24"/>
        </w:rPr>
        <w:t>3</w:t>
      </w:r>
      <w:r>
        <w:rPr>
          <w:rFonts w:ascii="Times New Roman" w:hAnsi="Times New Roman"/>
          <w:snapToGrid w:val="0"/>
          <w:kern w:val="0"/>
          <w:sz w:val="24"/>
        </w:rPr>
        <w:t>。</w:t>
      </w:r>
    </w:p>
    <w:p>
      <w:pPr>
        <w:jc w:val="center"/>
        <w:rPr>
          <w:rFonts w:ascii="Times New Roman" w:hAnsi="Times New Roman"/>
          <w:b/>
          <w:bCs/>
          <w:sz w:val="24"/>
        </w:rPr>
      </w:pPr>
      <w:r>
        <w:rPr>
          <w:rFonts w:ascii="Times New Roman" w:hAnsi="Times New Roman"/>
          <w:b/>
          <w:bCs/>
          <w:sz w:val="24"/>
        </w:rPr>
        <w:t>表5.1-</w:t>
      </w:r>
      <w:r>
        <w:rPr>
          <w:rFonts w:hint="eastAsia" w:ascii="Times New Roman" w:hAnsi="Times New Roman"/>
          <w:b/>
          <w:bCs/>
          <w:sz w:val="24"/>
        </w:rPr>
        <w:t>3</w:t>
      </w:r>
      <w:r>
        <w:rPr>
          <w:rFonts w:ascii="Times New Roman" w:hAnsi="Times New Roman"/>
          <w:b/>
          <w:bCs/>
          <w:sz w:val="24"/>
        </w:rPr>
        <w:t xml:space="preserve">    项目大气污染物年排放量核算表</w:t>
      </w:r>
    </w:p>
    <w:tbl>
      <w:tblPr>
        <w:tblStyle w:val="29"/>
        <w:tblW w:w="9060" w:type="dxa"/>
        <w:tblInd w:w="12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6"/>
        <w:gridCol w:w="3358"/>
        <w:gridCol w:w="46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6" w:type="dxa"/>
            <w:vAlign w:val="center"/>
          </w:tcPr>
          <w:p>
            <w:pPr>
              <w:overflowPunct w:val="0"/>
              <w:adjustRightInd w:val="0"/>
              <w:snapToGrid w:val="0"/>
              <w:jc w:val="center"/>
              <w:rPr>
                <w:rFonts w:ascii="Times New Roman" w:hAnsi="Times New Roman"/>
                <w:b/>
                <w:bCs/>
                <w:snapToGrid w:val="0"/>
                <w:kern w:val="0"/>
              </w:rPr>
            </w:pPr>
            <w:r>
              <w:rPr>
                <w:rFonts w:ascii="Times New Roman" w:hAnsi="Times New Roman"/>
                <w:b/>
                <w:bCs/>
                <w:snapToGrid w:val="0"/>
                <w:kern w:val="0"/>
              </w:rPr>
              <w:t>序号</w:t>
            </w:r>
          </w:p>
        </w:tc>
        <w:tc>
          <w:tcPr>
            <w:tcW w:w="3358" w:type="dxa"/>
            <w:vAlign w:val="center"/>
          </w:tcPr>
          <w:p>
            <w:pPr>
              <w:adjustRightInd w:val="0"/>
              <w:snapToGrid w:val="0"/>
              <w:jc w:val="center"/>
              <w:rPr>
                <w:rFonts w:ascii="Times New Roman" w:hAnsi="Times New Roman"/>
                <w:b/>
                <w:bCs/>
                <w:snapToGrid w:val="0"/>
                <w:kern w:val="0"/>
              </w:rPr>
            </w:pPr>
            <w:r>
              <w:rPr>
                <w:rFonts w:ascii="Times New Roman" w:hAnsi="Times New Roman"/>
                <w:b/>
                <w:bCs/>
                <w:snapToGrid w:val="0"/>
                <w:kern w:val="0"/>
              </w:rPr>
              <w:t>污染物</w:t>
            </w:r>
          </w:p>
        </w:tc>
        <w:tc>
          <w:tcPr>
            <w:tcW w:w="4656" w:type="dxa"/>
            <w:vAlign w:val="center"/>
          </w:tcPr>
          <w:p>
            <w:pPr>
              <w:overflowPunct w:val="0"/>
              <w:adjustRightInd w:val="0"/>
              <w:snapToGrid w:val="0"/>
              <w:jc w:val="center"/>
              <w:rPr>
                <w:rFonts w:ascii="Times New Roman" w:hAnsi="Times New Roman"/>
                <w:b/>
                <w:bCs/>
                <w:snapToGrid w:val="0"/>
                <w:kern w:val="0"/>
              </w:rPr>
            </w:pPr>
            <w:r>
              <w:rPr>
                <w:rFonts w:ascii="Times New Roman" w:hAnsi="Times New Roman"/>
                <w:b/>
                <w:bCs/>
                <w:snapToGrid w:val="0"/>
                <w:kern w:val="0"/>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6" w:type="dxa"/>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1</w:t>
            </w:r>
          </w:p>
        </w:tc>
        <w:tc>
          <w:tcPr>
            <w:tcW w:w="3358" w:type="dxa"/>
            <w:vAlign w:val="center"/>
          </w:tcPr>
          <w:p>
            <w:pPr>
              <w:adjustRightInd w:val="0"/>
              <w:snapToGrid w:val="0"/>
              <w:jc w:val="center"/>
              <w:rPr>
                <w:rFonts w:ascii="Times New Roman" w:hAnsi="Times New Roman"/>
                <w:snapToGrid w:val="0"/>
                <w:kern w:val="0"/>
              </w:rPr>
            </w:pPr>
            <w:r>
              <w:rPr>
                <w:rFonts w:ascii="Times New Roman" w:hAnsi="Times New Roman"/>
                <w:szCs w:val="21"/>
              </w:rPr>
              <w:t>NH</w:t>
            </w:r>
            <w:r>
              <w:rPr>
                <w:rFonts w:ascii="Times New Roman" w:hAnsi="Times New Roman"/>
                <w:szCs w:val="21"/>
                <w:vertAlign w:val="subscript"/>
              </w:rPr>
              <w:t>3</w:t>
            </w:r>
          </w:p>
        </w:tc>
        <w:tc>
          <w:tcPr>
            <w:tcW w:w="4656" w:type="dxa"/>
            <w:vAlign w:val="center"/>
          </w:tcPr>
          <w:p>
            <w:pPr>
              <w:adjustRightInd w:val="0"/>
              <w:snapToGrid w:val="0"/>
              <w:jc w:val="center"/>
              <w:rPr>
                <w:rFonts w:ascii="Times New Roman" w:hAnsi="Times New Roman"/>
                <w:snapToGrid w:val="0"/>
                <w:color w:val="FF0000"/>
                <w:kern w:val="0"/>
              </w:rPr>
            </w:pPr>
            <w:r>
              <w:rPr>
                <w:rFonts w:hint="eastAsia" w:ascii="Times New Roman" w:hAnsi="Times New Roman"/>
                <w:kern w:val="0"/>
                <w:szCs w:val="21"/>
              </w:rPr>
              <w:t>0.0387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6" w:type="dxa"/>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2</w:t>
            </w:r>
          </w:p>
        </w:tc>
        <w:tc>
          <w:tcPr>
            <w:tcW w:w="3358" w:type="dxa"/>
            <w:vAlign w:val="center"/>
          </w:tcPr>
          <w:p>
            <w:pPr>
              <w:adjustRightInd w:val="0"/>
              <w:snapToGrid w:val="0"/>
              <w:jc w:val="center"/>
              <w:rPr>
                <w:rFonts w:ascii="Times New Roman" w:hAnsi="Times New Roman"/>
                <w:snapToGrid w:val="0"/>
                <w:kern w:val="0"/>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4656" w:type="dxa"/>
            <w:vAlign w:val="center"/>
          </w:tcPr>
          <w:p>
            <w:pPr>
              <w:adjustRightInd w:val="0"/>
              <w:snapToGrid w:val="0"/>
              <w:jc w:val="center"/>
              <w:rPr>
                <w:rFonts w:ascii="Times New Roman" w:hAnsi="Times New Roman"/>
                <w:snapToGrid w:val="0"/>
                <w:color w:val="FF0000"/>
                <w:kern w:val="0"/>
              </w:rPr>
            </w:pPr>
            <w:r>
              <w:rPr>
                <w:rFonts w:hint="eastAsia" w:ascii="Times New Roman" w:hAnsi="Times New Roman"/>
                <w:kern w:val="0"/>
                <w:szCs w:val="21"/>
              </w:rPr>
              <w:t>0.0041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6" w:type="dxa"/>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3</w:t>
            </w:r>
          </w:p>
        </w:tc>
        <w:tc>
          <w:tcPr>
            <w:tcW w:w="3358" w:type="dxa"/>
            <w:vAlign w:val="center"/>
          </w:tcPr>
          <w:p>
            <w:pPr>
              <w:adjustRightInd w:val="0"/>
              <w:snapToGrid w:val="0"/>
              <w:jc w:val="center"/>
              <w:rPr>
                <w:rFonts w:ascii="Times New Roman" w:hAnsi="Times New Roman"/>
                <w:snapToGrid w:val="0"/>
                <w:kern w:val="0"/>
              </w:rPr>
            </w:pPr>
            <w:r>
              <w:rPr>
                <w:rFonts w:hint="eastAsia" w:ascii="Times New Roman" w:hAnsi="Times New Roman"/>
                <w:szCs w:val="21"/>
              </w:rPr>
              <w:t xml:space="preserve"> </w:t>
            </w:r>
            <w:r>
              <w:rPr>
                <w:rFonts w:ascii="Times New Roman" w:hAnsi="Times New Roman"/>
                <w:szCs w:val="21"/>
              </w:rPr>
              <w:t>TSP</w:t>
            </w:r>
          </w:p>
        </w:tc>
        <w:tc>
          <w:tcPr>
            <w:tcW w:w="4656" w:type="dxa"/>
            <w:vAlign w:val="center"/>
          </w:tcPr>
          <w:p>
            <w:pPr>
              <w:adjustRightInd w:val="0"/>
              <w:snapToGrid w:val="0"/>
              <w:jc w:val="center"/>
              <w:rPr>
                <w:rFonts w:ascii="Times New Roman" w:hAnsi="Times New Roman"/>
                <w:snapToGrid w:val="0"/>
                <w:color w:val="FF0000"/>
                <w:kern w:val="0"/>
              </w:rPr>
            </w:pPr>
            <w:r>
              <w:rPr>
                <w:rFonts w:hint="eastAsia" w:ascii="Times New Roman" w:hAnsi="Times New Roman"/>
                <w:kern w:val="0"/>
                <w:szCs w:val="21"/>
              </w:rPr>
              <w:t>0.0016</w:t>
            </w:r>
          </w:p>
        </w:tc>
      </w:tr>
    </w:tbl>
    <w:p>
      <w:pPr>
        <w:pStyle w:val="6"/>
        <w:snapToGrid w:val="0"/>
        <w:spacing w:before="120" w:after="120" w:line="540" w:lineRule="exact"/>
        <w:contextualSpacing/>
        <w:rPr>
          <w:rFonts w:ascii="Times New Roman" w:hAnsi="Times New Roman" w:eastAsia="宋体"/>
          <w:bCs w:val="0"/>
          <w:sz w:val="24"/>
        </w:rPr>
      </w:pPr>
      <w:r>
        <w:rPr>
          <w:rFonts w:ascii="Times New Roman" w:hAnsi="Times New Roman" w:eastAsia="宋体"/>
          <w:bCs w:val="0"/>
          <w:sz w:val="24"/>
        </w:rPr>
        <w:t>5.1.2.2预测结果及影响分析</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根据《环境影响评价技术导则 大气环境》（HJ2.2-2018），大气环境影响评价等级判定采用AERSCREEN估算模式和污染物占标率进行计算</w:t>
      </w:r>
      <w:r>
        <w:rPr>
          <w:rFonts w:hint="eastAsia" w:ascii="Times New Roman" w:hAnsi="Times New Roman"/>
          <w:sz w:val="24"/>
          <w:szCs w:val="32"/>
        </w:rPr>
        <w:t>。</w:t>
      </w:r>
    </w:p>
    <w:p>
      <w:pPr>
        <w:spacing w:line="480" w:lineRule="exact"/>
        <w:jc w:val="center"/>
        <w:rPr>
          <w:b/>
          <w:bCs/>
        </w:rPr>
      </w:pPr>
      <w:r>
        <w:rPr>
          <w:rFonts w:ascii="Times New Roman" w:hAnsi="Times New Roman"/>
          <w:b/>
          <w:bCs/>
          <w:sz w:val="24"/>
        </w:rPr>
        <w:t xml:space="preserve"> 表5.1-4  AERSCREEN估算</w:t>
      </w:r>
      <w:r>
        <w:rPr>
          <w:rFonts w:ascii="宋体" w:hAnsi="宋体" w:cs="宋体"/>
          <w:b/>
          <w:bCs/>
          <w:sz w:val="24"/>
        </w:rPr>
        <w:t>模型参数表</w:t>
      </w:r>
    </w:p>
    <w:tbl>
      <w:tblPr>
        <w:tblStyle w:val="29"/>
        <w:tblW w:w="905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88"/>
        <w:gridCol w:w="2505"/>
        <w:gridCol w:w="1380"/>
        <w:gridCol w:w="34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93" w:type="dxa"/>
            <w:gridSpan w:val="2"/>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参数</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取值</w:t>
            </w:r>
          </w:p>
        </w:tc>
        <w:tc>
          <w:tcPr>
            <w:tcW w:w="3480" w:type="dxa"/>
            <w:tcBorders>
              <w:tl2br w:val="nil"/>
              <w:tr2bl w:val="nil"/>
            </w:tcBorders>
            <w:vAlign w:val="center"/>
          </w:tcPr>
          <w:p>
            <w:pPr>
              <w:overflowPunct w:val="0"/>
              <w:adjustRightInd w:val="0"/>
              <w:snapToGrid w:val="0"/>
              <w:jc w:val="center"/>
              <w:rPr>
                <w:rFonts w:hint="eastAsia" w:ascii="Times New Roman" w:hAnsi="Times New Roman" w:eastAsia="宋体"/>
                <w:bCs/>
                <w:snapToGrid w:val="0"/>
                <w:kern w:val="0"/>
                <w:lang w:eastAsia="zh-CN"/>
              </w:rPr>
            </w:pPr>
            <w:r>
              <w:rPr>
                <w:rFonts w:hint="eastAsia" w:ascii="Times New Roman" w:hAnsi="Times New Roman"/>
                <w:bCs/>
                <w:snapToGrid w:val="0"/>
                <w:kern w:val="0"/>
                <w:lang w:eastAsia="zh-CN"/>
              </w:rPr>
              <w:t>数据来源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restart"/>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城市/农村选项</w:t>
            </w: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城市/农村</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农村</w:t>
            </w:r>
          </w:p>
        </w:tc>
        <w:tc>
          <w:tcPr>
            <w:tcW w:w="3480" w:type="dxa"/>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kern w:val="0"/>
              </w:rPr>
            </w:pPr>
            <w:r>
              <w:rPr>
                <w:rFonts w:hint="default" w:ascii="Times New Roman" w:hAnsi="Times New Roman" w:eastAsia="宋体" w:cs="Times New Roman"/>
                <w:sz w:val="21"/>
                <w:szCs w:val="21"/>
              </w:rPr>
              <w:t>根据调查，项目周边3km半径范围一半以上面积属于农村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continue"/>
            <w:tcBorders>
              <w:tl2br w:val="nil"/>
              <w:tr2bl w:val="nil"/>
            </w:tcBorders>
            <w:vAlign w:val="center"/>
          </w:tcPr>
          <w:p>
            <w:pPr>
              <w:overflowPunct w:val="0"/>
              <w:adjustRightInd w:val="0"/>
              <w:snapToGrid w:val="0"/>
              <w:jc w:val="center"/>
              <w:rPr>
                <w:rFonts w:ascii="Times New Roman" w:hAnsi="Times New Roman"/>
                <w:bCs/>
                <w:snapToGrid w:val="0"/>
                <w:kern w:val="0"/>
              </w:rPr>
            </w:pP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人口数(城市人口数)</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w:t>
            </w:r>
          </w:p>
        </w:tc>
        <w:tc>
          <w:tcPr>
            <w:tcW w:w="3480" w:type="dxa"/>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kern w:val="0"/>
                <w:lang w:val="en-US" w:eastAsia="zh-CN"/>
              </w:rPr>
            </w:pPr>
            <w:r>
              <w:rPr>
                <w:rFonts w:hint="default" w:ascii="Times New Roman" w:hAnsi="Times New Roman" w:eastAsia="宋体" w:cs="Times New Roman"/>
                <w:bCs/>
                <w:snapToGrid w:val="0"/>
                <w:kern w:val="0"/>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93" w:type="dxa"/>
            <w:gridSpan w:val="2"/>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最高环境温度</w:t>
            </w:r>
          </w:p>
        </w:tc>
        <w:tc>
          <w:tcPr>
            <w:tcW w:w="1380" w:type="dxa"/>
            <w:tcBorders>
              <w:tl2br w:val="nil"/>
              <w:tr2bl w:val="nil"/>
            </w:tcBorders>
            <w:vAlign w:val="center"/>
          </w:tcPr>
          <w:p>
            <w:pPr>
              <w:overflowPunct w:val="0"/>
              <w:adjustRightInd w:val="0"/>
              <w:snapToGrid w:val="0"/>
              <w:jc w:val="center"/>
              <w:rPr>
                <w:rFonts w:hint="default" w:ascii="Times New Roman" w:hAnsi="Times New Roman" w:eastAsia="宋体"/>
                <w:bCs/>
                <w:snapToGrid w:val="0"/>
                <w:kern w:val="0"/>
                <w:lang w:val="en-US" w:eastAsia="zh-CN"/>
              </w:rPr>
            </w:pPr>
            <w:r>
              <w:rPr>
                <w:rFonts w:hint="eastAsia" w:ascii="Times New Roman" w:hAnsi="Times New Roman"/>
                <w:bCs/>
                <w:snapToGrid w:val="0"/>
                <w:kern w:val="0"/>
                <w:lang w:val="en-US" w:eastAsia="zh-CN"/>
              </w:rPr>
              <w:t>30.6</w:t>
            </w:r>
          </w:p>
        </w:tc>
        <w:tc>
          <w:tcPr>
            <w:tcW w:w="3480" w:type="dxa"/>
            <w:vMerge w:val="restart"/>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kern w:val="0"/>
                <w:lang w:val="en-US" w:eastAsia="zh-CN"/>
              </w:rPr>
            </w:pPr>
            <w:r>
              <w:rPr>
                <w:rFonts w:hint="default" w:ascii="Times New Roman" w:hAnsi="Times New Roman" w:eastAsia="宋体" w:cs="Times New Roman"/>
                <w:bCs/>
                <w:snapToGrid w:val="0"/>
                <w:kern w:val="0"/>
                <w:lang w:eastAsia="zh-CN"/>
              </w:rPr>
              <w:t>隆德县</w:t>
            </w:r>
            <w:r>
              <w:rPr>
                <w:rFonts w:hint="default" w:ascii="Times New Roman" w:hAnsi="Times New Roman" w:eastAsia="宋体" w:cs="Times New Roman"/>
                <w:bCs/>
                <w:snapToGrid w:val="0"/>
                <w:kern w:val="0"/>
                <w:lang w:val="en-US" w:eastAsia="zh-CN"/>
              </w:rPr>
              <w:t>2001-2020年气象统计数据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93" w:type="dxa"/>
            <w:gridSpan w:val="2"/>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最低环境温度</w:t>
            </w:r>
          </w:p>
        </w:tc>
        <w:tc>
          <w:tcPr>
            <w:tcW w:w="1380" w:type="dxa"/>
            <w:tcBorders>
              <w:tl2br w:val="nil"/>
              <w:tr2bl w:val="nil"/>
            </w:tcBorders>
            <w:vAlign w:val="center"/>
          </w:tcPr>
          <w:p>
            <w:pPr>
              <w:overflowPunct w:val="0"/>
              <w:adjustRightInd w:val="0"/>
              <w:snapToGrid w:val="0"/>
              <w:jc w:val="center"/>
              <w:rPr>
                <w:rFonts w:hint="default" w:ascii="Times New Roman" w:hAnsi="Times New Roman" w:eastAsia="宋体"/>
                <w:bCs/>
                <w:snapToGrid w:val="0"/>
                <w:kern w:val="0"/>
                <w:lang w:val="en-US" w:eastAsia="zh-CN"/>
              </w:rPr>
            </w:pPr>
            <w:r>
              <w:rPr>
                <w:rFonts w:ascii="Times New Roman" w:hAnsi="Times New Roman"/>
                <w:bCs/>
                <w:snapToGrid w:val="0"/>
                <w:kern w:val="0"/>
              </w:rPr>
              <w:t>-</w:t>
            </w:r>
            <w:r>
              <w:rPr>
                <w:rFonts w:hint="eastAsia" w:ascii="Times New Roman" w:hAnsi="Times New Roman"/>
                <w:bCs/>
                <w:snapToGrid w:val="0"/>
                <w:kern w:val="0"/>
                <w:lang w:val="en-US" w:eastAsia="zh-CN"/>
              </w:rPr>
              <w:t>25.5</w:t>
            </w:r>
          </w:p>
        </w:tc>
        <w:tc>
          <w:tcPr>
            <w:tcW w:w="3480" w:type="dxa"/>
            <w:vMerge w:val="continue"/>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93" w:type="dxa"/>
            <w:gridSpan w:val="2"/>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土地利用类型</w:t>
            </w:r>
          </w:p>
        </w:tc>
        <w:tc>
          <w:tcPr>
            <w:tcW w:w="1380" w:type="dxa"/>
            <w:tcBorders>
              <w:tl2br w:val="nil"/>
              <w:tr2bl w:val="nil"/>
            </w:tcBorders>
            <w:vAlign w:val="center"/>
          </w:tcPr>
          <w:p>
            <w:pPr>
              <w:overflowPunct w:val="0"/>
              <w:adjustRightInd w:val="0"/>
              <w:snapToGrid w:val="0"/>
              <w:jc w:val="center"/>
              <w:rPr>
                <w:rFonts w:hint="eastAsia" w:ascii="Times New Roman" w:hAnsi="Times New Roman" w:eastAsia="宋体"/>
                <w:bCs/>
                <w:snapToGrid w:val="0"/>
                <w:kern w:val="0"/>
                <w:lang w:eastAsia="zh-CN"/>
              </w:rPr>
            </w:pPr>
            <w:r>
              <w:rPr>
                <w:rFonts w:hint="eastAsia" w:ascii="Times New Roman" w:hAnsi="Times New Roman"/>
                <w:bCs/>
                <w:snapToGrid w:val="0"/>
                <w:kern w:val="0"/>
                <w:lang w:eastAsia="zh-CN"/>
              </w:rPr>
              <w:t>农用地</w:t>
            </w:r>
          </w:p>
        </w:tc>
        <w:tc>
          <w:tcPr>
            <w:tcW w:w="3480" w:type="dxa"/>
            <w:tcBorders>
              <w:tl2br w:val="nil"/>
              <w:tr2bl w:val="nil"/>
            </w:tcBorders>
            <w:vAlign w:val="center"/>
          </w:tcPr>
          <w:p>
            <w:pPr>
              <w:overflowPunct w:val="0"/>
              <w:adjustRightInd w:val="0"/>
              <w:snapToGrid w:val="0"/>
              <w:jc w:val="left"/>
              <w:rPr>
                <w:rFonts w:hint="default" w:ascii="Times New Roman" w:hAnsi="Times New Roman" w:eastAsia="宋体" w:cs="Times New Roman"/>
                <w:bCs/>
                <w:snapToGrid w:val="0"/>
                <w:kern w:val="0"/>
                <w:lang w:eastAsia="zh-CN"/>
              </w:rPr>
            </w:pPr>
            <w:r>
              <w:rPr>
                <w:rFonts w:hint="default" w:ascii="Times New Roman" w:hAnsi="Times New Roman" w:eastAsia="宋体" w:cs="Times New Roman"/>
                <w:sz w:val="21"/>
                <w:szCs w:val="21"/>
              </w:rPr>
              <w:t>根据调查，项目周边3km半径范围土地利用类型依次为农田(65.74%)、草地(30.70%)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93" w:type="dxa"/>
            <w:gridSpan w:val="2"/>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区域湿度条件</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中等湿度</w:t>
            </w:r>
          </w:p>
        </w:tc>
        <w:tc>
          <w:tcPr>
            <w:tcW w:w="3480" w:type="dxa"/>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kern w:val="0"/>
              </w:rPr>
            </w:pPr>
            <w:r>
              <w:rPr>
                <w:rFonts w:hint="default" w:ascii="Times New Roman" w:hAnsi="Times New Roman" w:eastAsia="宋体" w:cs="Times New Roman"/>
                <w:sz w:val="21"/>
                <w:szCs w:val="21"/>
              </w:rPr>
              <w:t>中国干湿地区划分图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restart"/>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是否考虑地形</w:t>
            </w: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考虑地形</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是</w:t>
            </w:r>
          </w:p>
        </w:tc>
        <w:tc>
          <w:tcPr>
            <w:tcW w:w="3480" w:type="dxa"/>
            <w:vMerge w:val="restart"/>
            <w:tcBorders>
              <w:tl2br w:val="nil"/>
              <w:tr2bl w:val="nil"/>
            </w:tcBorders>
            <w:vAlign w:val="center"/>
          </w:tcPr>
          <w:p>
            <w:pPr>
              <w:overflowPunct w:val="0"/>
              <w:adjustRightInd w:val="0"/>
              <w:snapToGrid w:val="0"/>
              <w:jc w:val="center"/>
              <w:rPr>
                <w:rFonts w:hint="default" w:ascii="Times New Roman" w:hAnsi="Times New Roman" w:eastAsia="宋体" w:cs="Times New Roman"/>
                <w:bCs/>
                <w:snapToGrid w:val="0"/>
                <w:kern w:val="0"/>
                <w:lang w:eastAsia="zh-CN"/>
              </w:rPr>
            </w:pPr>
            <w:r>
              <w:rPr>
                <w:rFonts w:hint="default" w:ascii="Times New Roman" w:hAnsi="Times New Roman" w:eastAsia="宋体" w:cs="Times New Roman"/>
                <w:bCs/>
                <w:snapToGrid w:val="0"/>
                <w:kern w:val="0"/>
                <w:lang w:eastAsia="zh-CN"/>
              </w:rPr>
              <w:t>报告书选择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continue"/>
            <w:tcBorders>
              <w:tl2br w:val="nil"/>
              <w:tr2bl w:val="nil"/>
            </w:tcBorders>
            <w:vAlign w:val="center"/>
          </w:tcPr>
          <w:p>
            <w:pPr>
              <w:overflowPunct w:val="0"/>
              <w:adjustRightInd w:val="0"/>
              <w:snapToGrid w:val="0"/>
              <w:jc w:val="center"/>
              <w:rPr>
                <w:rFonts w:ascii="Times New Roman" w:hAnsi="Times New Roman"/>
                <w:bCs/>
                <w:snapToGrid w:val="0"/>
                <w:kern w:val="0"/>
              </w:rPr>
            </w:pP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地形数据分辨率(m)</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90</w:t>
            </w:r>
          </w:p>
        </w:tc>
        <w:tc>
          <w:tcPr>
            <w:tcW w:w="3480" w:type="dxa"/>
            <w:vMerge w:val="continue"/>
            <w:tcBorders>
              <w:tl2br w:val="nil"/>
              <w:tr2bl w:val="nil"/>
            </w:tcBorders>
            <w:vAlign w:val="center"/>
          </w:tcPr>
          <w:p>
            <w:pPr>
              <w:overflowPunct w:val="0"/>
              <w:adjustRightInd w:val="0"/>
              <w:snapToGrid w:val="0"/>
              <w:jc w:val="center"/>
              <w:rPr>
                <w:rFonts w:ascii="Times New Roman" w:hAnsi="Times New Roman"/>
                <w:bCs/>
                <w:snapToGrid w:val="0"/>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restart"/>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是否考虑岸线熏烟</w:t>
            </w: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考虑岸线熏烟</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否</w:t>
            </w:r>
          </w:p>
        </w:tc>
        <w:tc>
          <w:tcPr>
            <w:tcW w:w="3480" w:type="dxa"/>
            <w:tcBorders>
              <w:tl2br w:val="nil"/>
              <w:tr2bl w:val="nil"/>
            </w:tcBorders>
            <w:vAlign w:val="center"/>
          </w:tcPr>
          <w:p>
            <w:pPr>
              <w:overflowPunct w:val="0"/>
              <w:adjustRightInd w:val="0"/>
              <w:snapToGrid w:val="0"/>
              <w:jc w:val="center"/>
              <w:rPr>
                <w:rFonts w:hint="eastAsia" w:ascii="Times New Roman" w:hAnsi="Times New Roman" w:eastAsia="宋体"/>
                <w:bCs/>
                <w:snapToGrid w:val="0"/>
                <w:kern w:val="0"/>
                <w:lang w:val="en-US" w:eastAsia="zh-CN"/>
              </w:rPr>
            </w:pPr>
            <w:r>
              <w:rPr>
                <w:rFonts w:hint="eastAsia" w:ascii="Times New Roman" w:hAnsi="Times New Roman"/>
                <w:bCs/>
                <w:snapToGrid w:val="0"/>
                <w:kern w:val="0"/>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continue"/>
            <w:tcBorders>
              <w:tl2br w:val="nil"/>
              <w:tr2bl w:val="nil"/>
            </w:tcBorders>
            <w:vAlign w:val="center"/>
          </w:tcPr>
          <w:p>
            <w:pPr>
              <w:overflowPunct w:val="0"/>
              <w:adjustRightInd w:val="0"/>
              <w:snapToGrid w:val="0"/>
              <w:jc w:val="center"/>
              <w:rPr>
                <w:rFonts w:ascii="Times New Roman" w:hAnsi="Times New Roman"/>
                <w:bCs/>
                <w:snapToGrid w:val="0"/>
                <w:kern w:val="0"/>
              </w:rPr>
            </w:pP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岸线距离/m</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w:t>
            </w:r>
          </w:p>
        </w:tc>
        <w:tc>
          <w:tcPr>
            <w:tcW w:w="3480" w:type="dxa"/>
            <w:tcBorders>
              <w:tl2br w:val="nil"/>
              <w:tr2bl w:val="nil"/>
            </w:tcBorders>
            <w:vAlign w:val="center"/>
          </w:tcPr>
          <w:p>
            <w:pPr>
              <w:overflowPunct w:val="0"/>
              <w:adjustRightInd w:val="0"/>
              <w:snapToGrid w:val="0"/>
              <w:jc w:val="center"/>
              <w:rPr>
                <w:rFonts w:hint="eastAsia" w:ascii="Times New Roman" w:hAnsi="Times New Roman" w:eastAsia="宋体"/>
                <w:bCs/>
                <w:snapToGrid w:val="0"/>
                <w:kern w:val="0"/>
                <w:lang w:val="en-US" w:eastAsia="zh-CN"/>
              </w:rPr>
            </w:pPr>
            <w:r>
              <w:rPr>
                <w:rFonts w:hint="eastAsia" w:ascii="Times New Roman" w:hAnsi="Times New Roman"/>
                <w:bCs/>
                <w:snapToGrid w:val="0"/>
                <w:kern w:val="0"/>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88" w:type="dxa"/>
            <w:vMerge w:val="continue"/>
            <w:tcBorders>
              <w:tl2br w:val="nil"/>
              <w:tr2bl w:val="nil"/>
            </w:tcBorders>
            <w:vAlign w:val="center"/>
          </w:tcPr>
          <w:p>
            <w:pPr>
              <w:overflowPunct w:val="0"/>
              <w:adjustRightInd w:val="0"/>
              <w:snapToGrid w:val="0"/>
              <w:jc w:val="center"/>
              <w:rPr>
                <w:rFonts w:ascii="Times New Roman" w:hAnsi="Times New Roman"/>
                <w:bCs/>
                <w:snapToGrid w:val="0"/>
                <w:kern w:val="0"/>
              </w:rPr>
            </w:pPr>
          </w:p>
        </w:tc>
        <w:tc>
          <w:tcPr>
            <w:tcW w:w="2505"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岸线方向/°</w:t>
            </w:r>
          </w:p>
        </w:tc>
        <w:tc>
          <w:tcPr>
            <w:tcW w:w="1380" w:type="dxa"/>
            <w:tcBorders>
              <w:tl2br w:val="nil"/>
              <w:tr2bl w:val="nil"/>
            </w:tcBorders>
            <w:vAlign w:val="center"/>
          </w:tcPr>
          <w:p>
            <w:pPr>
              <w:overflowPunct w:val="0"/>
              <w:adjustRightInd w:val="0"/>
              <w:snapToGrid w:val="0"/>
              <w:jc w:val="center"/>
              <w:rPr>
                <w:rFonts w:ascii="Times New Roman" w:hAnsi="Times New Roman"/>
                <w:bCs/>
                <w:snapToGrid w:val="0"/>
                <w:kern w:val="0"/>
              </w:rPr>
            </w:pPr>
            <w:r>
              <w:rPr>
                <w:rFonts w:ascii="Times New Roman" w:hAnsi="Times New Roman"/>
                <w:bCs/>
                <w:snapToGrid w:val="0"/>
                <w:kern w:val="0"/>
              </w:rPr>
              <w:t>/</w:t>
            </w:r>
          </w:p>
        </w:tc>
        <w:tc>
          <w:tcPr>
            <w:tcW w:w="3480" w:type="dxa"/>
            <w:tcBorders>
              <w:tl2br w:val="nil"/>
              <w:tr2bl w:val="nil"/>
            </w:tcBorders>
            <w:vAlign w:val="center"/>
          </w:tcPr>
          <w:p>
            <w:pPr>
              <w:overflowPunct w:val="0"/>
              <w:adjustRightInd w:val="0"/>
              <w:snapToGrid w:val="0"/>
              <w:jc w:val="center"/>
              <w:rPr>
                <w:rFonts w:hint="eastAsia" w:ascii="Times New Roman" w:hAnsi="Times New Roman" w:eastAsia="宋体"/>
                <w:bCs/>
                <w:snapToGrid w:val="0"/>
                <w:kern w:val="0"/>
                <w:lang w:val="en-US" w:eastAsia="zh-CN"/>
              </w:rPr>
            </w:pPr>
            <w:r>
              <w:rPr>
                <w:rFonts w:hint="eastAsia" w:ascii="Times New Roman" w:hAnsi="Times New Roman"/>
                <w:bCs/>
                <w:snapToGrid w:val="0"/>
                <w:kern w:val="0"/>
                <w:lang w:val="en-US" w:eastAsia="zh-CN"/>
              </w:rPr>
              <w:t>/</w:t>
            </w:r>
          </w:p>
        </w:tc>
      </w:tr>
    </w:tbl>
    <w:p>
      <w:pPr>
        <w:jc w:val="center"/>
        <w:rPr>
          <w:rFonts w:ascii="Times New Roman" w:hAnsi="Times New Roman"/>
          <w:b/>
          <w:bCs/>
          <w:sz w:val="24"/>
        </w:rPr>
      </w:pPr>
      <w:r>
        <w:rPr>
          <w:rFonts w:ascii="Times New Roman" w:hAnsi="Times New Roman"/>
          <w:b/>
          <w:bCs/>
          <w:sz w:val="24"/>
        </w:rPr>
        <w:t>表5.</w:t>
      </w:r>
      <w:r>
        <w:rPr>
          <w:rFonts w:hint="eastAsia" w:ascii="Times New Roman" w:hAnsi="Times New Roman"/>
          <w:b/>
          <w:bCs/>
          <w:sz w:val="24"/>
        </w:rPr>
        <w:t>1-5</w:t>
      </w:r>
      <w:r>
        <w:rPr>
          <w:rFonts w:ascii="Times New Roman" w:hAnsi="Times New Roman"/>
          <w:b/>
          <w:bCs/>
          <w:sz w:val="24"/>
        </w:rPr>
        <w:t xml:space="preserve">        牛棚NH</w:t>
      </w:r>
      <w:r>
        <w:rPr>
          <w:rFonts w:ascii="Times New Roman" w:hAnsi="Times New Roman"/>
          <w:b/>
          <w:bCs/>
          <w:sz w:val="24"/>
          <w:vertAlign w:val="subscript"/>
        </w:rPr>
        <w:t>3</w:t>
      </w:r>
      <w:r>
        <w:rPr>
          <w:rFonts w:ascii="Times New Roman" w:hAnsi="Times New Roman"/>
          <w:b/>
          <w:bCs/>
          <w:sz w:val="24"/>
        </w:rPr>
        <w:t>和H</w:t>
      </w:r>
      <w:r>
        <w:rPr>
          <w:rFonts w:ascii="Times New Roman" w:hAnsi="Times New Roman"/>
          <w:b/>
          <w:bCs/>
          <w:sz w:val="24"/>
          <w:vertAlign w:val="subscript"/>
        </w:rPr>
        <w:t>2</w:t>
      </w:r>
      <w:r>
        <w:rPr>
          <w:rFonts w:ascii="Times New Roman" w:hAnsi="Times New Roman"/>
          <w:b/>
          <w:bCs/>
          <w:sz w:val="24"/>
        </w:rPr>
        <w:t>S估算模式计算结果一览表（面源）</w:t>
      </w:r>
    </w:p>
    <w:tbl>
      <w:tblPr>
        <w:tblStyle w:val="29"/>
        <w:tblW w:w="9090" w:type="dxa"/>
        <w:tblInd w:w="10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30"/>
        <w:gridCol w:w="1650"/>
        <w:gridCol w:w="1710"/>
        <w:gridCol w:w="2115"/>
        <w:gridCol w:w="17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vMerge w:val="restart"/>
            <w:tcBorders>
              <w:tl2br w:val="nil"/>
              <w:tr2bl w:val="nil"/>
            </w:tcBorders>
            <w:vAlign w:val="center"/>
          </w:tcPr>
          <w:p>
            <w:pPr>
              <w:jc w:val="center"/>
              <w:rPr>
                <w:b/>
                <w:bCs/>
              </w:rPr>
            </w:pPr>
            <w:r>
              <w:rPr>
                <w:rFonts w:ascii="宋体" w:hAnsi="宋体"/>
                <w:b/>
                <w:bCs/>
                <w:sz w:val="23"/>
                <w:szCs w:val="23"/>
              </w:rPr>
              <w:t>下风向距离</w:t>
            </w:r>
          </w:p>
        </w:tc>
        <w:tc>
          <w:tcPr>
            <w:tcW w:w="7260" w:type="dxa"/>
            <w:gridSpan w:val="4"/>
            <w:tcBorders>
              <w:tl2br w:val="nil"/>
              <w:tr2bl w:val="nil"/>
            </w:tcBorders>
            <w:vAlign w:val="center"/>
          </w:tcPr>
          <w:p>
            <w:pPr>
              <w:jc w:val="center"/>
              <w:rPr>
                <w:b/>
                <w:bCs/>
              </w:rPr>
            </w:pPr>
            <w:r>
              <w:rPr>
                <w:rFonts w:ascii="宋体" w:hAnsi="宋体"/>
                <w:b/>
                <w:bCs/>
                <w:sz w:val="23"/>
                <w:szCs w:val="23"/>
              </w:rPr>
              <w:t>牛</w:t>
            </w:r>
            <w:r>
              <w:rPr>
                <w:rFonts w:hint="eastAsia" w:ascii="宋体" w:hAnsi="宋体"/>
                <w:b/>
                <w:bCs/>
                <w:sz w:val="23"/>
                <w:szCs w:val="23"/>
              </w:rPr>
              <w:t>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vMerge w:val="continue"/>
            <w:tcBorders>
              <w:tl2br w:val="nil"/>
              <w:tr2bl w:val="nil"/>
            </w:tcBorders>
            <w:vAlign w:val="center"/>
          </w:tcPr>
          <w:p>
            <w:pPr>
              <w:jc w:val="center"/>
              <w:rPr>
                <w:b/>
                <w:bCs/>
              </w:rPr>
            </w:pPr>
          </w:p>
        </w:tc>
        <w:tc>
          <w:tcPr>
            <w:tcW w:w="1650" w:type="dxa"/>
            <w:tcBorders>
              <w:tl2br w:val="nil"/>
              <w:tr2bl w:val="nil"/>
            </w:tcBorders>
            <w:vAlign w:val="center"/>
          </w:tcPr>
          <w:p>
            <w:pPr>
              <w:jc w:val="center"/>
              <w:rPr>
                <w:b/>
                <w:bCs/>
              </w:rPr>
            </w:pPr>
            <w:r>
              <w:rPr>
                <w:rFonts w:ascii="宋体" w:hAnsi="宋体"/>
                <w:b/>
                <w:bCs/>
                <w:sz w:val="23"/>
                <w:szCs w:val="23"/>
              </w:rPr>
              <w:t>NH</w:t>
            </w:r>
            <w:r>
              <w:rPr>
                <w:rFonts w:ascii="宋体" w:hAnsi="宋体"/>
                <w:b/>
                <w:bCs/>
                <w:sz w:val="23"/>
                <w:szCs w:val="23"/>
                <w:vertAlign w:val="subscript"/>
              </w:rPr>
              <w:t>3</w:t>
            </w:r>
            <w:r>
              <w:rPr>
                <w:rFonts w:ascii="宋体" w:hAnsi="宋体"/>
                <w:b/>
                <w:bCs/>
                <w:sz w:val="23"/>
                <w:szCs w:val="23"/>
              </w:rPr>
              <w:t>浓度(μg/m³)</w:t>
            </w:r>
          </w:p>
        </w:tc>
        <w:tc>
          <w:tcPr>
            <w:tcW w:w="1710" w:type="dxa"/>
            <w:tcBorders>
              <w:tl2br w:val="nil"/>
              <w:tr2bl w:val="nil"/>
            </w:tcBorders>
            <w:vAlign w:val="center"/>
          </w:tcPr>
          <w:p>
            <w:pPr>
              <w:jc w:val="center"/>
              <w:rPr>
                <w:b/>
                <w:bCs/>
              </w:rPr>
            </w:pPr>
            <w:r>
              <w:rPr>
                <w:rFonts w:ascii="宋体" w:hAnsi="宋体"/>
                <w:b/>
                <w:bCs/>
                <w:sz w:val="23"/>
                <w:szCs w:val="23"/>
              </w:rPr>
              <w:t>NH</w:t>
            </w:r>
            <w:r>
              <w:rPr>
                <w:rFonts w:ascii="宋体" w:hAnsi="宋体"/>
                <w:b/>
                <w:bCs/>
                <w:sz w:val="23"/>
                <w:szCs w:val="23"/>
                <w:vertAlign w:val="subscript"/>
              </w:rPr>
              <w:t>3</w:t>
            </w:r>
            <w:r>
              <w:rPr>
                <w:rFonts w:ascii="宋体" w:hAnsi="宋体"/>
                <w:b/>
                <w:bCs/>
                <w:sz w:val="23"/>
                <w:szCs w:val="23"/>
              </w:rPr>
              <w:t>占标率(%)</w:t>
            </w:r>
          </w:p>
        </w:tc>
        <w:tc>
          <w:tcPr>
            <w:tcW w:w="2115" w:type="dxa"/>
            <w:tcBorders>
              <w:tl2br w:val="nil"/>
              <w:tr2bl w:val="nil"/>
            </w:tcBorders>
            <w:vAlign w:val="center"/>
          </w:tcPr>
          <w:p>
            <w:pPr>
              <w:jc w:val="center"/>
              <w:rPr>
                <w:b/>
                <w:bCs/>
              </w:rPr>
            </w:pPr>
            <w:r>
              <w:rPr>
                <w:rFonts w:ascii="宋体" w:hAnsi="宋体"/>
                <w:b/>
                <w:bCs/>
                <w:sz w:val="23"/>
                <w:szCs w:val="23"/>
              </w:rPr>
              <w:t>H</w:t>
            </w:r>
            <w:r>
              <w:rPr>
                <w:rFonts w:ascii="宋体" w:hAnsi="宋体"/>
                <w:b/>
                <w:bCs/>
                <w:sz w:val="23"/>
                <w:szCs w:val="23"/>
                <w:vertAlign w:val="subscript"/>
              </w:rPr>
              <w:t>2</w:t>
            </w:r>
            <w:r>
              <w:rPr>
                <w:rFonts w:ascii="宋体" w:hAnsi="宋体"/>
                <w:b/>
                <w:bCs/>
                <w:sz w:val="23"/>
                <w:szCs w:val="23"/>
              </w:rPr>
              <w:t>S浓度(μg/m³)</w:t>
            </w:r>
          </w:p>
        </w:tc>
        <w:tc>
          <w:tcPr>
            <w:tcW w:w="1785" w:type="dxa"/>
            <w:tcBorders>
              <w:tl2br w:val="nil"/>
              <w:tr2bl w:val="nil"/>
            </w:tcBorders>
            <w:vAlign w:val="center"/>
          </w:tcPr>
          <w:p>
            <w:pPr>
              <w:jc w:val="center"/>
              <w:rPr>
                <w:b/>
                <w:bCs/>
              </w:rPr>
            </w:pPr>
            <w:r>
              <w:rPr>
                <w:rFonts w:ascii="宋体" w:hAnsi="宋体"/>
                <w:b/>
                <w:bCs/>
                <w:sz w:val="23"/>
                <w:szCs w:val="23"/>
              </w:rPr>
              <w:t>H</w:t>
            </w:r>
            <w:r>
              <w:rPr>
                <w:rFonts w:ascii="宋体" w:hAnsi="宋体"/>
                <w:b/>
                <w:bCs/>
                <w:sz w:val="23"/>
                <w:szCs w:val="23"/>
                <w:vertAlign w:val="subscript"/>
              </w:rPr>
              <w:t>2</w:t>
            </w:r>
            <w:r>
              <w:rPr>
                <w:rFonts w:ascii="宋体" w:hAnsi="宋体"/>
                <w:b/>
                <w:bCs/>
                <w:sz w:val="23"/>
                <w:szCs w:val="23"/>
              </w:rPr>
              <w:t>S占标率(%)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50.0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3.4384</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1.7192</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0.2275</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2.2746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100.0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4.3094</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2.1547</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0.2851</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2.8508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200.0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4.0310</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2.0155</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0.2667</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2.6667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300.0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3.6971</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1.8485</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0.2446</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2.4458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400.0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3.3087</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1.6543</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0.2189</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2.1888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500.0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2.9582</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1.4791</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0.1957</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1.9570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600.0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2.6561</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1.3280</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0.1757</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1.7571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700.0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2.4003</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1.2002</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0.1588</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1.5879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800.0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2.1873</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1.0937</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0.1447</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1.4470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900.0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2.0072</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1.0036</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0.1328</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1.3278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1000.0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1.8606</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0.9303</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0.1231</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1.2309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1200.0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1.6245</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0.8122</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0.1075</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1.0747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1400.0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1.4433</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0.7217</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0.0955</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0.9548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1600.0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1.2946</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0.6473</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0.0856</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0.8564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1800.0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1.1951</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0.5976</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0.0791</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0.7906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2000.0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1.1116</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0.5558</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0.0735</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0.7354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2500.0</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0.9429</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0.4714</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0.0624</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0.6238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下风向最大浓度</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4.3683</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2.1841</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0.2890</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2.8898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下风向最大浓度出现距离</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121.0</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121.0</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121.0</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121.0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30" w:type="dxa"/>
            <w:tcBorders>
              <w:tl2br w:val="nil"/>
              <w:tr2bl w:val="nil"/>
            </w:tcBorders>
            <w:vAlign w:val="center"/>
          </w:tcPr>
          <w:p>
            <w:pPr>
              <w:jc w:val="center"/>
              <w:rPr>
                <w:rFonts w:ascii="Times New Roman" w:hAnsi="Times New Roman"/>
              </w:rPr>
            </w:pPr>
            <w:r>
              <w:rPr>
                <w:rFonts w:ascii="Times New Roman" w:hAnsi="Times New Roman"/>
                <w:sz w:val="23"/>
                <w:szCs w:val="23"/>
              </w:rPr>
              <w:t>D10%最远距离</w:t>
            </w:r>
          </w:p>
        </w:tc>
        <w:tc>
          <w:tcPr>
            <w:tcW w:w="1650" w:type="dxa"/>
            <w:tcBorders>
              <w:tl2br w:val="nil"/>
              <w:tr2bl w:val="nil"/>
            </w:tcBorders>
            <w:vAlign w:val="center"/>
          </w:tcPr>
          <w:p>
            <w:pPr>
              <w:jc w:val="center"/>
              <w:rPr>
                <w:rFonts w:ascii="Times New Roman" w:hAnsi="Times New Roman"/>
              </w:rPr>
            </w:pPr>
            <w:r>
              <w:rPr>
                <w:rFonts w:ascii="Times New Roman" w:hAnsi="Times New Roman"/>
                <w:sz w:val="23"/>
                <w:szCs w:val="23"/>
              </w:rPr>
              <w:t>/</w:t>
            </w:r>
          </w:p>
        </w:tc>
        <w:tc>
          <w:tcPr>
            <w:tcW w:w="1710" w:type="dxa"/>
            <w:tcBorders>
              <w:tl2br w:val="nil"/>
              <w:tr2bl w:val="nil"/>
            </w:tcBorders>
            <w:vAlign w:val="center"/>
          </w:tcPr>
          <w:p>
            <w:pPr>
              <w:jc w:val="center"/>
              <w:rPr>
                <w:rFonts w:ascii="Times New Roman" w:hAnsi="Times New Roman"/>
              </w:rPr>
            </w:pPr>
            <w:r>
              <w:rPr>
                <w:rFonts w:ascii="Times New Roman" w:hAnsi="Times New Roman"/>
                <w:sz w:val="23"/>
                <w:szCs w:val="23"/>
              </w:rPr>
              <w:t>/</w:t>
            </w:r>
          </w:p>
        </w:tc>
        <w:tc>
          <w:tcPr>
            <w:tcW w:w="2115" w:type="dxa"/>
            <w:tcBorders>
              <w:tl2br w:val="nil"/>
              <w:tr2bl w:val="nil"/>
            </w:tcBorders>
            <w:vAlign w:val="center"/>
          </w:tcPr>
          <w:p>
            <w:pPr>
              <w:jc w:val="center"/>
              <w:rPr>
                <w:rFonts w:ascii="Times New Roman" w:hAnsi="Times New Roman"/>
              </w:rPr>
            </w:pPr>
            <w:r>
              <w:rPr>
                <w:rFonts w:ascii="Times New Roman" w:hAnsi="Times New Roman"/>
                <w:sz w:val="23"/>
                <w:szCs w:val="23"/>
              </w:rPr>
              <w:t>/</w:t>
            </w:r>
          </w:p>
        </w:tc>
        <w:tc>
          <w:tcPr>
            <w:tcW w:w="1785" w:type="dxa"/>
            <w:tcBorders>
              <w:tl2br w:val="nil"/>
              <w:tr2bl w:val="nil"/>
            </w:tcBorders>
            <w:vAlign w:val="center"/>
          </w:tcPr>
          <w:p>
            <w:pPr>
              <w:jc w:val="center"/>
              <w:rPr>
                <w:rFonts w:ascii="Times New Roman" w:hAnsi="Times New Roman"/>
              </w:rPr>
            </w:pPr>
            <w:r>
              <w:rPr>
                <w:rFonts w:ascii="Times New Roman" w:hAnsi="Times New Roman"/>
                <w:sz w:val="23"/>
                <w:szCs w:val="23"/>
              </w:rPr>
              <w:t>/</w:t>
            </w:r>
          </w:p>
        </w:tc>
      </w:tr>
    </w:tbl>
    <w:p>
      <w:pPr>
        <w:jc w:val="center"/>
        <w:rPr>
          <w:rFonts w:ascii="Times New Roman" w:hAnsi="Times New Roman"/>
          <w:b/>
          <w:bCs/>
          <w:sz w:val="24"/>
        </w:rPr>
      </w:pPr>
    </w:p>
    <w:p>
      <w:pPr>
        <w:jc w:val="center"/>
        <w:rPr>
          <w:rFonts w:ascii="Times New Roman" w:hAnsi="Times New Roman"/>
          <w:b/>
          <w:bCs/>
          <w:sz w:val="24"/>
        </w:rPr>
      </w:pPr>
      <w:r>
        <w:rPr>
          <w:rFonts w:ascii="Times New Roman" w:hAnsi="Times New Roman"/>
          <w:b/>
          <w:bCs/>
          <w:sz w:val="24"/>
        </w:rPr>
        <w:t>表5.</w:t>
      </w:r>
      <w:r>
        <w:rPr>
          <w:rFonts w:hint="eastAsia" w:ascii="Times New Roman" w:hAnsi="Times New Roman"/>
          <w:b/>
          <w:bCs/>
          <w:sz w:val="24"/>
        </w:rPr>
        <w:t>1-6</w:t>
      </w:r>
      <w:r>
        <w:rPr>
          <w:rFonts w:ascii="Times New Roman" w:hAnsi="Times New Roman"/>
          <w:b/>
          <w:bCs/>
          <w:sz w:val="24"/>
        </w:rPr>
        <w:t xml:space="preserve">       </w:t>
      </w:r>
      <w:r>
        <w:rPr>
          <w:rFonts w:hint="eastAsia" w:ascii="Times New Roman" w:hAnsi="Times New Roman"/>
          <w:b/>
          <w:bCs/>
          <w:sz w:val="24"/>
        </w:rPr>
        <w:t>积粪场</w:t>
      </w:r>
      <w:r>
        <w:rPr>
          <w:rFonts w:ascii="Times New Roman" w:hAnsi="Times New Roman"/>
          <w:b/>
          <w:bCs/>
          <w:sz w:val="24"/>
        </w:rPr>
        <w:t>NH</w:t>
      </w:r>
      <w:r>
        <w:rPr>
          <w:rFonts w:ascii="Times New Roman" w:hAnsi="Times New Roman"/>
          <w:b/>
          <w:bCs/>
          <w:sz w:val="24"/>
          <w:vertAlign w:val="subscript"/>
        </w:rPr>
        <w:t>3</w:t>
      </w:r>
      <w:r>
        <w:rPr>
          <w:rFonts w:ascii="Times New Roman" w:hAnsi="Times New Roman"/>
          <w:b/>
          <w:bCs/>
          <w:sz w:val="24"/>
        </w:rPr>
        <w:t>和H</w:t>
      </w:r>
      <w:r>
        <w:rPr>
          <w:rFonts w:ascii="Times New Roman" w:hAnsi="Times New Roman"/>
          <w:b/>
          <w:bCs/>
          <w:sz w:val="24"/>
          <w:vertAlign w:val="subscript"/>
        </w:rPr>
        <w:t>2</w:t>
      </w:r>
      <w:r>
        <w:rPr>
          <w:rFonts w:ascii="Times New Roman" w:hAnsi="Times New Roman"/>
          <w:b/>
          <w:bCs/>
          <w:sz w:val="24"/>
        </w:rPr>
        <w:t>S估算模式计算结果一览表（面源）</w:t>
      </w:r>
    </w:p>
    <w:tbl>
      <w:tblPr>
        <w:tblStyle w:val="29"/>
        <w:tblW w:w="9030" w:type="dxa"/>
        <w:tblInd w:w="147"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80"/>
        <w:gridCol w:w="1545"/>
        <w:gridCol w:w="1695"/>
        <w:gridCol w:w="1860"/>
        <w:gridCol w:w="19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Merge w:val="restart"/>
            <w:vAlign w:val="center"/>
          </w:tcPr>
          <w:p>
            <w:pPr>
              <w:jc w:val="center"/>
              <w:rPr>
                <w:rFonts w:ascii="Times New Roman" w:hAnsi="Times New Roman"/>
                <w:b/>
                <w:bCs/>
                <w:sz w:val="23"/>
                <w:szCs w:val="23"/>
              </w:rPr>
            </w:pPr>
            <w:r>
              <w:rPr>
                <w:rFonts w:ascii="Times New Roman" w:hAnsi="Times New Roman"/>
                <w:b/>
                <w:bCs/>
                <w:sz w:val="23"/>
                <w:szCs w:val="23"/>
              </w:rPr>
              <w:t>下风向距离</w:t>
            </w:r>
          </w:p>
        </w:tc>
        <w:tc>
          <w:tcPr>
            <w:tcW w:w="7050" w:type="dxa"/>
            <w:gridSpan w:val="4"/>
            <w:vAlign w:val="center"/>
          </w:tcPr>
          <w:p>
            <w:pPr>
              <w:jc w:val="center"/>
              <w:rPr>
                <w:rFonts w:ascii="Times New Roman" w:hAnsi="Times New Roman"/>
                <w:b/>
                <w:bCs/>
                <w:sz w:val="23"/>
                <w:szCs w:val="23"/>
              </w:rPr>
            </w:pPr>
            <w:r>
              <w:rPr>
                <w:rFonts w:ascii="Times New Roman" w:hAnsi="Times New Roman"/>
                <w:b/>
                <w:bCs/>
                <w:sz w:val="23"/>
                <w:szCs w:val="23"/>
              </w:rPr>
              <w:t>积粪场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Merge w:val="continue"/>
            <w:vAlign w:val="center"/>
          </w:tcPr>
          <w:p>
            <w:pPr>
              <w:jc w:val="center"/>
              <w:rPr>
                <w:rFonts w:ascii="Times New Roman" w:hAnsi="Times New Roman"/>
                <w:b/>
                <w:bCs/>
                <w:sz w:val="23"/>
                <w:szCs w:val="23"/>
              </w:rPr>
            </w:pPr>
          </w:p>
        </w:tc>
        <w:tc>
          <w:tcPr>
            <w:tcW w:w="1545" w:type="dxa"/>
            <w:vAlign w:val="center"/>
          </w:tcPr>
          <w:p>
            <w:pPr>
              <w:jc w:val="center"/>
              <w:rPr>
                <w:rFonts w:ascii="Times New Roman" w:hAnsi="Times New Roman"/>
                <w:b/>
                <w:bCs/>
                <w:sz w:val="23"/>
                <w:szCs w:val="23"/>
              </w:rPr>
            </w:pPr>
            <w:r>
              <w:rPr>
                <w:rFonts w:ascii="Times New Roman" w:hAnsi="Times New Roman"/>
                <w:b/>
                <w:bCs/>
                <w:sz w:val="23"/>
                <w:szCs w:val="23"/>
              </w:rPr>
              <w:t>NH</w:t>
            </w:r>
            <w:r>
              <w:rPr>
                <w:rFonts w:ascii="Times New Roman" w:hAnsi="Times New Roman"/>
                <w:b/>
                <w:bCs/>
                <w:sz w:val="23"/>
                <w:szCs w:val="23"/>
                <w:vertAlign w:val="subscript"/>
              </w:rPr>
              <w:t>3</w:t>
            </w:r>
            <w:r>
              <w:rPr>
                <w:rFonts w:ascii="Times New Roman" w:hAnsi="Times New Roman"/>
                <w:b/>
                <w:bCs/>
                <w:sz w:val="23"/>
                <w:szCs w:val="23"/>
              </w:rPr>
              <w:t>浓度(μg/m³)</w:t>
            </w:r>
          </w:p>
        </w:tc>
        <w:tc>
          <w:tcPr>
            <w:tcW w:w="1695" w:type="dxa"/>
            <w:vAlign w:val="center"/>
          </w:tcPr>
          <w:p>
            <w:pPr>
              <w:jc w:val="center"/>
              <w:rPr>
                <w:rFonts w:ascii="Times New Roman" w:hAnsi="Times New Roman"/>
                <w:b/>
                <w:bCs/>
                <w:sz w:val="23"/>
                <w:szCs w:val="23"/>
              </w:rPr>
            </w:pPr>
            <w:r>
              <w:rPr>
                <w:rFonts w:ascii="Times New Roman" w:hAnsi="Times New Roman"/>
                <w:b/>
                <w:bCs/>
                <w:sz w:val="23"/>
                <w:szCs w:val="23"/>
              </w:rPr>
              <w:t>NH</w:t>
            </w:r>
            <w:r>
              <w:rPr>
                <w:rFonts w:ascii="Times New Roman" w:hAnsi="Times New Roman"/>
                <w:b/>
                <w:bCs/>
                <w:sz w:val="23"/>
                <w:szCs w:val="23"/>
                <w:vertAlign w:val="subscript"/>
              </w:rPr>
              <w:t>3</w:t>
            </w:r>
            <w:r>
              <w:rPr>
                <w:rFonts w:ascii="Times New Roman" w:hAnsi="Times New Roman"/>
                <w:b/>
                <w:bCs/>
                <w:sz w:val="23"/>
                <w:szCs w:val="23"/>
              </w:rPr>
              <w:t>占标率(%)</w:t>
            </w:r>
          </w:p>
        </w:tc>
        <w:tc>
          <w:tcPr>
            <w:tcW w:w="1860" w:type="dxa"/>
            <w:vAlign w:val="center"/>
          </w:tcPr>
          <w:p>
            <w:pPr>
              <w:jc w:val="center"/>
              <w:rPr>
                <w:rFonts w:ascii="Times New Roman" w:hAnsi="Times New Roman"/>
                <w:b/>
                <w:bCs/>
                <w:sz w:val="23"/>
                <w:szCs w:val="23"/>
              </w:rPr>
            </w:pPr>
            <w:r>
              <w:rPr>
                <w:rFonts w:ascii="Times New Roman" w:hAnsi="Times New Roman"/>
                <w:b/>
                <w:bCs/>
                <w:sz w:val="23"/>
                <w:szCs w:val="23"/>
              </w:rPr>
              <w:t>H</w:t>
            </w:r>
            <w:r>
              <w:rPr>
                <w:rFonts w:ascii="Times New Roman" w:hAnsi="Times New Roman"/>
                <w:b/>
                <w:bCs/>
                <w:sz w:val="23"/>
                <w:szCs w:val="23"/>
                <w:vertAlign w:val="subscript"/>
              </w:rPr>
              <w:t>2</w:t>
            </w:r>
            <w:r>
              <w:rPr>
                <w:rFonts w:ascii="Times New Roman" w:hAnsi="Times New Roman"/>
                <w:b/>
                <w:bCs/>
                <w:sz w:val="23"/>
                <w:szCs w:val="23"/>
              </w:rPr>
              <w:t>S浓度(μg/m³)</w:t>
            </w:r>
          </w:p>
        </w:tc>
        <w:tc>
          <w:tcPr>
            <w:tcW w:w="1950" w:type="dxa"/>
            <w:vAlign w:val="center"/>
          </w:tcPr>
          <w:p>
            <w:pPr>
              <w:jc w:val="center"/>
              <w:rPr>
                <w:rFonts w:ascii="Times New Roman" w:hAnsi="Times New Roman"/>
                <w:b/>
                <w:bCs/>
                <w:sz w:val="23"/>
                <w:szCs w:val="23"/>
              </w:rPr>
            </w:pPr>
            <w:r>
              <w:rPr>
                <w:rFonts w:ascii="Times New Roman" w:hAnsi="Times New Roman"/>
                <w:b/>
                <w:bCs/>
                <w:sz w:val="23"/>
                <w:szCs w:val="23"/>
              </w:rPr>
              <w:t>H</w:t>
            </w:r>
            <w:r>
              <w:rPr>
                <w:rFonts w:ascii="Times New Roman" w:hAnsi="Times New Roman"/>
                <w:b/>
                <w:bCs/>
                <w:sz w:val="23"/>
                <w:szCs w:val="23"/>
                <w:vertAlign w:val="subscript"/>
              </w:rPr>
              <w:t>2</w:t>
            </w:r>
            <w:r>
              <w:rPr>
                <w:rFonts w:ascii="Times New Roman" w:hAnsi="Times New Roman"/>
                <w:b/>
                <w:bCs/>
                <w:sz w:val="23"/>
                <w:szCs w:val="23"/>
              </w:rPr>
              <w:t>S占标率(%)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50.0</w:t>
            </w:r>
          </w:p>
        </w:tc>
        <w:tc>
          <w:tcPr>
            <w:tcW w:w="1545" w:type="dxa"/>
            <w:vAlign w:val="center"/>
          </w:tcPr>
          <w:p>
            <w:pPr>
              <w:jc w:val="center"/>
              <w:rPr>
                <w:rFonts w:ascii="Times New Roman" w:hAnsi="Times New Roman"/>
              </w:rPr>
            </w:pPr>
            <w:r>
              <w:rPr>
                <w:rFonts w:ascii="Times New Roman" w:hAnsi="Times New Roman"/>
                <w:sz w:val="23"/>
                <w:szCs w:val="23"/>
              </w:rPr>
              <w:t>0.9843</w:t>
            </w:r>
          </w:p>
        </w:tc>
        <w:tc>
          <w:tcPr>
            <w:tcW w:w="1695" w:type="dxa"/>
            <w:vAlign w:val="center"/>
          </w:tcPr>
          <w:p>
            <w:pPr>
              <w:jc w:val="center"/>
              <w:rPr>
                <w:rFonts w:ascii="Times New Roman" w:hAnsi="Times New Roman"/>
              </w:rPr>
            </w:pPr>
            <w:r>
              <w:rPr>
                <w:rFonts w:ascii="Times New Roman" w:hAnsi="Times New Roman"/>
                <w:sz w:val="23"/>
                <w:szCs w:val="23"/>
              </w:rPr>
              <w:t>0.4921</w:t>
            </w:r>
          </w:p>
        </w:tc>
        <w:tc>
          <w:tcPr>
            <w:tcW w:w="1860" w:type="dxa"/>
            <w:vAlign w:val="center"/>
          </w:tcPr>
          <w:p>
            <w:pPr>
              <w:jc w:val="center"/>
              <w:rPr>
                <w:rFonts w:ascii="Times New Roman" w:hAnsi="Times New Roman"/>
              </w:rPr>
            </w:pPr>
            <w:r>
              <w:rPr>
                <w:rFonts w:ascii="Times New Roman" w:hAnsi="Times New Roman"/>
                <w:sz w:val="23"/>
                <w:szCs w:val="23"/>
              </w:rPr>
              <w:t>0.1911</w:t>
            </w:r>
          </w:p>
        </w:tc>
        <w:tc>
          <w:tcPr>
            <w:tcW w:w="1950" w:type="dxa"/>
            <w:vAlign w:val="center"/>
          </w:tcPr>
          <w:p>
            <w:pPr>
              <w:jc w:val="center"/>
              <w:rPr>
                <w:rFonts w:ascii="Times New Roman" w:hAnsi="Times New Roman"/>
              </w:rPr>
            </w:pPr>
            <w:r>
              <w:rPr>
                <w:rFonts w:ascii="Times New Roman" w:hAnsi="Times New Roman"/>
                <w:sz w:val="23"/>
                <w:szCs w:val="23"/>
              </w:rPr>
              <w:t>1.9112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100.0</w:t>
            </w:r>
          </w:p>
        </w:tc>
        <w:tc>
          <w:tcPr>
            <w:tcW w:w="1545" w:type="dxa"/>
            <w:vAlign w:val="center"/>
          </w:tcPr>
          <w:p>
            <w:pPr>
              <w:jc w:val="center"/>
              <w:rPr>
                <w:rFonts w:ascii="Times New Roman" w:hAnsi="Times New Roman"/>
              </w:rPr>
            </w:pPr>
            <w:r>
              <w:rPr>
                <w:rFonts w:ascii="Times New Roman" w:hAnsi="Times New Roman"/>
                <w:sz w:val="23"/>
                <w:szCs w:val="23"/>
              </w:rPr>
              <w:t>1.1673</w:t>
            </w:r>
          </w:p>
        </w:tc>
        <w:tc>
          <w:tcPr>
            <w:tcW w:w="1695" w:type="dxa"/>
            <w:vAlign w:val="center"/>
          </w:tcPr>
          <w:p>
            <w:pPr>
              <w:jc w:val="center"/>
              <w:rPr>
                <w:rFonts w:ascii="Times New Roman" w:hAnsi="Times New Roman"/>
              </w:rPr>
            </w:pPr>
            <w:r>
              <w:rPr>
                <w:rFonts w:ascii="Times New Roman" w:hAnsi="Times New Roman"/>
                <w:sz w:val="23"/>
                <w:szCs w:val="23"/>
              </w:rPr>
              <w:t>0.5837</w:t>
            </w:r>
          </w:p>
        </w:tc>
        <w:tc>
          <w:tcPr>
            <w:tcW w:w="1860" w:type="dxa"/>
            <w:vAlign w:val="center"/>
          </w:tcPr>
          <w:p>
            <w:pPr>
              <w:jc w:val="center"/>
              <w:rPr>
                <w:rFonts w:ascii="Times New Roman" w:hAnsi="Times New Roman"/>
              </w:rPr>
            </w:pPr>
            <w:r>
              <w:rPr>
                <w:rFonts w:ascii="Times New Roman" w:hAnsi="Times New Roman"/>
                <w:sz w:val="23"/>
                <w:szCs w:val="23"/>
              </w:rPr>
              <w:t>0.2267</w:t>
            </w:r>
          </w:p>
        </w:tc>
        <w:tc>
          <w:tcPr>
            <w:tcW w:w="1950" w:type="dxa"/>
            <w:vAlign w:val="center"/>
          </w:tcPr>
          <w:p>
            <w:pPr>
              <w:jc w:val="center"/>
              <w:rPr>
                <w:rFonts w:ascii="Times New Roman" w:hAnsi="Times New Roman"/>
              </w:rPr>
            </w:pPr>
            <w:r>
              <w:rPr>
                <w:rFonts w:ascii="Times New Roman" w:hAnsi="Times New Roman"/>
                <w:sz w:val="23"/>
                <w:szCs w:val="23"/>
              </w:rPr>
              <w:t>2.2666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200.0</w:t>
            </w:r>
          </w:p>
        </w:tc>
        <w:tc>
          <w:tcPr>
            <w:tcW w:w="1545" w:type="dxa"/>
            <w:vAlign w:val="center"/>
          </w:tcPr>
          <w:p>
            <w:pPr>
              <w:jc w:val="center"/>
              <w:rPr>
                <w:rFonts w:ascii="Times New Roman" w:hAnsi="Times New Roman"/>
              </w:rPr>
            </w:pPr>
            <w:r>
              <w:rPr>
                <w:rFonts w:ascii="Times New Roman" w:hAnsi="Times New Roman"/>
                <w:sz w:val="23"/>
                <w:szCs w:val="23"/>
              </w:rPr>
              <w:t>1.0755</w:t>
            </w:r>
          </w:p>
        </w:tc>
        <w:tc>
          <w:tcPr>
            <w:tcW w:w="1695" w:type="dxa"/>
            <w:vAlign w:val="center"/>
          </w:tcPr>
          <w:p>
            <w:pPr>
              <w:jc w:val="center"/>
              <w:rPr>
                <w:rFonts w:ascii="Times New Roman" w:hAnsi="Times New Roman"/>
              </w:rPr>
            </w:pPr>
            <w:r>
              <w:rPr>
                <w:rFonts w:ascii="Times New Roman" w:hAnsi="Times New Roman"/>
                <w:sz w:val="23"/>
                <w:szCs w:val="23"/>
              </w:rPr>
              <w:t>0.5377</w:t>
            </w:r>
          </w:p>
        </w:tc>
        <w:tc>
          <w:tcPr>
            <w:tcW w:w="1860" w:type="dxa"/>
            <w:vAlign w:val="center"/>
          </w:tcPr>
          <w:p>
            <w:pPr>
              <w:jc w:val="center"/>
              <w:rPr>
                <w:rFonts w:ascii="Times New Roman" w:hAnsi="Times New Roman"/>
              </w:rPr>
            </w:pPr>
            <w:r>
              <w:rPr>
                <w:rFonts w:ascii="Times New Roman" w:hAnsi="Times New Roman"/>
                <w:sz w:val="23"/>
                <w:szCs w:val="23"/>
              </w:rPr>
              <w:t>0.2088</w:t>
            </w:r>
          </w:p>
        </w:tc>
        <w:tc>
          <w:tcPr>
            <w:tcW w:w="1950" w:type="dxa"/>
            <w:vAlign w:val="center"/>
          </w:tcPr>
          <w:p>
            <w:pPr>
              <w:jc w:val="center"/>
              <w:rPr>
                <w:rFonts w:ascii="Times New Roman" w:hAnsi="Times New Roman"/>
              </w:rPr>
            </w:pPr>
            <w:r>
              <w:rPr>
                <w:rFonts w:ascii="Times New Roman" w:hAnsi="Times New Roman"/>
                <w:sz w:val="23"/>
                <w:szCs w:val="23"/>
              </w:rPr>
              <w:t>2.0883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300.0</w:t>
            </w:r>
          </w:p>
        </w:tc>
        <w:tc>
          <w:tcPr>
            <w:tcW w:w="1545" w:type="dxa"/>
            <w:vAlign w:val="center"/>
          </w:tcPr>
          <w:p>
            <w:pPr>
              <w:jc w:val="center"/>
              <w:rPr>
                <w:rFonts w:ascii="Times New Roman" w:hAnsi="Times New Roman"/>
              </w:rPr>
            </w:pPr>
            <w:r>
              <w:rPr>
                <w:rFonts w:ascii="Times New Roman" w:hAnsi="Times New Roman"/>
                <w:sz w:val="23"/>
                <w:szCs w:val="23"/>
              </w:rPr>
              <w:t>0.9822</w:t>
            </w:r>
          </w:p>
        </w:tc>
        <w:tc>
          <w:tcPr>
            <w:tcW w:w="1695" w:type="dxa"/>
            <w:vAlign w:val="center"/>
          </w:tcPr>
          <w:p>
            <w:pPr>
              <w:jc w:val="center"/>
              <w:rPr>
                <w:rFonts w:ascii="Times New Roman" w:hAnsi="Times New Roman"/>
              </w:rPr>
            </w:pPr>
            <w:r>
              <w:rPr>
                <w:rFonts w:ascii="Times New Roman" w:hAnsi="Times New Roman"/>
                <w:sz w:val="23"/>
                <w:szCs w:val="23"/>
              </w:rPr>
              <w:t>0.4911</w:t>
            </w:r>
          </w:p>
        </w:tc>
        <w:tc>
          <w:tcPr>
            <w:tcW w:w="1860" w:type="dxa"/>
            <w:vAlign w:val="center"/>
          </w:tcPr>
          <w:p>
            <w:pPr>
              <w:jc w:val="center"/>
              <w:rPr>
                <w:rFonts w:ascii="Times New Roman" w:hAnsi="Times New Roman"/>
              </w:rPr>
            </w:pPr>
            <w:r>
              <w:rPr>
                <w:rFonts w:ascii="Times New Roman" w:hAnsi="Times New Roman"/>
                <w:sz w:val="23"/>
                <w:szCs w:val="23"/>
              </w:rPr>
              <w:t>0.1907</w:t>
            </w:r>
          </w:p>
        </w:tc>
        <w:tc>
          <w:tcPr>
            <w:tcW w:w="1950" w:type="dxa"/>
            <w:vAlign w:val="center"/>
          </w:tcPr>
          <w:p>
            <w:pPr>
              <w:jc w:val="center"/>
              <w:rPr>
                <w:rFonts w:ascii="Times New Roman" w:hAnsi="Times New Roman"/>
              </w:rPr>
            </w:pPr>
            <w:r>
              <w:rPr>
                <w:rFonts w:ascii="Times New Roman" w:hAnsi="Times New Roman"/>
                <w:sz w:val="23"/>
                <w:szCs w:val="23"/>
              </w:rPr>
              <w:t>1.9072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400.0</w:t>
            </w:r>
          </w:p>
        </w:tc>
        <w:tc>
          <w:tcPr>
            <w:tcW w:w="1545" w:type="dxa"/>
            <w:vAlign w:val="center"/>
          </w:tcPr>
          <w:p>
            <w:pPr>
              <w:jc w:val="center"/>
              <w:rPr>
                <w:rFonts w:ascii="Times New Roman" w:hAnsi="Times New Roman"/>
              </w:rPr>
            </w:pPr>
            <w:r>
              <w:rPr>
                <w:rFonts w:ascii="Times New Roman" w:hAnsi="Times New Roman"/>
                <w:sz w:val="23"/>
                <w:szCs w:val="23"/>
              </w:rPr>
              <w:t>0.8769</w:t>
            </w:r>
          </w:p>
        </w:tc>
        <w:tc>
          <w:tcPr>
            <w:tcW w:w="1695" w:type="dxa"/>
            <w:vAlign w:val="center"/>
          </w:tcPr>
          <w:p>
            <w:pPr>
              <w:jc w:val="center"/>
              <w:rPr>
                <w:rFonts w:ascii="Times New Roman" w:hAnsi="Times New Roman"/>
              </w:rPr>
            </w:pPr>
            <w:r>
              <w:rPr>
                <w:rFonts w:ascii="Times New Roman" w:hAnsi="Times New Roman"/>
                <w:sz w:val="23"/>
                <w:szCs w:val="23"/>
              </w:rPr>
              <w:t>0.4384</w:t>
            </w:r>
          </w:p>
        </w:tc>
        <w:tc>
          <w:tcPr>
            <w:tcW w:w="1860" w:type="dxa"/>
            <w:vAlign w:val="center"/>
          </w:tcPr>
          <w:p>
            <w:pPr>
              <w:jc w:val="center"/>
              <w:rPr>
                <w:rFonts w:ascii="Times New Roman" w:hAnsi="Times New Roman"/>
              </w:rPr>
            </w:pPr>
            <w:r>
              <w:rPr>
                <w:rFonts w:ascii="Times New Roman" w:hAnsi="Times New Roman"/>
                <w:sz w:val="23"/>
                <w:szCs w:val="23"/>
              </w:rPr>
              <w:t>0.1703</w:t>
            </w:r>
          </w:p>
        </w:tc>
        <w:tc>
          <w:tcPr>
            <w:tcW w:w="1950" w:type="dxa"/>
            <w:vAlign w:val="center"/>
          </w:tcPr>
          <w:p>
            <w:pPr>
              <w:jc w:val="center"/>
              <w:rPr>
                <w:rFonts w:ascii="Times New Roman" w:hAnsi="Times New Roman"/>
              </w:rPr>
            </w:pPr>
            <w:r>
              <w:rPr>
                <w:rFonts w:ascii="Times New Roman" w:hAnsi="Times New Roman"/>
                <w:sz w:val="23"/>
                <w:szCs w:val="23"/>
              </w:rPr>
              <w:t>1.7027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500.0</w:t>
            </w:r>
          </w:p>
        </w:tc>
        <w:tc>
          <w:tcPr>
            <w:tcW w:w="1545" w:type="dxa"/>
            <w:vAlign w:val="center"/>
          </w:tcPr>
          <w:p>
            <w:pPr>
              <w:jc w:val="center"/>
              <w:rPr>
                <w:rFonts w:ascii="Times New Roman" w:hAnsi="Times New Roman"/>
              </w:rPr>
            </w:pPr>
            <w:r>
              <w:rPr>
                <w:rFonts w:ascii="Times New Roman" w:hAnsi="Times New Roman"/>
                <w:sz w:val="23"/>
                <w:szCs w:val="23"/>
              </w:rPr>
              <w:t>0.7833</w:t>
            </w:r>
          </w:p>
        </w:tc>
        <w:tc>
          <w:tcPr>
            <w:tcW w:w="1695" w:type="dxa"/>
            <w:vAlign w:val="center"/>
          </w:tcPr>
          <w:p>
            <w:pPr>
              <w:jc w:val="center"/>
              <w:rPr>
                <w:rFonts w:ascii="Times New Roman" w:hAnsi="Times New Roman"/>
              </w:rPr>
            </w:pPr>
            <w:r>
              <w:rPr>
                <w:rFonts w:ascii="Times New Roman" w:hAnsi="Times New Roman"/>
                <w:sz w:val="23"/>
                <w:szCs w:val="23"/>
              </w:rPr>
              <w:t>0.3916</w:t>
            </w:r>
          </w:p>
        </w:tc>
        <w:tc>
          <w:tcPr>
            <w:tcW w:w="1860" w:type="dxa"/>
            <w:vAlign w:val="center"/>
          </w:tcPr>
          <w:p>
            <w:pPr>
              <w:jc w:val="center"/>
              <w:rPr>
                <w:rFonts w:ascii="Times New Roman" w:hAnsi="Times New Roman"/>
              </w:rPr>
            </w:pPr>
            <w:r>
              <w:rPr>
                <w:rFonts w:ascii="Times New Roman" w:hAnsi="Times New Roman"/>
                <w:sz w:val="23"/>
                <w:szCs w:val="23"/>
              </w:rPr>
              <w:t>0.1521</w:t>
            </w:r>
          </w:p>
        </w:tc>
        <w:tc>
          <w:tcPr>
            <w:tcW w:w="1950" w:type="dxa"/>
            <w:vAlign w:val="center"/>
          </w:tcPr>
          <w:p>
            <w:pPr>
              <w:jc w:val="center"/>
              <w:rPr>
                <w:rFonts w:ascii="Times New Roman" w:hAnsi="Times New Roman"/>
              </w:rPr>
            </w:pPr>
            <w:r>
              <w:rPr>
                <w:rFonts w:ascii="Times New Roman" w:hAnsi="Times New Roman"/>
                <w:sz w:val="23"/>
                <w:szCs w:val="23"/>
              </w:rPr>
              <w:t>1.5209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600.0</w:t>
            </w:r>
          </w:p>
        </w:tc>
        <w:tc>
          <w:tcPr>
            <w:tcW w:w="1545" w:type="dxa"/>
            <w:vAlign w:val="center"/>
          </w:tcPr>
          <w:p>
            <w:pPr>
              <w:jc w:val="center"/>
              <w:rPr>
                <w:rFonts w:ascii="Times New Roman" w:hAnsi="Times New Roman"/>
              </w:rPr>
            </w:pPr>
            <w:r>
              <w:rPr>
                <w:rFonts w:ascii="Times New Roman" w:hAnsi="Times New Roman"/>
                <w:sz w:val="23"/>
                <w:szCs w:val="23"/>
              </w:rPr>
              <w:t>0.7029</w:t>
            </w:r>
          </w:p>
        </w:tc>
        <w:tc>
          <w:tcPr>
            <w:tcW w:w="1695" w:type="dxa"/>
            <w:vAlign w:val="center"/>
          </w:tcPr>
          <w:p>
            <w:pPr>
              <w:jc w:val="center"/>
              <w:rPr>
                <w:rFonts w:ascii="Times New Roman" w:hAnsi="Times New Roman"/>
              </w:rPr>
            </w:pPr>
            <w:r>
              <w:rPr>
                <w:rFonts w:ascii="Times New Roman" w:hAnsi="Times New Roman"/>
                <w:sz w:val="23"/>
                <w:szCs w:val="23"/>
              </w:rPr>
              <w:t>0.3514</w:t>
            </w:r>
          </w:p>
        </w:tc>
        <w:tc>
          <w:tcPr>
            <w:tcW w:w="1860" w:type="dxa"/>
            <w:vAlign w:val="center"/>
          </w:tcPr>
          <w:p>
            <w:pPr>
              <w:jc w:val="center"/>
              <w:rPr>
                <w:rFonts w:ascii="Times New Roman" w:hAnsi="Times New Roman"/>
              </w:rPr>
            </w:pPr>
            <w:r>
              <w:rPr>
                <w:rFonts w:ascii="Times New Roman" w:hAnsi="Times New Roman"/>
                <w:sz w:val="23"/>
                <w:szCs w:val="23"/>
              </w:rPr>
              <w:t>0.1365</w:t>
            </w:r>
          </w:p>
        </w:tc>
        <w:tc>
          <w:tcPr>
            <w:tcW w:w="1950" w:type="dxa"/>
            <w:vAlign w:val="center"/>
          </w:tcPr>
          <w:p>
            <w:pPr>
              <w:jc w:val="center"/>
              <w:rPr>
                <w:rFonts w:ascii="Times New Roman" w:hAnsi="Times New Roman"/>
              </w:rPr>
            </w:pPr>
            <w:r>
              <w:rPr>
                <w:rFonts w:ascii="Times New Roman" w:hAnsi="Times New Roman"/>
                <w:sz w:val="23"/>
                <w:szCs w:val="23"/>
              </w:rPr>
              <w:t>1.3648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700.0</w:t>
            </w:r>
          </w:p>
        </w:tc>
        <w:tc>
          <w:tcPr>
            <w:tcW w:w="1545" w:type="dxa"/>
            <w:vAlign w:val="center"/>
          </w:tcPr>
          <w:p>
            <w:pPr>
              <w:jc w:val="center"/>
              <w:rPr>
                <w:rFonts w:ascii="Times New Roman" w:hAnsi="Times New Roman"/>
              </w:rPr>
            </w:pPr>
            <w:r>
              <w:rPr>
                <w:rFonts w:ascii="Times New Roman" w:hAnsi="Times New Roman"/>
                <w:sz w:val="23"/>
                <w:szCs w:val="23"/>
              </w:rPr>
              <w:t>0.6346</w:t>
            </w:r>
          </w:p>
        </w:tc>
        <w:tc>
          <w:tcPr>
            <w:tcW w:w="1695" w:type="dxa"/>
            <w:vAlign w:val="center"/>
          </w:tcPr>
          <w:p>
            <w:pPr>
              <w:jc w:val="center"/>
              <w:rPr>
                <w:rFonts w:ascii="Times New Roman" w:hAnsi="Times New Roman"/>
              </w:rPr>
            </w:pPr>
            <w:r>
              <w:rPr>
                <w:rFonts w:ascii="Times New Roman" w:hAnsi="Times New Roman"/>
                <w:sz w:val="23"/>
                <w:szCs w:val="23"/>
              </w:rPr>
              <w:t>0.3173</w:t>
            </w:r>
          </w:p>
        </w:tc>
        <w:tc>
          <w:tcPr>
            <w:tcW w:w="1860" w:type="dxa"/>
            <w:vAlign w:val="center"/>
          </w:tcPr>
          <w:p>
            <w:pPr>
              <w:jc w:val="center"/>
              <w:rPr>
                <w:rFonts w:ascii="Times New Roman" w:hAnsi="Times New Roman"/>
              </w:rPr>
            </w:pPr>
            <w:r>
              <w:rPr>
                <w:rFonts w:ascii="Times New Roman" w:hAnsi="Times New Roman"/>
                <w:sz w:val="23"/>
                <w:szCs w:val="23"/>
              </w:rPr>
              <w:t>0.1232</w:t>
            </w:r>
          </w:p>
        </w:tc>
        <w:tc>
          <w:tcPr>
            <w:tcW w:w="1950" w:type="dxa"/>
            <w:vAlign w:val="center"/>
          </w:tcPr>
          <w:p>
            <w:pPr>
              <w:jc w:val="center"/>
              <w:rPr>
                <w:rFonts w:ascii="Times New Roman" w:hAnsi="Times New Roman"/>
              </w:rPr>
            </w:pPr>
            <w:r>
              <w:rPr>
                <w:rFonts w:ascii="Times New Roman" w:hAnsi="Times New Roman"/>
                <w:sz w:val="23"/>
                <w:szCs w:val="23"/>
              </w:rPr>
              <w:t>1.2323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800.0</w:t>
            </w:r>
          </w:p>
        </w:tc>
        <w:tc>
          <w:tcPr>
            <w:tcW w:w="1545" w:type="dxa"/>
            <w:vAlign w:val="center"/>
          </w:tcPr>
          <w:p>
            <w:pPr>
              <w:jc w:val="center"/>
              <w:rPr>
                <w:rFonts w:ascii="Times New Roman" w:hAnsi="Times New Roman"/>
              </w:rPr>
            </w:pPr>
            <w:r>
              <w:rPr>
                <w:rFonts w:ascii="Times New Roman" w:hAnsi="Times New Roman"/>
                <w:sz w:val="23"/>
                <w:szCs w:val="23"/>
              </w:rPr>
              <w:t>0.5784</w:t>
            </w:r>
          </w:p>
        </w:tc>
        <w:tc>
          <w:tcPr>
            <w:tcW w:w="1695" w:type="dxa"/>
            <w:vAlign w:val="center"/>
          </w:tcPr>
          <w:p>
            <w:pPr>
              <w:jc w:val="center"/>
              <w:rPr>
                <w:rFonts w:ascii="Times New Roman" w:hAnsi="Times New Roman"/>
              </w:rPr>
            </w:pPr>
            <w:r>
              <w:rPr>
                <w:rFonts w:ascii="Times New Roman" w:hAnsi="Times New Roman"/>
                <w:sz w:val="23"/>
                <w:szCs w:val="23"/>
              </w:rPr>
              <w:t>0.2892</w:t>
            </w:r>
          </w:p>
        </w:tc>
        <w:tc>
          <w:tcPr>
            <w:tcW w:w="1860" w:type="dxa"/>
            <w:vAlign w:val="center"/>
          </w:tcPr>
          <w:p>
            <w:pPr>
              <w:jc w:val="center"/>
              <w:rPr>
                <w:rFonts w:ascii="Times New Roman" w:hAnsi="Times New Roman"/>
              </w:rPr>
            </w:pPr>
            <w:r>
              <w:rPr>
                <w:rFonts w:ascii="Times New Roman" w:hAnsi="Times New Roman"/>
                <w:sz w:val="23"/>
                <w:szCs w:val="23"/>
              </w:rPr>
              <w:t>0.1123</w:t>
            </w:r>
          </w:p>
        </w:tc>
        <w:tc>
          <w:tcPr>
            <w:tcW w:w="1950" w:type="dxa"/>
            <w:vAlign w:val="center"/>
          </w:tcPr>
          <w:p>
            <w:pPr>
              <w:jc w:val="center"/>
              <w:rPr>
                <w:rFonts w:ascii="Times New Roman" w:hAnsi="Times New Roman"/>
              </w:rPr>
            </w:pPr>
            <w:r>
              <w:rPr>
                <w:rFonts w:ascii="Times New Roman" w:hAnsi="Times New Roman"/>
                <w:sz w:val="23"/>
                <w:szCs w:val="23"/>
              </w:rPr>
              <w:t>1.1231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900.0</w:t>
            </w:r>
          </w:p>
        </w:tc>
        <w:tc>
          <w:tcPr>
            <w:tcW w:w="1545" w:type="dxa"/>
            <w:vAlign w:val="center"/>
          </w:tcPr>
          <w:p>
            <w:pPr>
              <w:jc w:val="center"/>
              <w:rPr>
                <w:rFonts w:ascii="Times New Roman" w:hAnsi="Times New Roman"/>
              </w:rPr>
            </w:pPr>
            <w:r>
              <w:rPr>
                <w:rFonts w:ascii="Times New Roman" w:hAnsi="Times New Roman"/>
                <w:sz w:val="23"/>
                <w:szCs w:val="23"/>
              </w:rPr>
              <w:t>0.5307</w:t>
            </w:r>
          </w:p>
        </w:tc>
        <w:tc>
          <w:tcPr>
            <w:tcW w:w="1695" w:type="dxa"/>
            <w:vAlign w:val="center"/>
          </w:tcPr>
          <w:p>
            <w:pPr>
              <w:jc w:val="center"/>
              <w:rPr>
                <w:rFonts w:ascii="Times New Roman" w:hAnsi="Times New Roman"/>
              </w:rPr>
            </w:pPr>
            <w:r>
              <w:rPr>
                <w:rFonts w:ascii="Times New Roman" w:hAnsi="Times New Roman"/>
                <w:sz w:val="23"/>
                <w:szCs w:val="23"/>
              </w:rPr>
              <w:t>0.2653</w:t>
            </w:r>
          </w:p>
        </w:tc>
        <w:tc>
          <w:tcPr>
            <w:tcW w:w="1860" w:type="dxa"/>
            <w:vAlign w:val="center"/>
          </w:tcPr>
          <w:p>
            <w:pPr>
              <w:jc w:val="center"/>
              <w:rPr>
                <w:rFonts w:ascii="Times New Roman" w:hAnsi="Times New Roman"/>
              </w:rPr>
            </w:pPr>
            <w:r>
              <w:rPr>
                <w:rFonts w:ascii="Times New Roman" w:hAnsi="Times New Roman"/>
                <w:sz w:val="23"/>
                <w:szCs w:val="23"/>
              </w:rPr>
              <w:t>0.1030</w:t>
            </w:r>
          </w:p>
        </w:tc>
        <w:tc>
          <w:tcPr>
            <w:tcW w:w="1950" w:type="dxa"/>
            <w:vAlign w:val="center"/>
          </w:tcPr>
          <w:p>
            <w:pPr>
              <w:jc w:val="center"/>
              <w:rPr>
                <w:rFonts w:ascii="Times New Roman" w:hAnsi="Times New Roman"/>
              </w:rPr>
            </w:pPr>
            <w:r>
              <w:rPr>
                <w:rFonts w:ascii="Times New Roman" w:hAnsi="Times New Roman"/>
                <w:sz w:val="23"/>
                <w:szCs w:val="23"/>
              </w:rPr>
              <w:t>1.0304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1000.0</w:t>
            </w:r>
          </w:p>
        </w:tc>
        <w:tc>
          <w:tcPr>
            <w:tcW w:w="1545" w:type="dxa"/>
            <w:vAlign w:val="center"/>
          </w:tcPr>
          <w:p>
            <w:pPr>
              <w:jc w:val="center"/>
              <w:rPr>
                <w:rFonts w:ascii="Times New Roman" w:hAnsi="Times New Roman"/>
              </w:rPr>
            </w:pPr>
            <w:r>
              <w:rPr>
                <w:rFonts w:ascii="Times New Roman" w:hAnsi="Times New Roman"/>
                <w:sz w:val="23"/>
                <w:szCs w:val="23"/>
              </w:rPr>
              <w:t>0.4917</w:t>
            </w:r>
          </w:p>
        </w:tc>
        <w:tc>
          <w:tcPr>
            <w:tcW w:w="1695" w:type="dxa"/>
            <w:vAlign w:val="center"/>
          </w:tcPr>
          <w:p>
            <w:pPr>
              <w:jc w:val="center"/>
              <w:rPr>
                <w:rFonts w:ascii="Times New Roman" w:hAnsi="Times New Roman"/>
              </w:rPr>
            </w:pPr>
            <w:r>
              <w:rPr>
                <w:rFonts w:ascii="Times New Roman" w:hAnsi="Times New Roman"/>
                <w:sz w:val="23"/>
                <w:szCs w:val="23"/>
              </w:rPr>
              <w:t>0.2458</w:t>
            </w:r>
          </w:p>
        </w:tc>
        <w:tc>
          <w:tcPr>
            <w:tcW w:w="1860" w:type="dxa"/>
            <w:vAlign w:val="center"/>
          </w:tcPr>
          <w:p>
            <w:pPr>
              <w:jc w:val="center"/>
              <w:rPr>
                <w:rFonts w:ascii="Times New Roman" w:hAnsi="Times New Roman"/>
              </w:rPr>
            </w:pPr>
            <w:r>
              <w:rPr>
                <w:rFonts w:ascii="Times New Roman" w:hAnsi="Times New Roman"/>
                <w:sz w:val="23"/>
                <w:szCs w:val="23"/>
              </w:rPr>
              <w:t>0.0955</w:t>
            </w:r>
          </w:p>
        </w:tc>
        <w:tc>
          <w:tcPr>
            <w:tcW w:w="1950" w:type="dxa"/>
            <w:vAlign w:val="center"/>
          </w:tcPr>
          <w:p>
            <w:pPr>
              <w:jc w:val="center"/>
              <w:rPr>
                <w:rFonts w:ascii="Times New Roman" w:hAnsi="Times New Roman"/>
              </w:rPr>
            </w:pPr>
            <w:r>
              <w:rPr>
                <w:rFonts w:ascii="Times New Roman" w:hAnsi="Times New Roman"/>
                <w:sz w:val="23"/>
                <w:szCs w:val="23"/>
              </w:rPr>
              <w:t>0.9547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1200.0</w:t>
            </w:r>
          </w:p>
        </w:tc>
        <w:tc>
          <w:tcPr>
            <w:tcW w:w="1545" w:type="dxa"/>
            <w:vAlign w:val="center"/>
          </w:tcPr>
          <w:p>
            <w:pPr>
              <w:jc w:val="center"/>
              <w:rPr>
                <w:rFonts w:ascii="Times New Roman" w:hAnsi="Times New Roman"/>
              </w:rPr>
            </w:pPr>
            <w:r>
              <w:rPr>
                <w:rFonts w:ascii="Times New Roman" w:hAnsi="Times New Roman"/>
                <w:sz w:val="23"/>
                <w:szCs w:val="23"/>
              </w:rPr>
              <w:t>0.4293</w:t>
            </w:r>
          </w:p>
        </w:tc>
        <w:tc>
          <w:tcPr>
            <w:tcW w:w="1695" w:type="dxa"/>
            <w:vAlign w:val="center"/>
          </w:tcPr>
          <w:p>
            <w:pPr>
              <w:jc w:val="center"/>
              <w:rPr>
                <w:rFonts w:ascii="Times New Roman" w:hAnsi="Times New Roman"/>
              </w:rPr>
            </w:pPr>
            <w:r>
              <w:rPr>
                <w:rFonts w:ascii="Times New Roman" w:hAnsi="Times New Roman"/>
                <w:sz w:val="23"/>
                <w:szCs w:val="23"/>
              </w:rPr>
              <w:t>0.2147</w:t>
            </w:r>
          </w:p>
        </w:tc>
        <w:tc>
          <w:tcPr>
            <w:tcW w:w="1860" w:type="dxa"/>
            <w:vAlign w:val="center"/>
          </w:tcPr>
          <w:p>
            <w:pPr>
              <w:jc w:val="center"/>
              <w:rPr>
                <w:rFonts w:ascii="Times New Roman" w:hAnsi="Times New Roman"/>
              </w:rPr>
            </w:pPr>
            <w:r>
              <w:rPr>
                <w:rFonts w:ascii="Times New Roman" w:hAnsi="Times New Roman"/>
                <w:sz w:val="23"/>
                <w:szCs w:val="23"/>
              </w:rPr>
              <w:t>0.0834</w:t>
            </w:r>
          </w:p>
        </w:tc>
        <w:tc>
          <w:tcPr>
            <w:tcW w:w="1950" w:type="dxa"/>
            <w:vAlign w:val="center"/>
          </w:tcPr>
          <w:p>
            <w:pPr>
              <w:jc w:val="center"/>
              <w:rPr>
                <w:rFonts w:ascii="Times New Roman" w:hAnsi="Times New Roman"/>
              </w:rPr>
            </w:pPr>
            <w:r>
              <w:rPr>
                <w:rFonts w:ascii="Times New Roman" w:hAnsi="Times New Roman"/>
                <w:sz w:val="23"/>
                <w:szCs w:val="23"/>
              </w:rPr>
              <w:t>0.8337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1400.0</w:t>
            </w:r>
          </w:p>
        </w:tc>
        <w:tc>
          <w:tcPr>
            <w:tcW w:w="1545" w:type="dxa"/>
            <w:vAlign w:val="center"/>
          </w:tcPr>
          <w:p>
            <w:pPr>
              <w:jc w:val="center"/>
              <w:rPr>
                <w:rFonts w:ascii="Times New Roman" w:hAnsi="Times New Roman"/>
              </w:rPr>
            </w:pPr>
            <w:r>
              <w:rPr>
                <w:rFonts w:ascii="Times New Roman" w:hAnsi="Times New Roman"/>
                <w:sz w:val="23"/>
                <w:szCs w:val="23"/>
              </w:rPr>
              <w:t>0.3815</w:t>
            </w:r>
          </w:p>
        </w:tc>
        <w:tc>
          <w:tcPr>
            <w:tcW w:w="1695" w:type="dxa"/>
            <w:vAlign w:val="center"/>
          </w:tcPr>
          <w:p>
            <w:pPr>
              <w:jc w:val="center"/>
              <w:rPr>
                <w:rFonts w:ascii="Times New Roman" w:hAnsi="Times New Roman"/>
              </w:rPr>
            </w:pPr>
            <w:r>
              <w:rPr>
                <w:rFonts w:ascii="Times New Roman" w:hAnsi="Times New Roman"/>
                <w:sz w:val="23"/>
                <w:szCs w:val="23"/>
              </w:rPr>
              <w:t>0.1907</w:t>
            </w:r>
          </w:p>
        </w:tc>
        <w:tc>
          <w:tcPr>
            <w:tcW w:w="1860" w:type="dxa"/>
            <w:vAlign w:val="center"/>
          </w:tcPr>
          <w:p>
            <w:pPr>
              <w:jc w:val="center"/>
              <w:rPr>
                <w:rFonts w:ascii="Times New Roman" w:hAnsi="Times New Roman"/>
              </w:rPr>
            </w:pPr>
            <w:r>
              <w:rPr>
                <w:rFonts w:ascii="Times New Roman" w:hAnsi="Times New Roman"/>
                <w:sz w:val="23"/>
                <w:szCs w:val="23"/>
              </w:rPr>
              <w:t>0.0741</w:t>
            </w:r>
          </w:p>
        </w:tc>
        <w:tc>
          <w:tcPr>
            <w:tcW w:w="1950" w:type="dxa"/>
            <w:vAlign w:val="center"/>
          </w:tcPr>
          <w:p>
            <w:pPr>
              <w:jc w:val="center"/>
              <w:rPr>
                <w:rFonts w:ascii="Times New Roman" w:hAnsi="Times New Roman"/>
              </w:rPr>
            </w:pPr>
            <w:r>
              <w:rPr>
                <w:rFonts w:ascii="Times New Roman" w:hAnsi="Times New Roman"/>
                <w:sz w:val="23"/>
                <w:szCs w:val="23"/>
              </w:rPr>
              <w:t>0.7407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1600.0</w:t>
            </w:r>
          </w:p>
        </w:tc>
        <w:tc>
          <w:tcPr>
            <w:tcW w:w="1545" w:type="dxa"/>
            <w:vAlign w:val="center"/>
          </w:tcPr>
          <w:p>
            <w:pPr>
              <w:jc w:val="center"/>
              <w:rPr>
                <w:rFonts w:ascii="Times New Roman" w:hAnsi="Times New Roman"/>
              </w:rPr>
            </w:pPr>
            <w:r>
              <w:rPr>
                <w:rFonts w:ascii="Times New Roman" w:hAnsi="Times New Roman"/>
                <w:sz w:val="23"/>
                <w:szCs w:val="23"/>
              </w:rPr>
              <w:t>0.3466</w:t>
            </w:r>
          </w:p>
        </w:tc>
        <w:tc>
          <w:tcPr>
            <w:tcW w:w="1695" w:type="dxa"/>
            <w:vAlign w:val="center"/>
          </w:tcPr>
          <w:p>
            <w:pPr>
              <w:jc w:val="center"/>
              <w:rPr>
                <w:rFonts w:ascii="Times New Roman" w:hAnsi="Times New Roman"/>
              </w:rPr>
            </w:pPr>
            <w:r>
              <w:rPr>
                <w:rFonts w:ascii="Times New Roman" w:hAnsi="Times New Roman"/>
                <w:sz w:val="23"/>
                <w:szCs w:val="23"/>
              </w:rPr>
              <w:t>0.1733</w:t>
            </w:r>
          </w:p>
        </w:tc>
        <w:tc>
          <w:tcPr>
            <w:tcW w:w="1860" w:type="dxa"/>
            <w:vAlign w:val="center"/>
          </w:tcPr>
          <w:p>
            <w:pPr>
              <w:jc w:val="center"/>
              <w:rPr>
                <w:rFonts w:ascii="Times New Roman" w:hAnsi="Times New Roman"/>
              </w:rPr>
            </w:pPr>
            <w:r>
              <w:rPr>
                <w:rFonts w:ascii="Times New Roman" w:hAnsi="Times New Roman"/>
                <w:sz w:val="23"/>
                <w:szCs w:val="23"/>
              </w:rPr>
              <w:t>0.0673</w:t>
            </w:r>
          </w:p>
        </w:tc>
        <w:tc>
          <w:tcPr>
            <w:tcW w:w="1950" w:type="dxa"/>
            <w:vAlign w:val="center"/>
          </w:tcPr>
          <w:p>
            <w:pPr>
              <w:jc w:val="center"/>
              <w:rPr>
                <w:rFonts w:ascii="Times New Roman" w:hAnsi="Times New Roman"/>
              </w:rPr>
            </w:pPr>
            <w:r>
              <w:rPr>
                <w:rFonts w:ascii="Times New Roman" w:hAnsi="Times New Roman"/>
                <w:sz w:val="23"/>
                <w:szCs w:val="23"/>
              </w:rPr>
              <w:t>0.6730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1800.0</w:t>
            </w:r>
          </w:p>
        </w:tc>
        <w:tc>
          <w:tcPr>
            <w:tcW w:w="1545" w:type="dxa"/>
            <w:vAlign w:val="center"/>
          </w:tcPr>
          <w:p>
            <w:pPr>
              <w:jc w:val="center"/>
              <w:rPr>
                <w:rFonts w:ascii="Times New Roman" w:hAnsi="Times New Roman"/>
              </w:rPr>
            </w:pPr>
            <w:r>
              <w:rPr>
                <w:rFonts w:ascii="Times New Roman" w:hAnsi="Times New Roman"/>
                <w:sz w:val="23"/>
                <w:szCs w:val="23"/>
              </w:rPr>
              <w:t>0.3156</w:t>
            </w:r>
          </w:p>
        </w:tc>
        <w:tc>
          <w:tcPr>
            <w:tcW w:w="1695" w:type="dxa"/>
            <w:vAlign w:val="center"/>
          </w:tcPr>
          <w:p>
            <w:pPr>
              <w:jc w:val="center"/>
              <w:rPr>
                <w:rFonts w:ascii="Times New Roman" w:hAnsi="Times New Roman"/>
              </w:rPr>
            </w:pPr>
            <w:r>
              <w:rPr>
                <w:rFonts w:ascii="Times New Roman" w:hAnsi="Times New Roman"/>
                <w:sz w:val="23"/>
                <w:szCs w:val="23"/>
              </w:rPr>
              <w:t>0.1578</w:t>
            </w:r>
          </w:p>
        </w:tc>
        <w:tc>
          <w:tcPr>
            <w:tcW w:w="1860" w:type="dxa"/>
            <w:vAlign w:val="center"/>
          </w:tcPr>
          <w:p>
            <w:pPr>
              <w:jc w:val="center"/>
              <w:rPr>
                <w:rFonts w:ascii="Times New Roman" w:hAnsi="Times New Roman"/>
              </w:rPr>
            </w:pPr>
            <w:r>
              <w:rPr>
                <w:rFonts w:ascii="Times New Roman" w:hAnsi="Times New Roman"/>
                <w:sz w:val="23"/>
                <w:szCs w:val="23"/>
              </w:rPr>
              <w:t>0.0613</w:t>
            </w:r>
          </w:p>
        </w:tc>
        <w:tc>
          <w:tcPr>
            <w:tcW w:w="1950" w:type="dxa"/>
            <w:vAlign w:val="center"/>
          </w:tcPr>
          <w:p>
            <w:pPr>
              <w:jc w:val="center"/>
              <w:rPr>
                <w:rFonts w:ascii="Times New Roman" w:hAnsi="Times New Roman"/>
              </w:rPr>
            </w:pPr>
            <w:r>
              <w:rPr>
                <w:rFonts w:ascii="Times New Roman" w:hAnsi="Times New Roman"/>
                <w:sz w:val="23"/>
                <w:szCs w:val="23"/>
              </w:rPr>
              <w:t>0.6128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2000.0</w:t>
            </w:r>
          </w:p>
        </w:tc>
        <w:tc>
          <w:tcPr>
            <w:tcW w:w="1545" w:type="dxa"/>
            <w:vAlign w:val="center"/>
          </w:tcPr>
          <w:p>
            <w:pPr>
              <w:jc w:val="center"/>
              <w:rPr>
                <w:rFonts w:ascii="Times New Roman" w:hAnsi="Times New Roman"/>
              </w:rPr>
            </w:pPr>
            <w:r>
              <w:rPr>
                <w:rFonts w:ascii="Times New Roman" w:hAnsi="Times New Roman"/>
                <w:sz w:val="23"/>
                <w:szCs w:val="23"/>
              </w:rPr>
              <w:t>0.2935</w:t>
            </w:r>
          </w:p>
        </w:tc>
        <w:tc>
          <w:tcPr>
            <w:tcW w:w="1695" w:type="dxa"/>
            <w:vAlign w:val="center"/>
          </w:tcPr>
          <w:p>
            <w:pPr>
              <w:jc w:val="center"/>
              <w:rPr>
                <w:rFonts w:ascii="Times New Roman" w:hAnsi="Times New Roman"/>
              </w:rPr>
            </w:pPr>
            <w:r>
              <w:rPr>
                <w:rFonts w:ascii="Times New Roman" w:hAnsi="Times New Roman"/>
                <w:sz w:val="23"/>
                <w:szCs w:val="23"/>
              </w:rPr>
              <w:t>0.1468</w:t>
            </w:r>
          </w:p>
        </w:tc>
        <w:tc>
          <w:tcPr>
            <w:tcW w:w="1860" w:type="dxa"/>
            <w:vAlign w:val="center"/>
          </w:tcPr>
          <w:p>
            <w:pPr>
              <w:jc w:val="center"/>
              <w:rPr>
                <w:rFonts w:ascii="Times New Roman" w:hAnsi="Times New Roman"/>
              </w:rPr>
            </w:pPr>
            <w:r>
              <w:rPr>
                <w:rFonts w:ascii="Times New Roman" w:hAnsi="Times New Roman"/>
                <w:sz w:val="23"/>
                <w:szCs w:val="23"/>
              </w:rPr>
              <w:t>0.0570</w:t>
            </w:r>
          </w:p>
        </w:tc>
        <w:tc>
          <w:tcPr>
            <w:tcW w:w="1950" w:type="dxa"/>
            <w:vAlign w:val="center"/>
          </w:tcPr>
          <w:p>
            <w:pPr>
              <w:jc w:val="center"/>
              <w:rPr>
                <w:rFonts w:ascii="Times New Roman" w:hAnsi="Times New Roman"/>
              </w:rPr>
            </w:pPr>
            <w:r>
              <w:rPr>
                <w:rFonts w:ascii="Times New Roman" w:hAnsi="Times New Roman"/>
                <w:sz w:val="23"/>
                <w:szCs w:val="23"/>
              </w:rPr>
              <w:t>0.5700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2500.0</w:t>
            </w:r>
          </w:p>
        </w:tc>
        <w:tc>
          <w:tcPr>
            <w:tcW w:w="1545" w:type="dxa"/>
            <w:vAlign w:val="center"/>
          </w:tcPr>
          <w:p>
            <w:pPr>
              <w:jc w:val="center"/>
              <w:rPr>
                <w:rFonts w:ascii="Times New Roman" w:hAnsi="Times New Roman"/>
              </w:rPr>
            </w:pPr>
            <w:r>
              <w:rPr>
                <w:rFonts w:ascii="Times New Roman" w:hAnsi="Times New Roman"/>
                <w:sz w:val="23"/>
                <w:szCs w:val="23"/>
              </w:rPr>
              <w:t>0.2490</w:t>
            </w:r>
          </w:p>
        </w:tc>
        <w:tc>
          <w:tcPr>
            <w:tcW w:w="1695" w:type="dxa"/>
            <w:vAlign w:val="center"/>
          </w:tcPr>
          <w:p>
            <w:pPr>
              <w:jc w:val="center"/>
              <w:rPr>
                <w:rFonts w:ascii="Times New Roman" w:hAnsi="Times New Roman"/>
              </w:rPr>
            </w:pPr>
            <w:r>
              <w:rPr>
                <w:rFonts w:ascii="Times New Roman" w:hAnsi="Times New Roman"/>
                <w:sz w:val="23"/>
                <w:szCs w:val="23"/>
              </w:rPr>
              <w:t>0.1245</w:t>
            </w:r>
          </w:p>
        </w:tc>
        <w:tc>
          <w:tcPr>
            <w:tcW w:w="1860" w:type="dxa"/>
            <w:vAlign w:val="center"/>
          </w:tcPr>
          <w:p>
            <w:pPr>
              <w:jc w:val="center"/>
              <w:rPr>
                <w:rFonts w:ascii="Times New Roman" w:hAnsi="Times New Roman"/>
              </w:rPr>
            </w:pPr>
            <w:r>
              <w:rPr>
                <w:rFonts w:ascii="Times New Roman" w:hAnsi="Times New Roman"/>
                <w:sz w:val="23"/>
                <w:szCs w:val="23"/>
              </w:rPr>
              <w:t>0.0483</w:t>
            </w:r>
          </w:p>
        </w:tc>
        <w:tc>
          <w:tcPr>
            <w:tcW w:w="1950" w:type="dxa"/>
            <w:vAlign w:val="center"/>
          </w:tcPr>
          <w:p>
            <w:pPr>
              <w:jc w:val="center"/>
              <w:rPr>
                <w:rFonts w:ascii="Times New Roman" w:hAnsi="Times New Roman"/>
              </w:rPr>
            </w:pPr>
            <w:r>
              <w:rPr>
                <w:rFonts w:ascii="Times New Roman" w:hAnsi="Times New Roman"/>
                <w:sz w:val="23"/>
                <w:szCs w:val="23"/>
              </w:rPr>
              <w:t>0.4835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下风向最大浓度</w:t>
            </w:r>
          </w:p>
        </w:tc>
        <w:tc>
          <w:tcPr>
            <w:tcW w:w="1545" w:type="dxa"/>
            <w:vAlign w:val="center"/>
          </w:tcPr>
          <w:p>
            <w:pPr>
              <w:jc w:val="center"/>
              <w:rPr>
                <w:rFonts w:ascii="Times New Roman" w:hAnsi="Times New Roman"/>
              </w:rPr>
            </w:pPr>
            <w:r>
              <w:rPr>
                <w:rFonts w:ascii="Times New Roman" w:hAnsi="Times New Roman"/>
                <w:sz w:val="23"/>
                <w:szCs w:val="23"/>
              </w:rPr>
              <w:t>1.1755</w:t>
            </w:r>
          </w:p>
        </w:tc>
        <w:tc>
          <w:tcPr>
            <w:tcW w:w="1695" w:type="dxa"/>
            <w:vAlign w:val="center"/>
          </w:tcPr>
          <w:p>
            <w:pPr>
              <w:jc w:val="center"/>
              <w:rPr>
                <w:rFonts w:ascii="Times New Roman" w:hAnsi="Times New Roman"/>
              </w:rPr>
            </w:pPr>
            <w:r>
              <w:rPr>
                <w:rFonts w:ascii="Times New Roman" w:hAnsi="Times New Roman"/>
                <w:sz w:val="23"/>
                <w:szCs w:val="23"/>
              </w:rPr>
              <w:t>0.5877</w:t>
            </w:r>
          </w:p>
        </w:tc>
        <w:tc>
          <w:tcPr>
            <w:tcW w:w="1860" w:type="dxa"/>
            <w:vAlign w:val="center"/>
          </w:tcPr>
          <w:p>
            <w:pPr>
              <w:jc w:val="center"/>
              <w:rPr>
                <w:rFonts w:ascii="Times New Roman" w:hAnsi="Times New Roman"/>
              </w:rPr>
            </w:pPr>
            <w:r>
              <w:rPr>
                <w:rFonts w:ascii="Times New Roman" w:hAnsi="Times New Roman"/>
                <w:sz w:val="23"/>
                <w:szCs w:val="23"/>
              </w:rPr>
              <w:t>0.2283</w:t>
            </w:r>
          </w:p>
        </w:tc>
        <w:tc>
          <w:tcPr>
            <w:tcW w:w="1950" w:type="dxa"/>
            <w:vAlign w:val="center"/>
          </w:tcPr>
          <w:p>
            <w:pPr>
              <w:jc w:val="center"/>
              <w:rPr>
                <w:rFonts w:ascii="Times New Roman" w:hAnsi="Times New Roman"/>
              </w:rPr>
            </w:pPr>
            <w:r>
              <w:rPr>
                <w:rFonts w:ascii="Times New Roman" w:hAnsi="Times New Roman"/>
                <w:sz w:val="23"/>
                <w:szCs w:val="23"/>
              </w:rPr>
              <w:t>2.2825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下风向最大浓度出现距离</w:t>
            </w:r>
          </w:p>
        </w:tc>
        <w:tc>
          <w:tcPr>
            <w:tcW w:w="1545" w:type="dxa"/>
            <w:vAlign w:val="center"/>
          </w:tcPr>
          <w:p>
            <w:pPr>
              <w:jc w:val="center"/>
              <w:rPr>
                <w:rFonts w:ascii="Times New Roman" w:hAnsi="Times New Roman"/>
              </w:rPr>
            </w:pPr>
            <w:r>
              <w:rPr>
                <w:rFonts w:ascii="Times New Roman" w:hAnsi="Times New Roman"/>
                <w:sz w:val="23"/>
                <w:szCs w:val="23"/>
              </w:rPr>
              <w:t>117.0</w:t>
            </w:r>
          </w:p>
        </w:tc>
        <w:tc>
          <w:tcPr>
            <w:tcW w:w="1695" w:type="dxa"/>
            <w:vAlign w:val="center"/>
          </w:tcPr>
          <w:p>
            <w:pPr>
              <w:jc w:val="center"/>
              <w:rPr>
                <w:rFonts w:ascii="Times New Roman" w:hAnsi="Times New Roman"/>
              </w:rPr>
            </w:pPr>
            <w:r>
              <w:rPr>
                <w:rFonts w:ascii="Times New Roman" w:hAnsi="Times New Roman"/>
                <w:sz w:val="23"/>
                <w:szCs w:val="23"/>
              </w:rPr>
              <w:t>117.0</w:t>
            </w:r>
          </w:p>
        </w:tc>
        <w:tc>
          <w:tcPr>
            <w:tcW w:w="1860" w:type="dxa"/>
            <w:vAlign w:val="center"/>
          </w:tcPr>
          <w:p>
            <w:pPr>
              <w:jc w:val="center"/>
              <w:rPr>
                <w:rFonts w:ascii="Times New Roman" w:hAnsi="Times New Roman"/>
              </w:rPr>
            </w:pPr>
            <w:r>
              <w:rPr>
                <w:rFonts w:ascii="Times New Roman" w:hAnsi="Times New Roman"/>
                <w:sz w:val="23"/>
                <w:szCs w:val="23"/>
              </w:rPr>
              <w:t>117.0</w:t>
            </w:r>
          </w:p>
        </w:tc>
        <w:tc>
          <w:tcPr>
            <w:tcW w:w="1950" w:type="dxa"/>
            <w:vAlign w:val="center"/>
          </w:tcPr>
          <w:p>
            <w:pPr>
              <w:jc w:val="center"/>
              <w:rPr>
                <w:rFonts w:ascii="Times New Roman" w:hAnsi="Times New Roman"/>
              </w:rPr>
            </w:pPr>
            <w:r>
              <w:rPr>
                <w:rFonts w:ascii="Times New Roman" w:hAnsi="Times New Roman"/>
                <w:sz w:val="23"/>
                <w:szCs w:val="23"/>
              </w:rPr>
              <w:t>117.0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980" w:type="dxa"/>
            <w:vAlign w:val="center"/>
          </w:tcPr>
          <w:p>
            <w:pPr>
              <w:jc w:val="center"/>
              <w:rPr>
                <w:rFonts w:ascii="Times New Roman" w:hAnsi="Times New Roman"/>
              </w:rPr>
            </w:pPr>
            <w:r>
              <w:rPr>
                <w:rFonts w:ascii="Times New Roman" w:hAnsi="Times New Roman"/>
                <w:sz w:val="23"/>
                <w:szCs w:val="23"/>
              </w:rPr>
              <w:t>D10%最远距离</w:t>
            </w:r>
          </w:p>
        </w:tc>
        <w:tc>
          <w:tcPr>
            <w:tcW w:w="1545" w:type="dxa"/>
            <w:vAlign w:val="center"/>
          </w:tcPr>
          <w:p>
            <w:pPr>
              <w:jc w:val="center"/>
              <w:rPr>
                <w:rFonts w:ascii="Times New Roman" w:hAnsi="Times New Roman"/>
              </w:rPr>
            </w:pPr>
            <w:r>
              <w:rPr>
                <w:rFonts w:ascii="Times New Roman" w:hAnsi="Times New Roman"/>
                <w:sz w:val="23"/>
                <w:szCs w:val="23"/>
              </w:rPr>
              <w:t>/</w:t>
            </w:r>
          </w:p>
        </w:tc>
        <w:tc>
          <w:tcPr>
            <w:tcW w:w="1695" w:type="dxa"/>
            <w:vAlign w:val="center"/>
          </w:tcPr>
          <w:p>
            <w:pPr>
              <w:jc w:val="center"/>
              <w:rPr>
                <w:rFonts w:ascii="Times New Roman" w:hAnsi="Times New Roman"/>
              </w:rPr>
            </w:pPr>
            <w:r>
              <w:rPr>
                <w:rFonts w:ascii="Times New Roman" w:hAnsi="Times New Roman"/>
                <w:sz w:val="23"/>
                <w:szCs w:val="23"/>
              </w:rPr>
              <w:t>/</w:t>
            </w:r>
          </w:p>
        </w:tc>
        <w:tc>
          <w:tcPr>
            <w:tcW w:w="1860" w:type="dxa"/>
            <w:vAlign w:val="center"/>
          </w:tcPr>
          <w:p>
            <w:pPr>
              <w:jc w:val="center"/>
              <w:rPr>
                <w:rFonts w:ascii="Times New Roman" w:hAnsi="Times New Roman"/>
              </w:rPr>
            </w:pPr>
            <w:r>
              <w:rPr>
                <w:rFonts w:ascii="Times New Roman" w:hAnsi="Times New Roman"/>
                <w:sz w:val="23"/>
                <w:szCs w:val="23"/>
              </w:rPr>
              <w:t>/</w:t>
            </w:r>
          </w:p>
        </w:tc>
        <w:tc>
          <w:tcPr>
            <w:tcW w:w="1950" w:type="dxa"/>
            <w:vAlign w:val="center"/>
          </w:tcPr>
          <w:p>
            <w:pPr>
              <w:jc w:val="center"/>
              <w:rPr>
                <w:rFonts w:ascii="Times New Roman" w:hAnsi="Times New Roman"/>
              </w:rPr>
            </w:pPr>
            <w:r>
              <w:rPr>
                <w:rFonts w:ascii="Times New Roman" w:hAnsi="Times New Roman"/>
                <w:sz w:val="23"/>
                <w:szCs w:val="23"/>
              </w:rPr>
              <w:t>/</w:t>
            </w:r>
          </w:p>
        </w:tc>
      </w:tr>
    </w:tbl>
    <w:p>
      <w:pPr>
        <w:jc w:val="center"/>
        <w:rPr>
          <w:rFonts w:ascii="Times New Roman" w:hAnsi="Times New Roman"/>
          <w:b/>
          <w:bCs/>
          <w:sz w:val="24"/>
        </w:rPr>
      </w:pPr>
    </w:p>
    <w:p>
      <w:pPr>
        <w:jc w:val="center"/>
        <w:rPr>
          <w:rFonts w:ascii="Times New Roman" w:hAnsi="Times New Roman"/>
          <w:b/>
          <w:bCs/>
          <w:sz w:val="24"/>
        </w:rPr>
      </w:pPr>
    </w:p>
    <w:p>
      <w:pPr>
        <w:jc w:val="center"/>
        <w:rPr>
          <w:rFonts w:ascii="Times New Roman" w:hAnsi="Times New Roman"/>
          <w:snapToGrid w:val="0"/>
          <w:sz w:val="24"/>
        </w:rPr>
      </w:pPr>
      <w:r>
        <w:rPr>
          <w:rFonts w:ascii="Times New Roman" w:hAnsi="Times New Roman"/>
          <w:b/>
          <w:bCs/>
          <w:sz w:val="24"/>
        </w:rPr>
        <w:t>表5.1-</w:t>
      </w:r>
      <w:r>
        <w:rPr>
          <w:rFonts w:hint="eastAsia" w:ascii="Times New Roman" w:hAnsi="Times New Roman"/>
          <w:b/>
          <w:bCs/>
          <w:sz w:val="24"/>
        </w:rPr>
        <w:t>7</w:t>
      </w:r>
      <w:r>
        <w:rPr>
          <w:rFonts w:ascii="Times New Roman" w:hAnsi="Times New Roman"/>
          <w:b/>
          <w:bCs/>
          <w:sz w:val="24"/>
        </w:rPr>
        <w:t xml:space="preserve">         饲料加工面源TSP估算模式计算结果一览表（面源</w:t>
      </w:r>
      <w:r>
        <w:rPr>
          <w:rFonts w:ascii="Times New Roman" w:hAnsi="Times New Roman"/>
          <w:sz w:val="24"/>
        </w:rPr>
        <w:t>）</w:t>
      </w:r>
    </w:p>
    <w:tbl>
      <w:tblPr>
        <w:tblStyle w:val="29"/>
        <w:tblW w:w="9101" w:type="dxa"/>
        <w:tblInd w:w="79"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763"/>
        <w:gridCol w:w="3162"/>
        <w:gridCol w:w="31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vMerge w:val="restart"/>
            <w:tcBorders>
              <w:tl2br w:val="nil"/>
              <w:tr2bl w:val="nil"/>
            </w:tcBorders>
            <w:vAlign w:val="center"/>
          </w:tcPr>
          <w:p>
            <w:pPr>
              <w:jc w:val="center"/>
              <w:rPr>
                <w:rFonts w:ascii="Times New Roman" w:hAnsi="Times New Roman"/>
                <w:b/>
                <w:bCs/>
              </w:rPr>
            </w:pPr>
            <w:r>
              <w:rPr>
                <w:rFonts w:ascii="Times New Roman" w:hAnsi="Times New Roman"/>
                <w:b/>
                <w:bCs/>
                <w:sz w:val="23"/>
                <w:szCs w:val="23"/>
              </w:rPr>
              <w:t>下风向距离</w:t>
            </w:r>
          </w:p>
        </w:tc>
        <w:tc>
          <w:tcPr>
            <w:tcW w:w="6338" w:type="dxa"/>
            <w:gridSpan w:val="2"/>
            <w:tcBorders>
              <w:tl2br w:val="nil"/>
              <w:tr2bl w:val="nil"/>
            </w:tcBorders>
            <w:vAlign w:val="center"/>
          </w:tcPr>
          <w:p>
            <w:pPr>
              <w:jc w:val="center"/>
              <w:rPr>
                <w:rFonts w:ascii="Times New Roman" w:hAnsi="Times New Roman"/>
                <w:b/>
                <w:bCs/>
              </w:rPr>
            </w:pPr>
            <w:r>
              <w:rPr>
                <w:rFonts w:ascii="Times New Roman" w:hAnsi="Times New Roman"/>
                <w:b/>
                <w:bCs/>
                <w:sz w:val="23"/>
                <w:szCs w:val="23"/>
              </w:rPr>
              <w:t>饲料加工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vMerge w:val="continue"/>
            <w:tcBorders>
              <w:tl2br w:val="nil"/>
              <w:tr2bl w:val="nil"/>
            </w:tcBorders>
            <w:vAlign w:val="center"/>
          </w:tcPr>
          <w:p>
            <w:pPr>
              <w:jc w:val="center"/>
              <w:rPr>
                <w:rFonts w:ascii="Times New Roman" w:hAnsi="Times New Roman"/>
                <w:b/>
                <w:bCs/>
              </w:rPr>
            </w:pPr>
          </w:p>
        </w:tc>
        <w:tc>
          <w:tcPr>
            <w:tcW w:w="3162" w:type="dxa"/>
            <w:tcBorders>
              <w:tl2br w:val="nil"/>
              <w:tr2bl w:val="nil"/>
            </w:tcBorders>
            <w:vAlign w:val="center"/>
          </w:tcPr>
          <w:p>
            <w:pPr>
              <w:jc w:val="center"/>
              <w:rPr>
                <w:rFonts w:ascii="Times New Roman" w:hAnsi="Times New Roman"/>
                <w:b/>
                <w:bCs/>
              </w:rPr>
            </w:pPr>
            <w:r>
              <w:rPr>
                <w:rFonts w:ascii="Times New Roman" w:hAnsi="Times New Roman"/>
                <w:b/>
                <w:bCs/>
                <w:sz w:val="23"/>
                <w:szCs w:val="23"/>
              </w:rPr>
              <w:t>TSP浓度(μg/m³)</w:t>
            </w:r>
          </w:p>
        </w:tc>
        <w:tc>
          <w:tcPr>
            <w:tcW w:w="3176" w:type="dxa"/>
            <w:tcBorders>
              <w:tl2br w:val="nil"/>
              <w:tr2bl w:val="nil"/>
            </w:tcBorders>
            <w:vAlign w:val="center"/>
          </w:tcPr>
          <w:p>
            <w:pPr>
              <w:jc w:val="center"/>
              <w:rPr>
                <w:rFonts w:ascii="Times New Roman" w:hAnsi="Times New Roman"/>
                <w:b/>
                <w:bCs/>
              </w:rPr>
            </w:pPr>
            <w:r>
              <w:rPr>
                <w:rFonts w:ascii="Times New Roman" w:hAnsi="Times New Roman"/>
                <w:b/>
                <w:bCs/>
                <w:sz w:val="23"/>
                <w:szCs w:val="23"/>
              </w:rPr>
              <w:t>TSP占标率(%)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50.0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0.4013</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0.0446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100.0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0.2830</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0.0314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200.0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0.2265</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0.0252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300.0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0.1913</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0.0213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400.0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0.1657</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0.0184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500.0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0.1449</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0.0161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600.0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0.1284</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0.0143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700.0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0.1150</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0.0128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800.0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0.1042</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900.0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0.0951</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0.0106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1000.0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0.0880</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0.0098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1200.0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0.0765</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0.0085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1400.0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0.0677</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0.0075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1600.0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0.0606</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0.0067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1800.0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0.0552</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0.0061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2000.0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0.0513</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0.0057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2500.0</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0.0435</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0.0048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下风向最大浓度</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0.5958</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0.0662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下风向最大浓度出现距离</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23.0</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23.0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63" w:type="dxa"/>
            <w:tcBorders>
              <w:tl2br w:val="nil"/>
              <w:tr2bl w:val="nil"/>
            </w:tcBorders>
            <w:vAlign w:val="center"/>
          </w:tcPr>
          <w:p>
            <w:pPr>
              <w:jc w:val="center"/>
              <w:rPr>
                <w:rFonts w:ascii="Times New Roman" w:hAnsi="Times New Roman"/>
              </w:rPr>
            </w:pPr>
            <w:r>
              <w:rPr>
                <w:rFonts w:ascii="Times New Roman" w:hAnsi="Times New Roman"/>
                <w:sz w:val="23"/>
                <w:szCs w:val="23"/>
              </w:rPr>
              <w:t>D10%最远距离</w:t>
            </w:r>
          </w:p>
        </w:tc>
        <w:tc>
          <w:tcPr>
            <w:tcW w:w="3162" w:type="dxa"/>
            <w:tcBorders>
              <w:tl2br w:val="nil"/>
              <w:tr2bl w:val="nil"/>
            </w:tcBorders>
            <w:vAlign w:val="center"/>
          </w:tcPr>
          <w:p>
            <w:pPr>
              <w:jc w:val="center"/>
              <w:rPr>
                <w:rFonts w:ascii="Times New Roman" w:hAnsi="Times New Roman"/>
              </w:rPr>
            </w:pPr>
            <w:r>
              <w:rPr>
                <w:rFonts w:ascii="Times New Roman" w:hAnsi="Times New Roman"/>
                <w:sz w:val="23"/>
                <w:szCs w:val="23"/>
              </w:rPr>
              <w:t>/</w:t>
            </w:r>
          </w:p>
        </w:tc>
        <w:tc>
          <w:tcPr>
            <w:tcW w:w="3176" w:type="dxa"/>
            <w:tcBorders>
              <w:tl2br w:val="nil"/>
              <w:tr2bl w:val="nil"/>
            </w:tcBorders>
            <w:vAlign w:val="center"/>
          </w:tcPr>
          <w:p>
            <w:pPr>
              <w:jc w:val="center"/>
              <w:rPr>
                <w:rFonts w:ascii="Times New Roman" w:hAnsi="Times New Roman"/>
              </w:rPr>
            </w:pPr>
            <w:r>
              <w:rPr>
                <w:rFonts w:ascii="Times New Roman" w:hAnsi="Times New Roman"/>
                <w:sz w:val="23"/>
                <w:szCs w:val="23"/>
              </w:rPr>
              <w:t>/</w:t>
            </w:r>
          </w:p>
        </w:tc>
      </w:tr>
    </w:tbl>
    <w:p>
      <w:pPr>
        <w:pStyle w:val="63"/>
        <w:adjustRightInd w:val="0"/>
        <w:snapToGrid w:val="0"/>
        <w:spacing w:line="540" w:lineRule="exact"/>
        <w:ind w:firstLine="480"/>
        <w:rPr>
          <w:rFonts w:ascii="Times New Roman" w:hAnsi="Times New Roman"/>
          <w:szCs w:val="24"/>
        </w:rPr>
      </w:pPr>
      <w:r>
        <w:rPr>
          <w:rFonts w:ascii="Times New Roman" w:hAnsi="Times New Roman"/>
          <w:szCs w:val="24"/>
        </w:rPr>
        <w:t>牛棚NH</w:t>
      </w:r>
      <w:r>
        <w:rPr>
          <w:rFonts w:ascii="Times New Roman" w:hAnsi="Times New Roman"/>
          <w:szCs w:val="24"/>
          <w:vertAlign w:val="subscript"/>
        </w:rPr>
        <w:t>3</w:t>
      </w:r>
      <w:r>
        <w:rPr>
          <w:rFonts w:ascii="Times New Roman" w:hAnsi="Times New Roman"/>
          <w:szCs w:val="24"/>
        </w:rPr>
        <w:t>和H</w:t>
      </w:r>
      <w:r>
        <w:rPr>
          <w:rFonts w:ascii="Times New Roman" w:hAnsi="Times New Roman"/>
          <w:szCs w:val="24"/>
          <w:vertAlign w:val="subscript"/>
        </w:rPr>
        <w:t>2</w:t>
      </w:r>
      <w:r>
        <w:rPr>
          <w:rFonts w:ascii="Times New Roman" w:hAnsi="Times New Roman"/>
          <w:szCs w:val="24"/>
        </w:rPr>
        <w:t>S的最大落地浓度分别为</w:t>
      </w:r>
      <w:r>
        <w:rPr>
          <w:rFonts w:hint="eastAsia" w:ascii="Times New Roman" w:hAnsi="Times New Roman"/>
          <w:szCs w:val="24"/>
        </w:rPr>
        <w:t>4.3683</w:t>
      </w:r>
      <w:r>
        <w:rPr>
          <w:rFonts w:ascii="Times New Roman" w:hAnsi="Times New Roman"/>
          <w:szCs w:val="24"/>
        </w:rPr>
        <w:t>ug/m</w:t>
      </w:r>
      <w:r>
        <w:rPr>
          <w:rFonts w:ascii="Times New Roman" w:hAnsi="Times New Roman"/>
          <w:szCs w:val="24"/>
          <w:vertAlign w:val="superscript"/>
        </w:rPr>
        <w:t>3</w:t>
      </w:r>
      <w:r>
        <w:rPr>
          <w:rFonts w:ascii="Times New Roman" w:hAnsi="Times New Roman"/>
          <w:szCs w:val="24"/>
        </w:rPr>
        <w:t>、</w:t>
      </w:r>
      <w:r>
        <w:rPr>
          <w:rFonts w:hint="eastAsia" w:ascii="Times New Roman" w:hAnsi="Times New Roman"/>
          <w:szCs w:val="24"/>
        </w:rPr>
        <w:t>0.2890</w:t>
      </w:r>
      <w:r>
        <w:rPr>
          <w:rFonts w:ascii="Times New Roman" w:hAnsi="Times New Roman"/>
          <w:szCs w:val="24"/>
        </w:rPr>
        <w:t>ug/m</w:t>
      </w:r>
      <w:r>
        <w:rPr>
          <w:rFonts w:ascii="Times New Roman" w:hAnsi="Times New Roman"/>
          <w:szCs w:val="24"/>
          <w:vertAlign w:val="superscript"/>
        </w:rPr>
        <w:t>3</w:t>
      </w:r>
      <w:r>
        <w:rPr>
          <w:rFonts w:ascii="Times New Roman" w:hAnsi="Times New Roman"/>
          <w:szCs w:val="24"/>
        </w:rPr>
        <w:t>，最大浓度占标率分别为</w:t>
      </w:r>
      <w:r>
        <w:rPr>
          <w:rFonts w:hint="eastAsia" w:ascii="Times New Roman" w:hAnsi="Times New Roman"/>
          <w:szCs w:val="24"/>
        </w:rPr>
        <w:t>2.1841</w:t>
      </w:r>
      <w:r>
        <w:rPr>
          <w:rFonts w:ascii="Times New Roman" w:hAnsi="Times New Roman"/>
          <w:szCs w:val="24"/>
        </w:rPr>
        <w:t>%、</w:t>
      </w:r>
      <w:r>
        <w:rPr>
          <w:rFonts w:hint="eastAsia" w:ascii="Times New Roman" w:hAnsi="Times New Roman"/>
          <w:szCs w:val="24"/>
        </w:rPr>
        <w:t>2.8898</w:t>
      </w:r>
      <w:r>
        <w:rPr>
          <w:rFonts w:ascii="Times New Roman" w:hAnsi="Times New Roman"/>
          <w:szCs w:val="24"/>
        </w:rPr>
        <w:t>%；</w:t>
      </w:r>
      <w:r>
        <w:rPr>
          <w:rFonts w:hint="eastAsia" w:ascii="Times New Roman" w:hAnsi="Times New Roman"/>
          <w:szCs w:val="24"/>
          <w:lang w:eastAsia="zh-CN"/>
        </w:rPr>
        <w:t>积粪场</w:t>
      </w:r>
      <w:r>
        <w:rPr>
          <w:rFonts w:ascii="Times New Roman" w:hAnsi="Times New Roman"/>
          <w:szCs w:val="24"/>
        </w:rPr>
        <w:t>NH</w:t>
      </w:r>
      <w:r>
        <w:rPr>
          <w:rFonts w:ascii="Times New Roman" w:hAnsi="Times New Roman"/>
          <w:szCs w:val="24"/>
          <w:vertAlign w:val="subscript"/>
        </w:rPr>
        <w:t>3</w:t>
      </w:r>
      <w:r>
        <w:rPr>
          <w:rFonts w:ascii="Times New Roman" w:hAnsi="Times New Roman"/>
          <w:szCs w:val="24"/>
        </w:rPr>
        <w:t>和H</w:t>
      </w:r>
      <w:r>
        <w:rPr>
          <w:rFonts w:ascii="Times New Roman" w:hAnsi="Times New Roman"/>
          <w:szCs w:val="24"/>
          <w:vertAlign w:val="subscript"/>
        </w:rPr>
        <w:t>2</w:t>
      </w:r>
      <w:r>
        <w:rPr>
          <w:rFonts w:ascii="Times New Roman" w:hAnsi="Times New Roman"/>
          <w:szCs w:val="24"/>
        </w:rPr>
        <w:t>S的最大落地浓度分别为</w:t>
      </w:r>
      <w:r>
        <w:rPr>
          <w:rFonts w:hint="eastAsia" w:ascii="Times New Roman" w:hAnsi="Times New Roman"/>
          <w:szCs w:val="24"/>
        </w:rPr>
        <w:t>1.1755</w:t>
      </w:r>
      <w:r>
        <w:rPr>
          <w:rFonts w:ascii="Times New Roman" w:hAnsi="Times New Roman"/>
          <w:szCs w:val="24"/>
        </w:rPr>
        <w:t>ug/m</w:t>
      </w:r>
      <w:r>
        <w:rPr>
          <w:rFonts w:ascii="Times New Roman" w:hAnsi="Times New Roman"/>
          <w:szCs w:val="24"/>
          <w:vertAlign w:val="superscript"/>
        </w:rPr>
        <w:t>3</w:t>
      </w:r>
      <w:r>
        <w:rPr>
          <w:rFonts w:ascii="Times New Roman" w:hAnsi="Times New Roman"/>
          <w:szCs w:val="24"/>
        </w:rPr>
        <w:t>、</w:t>
      </w:r>
      <w:r>
        <w:rPr>
          <w:rFonts w:hint="eastAsia" w:ascii="Times New Roman" w:hAnsi="Times New Roman"/>
          <w:szCs w:val="24"/>
          <w:lang w:bidi="ar"/>
        </w:rPr>
        <w:t>0.2283</w:t>
      </w:r>
      <w:r>
        <w:rPr>
          <w:rFonts w:ascii="Times New Roman" w:hAnsi="Times New Roman"/>
          <w:szCs w:val="24"/>
        </w:rPr>
        <w:t>ug/m</w:t>
      </w:r>
      <w:r>
        <w:rPr>
          <w:rFonts w:ascii="Times New Roman" w:hAnsi="Times New Roman"/>
          <w:szCs w:val="24"/>
          <w:vertAlign w:val="superscript"/>
        </w:rPr>
        <w:t>3</w:t>
      </w:r>
      <w:r>
        <w:rPr>
          <w:rFonts w:ascii="Times New Roman" w:hAnsi="Times New Roman"/>
          <w:szCs w:val="24"/>
        </w:rPr>
        <w:t>，最大浓度占标率分别为</w:t>
      </w:r>
      <w:r>
        <w:rPr>
          <w:rFonts w:hint="eastAsia" w:ascii="Times New Roman" w:hAnsi="Times New Roman"/>
          <w:szCs w:val="24"/>
          <w:lang w:bidi="ar"/>
        </w:rPr>
        <w:t>0.5877</w:t>
      </w:r>
      <w:r>
        <w:rPr>
          <w:rFonts w:ascii="Times New Roman" w:hAnsi="Times New Roman"/>
          <w:szCs w:val="24"/>
        </w:rPr>
        <w:t>%、</w:t>
      </w:r>
      <w:r>
        <w:rPr>
          <w:rFonts w:hint="eastAsia" w:ascii="Times New Roman" w:hAnsi="Times New Roman"/>
          <w:szCs w:val="24"/>
          <w:lang w:bidi="ar"/>
        </w:rPr>
        <w:t>2.2825</w:t>
      </w:r>
      <w:r>
        <w:rPr>
          <w:rFonts w:ascii="Times New Roman" w:hAnsi="Times New Roman"/>
          <w:szCs w:val="24"/>
        </w:rPr>
        <w:t>%；；NH</w:t>
      </w:r>
      <w:r>
        <w:rPr>
          <w:rFonts w:ascii="Times New Roman" w:hAnsi="Times New Roman"/>
          <w:szCs w:val="24"/>
          <w:vertAlign w:val="subscript"/>
        </w:rPr>
        <w:t>3</w:t>
      </w:r>
      <w:r>
        <w:rPr>
          <w:rFonts w:ascii="Times New Roman" w:hAnsi="Times New Roman"/>
          <w:szCs w:val="24"/>
        </w:rPr>
        <w:t>和H</w:t>
      </w:r>
      <w:r>
        <w:rPr>
          <w:rFonts w:ascii="Times New Roman" w:hAnsi="Times New Roman"/>
          <w:szCs w:val="24"/>
          <w:vertAlign w:val="subscript"/>
        </w:rPr>
        <w:t>2</w:t>
      </w:r>
      <w:r>
        <w:rPr>
          <w:rFonts w:ascii="Times New Roman" w:hAnsi="Times New Roman"/>
          <w:szCs w:val="24"/>
        </w:rPr>
        <w:t>S的最大落地浓度均小于《环境影响评价技术导则大气环境》（HJ2.2-2018）中附录D中其他污染物空气质量浓度限值。</w:t>
      </w:r>
    </w:p>
    <w:p>
      <w:pPr>
        <w:pStyle w:val="13"/>
        <w:adjustRightInd w:val="0"/>
        <w:snapToGrid w:val="0"/>
        <w:spacing w:line="540" w:lineRule="exact"/>
        <w:ind w:firstLine="480"/>
        <w:rPr>
          <w:rFonts w:ascii="Times New Roman" w:hAnsi="Times New Roman"/>
          <w:sz w:val="24"/>
        </w:rPr>
      </w:pPr>
      <w:r>
        <w:rPr>
          <w:rFonts w:ascii="Times New Roman" w:hAnsi="Times New Roman"/>
          <w:sz w:val="24"/>
        </w:rPr>
        <w:t>饲料加工无组织TSP的最大落地浓度为</w:t>
      </w:r>
      <w:r>
        <w:rPr>
          <w:rFonts w:hint="eastAsia" w:ascii="Times New Roman" w:hAnsi="Times New Roman"/>
          <w:sz w:val="24"/>
          <w:lang w:bidi="ar"/>
        </w:rPr>
        <w:t>0.5958</w:t>
      </w:r>
      <w:r>
        <w:rPr>
          <w:rFonts w:ascii="Times New Roman" w:hAnsi="Times New Roman"/>
          <w:sz w:val="24"/>
        </w:rPr>
        <w:t>μg/m</w:t>
      </w:r>
      <w:r>
        <w:rPr>
          <w:rFonts w:ascii="Times New Roman" w:hAnsi="Times New Roman"/>
          <w:sz w:val="24"/>
          <w:vertAlign w:val="superscript"/>
        </w:rPr>
        <w:t>3</w:t>
      </w:r>
      <w:r>
        <w:rPr>
          <w:rFonts w:ascii="Times New Roman" w:hAnsi="Times New Roman"/>
          <w:sz w:val="24"/>
        </w:rPr>
        <w:t>，最大浓度占标率为</w:t>
      </w:r>
      <w:r>
        <w:rPr>
          <w:rFonts w:hint="eastAsia" w:ascii="Times New Roman" w:hAnsi="Times New Roman"/>
          <w:sz w:val="24"/>
          <w:lang w:bidi="ar"/>
        </w:rPr>
        <w:t>0.0662</w:t>
      </w:r>
      <w:r>
        <w:rPr>
          <w:rFonts w:ascii="Times New Roman" w:hAnsi="Times New Roman"/>
          <w:sz w:val="24"/>
        </w:rPr>
        <w:t>%。最大落地浓度小于《大气污染物综合排放标准》（GB16297-1996）表2中二级标准及无组织排放监控浓度限值要求。</w:t>
      </w:r>
    </w:p>
    <w:p>
      <w:pPr>
        <w:pStyle w:val="63"/>
        <w:adjustRightInd w:val="0"/>
        <w:snapToGrid w:val="0"/>
        <w:spacing w:line="540" w:lineRule="exact"/>
        <w:ind w:firstLine="480"/>
        <w:rPr>
          <w:rFonts w:ascii="Times New Roman" w:hAnsi="Times New Roman"/>
          <w:szCs w:val="24"/>
        </w:rPr>
      </w:pPr>
      <w:r>
        <w:rPr>
          <w:rFonts w:ascii="Times New Roman" w:hAnsi="Times New Roman"/>
          <w:szCs w:val="24"/>
        </w:rPr>
        <w:t>本项目所在区域主导风向为</w:t>
      </w:r>
      <w:r>
        <w:rPr>
          <w:rFonts w:hint="eastAsia" w:ascii="Times New Roman" w:hAnsi="Times New Roman"/>
          <w:szCs w:val="24"/>
        </w:rPr>
        <w:t>东南风</w:t>
      </w:r>
      <w:r>
        <w:rPr>
          <w:rFonts w:ascii="Times New Roman" w:hAnsi="Times New Roman"/>
          <w:szCs w:val="24"/>
        </w:rPr>
        <w:t>，粪污处理区处于项目生活管理区的侧风向，养殖场与生活区其间布置道路、绿化地带等，实现净道和污道分开，互不交叉，可有效减轻恶臭气体对场区内的影响。本项目从源头减缓恶臭；</w:t>
      </w:r>
      <w:r>
        <w:rPr>
          <w:rFonts w:ascii="Times New Roman" w:hAnsi="Times New Roman"/>
          <w:bCs/>
          <w:szCs w:val="24"/>
        </w:rPr>
        <w:t>定期喷洒除臭剂，牛粪及时清理；</w:t>
      </w:r>
      <w:r>
        <w:rPr>
          <w:rFonts w:ascii="Times New Roman" w:hAnsi="Times New Roman"/>
          <w:szCs w:val="24"/>
        </w:rPr>
        <w:t>同时，建设单位在场区四周种植高4～5m的绿色隔离带，在树种选择上，选用白杨树、沙枣树、国槐等本地树种；通过加强恶臭污染源管理并严格执行评价提出的污染防治措施，本项目产生的恶臭对周围环境空气质量的影响是可以接受的。</w:t>
      </w:r>
    </w:p>
    <w:p>
      <w:pPr>
        <w:pStyle w:val="6"/>
        <w:snapToGrid w:val="0"/>
        <w:spacing w:before="120" w:after="120" w:line="540" w:lineRule="exact"/>
        <w:contextualSpacing/>
        <w:rPr>
          <w:rFonts w:ascii="Times New Roman" w:hAnsi="Times New Roman" w:eastAsia="宋体"/>
          <w:bCs w:val="0"/>
          <w:sz w:val="24"/>
        </w:rPr>
      </w:pPr>
      <w:r>
        <w:rPr>
          <w:rFonts w:ascii="Times New Roman" w:hAnsi="Times New Roman" w:eastAsia="宋体"/>
          <w:bCs w:val="0"/>
          <w:sz w:val="24"/>
        </w:rPr>
        <w:t>5.1.2.3卫生防护距离</w:t>
      </w:r>
    </w:p>
    <w:p>
      <w:pPr>
        <w:adjustRightInd w:val="0"/>
        <w:snapToGrid w:val="0"/>
        <w:spacing w:line="540" w:lineRule="exact"/>
        <w:ind w:firstLine="480" w:firstLineChars="200"/>
        <w:rPr>
          <w:rFonts w:hint="eastAsia" w:ascii="Times New Roman" w:hAnsi="Times New Roman" w:eastAsia="宋体"/>
          <w:sz w:val="24"/>
          <w:lang w:eastAsia="zh-CN"/>
        </w:rPr>
      </w:pPr>
      <w:r>
        <w:rPr>
          <w:rFonts w:ascii="Times New Roman" w:hAnsi="Times New Roman"/>
          <w:sz w:val="24"/>
        </w:rPr>
        <w:t>根据《畜禽养殖业污染防治技术规范》（HJ/T81-2001）中第 3 节对养殖场选址的要求：“禁止在下列区域内建设畜禽养殖场：生活饮用水水源保护区、风景名胜区、自然保护区的核心区及缓冲区；城市和城镇居民区，包括文教科研区、医疗区、商业区、工业区、游览区等人口集中地区；县级人民政府依法划定的禁养区域；国家或地方法律、法规规定需特殊保护的其他区域。新建、改建、扩建的畜禽养殖场应避开规定的禁建区域，在禁建区域附近建设的，应设在规定的禁建区域常年主导风向的下风向或侧风向处，场界与禁建区域边界的最小距离不得小于500m。</w:t>
      </w:r>
      <w:r>
        <w:rPr>
          <w:rFonts w:hint="eastAsia" w:ascii="Times New Roman" w:hAnsi="Times New Roman"/>
          <w:sz w:val="24"/>
          <w:lang w:eastAsia="zh-CN"/>
        </w:rPr>
        <w:t>已取得隆德县动物疾病预防控制中心的动物饲养场（养殖小区）确认选址动物防疫风险评估（见附件）。</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因此，本项目卫生防护距离确定为项目各边界外500m距离。根据现场勘查，项目位于</w:t>
      </w:r>
      <w:r>
        <w:rPr>
          <w:rFonts w:hint="eastAsia" w:ascii="Times New Roman" w:hAnsi="Times New Roman"/>
          <w:sz w:val="24"/>
        </w:rPr>
        <w:t>固原市隆德县神林乡神林村</w:t>
      </w:r>
      <w:r>
        <w:rPr>
          <w:rFonts w:ascii="Times New Roman" w:hAnsi="Times New Roman"/>
          <w:sz w:val="24"/>
        </w:rPr>
        <w:t>，</w:t>
      </w:r>
      <w:r>
        <w:rPr>
          <w:rFonts w:ascii="Times New Roman" w:hAnsi="Times New Roman"/>
          <w:sz w:val="24"/>
          <w:highlight w:val="none"/>
        </w:rPr>
        <w:t>距离本项目边界500m范围内无学校、居民区等环境敏感点，符合卫生防护距离要求。今后在规划建设中，本项目卫生防护距离内不得新建居民区、学校、医院等环境敏感点。</w:t>
      </w:r>
    </w:p>
    <w:p>
      <w:pPr>
        <w:pStyle w:val="52"/>
        <w:keepNext/>
        <w:keepLines/>
        <w:pageBreakBefore w:val="0"/>
        <w:widowControl/>
        <w:tabs>
          <w:tab w:val="left" w:pos="284"/>
        </w:tabs>
        <w:kinsoku/>
        <w:wordWrap/>
        <w:overflowPunct/>
        <w:topLinePunct w:val="0"/>
        <w:autoSpaceDE/>
        <w:autoSpaceDN/>
        <w:bidi w:val="0"/>
        <w:adjustRightInd/>
        <w:snapToGrid w:val="0"/>
        <w:spacing w:before="0" w:after="0" w:afterLines="0" w:line="540" w:lineRule="exact"/>
        <w:contextualSpacing/>
        <w:textAlignment w:val="auto"/>
        <w:rPr>
          <w:rFonts w:cs="Times New Roman"/>
          <w:bCs w:val="0"/>
          <w:snapToGrid w:val="0"/>
          <w:kern w:val="0"/>
          <w:sz w:val="28"/>
          <w:szCs w:val="28"/>
        </w:rPr>
      </w:pPr>
      <w:bookmarkStart w:id="676" w:name="_Toc19313"/>
      <w:bookmarkStart w:id="677" w:name="_Toc23144"/>
      <w:r>
        <w:rPr>
          <w:rFonts w:cs="Times New Roman"/>
          <w:bCs w:val="0"/>
          <w:snapToGrid w:val="0"/>
          <w:kern w:val="0"/>
          <w:sz w:val="28"/>
          <w:szCs w:val="28"/>
        </w:rPr>
        <w:t>5.1.3大气环境影响评价小结</w:t>
      </w:r>
      <w:bookmarkEnd w:id="676"/>
      <w:bookmarkEnd w:id="677"/>
    </w:p>
    <w:p>
      <w:pPr>
        <w:pStyle w:val="44"/>
        <w:snapToGrid w:val="0"/>
        <w:spacing w:line="540" w:lineRule="exact"/>
        <w:ind w:firstLine="480" w:firstLineChars="200"/>
        <w:jc w:val="both"/>
        <w:rPr>
          <w:rFonts w:ascii="Times New Roman" w:hAnsi="Times New Roman"/>
          <w:color w:val="auto"/>
          <w:kern w:val="2"/>
          <w:szCs w:val="20"/>
        </w:rPr>
      </w:pPr>
      <w:r>
        <w:rPr>
          <w:rFonts w:ascii="Times New Roman" w:hAnsi="Times New Roman"/>
          <w:color w:val="auto"/>
          <w:kern w:val="2"/>
          <w:szCs w:val="20"/>
        </w:rPr>
        <w:t>经估算以《环境空气质量标准》（GB3095-2012）、《环境影响评价技术导则 大气环境》（HJ2.2-2018）附录D相应浓度限值标准要求判定，特征污染物最大落地浓度贡献值满足标准要求。</w:t>
      </w:r>
    </w:p>
    <w:p>
      <w:pPr>
        <w:pStyle w:val="44"/>
        <w:snapToGrid w:val="0"/>
        <w:spacing w:line="540" w:lineRule="exact"/>
        <w:ind w:firstLine="480" w:firstLineChars="200"/>
        <w:jc w:val="both"/>
        <w:rPr>
          <w:rFonts w:ascii="Times New Roman" w:hAnsi="Times New Roman"/>
          <w:color w:val="auto"/>
          <w:kern w:val="2"/>
          <w:szCs w:val="20"/>
        </w:rPr>
      </w:pPr>
      <w:r>
        <w:rPr>
          <w:rFonts w:ascii="Times New Roman" w:hAnsi="Times New Roman"/>
          <w:color w:val="auto"/>
          <w:kern w:val="2"/>
          <w:szCs w:val="20"/>
        </w:rPr>
        <w:t>项目大气环境影响评价自查表详见表5.1-</w:t>
      </w:r>
      <w:r>
        <w:rPr>
          <w:rFonts w:hint="eastAsia" w:ascii="Times New Roman" w:hAnsi="Times New Roman"/>
          <w:color w:val="auto"/>
          <w:kern w:val="2"/>
          <w:szCs w:val="20"/>
        </w:rPr>
        <w:t>8</w:t>
      </w:r>
      <w:r>
        <w:rPr>
          <w:rFonts w:ascii="Times New Roman" w:hAnsi="Times New Roman"/>
          <w:color w:val="auto"/>
          <w:kern w:val="2"/>
          <w:szCs w:val="20"/>
        </w:rPr>
        <w:t>。</w:t>
      </w:r>
    </w:p>
    <w:p>
      <w:pPr>
        <w:pStyle w:val="44"/>
        <w:snapToGrid w:val="0"/>
        <w:spacing w:line="540" w:lineRule="exact"/>
        <w:jc w:val="center"/>
        <w:rPr>
          <w:rFonts w:ascii="Times New Roman" w:hAnsi="Times New Roman"/>
          <w:b/>
          <w:bCs/>
          <w:color w:val="auto"/>
        </w:rPr>
      </w:pPr>
      <w:r>
        <w:rPr>
          <w:rFonts w:ascii="Times New Roman" w:hAnsi="Times New Roman"/>
          <w:b/>
          <w:bCs/>
          <w:color w:val="auto"/>
        </w:rPr>
        <w:t>表5.1-</w:t>
      </w:r>
      <w:r>
        <w:rPr>
          <w:rFonts w:hint="eastAsia" w:ascii="Times New Roman" w:hAnsi="Times New Roman"/>
          <w:b/>
          <w:bCs/>
          <w:color w:val="auto"/>
        </w:rPr>
        <w:t>8</w:t>
      </w:r>
      <w:r>
        <w:rPr>
          <w:rFonts w:ascii="Times New Roman" w:hAnsi="Times New Roman"/>
          <w:b/>
          <w:bCs/>
          <w:color w:val="auto"/>
        </w:rPr>
        <w:t xml:space="preserve">   建设项目大气环境影响评价自查表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78"/>
        <w:gridCol w:w="1290"/>
        <w:gridCol w:w="1039"/>
        <w:gridCol w:w="69"/>
        <w:gridCol w:w="625"/>
        <w:gridCol w:w="163"/>
        <w:gridCol w:w="153"/>
        <w:gridCol w:w="214"/>
        <w:gridCol w:w="740"/>
        <w:gridCol w:w="58"/>
        <w:gridCol w:w="335"/>
        <w:gridCol w:w="212"/>
        <w:gridCol w:w="401"/>
        <w:gridCol w:w="613"/>
        <w:gridCol w:w="660"/>
        <w:gridCol w:w="120"/>
        <w:gridCol w:w="724"/>
        <w:gridCol w:w="87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40" w:type="dxa"/>
            <w:gridSpan w:val="2"/>
            <w:vAlign w:val="center"/>
          </w:tcPr>
          <w:p>
            <w:pPr>
              <w:pStyle w:val="7"/>
              <w:snapToGrid w:val="0"/>
              <w:spacing w:line="240" w:lineRule="auto"/>
              <w:ind w:firstLine="0" w:firstLineChars="0"/>
              <w:jc w:val="center"/>
              <w:rPr>
                <w:rFonts w:ascii="Times New Roman" w:hAnsi="Times New Roman" w:eastAsia="宋体"/>
                <w:b/>
                <w:sz w:val="21"/>
                <w:szCs w:val="21"/>
              </w:rPr>
            </w:pPr>
            <w:r>
              <w:rPr>
                <w:rFonts w:ascii="Times New Roman" w:hAnsi="Times New Roman" w:eastAsia="宋体"/>
                <w:b/>
                <w:sz w:val="21"/>
                <w:szCs w:val="21"/>
              </w:rPr>
              <w:t>工作内容</w:t>
            </w:r>
          </w:p>
        </w:tc>
        <w:tc>
          <w:tcPr>
            <w:tcW w:w="6908" w:type="dxa"/>
            <w:gridSpan w:val="16"/>
            <w:vAlign w:val="center"/>
          </w:tcPr>
          <w:p>
            <w:pPr>
              <w:pStyle w:val="7"/>
              <w:snapToGrid w:val="0"/>
              <w:spacing w:line="240" w:lineRule="auto"/>
              <w:ind w:firstLine="0" w:firstLineChars="0"/>
              <w:jc w:val="center"/>
              <w:rPr>
                <w:rFonts w:ascii="Times New Roman" w:hAnsi="Times New Roman" w:eastAsia="宋体"/>
                <w:b/>
                <w:sz w:val="21"/>
                <w:szCs w:val="21"/>
              </w:rPr>
            </w:pPr>
            <w:r>
              <w:rPr>
                <w:rFonts w:ascii="Times New Roman" w:hAnsi="Times New Roman" w:eastAsia="宋体"/>
                <w:b/>
                <w:sz w:val="21"/>
                <w:szCs w:val="21"/>
              </w:rPr>
              <w:t>自查项目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restart"/>
            <w:vAlign w:val="center"/>
          </w:tcPr>
          <w:p>
            <w:pPr>
              <w:pStyle w:val="7"/>
              <w:snapToGrid w:val="0"/>
              <w:spacing w:line="240" w:lineRule="auto"/>
              <w:ind w:firstLine="0" w:firstLineChars="0"/>
              <w:jc w:val="center"/>
              <w:rPr>
                <w:rFonts w:ascii="Times New Roman" w:hAnsi="Times New Roman" w:eastAsia="宋体"/>
                <w:bCs w:val="0"/>
                <w:sz w:val="21"/>
                <w:szCs w:val="21"/>
              </w:rPr>
            </w:pPr>
            <w:r>
              <w:rPr>
                <w:rFonts w:ascii="Times New Roman" w:hAnsi="Times New Roman" w:eastAsia="宋体"/>
                <w:bCs w:val="0"/>
                <w:sz w:val="21"/>
                <w:szCs w:val="21"/>
              </w:rPr>
              <w:t>评价等级与范围</w:t>
            </w: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评价等级</w:t>
            </w:r>
          </w:p>
        </w:tc>
        <w:tc>
          <w:tcPr>
            <w:tcW w:w="2233"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一级□</w:t>
            </w:r>
          </w:p>
        </w:tc>
        <w:tc>
          <w:tcPr>
            <w:tcW w:w="2327"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二级</w:t>
            </w:r>
            <w:r>
              <w:rPr>
                <w:rFonts w:ascii="Times New Roman" w:hAnsi="Times New Roman" w:eastAsia="宋体"/>
                <w:sz w:val="21"/>
                <w:szCs w:val="21"/>
              </w:rPr>
              <w:sym w:font="Wingdings 2" w:char="0052"/>
            </w:r>
          </w:p>
        </w:tc>
        <w:tc>
          <w:tcPr>
            <w:tcW w:w="2348" w:type="dxa"/>
            <w:gridSpan w:val="4"/>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评价范围</w:t>
            </w:r>
          </w:p>
        </w:tc>
        <w:tc>
          <w:tcPr>
            <w:tcW w:w="2233"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边长=50km□</w:t>
            </w:r>
          </w:p>
        </w:tc>
        <w:tc>
          <w:tcPr>
            <w:tcW w:w="2327"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边长=5~50km□</w:t>
            </w:r>
          </w:p>
        </w:tc>
        <w:tc>
          <w:tcPr>
            <w:tcW w:w="2348" w:type="dxa"/>
            <w:gridSpan w:val="4"/>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边长=5km</w:t>
            </w:r>
            <w:r>
              <w:rPr>
                <w:rFonts w:ascii="Times New Roman" w:hAnsi="Times New Roman" w:eastAsia="宋体"/>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restart"/>
            <w:vAlign w:val="center"/>
          </w:tcPr>
          <w:p>
            <w:pPr>
              <w:pStyle w:val="7"/>
              <w:snapToGrid w:val="0"/>
              <w:spacing w:line="240" w:lineRule="auto"/>
              <w:ind w:firstLine="0" w:firstLineChars="0"/>
              <w:jc w:val="center"/>
              <w:rPr>
                <w:rFonts w:ascii="Times New Roman" w:hAnsi="Times New Roman" w:eastAsia="宋体"/>
                <w:bCs w:val="0"/>
                <w:sz w:val="21"/>
                <w:szCs w:val="21"/>
              </w:rPr>
            </w:pPr>
            <w:r>
              <w:rPr>
                <w:rFonts w:ascii="Times New Roman" w:hAnsi="Times New Roman" w:eastAsia="宋体"/>
                <w:bCs w:val="0"/>
                <w:sz w:val="21"/>
                <w:szCs w:val="21"/>
              </w:rPr>
              <w:t>评价因子</w:t>
            </w:r>
          </w:p>
        </w:tc>
        <w:tc>
          <w:tcPr>
            <w:tcW w:w="1273" w:type="dxa"/>
            <w:vAlign w:val="center"/>
          </w:tcPr>
          <w:p>
            <w:pPr>
              <w:pStyle w:val="7"/>
              <w:snapToGrid w:val="0"/>
              <w:spacing w:line="240" w:lineRule="auto"/>
              <w:ind w:firstLine="0" w:firstLineChars="0"/>
              <w:jc w:val="center"/>
              <w:rPr>
                <w:rFonts w:ascii="Times New Roman" w:hAnsi="Times New Roman" w:eastAsia="宋体"/>
                <w:spacing w:val="-10"/>
                <w:sz w:val="21"/>
                <w:szCs w:val="21"/>
              </w:rPr>
            </w:pPr>
            <w:r>
              <w:rPr>
                <w:rFonts w:ascii="Times New Roman" w:hAnsi="Times New Roman" w:eastAsia="宋体"/>
                <w:spacing w:val="-10"/>
                <w:sz w:val="21"/>
                <w:szCs w:val="21"/>
              </w:rPr>
              <w:t>SO</w:t>
            </w:r>
            <w:r>
              <w:rPr>
                <w:rFonts w:ascii="Times New Roman" w:hAnsi="Times New Roman" w:eastAsia="宋体"/>
                <w:spacing w:val="-10"/>
                <w:sz w:val="21"/>
                <w:szCs w:val="21"/>
                <w:vertAlign w:val="subscript"/>
              </w:rPr>
              <w:t>2</w:t>
            </w:r>
            <w:r>
              <w:rPr>
                <w:rFonts w:ascii="Times New Roman" w:hAnsi="Times New Roman" w:eastAsia="宋体"/>
                <w:spacing w:val="-10"/>
                <w:sz w:val="21"/>
                <w:szCs w:val="21"/>
              </w:rPr>
              <w:t>+NO</w:t>
            </w:r>
            <w:r>
              <w:rPr>
                <w:rFonts w:ascii="Times New Roman" w:hAnsi="Times New Roman" w:eastAsia="宋体"/>
                <w:spacing w:val="-10"/>
                <w:sz w:val="21"/>
                <w:szCs w:val="21"/>
                <w:vertAlign w:val="subscript"/>
              </w:rPr>
              <w:t>2</w:t>
            </w:r>
            <w:r>
              <w:rPr>
                <w:rFonts w:ascii="Times New Roman" w:hAnsi="Times New Roman" w:eastAsia="宋体"/>
                <w:spacing w:val="-10"/>
                <w:sz w:val="21"/>
                <w:szCs w:val="21"/>
              </w:rPr>
              <w:t>排放量</w:t>
            </w:r>
          </w:p>
        </w:tc>
        <w:tc>
          <w:tcPr>
            <w:tcW w:w="2233"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≥2000t/a□</w:t>
            </w:r>
          </w:p>
        </w:tc>
        <w:tc>
          <w:tcPr>
            <w:tcW w:w="2327"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500~2000t/a□</w:t>
            </w:r>
          </w:p>
        </w:tc>
        <w:tc>
          <w:tcPr>
            <w:tcW w:w="2348" w:type="dxa"/>
            <w:gridSpan w:val="4"/>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＜500t/a□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评价因子</w:t>
            </w:r>
          </w:p>
        </w:tc>
        <w:tc>
          <w:tcPr>
            <w:tcW w:w="3955" w:type="dxa"/>
            <w:gridSpan w:val="11"/>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基本污染物（SO</w:t>
            </w:r>
            <w:r>
              <w:rPr>
                <w:rFonts w:ascii="Times New Roman" w:hAnsi="Times New Roman" w:eastAsia="宋体"/>
                <w:sz w:val="21"/>
                <w:szCs w:val="21"/>
                <w:vertAlign w:val="subscript"/>
              </w:rPr>
              <w:t>2</w:t>
            </w:r>
            <w:r>
              <w:rPr>
                <w:rFonts w:ascii="Times New Roman" w:hAnsi="Times New Roman" w:eastAsia="宋体"/>
                <w:sz w:val="21"/>
                <w:szCs w:val="21"/>
              </w:rPr>
              <w:t>、NO</w:t>
            </w:r>
            <w:r>
              <w:rPr>
                <w:rFonts w:ascii="Times New Roman" w:hAnsi="Times New Roman" w:eastAsia="宋体"/>
                <w:sz w:val="21"/>
                <w:szCs w:val="21"/>
                <w:vertAlign w:val="subscript"/>
              </w:rPr>
              <w:t>2</w:t>
            </w:r>
            <w:r>
              <w:rPr>
                <w:rFonts w:ascii="Times New Roman" w:hAnsi="Times New Roman" w:eastAsia="宋体"/>
                <w:sz w:val="21"/>
                <w:szCs w:val="21"/>
              </w:rPr>
              <w:t>、PM</w:t>
            </w:r>
            <w:r>
              <w:rPr>
                <w:rFonts w:ascii="Times New Roman" w:hAnsi="Times New Roman" w:eastAsia="宋体"/>
                <w:sz w:val="21"/>
                <w:szCs w:val="21"/>
                <w:vertAlign w:val="subscript"/>
              </w:rPr>
              <w:t>10</w:t>
            </w:r>
            <w:r>
              <w:rPr>
                <w:rFonts w:ascii="Times New Roman" w:hAnsi="Times New Roman" w:eastAsia="宋体"/>
                <w:sz w:val="21"/>
                <w:szCs w:val="21"/>
              </w:rPr>
              <w:t>、PM</w:t>
            </w:r>
            <w:r>
              <w:rPr>
                <w:rFonts w:ascii="Times New Roman" w:hAnsi="Times New Roman" w:eastAsia="宋体"/>
                <w:sz w:val="21"/>
                <w:szCs w:val="21"/>
                <w:vertAlign w:val="subscript"/>
              </w:rPr>
              <w:t>2.5</w:t>
            </w:r>
            <w:r>
              <w:rPr>
                <w:rFonts w:ascii="Times New Roman" w:hAnsi="Times New Roman" w:eastAsia="宋体"/>
                <w:sz w:val="21"/>
                <w:szCs w:val="21"/>
              </w:rPr>
              <w:t>、CO、O</w:t>
            </w:r>
            <w:r>
              <w:rPr>
                <w:rFonts w:ascii="Times New Roman" w:hAnsi="Times New Roman" w:eastAsia="宋体"/>
                <w:sz w:val="21"/>
                <w:szCs w:val="21"/>
                <w:vertAlign w:val="subscript"/>
              </w:rPr>
              <w:t>3</w:t>
            </w:r>
            <w:r>
              <w:rPr>
                <w:rFonts w:ascii="Times New Roman" w:hAnsi="Times New Roman" w:eastAsia="宋体"/>
                <w:sz w:val="21"/>
                <w:szCs w:val="21"/>
              </w:rPr>
              <w:t>）</w:t>
            </w:r>
          </w:p>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其它污染物（NH</w:t>
            </w:r>
            <w:r>
              <w:rPr>
                <w:rFonts w:ascii="Times New Roman" w:hAnsi="Times New Roman" w:eastAsia="宋体"/>
                <w:sz w:val="21"/>
                <w:szCs w:val="21"/>
                <w:vertAlign w:val="subscript"/>
              </w:rPr>
              <w:t>3</w:t>
            </w:r>
            <w:r>
              <w:rPr>
                <w:rFonts w:ascii="Times New Roman" w:hAnsi="Times New Roman" w:eastAsia="宋体"/>
                <w:sz w:val="21"/>
                <w:szCs w:val="21"/>
              </w:rPr>
              <w:t>、H</w:t>
            </w:r>
            <w:r>
              <w:rPr>
                <w:rFonts w:ascii="Times New Roman" w:hAnsi="Times New Roman" w:eastAsia="宋体"/>
                <w:sz w:val="21"/>
                <w:szCs w:val="21"/>
                <w:vertAlign w:val="subscript"/>
              </w:rPr>
              <w:t>2</w:t>
            </w:r>
            <w:r>
              <w:rPr>
                <w:rFonts w:ascii="Times New Roman" w:hAnsi="Times New Roman" w:eastAsia="宋体"/>
                <w:sz w:val="21"/>
                <w:szCs w:val="21"/>
              </w:rPr>
              <w:t>S、TSP）</w:t>
            </w:r>
          </w:p>
        </w:tc>
        <w:tc>
          <w:tcPr>
            <w:tcW w:w="2953" w:type="dxa"/>
            <w:gridSpan w:val="5"/>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包括二次PM</w:t>
            </w:r>
            <w:r>
              <w:rPr>
                <w:rFonts w:ascii="Times New Roman" w:hAnsi="Times New Roman" w:eastAsia="宋体"/>
                <w:sz w:val="21"/>
                <w:szCs w:val="21"/>
                <w:vertAlign w:val="subscript"/>
              </w:rPr>
              <w:t>2.5</w:t>
            </w:r>
            <w:r>
              <w:rPr>
                <w:rFonts w:ascii="Times New Roman" w:hAnsi="Times New Roman" w:eastAsia="宋体"/>
                <w:sz w:val="21"/>
                <w:szCs w:val="21"/>
              </w:rPr>
              <w:t>□</w:t>
            </w:r>
          </w:p>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不包括二次PM</w:t>
            </w:r>
            <w:r>
              <w:rPr>
                <w:rFonts w:ascii="Times New Roman" w:hAnsi="Times New Roman" w:eastAsia="宋体"/>
                <w:sz w:val="21"/>
                <w:szCs w:val="21"/>
                <w:vertAlign w:val="subscript"/>
              </w:rPr>
              <w:t>2.5</w:t>
            </w:r>
            <w:r>
              <w:rPr>
                <w:rFonts w:ascii="Times New Roman" w:hAnsi="Times New Roman" w:eastAsia="宋体"/>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restart"/>
            <w:vAlign w:val="center"/>
          </w:tcPr>
          <w:p>
            <w:pPr>
              <w:pStyle w:val="7"/>
              <w:snapToGrid w:val="0"/>
              <w:spacing w:line="240" w:lineRule="auto"/>
              <w:ind w:firstLine="0" w:firstLineChars="0"/>
              <w:jc w:val="center"/>
              <w:rPr>
                <w:rFonts w:ascii="Times New Roman" w:hAnsi="Times New Roman" w:eastAsia="宋体"/>
                <w:bCs w:val="0"/>
                <w:sz w:val="21"/>
                <w:szCs w:val="21"/>
              </w:rPr>
            </w:pPr>
            <w:r>
              <w:rPr>
                <w:rFonts w:ascii="Times New Roman" w:hAnsi="Times New Roman" w:eastAsia="宋体"/>
                <w:bCs w:val="0"/>
                <w:sz w:val="21"/>
                <w:szCs w:val="21"/>
              </w:rPr>
              <w:t>现状评价</w:t>
            </w: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环境功能区</w:t>
            </w:r>
          </w:p>
        </w:tc>
        <w:tc>
          <w:tcPr>
            <w:tcW w:w="2233"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一类区□</w:t>
            </w:r>
          </w:p>
        </w:tc>
        <w:tc>
          <w:tcPr>
            <w:tcW w:w="2327"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二类区</w:t>
            </w:r>
            <w:r>
              <w:rPr>
                <w:rFonts w:hint="eastAsia" w:ascii="Times New Roman" w:hAnsi="Times New Roman" w:eastAsia="宋体"/>
                <w:sz w:val="21"/>
                <w:szCs w:val="21"/>
              </w:rPr>
              <w:t>☑</w:t>
            </w:r>
          </w:p>
        </w:tc>
        <w:tc>
          <w:tcPr>
            <w:tcW w:w="2348" w:type="dxa"/>
            <w:gridSpan w:val="4"/>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一类区和二类区□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评价基准年</w:t>
            </w:r>
          </w:p>
        </w:tc>
        <w:tc>
          <w:tcPr>
            <w:tcW w:w="6908" w:type="dxa"/>
            <w:gridSpan w:val="1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（20</w:t>
            </w:r>
            <w:r>
              <w:rPr>
                <w:rFonts w:hint="eastAsia" w:ascii="Times New Roman" w:hAnsi="Times New Roman" w:eastAsia="宋体"/>
                <w:sz w:val="21"/>
                <w:szCs w:val="21"/>
              </w:rPr>
              <w:t>20</w:t>
            </w:r>
            <w:r>
              <w:rPr>
                <w:rFonts w:ascii="Times New Roman" w:hAnsi="Times New Roman" w:eastAsia="宋体"/>
                <w:sz w:val="21"/>
                <w:szCs w:val="21"/>
              </w:rPr>
              <w:t>）年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pacing w:val="-10"/>
                <w:sz w:val="21"/>
                <w:szCs w:val="21"/>
              </w:rPr>
            </w:pPr>
            <w:r>
              <w:rPr>
                <w:rFonts w:ascii="Times New Roman" w:hAnsi="Times New Roman" w:eastAsia="宋体"/>
                <w:sz w:val="21"/>
                <w:szCs w:val="21"/>
              </w:rPr>
              <w:t>环境空气质量</w:t>
            </w:r>
            <w:r>
              <w:rPr>
                <w:rFonts w:ascii="Times New Roman" w:hAnsi="Times New Roman" w:eastAsia="宋体"/>
                <w:spacing w:val="-10"/>
                <w:sz w:val="21"/>
                <w:szCs w:val="21"/>
              </w:rPr>
              <w:t>现状调查数据来源</w:t>
            </w:r>
          </w:p>
        </w:tc>
        <w:tc>
          <w:tcPr>
            <w:tcW w:w="2233"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长期例行监测数据□</w:t>
            </w:r>
          </w:p>
        </w:tc>
        <w:tc>
          <w:tcPr>
            <w:tcW w:w="2327"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pacing w:val="-12"/>
                <w:sz w:val="21"/>
                <w:szCs w:val="21"/>
              </w:rPr>
              <w:t>主管部门发布数据</w:t>
            </w:r>
            <w:r>
              <w:rPr>
                <w:rFonts w:hint="eastAsia" w:ascii="Times New Roman" w:hAnsi="Times New Roman" w:eastAsia="宋体"/>
                <w:sz w:val="21"/>
                <w:szCs w:val="21"/>
              </w:rPr>
              <w:t>☑</w:t>
            </w:r>
          </w:p>
        </w:tc>
        <w:tc>
          <w:tcPr>
            <w:tcW w:w="2348" w:type="dxa"/>
            <w:gridSpan w:val="4"/>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现状补充监测□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现状评价</w:t>
            </w:r>
          </w:p>
        </w:tc>
        <w:tc>
          <w:tcPr>
            <w:tcW w:w="3955" w:type="dxa"/>
            <w:gridSpan w:val="11"/>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达标区</w:t>
            </w:r>
            <w:r>
              <w:rPr>
                <w:rFonts w:hint="eastAsia" w:ascii="Times New Roman" w:hAnsi="Times New Roman" w:eastAsia="宋体"/>
                <w:sz w:val="21"/>
                <w:szCs w:val="21"/>
              </w:rPr>
              <w:t>☑</w:t>
            </w:r>
          </w:p>
        </w:tc>
        <w:tc>
          <w:tcPr>
            <w:tcW w:w="2953" w:type="dxa"/>
            <w:gridSpan w:val="5"/>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不达标区□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Align w:val="center"/>
          </w:tcPr>
          <w:p>
            <w:pPr>
              <w:pStyle w:val="7"/>
              <w:snapToGrid w:val="0"/>
              <w:spacing w:line="240" w:lineRule="auto"/>
              <w:ind w:firstLine="0" w:firstLineChars="0"/>
              <w:jc w:val="center"/>
              <w:rPr>
                <w:rFonts w:ascii="Times New Roman" w:hAnsi="Times New Roman" w:eastAsia="宋体"/>
                <w:bCs w:val="0"/>
                <w:sz w:val="21"/>
                <w:szCs w:val="21"/>
              </w:rPr>
            </w:pPr>
            <w:r>
              <w:rPr>
                <w:rFonts w:ascii="Times New Roman" w:hAnsi="Times New Roman" w:eastAsia="宋体"/>
                <w:bCs w:val="0"/>
                <w:sz w:val="21"/>
                <w:szCs w:val="21"/>
              </w:rPr>
              <w:t>污染源调查</w:t>
            </w: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调查内容</w:t>
            </w:r>
          </w:p>
        </w:tc>
        <w:tc>
          <w:tcPr>
            <w:tcW w:w="2022" w:type="dxa"/>
            <w:gridSpan w:val="5"/>
            <w:vAlign w:val="center"/>
          </w:tcPr>
          <w:p>
            <w:pPr>
              <w:pStyle w:val="7"/>
              <w:snapToGrid w:val="0"/>
              <w:spacing w:line="240" w:lineRule="auto"/>
              <w:ind w:firstLine="0" w:firstLineChars="0"/>
              <w:jc w:val="right"/>
              <w:rPr>
                <w:rFonts w:ascii="Times New Roman" w:hAnsi="Times New Roman" w:eastAsia="宋体"/>
                <w:spacing w:val="-12"/>
                <w:sz w:val="21"/>
                <w:szCs w:val="21"/>
              </w:rPr>
            </w:pPr>
            <w:r>
              <w:rPr>
                <w:rFonts w:ascii="Times New Roman" w:hAnsi="Times New Roman" w:eastAsia="宋体"/>
                <w:spacing w:val="-12"/>
                <w:sz w:val="21"/>
                <w:szCs w:val="21"/>
              </w:rPr>
              <w:t>本项目正常排放量</w:t>
            </w:r>
            <w:r>
              <w:rPr>
                <w:rFonts w:hint="eastAsia" w:ascii="Times New Roman" w:hAnsi="Times New Roman" w:eastAsia="宋体"/>
                <w:sz w:val="21"/>
                <w:szCs w:val="21"/>
              </w:rPr>
              <w:t>☑</w:t>
            </w:r>
          </w:p>
          <w:p>
            <w:pPr>
              <w:pStyle w:val="7"/>
              <w:snapToGrid w:val="0"/>
              <w:spacing w:line="240" w:lineRule="auto"/>
              <w:ind w:firstLine="0" w:firstLineChars="0"/>
              <w:jc w:val="right"/>
              <w:rPr>
                <w:rFonts w:ascii="Times New Roman" w:hAnsi="Times New Roman" w:eastAsia="宋体"/>
                <w:spacing w:val="-20"/>
                <w:sz w:val="21"/>
                <w:szCs w:val="21"/>
              </w:rPr>
            </w:pPr>
            <w:r>
              <w:rPr>
                <w:rFonts w:ascii="Times New Roman" w:hAnsi="Times New Roman" w:eastAsia="宋体"/>
                <w:spacing w:val="-20"/>
                <w:sz w:val="21"/>
                <w:szCs w:val="21"/>
              </w:rPr>
              <w:t>本项目非正常排放量</w:t>
            </w:r>
            <w:r>
              <w:rPr>
                <w:rFonts w:ascii="Times New Roman" w:hAnsi="Times New Roman" w:eastAsia="宋体"/>
                <w:sz w:val="21"/>
                <w:szCs w:val="21"/>
              </w:rPr>
              <w:t>□</w:t>
            </w:r>
          </w:p>
          <w:p>
            <w:pPr>
              <w:pStyle w:val="7"/>
              <w:snapToGrid w:val="0"/>
              <w:spacing w:line="240" w:lineRule="auto"/>
              <w:ind w:firstLine="0" w:firstLineChars="0"/>
              <w:jc w:val="right"/>
              <w:rPr>
                <w:rFonts w:ascii="Times New Roman" w:hAnsi="Times New Roman" w:eastAsia="宋体"/>
                <w:spacing w:val="-12"/>
                <w:sz w:val="21"/>
                <w:szCs w:val="21"/>
              </w:rPr>
            </w:pPr>
            <w:r>
              <w:rPr>
                <w:rFonts w:ascii="Times New Roman" w:hAnsi="Times New Roman" w:eastAsia="宋体"/>
                <w:spacing w:val="-12"/>
                <w:sz w:val="21"/>
                <w:szCs w:val="21"/>
              </w:rPr>
              <w:t>现有污染源</w:t>
            </w:r>
            <w:r>
              <w:rPr>
                <w:rFonts w:ascii="Times New Roman" w:hAnsi="Times New Roman" w:eastAsia="宋体"/>
                <w:sz w:val="21"/>
                <w:szCs w:val="21"/>
              </w:rPr>
              <w:t>□</w:t>
            </w:r>
          </w:p>
        </w:tc>
        <w:tc>
          <w:tcPr>
            <w:tcW w:w="1933"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拟替代污染源□</w:t>
            </w:r>
          </w:p>
        </w:tc>
        <w:tc>
          <w:tcPr>
            <w:tcW w:w="1374" w:type="dxa"/>
            <w:gridSpan w:val="3"/>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其它在建、拟建项目污染源□</w:t>
            </w:r>
          </w:p>
        </w:tc>
        <w:tc>
          <w:tcPr>
            <w:tcW w:w="1579" w:type="dxa"/>
            <w:gridSpan w:val="2"/>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区域污染源□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restart"/>
            <w:vAlign w:val="center"/>
          </w:tcPr>
          <w:p>
            <w:pPr>
              <w:pStyle w:val="7"/>
              <w:snapToGrid w:val="0"/>
              <w:spacing w:line="240" w:lineRule="auto"/>
              <w:ind w:firstLine="0" w:firstLineChars="0"/>
              <w:jc w:val="center"/>
              <w:rPr>
                <w:rFonts w:ascii="Times New Roman" w:hAnsi="Times New Roman" w:eastAsia="宋体"/>
                <w:bCs w:val="0"/>
                <w:sz w:val="21"/>
                <w:szCs w:val="21"/>
              </w:rPr>
            </w:pPr>
            <w:r>
              <w:rPr>
                <w:rFonts w:ascii="Times New Roman" w:hAnsi="Times New Roman" w:eastAsia="宋体"/>
                <w:bCs w:val="0"/>
                <w:sz w:val="21"/>
                <w:szCs w:val="21"/>
              </w:rPr>
              <w:t>大气环境影响预测与评价</w:t>
            </w: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预测模型</w:t>
            </w:r>
          </w:p>
        </w:tc>
        <w:tc>
          <w:tcPr>
            <w:tcW w:w="1093" w:type="dxa"/>
            <w:gridSpan w:val="2"/>
            <w:vAlign w:val="center"/>
          </w:tcPr>
          <w:p>
            <w:pPr>
              <w:pStyle w:val="7"/>
              <w:snapToGrid w:val="0"/>
              <w:spacing w:line="240" w:lineRule="auto"/>
              <w:ind w:firstLine="0" w:firstLineChars="0"/>
              <w:jc w:val="center"/>
              <w:rPr>
                <w:rFonts w:ascii="Times New Roman" w:hAnsi="Times New Roman" w:eastAsia="宋体"/>
                <w:spacing w:val="-20"/>
                <w:sz w:val="21"/>
                <w:szCs w:val="21"/>
              </w:rPr>
            </w:pPr>
            <w:r>
              <w:rPr>
                <w:rFonts w:ascii="Times New Roman" w:hAnsi="Times New Roman" w:eastAsia="宋体"/>
                <w:spacing w:val="-20"/>
                <w:sz w:val="21"/>
                <w:szCs w:val="21"/>
              </w:rPr>
              <w:t>AERMOD</w:t>
            </w:r>
          </w:p>
          <w:p>
            <w:pPr>
              <w:pStyle w:val="7"/>
              <w:snapToGrid w:val="0"/>
              <w:spacing w:line="240" w:lineRule="auto"/>
              <w:ind w:firstLine="0" w:firstLineChars="0"/>
              <w:jc w:val="center"/>
              <w:rPr>
                <w:rFonts w:ascii="Times New Roman" w:hAnsi="Times New Roman" w:eastAsia="宋体"/>
                <w:spacing w:val="-20"/>
                <w:sz w:val="21"/>
                <w:szCs w:val="21"/>
              </w:rPr>
            </w:pPr>
            <w:r>
              <w:rPr>
                <w:rFonts w:hint="eastAsia" w:ascii="Times New Roman" w:hAnsi="Times New Roman" w:eastAsia="宋体"/>
                <w:sz w:val="21"/>
                <w:szCs w:val="21"/>
              </w:rPr>
              <w:t>☑</w:t>
            </w:r>
          </w:p>
        </w:tc>
        <w:tc>
          <w:tcPr>
            <w:tcW w:w="929" w:type="dxa"/>
            <w:gridSpan w:val="3"/>
            <w:vAlign w:val="center"/>
          </w:tcPr>
          <w:p>
            <w:pPr>
              <w:pStyle w:val="7"/>
              <w:snapToGrid w:val="0"/>
              <w:spacing w:line="240" w:lineRule="auto"/>
              <w:ind w:firstLine="0" w:firstLineChars="0"/>
              <w:jc w:val="center"/>
              <w:rPr>
                <w:rFonts w:ascii="Times New Roman" w:hAnsi="Times New Roman" w:eastAsia="宋体"/>
                <w:spacing w:val="-20"/>
                <w:sz w:val="21"/>
                <w:szCs w:val="21"/>
              </w:rPr>
            </w:pPr>
            <w:r>
              <w:rPr>
                <w:rFonts w:ascii="Times New Roman" w:hAnsi="Times New Roman" w:eastAsia="宋体"/>
                <w:spacing w:val="-20"/>
                <w:sz w:val="21"/>
                <w:szCs w:val="21"/>
              </w:rPr>
              <w:t>ADMS</w:t>
            </w:r>
          </w:p>
          <w:p>
            <w:pPr>
              <w:pStyle w:val="7"/>
              <w:snapToGrid w:val="0"/>
              <w:spacing w:line="240" w:lineRule="auto"/>
              <w:ind w:firstLine="0" w:firstLineChars="0"/>
              <w:jc w:val="center"/>
              <w:rPr>
                <w:rFonts w:ascii="Times New Roman" w:hAnsi="Times New Roman" w:eastAsia="宋体"/>
                <w:spacing w:val="-20"/>
                <w:sz w:val="21"/>
                <w:szCs w:val="21"/>
              </w:rPr>
            </w:pPr>
            <w:r>
              <w:rPr>
                <w:rFonts w:ascii="Times New Roman" w:hAnsi="Times New Roman" w:eastAsia="宋体"/>
                <w:sz w:val="21"/>
                <w:szCs w:val="21"/>
              </w:rPr>
              <w:t>□</w:t>
            </w:r>
          </w:p>
        </w:tc>
        <w:tc>
          <w:tcPr>
            <w:tcW w:w="998" w:type="dxa"/>
            <w:gridSpan w:val="3"/>
            <w:vAlign w:val="center"/>
          </w:tcPr>
          <w:p>
            <w:pPr>
              <w:pStyle w:val="7"/>
              <w:snapToGrid w:val="0"/>
              <w:spacing w:line="240" w:lineRule="auto"/>
              <w:ind w:firstLine="0" w:firstLineChars="0"/>
              <w:jc w:val="center"/>
              <w:rPr>
                <w:rFonts w:ascii="Times New Roman" w:hAnsi="Times New Roman" w:eastAsia="宋体"/>
                <w:spacing w:val="-20"/>
                <w:sz w:val="21"/>
                <w:szCs w:val="21"/>
              </w:rPr>
            </w:pPr>
            <w:r>
              <w:rPr>
                <w:rFonts w:ascii="Times New Roman" w:hAnsi="Times New Roman" w:eastAsia="宋体"/>
                <w:spacing w:val="-20"/>
                <w:sz w:val="21"/>
                <w:szCs w:val="21"/>
              </w:rPr>
              <w:t>AUSTAL2000</w:t>
            </w:r>
            <w:r>
              <w:rPr>
                <w:rFonts w:ascii="Times New Roman" w:hAnsi="Times New Roman" w:eastAsia="宋体"/>
                <w:sz w:val="21"/>
                <w:szCs w:val="21"/>
              </w:rPr>
              <w:t>□</w:t>
            </w:r>
          </w:p>
        </w:tc>
        <w:tc>
          <w:tcPr>
            <w:tcW w:w="935" w:type="dxa"/>
            <w:gridSpan w:val="3"/>
            <w:vAlign w:val="center"/>
          </w:tcPr>
          <w:p>
            <w:pPr>
              <w:pStyle w:val="7"/>
              <w:snapToGrid w:val="0"/>
              <w:spacing w:line="240" w:lineRule="auto"/>
              <w:ind w:firstLine="0" w:firstLineChars="0"/>
              <w:jc w:val="center"/>
              <w:rPr>
                <w:rFonts w:ascii="Times New Roman" w:hAnsi="Times New Roman" w:eastAsia="宋体"/>
                <w:spacing w:val="-20"/>
                <w:sz w:val="21"/>
                <w:szCs w:val="21"/>
              </w:rPr>
            </w:pPr>
            <w:r>
              <w:rPr>
                <w:rFonts w:ascii="Times New Roman" w:hAnsi="Times New Roman" w:eastAsia="宋体"/>
                <w:spacing w:val="-20"/>
                <w:sz w:val="21"/>
                <w:szCs w:val="21"/>
              </w:rPr>
              <w:t>EDMS/AEDT</w:t>
            </w:r>
            <w:r>
              <w:rPr>
                <w:rFonts w:ascii="Times New Roman" w:hAnsi="Times New Roman" w:eastAsia="宋体"/>
                <w:sz w:val="21"/>
                <w:szCs w:val="21"/>
              </w:rPr>
              <w:t>□</w:t>
            </w:r>
          </w:p>
        </w:tc>
        <w:tc>
          <w:tcPr>
            <w:tcW w:w="1374" w:type="dxa"/>
            <w:gridSpan w:val="3"/>
            <w:vAlign w:val="center"/>
          </w:tcPr>
          <w:p>
            <w:pPr>
              <w:pStyle w:val="7"/>
              <w:snapToGrid w:val="0"/>
              <w:spacing w:line="240" w:lineRule="auto"/>
              <w:ind w:firstLine="0" w:firstLineChars="0"/>
              <w:jc w:val="center"/>
              <w:rPr>
                <w:rFonts w:ascii="Times New Roman" w:hAnsi="Times New Roman" w:eastAsia="宋体"/>
                <w:spacing w:val="-20"/>
                <w:sz w:val="21"/>
                <w:szCs w:val="21"/>
              </w:rPr>
            </w:pPr>
            <w:r>
              <w:rPr>
                <w:rFonts w:ascii="Times New Roman" w:hAnsi="Times New Roman" w:eastAsia="宋体"/>
                <w:spacing w:val="-20"/>
                <w:sz w:val="21"/>
                <w:szCs w:val="21"/>
              </w:rPr>
              <w:t>CALPUFF</w:t>
            </w:r>
            <w:r>
              <w:rPr>
                <w:rFonts w:ascii="Times New Roman" w:hAnsi="Times New Roman" w:eastAsia="宋体"/>
                <w:sz w:val="21"/>
                <w:szCs w:val="21"/>
              </w:rPr>
              <w:t>□</w:t>
            </w:r>
          </w:p>
        </w:tc>
        <w:tc>
          <w:tcPr>
            <w:tcW w:w="714" w:type="dxa"/>
            <w:vAlign w:val="center"/>
          </w:tcPr>
          <w:p>
            <w:pPr>
              <w:pStyle w:val="7"/>
              <w:snapToGrid w:val="0"/>
              <w:spacing w:line="240" w:lineRule="auto"/>
              <w:ind w:firstLine="0" w:firstLineChars="0"/>
              <w:jc w:val="center"/>
              <w:rPr>
                <w:rFonts w:ascii="Times New Roman" w:hAnsi="Times New Roman" w:eastAsia="宋体"/>
                <w:spacing w:val="-20"/>
                <w:sz w:val="21"/>
                <w:szCs w:val="21"/>
              </w:rPr>
            </w:pPr>
            <w:r>
              <w:rPr>
                <w:rFonts w:ascii="Times New Roman" w:hAnsi="Times New Roman" w:eastAsia="宋体"/>
                <w:spacing w:val="-20"/>
                <w:sz w:val="21"/>
                <w:szCs w:val="21"/>
              </w:rPr>
              <w:t>网络模型</w:t>
            </w:r>
            <w:r>
              <w:rPr>
                <w:rFonts w:ascii="Times New Roman" w:hAnsi="Times New Roman" w:eastAsia="宋体"/>
                <w:sz w:val="21"/>
                <w:szCs w:val="21"/>
              </w:rPr>
              <w:t>□</w:t>
            </w:r>
          </w:p>
        </w:tc>
        <w:tc>
          <w:tcPr>
            <w:tcW w:w="865" w:type="dxa"/>
            <w:vAlign w:val="center"/>
          </w:tcPr>
          <w:p>
            <w:pPr>
              <w:pStyle w:val="7"/>
              <w:snapToGrid w:val="0"/>
              <w:spacing w:line="240" w:lineRule="auto"/>
              <w:ind w:firstLine="0" w:firstLineChars="0"/>
              <w:jc w:val="center"/>
              <w:rPr>
                <w:rFonts w:ascii="Times New Roman" w:hAnsi="Times New Roman" w:eastAsia="宋体"/>
                <w:spacing w:val="-20"/>
                <w:sz w:val="21"/>
                <w:szCs w:val="21"/>
              </w:rPr>
            </w:pPr>
            <w:r>
              <w:rPr>
                <w:rFonts w:ascii="Times New Roman" w:hAnsi="Times New Roman" w:eastAsia="宋体"/>
                <w:spacing w:val="-20"/>
                <w:sz w:val="21"/>
                <w:szCs w:val="21"/>
              </w:rPr>
              <w:t>其它</w:t>
            </w:r>
            <w:r>
              <w:rPr>
                <w:rFonts w:ascii="Times New Roman" w:hAnsi="Times New Roman" w:eastAsia="宋体"/>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预测范围</w:t>
            </w:r>
          </w:p>
        </w:tc>
        <w:tc>
          <w:tcPr>
            <w:tcW w:w="2233"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边长=50km□</w:t>
            </w:r>
          </w:p>
        </w:tc>
        <w:tc>
          <w:tcPr>
            <w:tcW w:w="2327"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边长=5~50km□</w:t>
            </w:r>
          </w:p>
        </w:tc>
        <w:tc>
          <w:tcPr>
            <w:tcW w:w="2348" w:type="dxa"/>
            <w:gridSpan w:val="4"/>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边长=5km</w:t>
            </w:r>
            <w:r>
              <w:rPr>
                <w:rFonts w:ascii="Times New Roman" w:hAnsi="Times New Roman" w:eastAsia="宋体"/>
                <w:sz w:val="21"/>
                <w:szCs w:val="21"/>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预测因子</w:t>
            </w:r>
          </w:p>
        </w:tc>
        <w:tc>
          <w:tcPr>
            <w:tcW w:w="3350" w:type="dxa"/>
            <w:gridSpan w:val="9"/>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预测因子（NH</w:t>
            </w:r>
            <w:r>
              <w:rPr>
                <w:rFonts w:ascii="Times New Roman" w:hAnsi="Times New Roman" w:eastAsia="宋体"/>
                <w:sz w:val="21"/>
                <w:szCs w:val="21"/>
                <w:vertAlign w:val="subscript"/>
              </w:rPr>
              <w:t>3</w:t>
            </w:r>
            <w:r>
              <w:rPr>
                <w:rFonts w:ascii="Times New Roman" w:hAnsi="Times New Roman" w:eastAsia="宋体"/>
                <w:sz w:val="21"/>
                <w:szCs w:val="21"/>
              </w:rPr>
              <w:t>、H</w:t>
            </w:r>
            <w:r>
              <w:rPr>
                <w:rFonts w:ascii="Times New Roman" w:hAnsi="Times New Roman" w:eastAsia="宋体"/>
                <w:sz w:val="21"/>
                <w:szCs w:val="21"/>
                <w:vertAlign w:val="subscript"/>
              </w:rPr>
              <w:t>2</w:t>
            </w:r>
            <w:r>
              <w:rPr>
                <w:rFonts w:ascii="Times New Roman" w:hAnsi="Times New Roman" w:eastAsia="宋体"/>
                <w:sz w:val="21"/>
                <w:szCs w:val="21"/>
              </w:rPr>
              <w:t>S、、TSP）</w:t>
            </w:r>
          </w:p>
        </w:tc>
        <w:tc>
          <w:tcPr>
            <w:tcW w:w="3558" w:type="dxa"/>
            <w:gridSpan w:val="7"/>
            <w:vAlign w:val="center"/>
          </w:tcPr>
          <w:p>
            <w:pPr>
              <w:pStyle w:val="7"/>
              <w:snapToGrid w:val="0"/>
              <w:spacing w:line="240" w:lineRule="auto"/>
              <w:ind w:firstLine="0" w:firstLineChars="0"/>
              <w:rPr>
                <w:rFonts w:ascii="Times New Roman" w:hAnsi="Times New Roman" w:eastAsia="宋体"/>
                <w:sz w:val="21"/>
                <w:szCs w:val="21"/>
              </w:rPr>
            </w:pPr>
            <w:r>
              <w:rPr>
                <w:rFonts w:ascii="Times New Roman" w:hAnsi="Times New Roman" w:eastAsia="宋体"/>
                <w:sz w:val="21"/>
                <w:szCs w:val="21"/>
              </w:rPr>
              <w:t>包括二次PM</w:t>
            </w:r>
            <w:r>
              <w:rPr>
                <w:rFonts w:ascii="Times New Roman" w:hAnsi="Times New Roman" w:eastAsia="宋体"/>
                <w:sz w:val="21"/>
                <w:szCs w:val="21"/>
                <w:vertAlign w:val="subscript"/>
              </w:rPr>
              <w:t>2.5</w:t>
            </w:r>
            <w:r>
              <w:rPr>
                <w:rFonts w:ascii="Times New Roman" w:hAnsi="Times New Roman" w:eastAsia="宋体"/>
                <w:sz w:val="21"/>
                <w:szCs w:val="21"/>
              </w:rPr>
              <w:t>□不包括二次PM</w:t>
            </w:r>
            <w:r>
              <w:rPr>
                <w:rFonts w:ascii="Times New Roman" w:hAnsi="Times New Roman" w:eastAsia="宋体"/>
                <w:sz w:val="21"/>
                <w:szCs w:val="21"/>
                <w:vertAlign w:val="subscript"/>
              </w:rPr>
              <w:t>2.5</w:t>
            </w:r>
            <w:r>
              <w:rPr>
                <w:rFonts w:ascii="Times New Roman" w:hAnsi="Times New Roman" w:eastAsia="宋体"/>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正常排放短期浓度贡献值</w:t>
            </w:r>
          </w:p>
        </w:tc>
        <w:tc>
          <w:tcPr>
            <w:tcW w:w="2963" w:type="dxa"/>
            <w:gridSpan w:val="7"/>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C</w:t>
            </w:r>
            <w:r>
              <w:rPr>
                <w:rFonts w:ascii="Times New Roman" w:hAnsi="Times New Roman" w:eastAsia="宋体"/>
                <w:sz w:val="21"/>
                <w:szCs w:val="21"/>
                <w:vertAlign w:val="subscript"/>
              </w:rPr>
              <w:t>本项目</w:t>
            </w:r>
            <w:r>
              <w:rPr>
                <w:rFonts w:ascii="Times New Roman" w:hAnsi="Times New Roman" w:eastAsia="宋体"/>
                <w:sz w:val="21"/>
                <w:szCs w:val="21"/>
              </w:rPr>
              <w:t>最大占标率≤100%</w:t>
            </w:r>
            <w:r>
              <w:rPr>
                <w:rFonts w:hint="eastAsia" w:ascii="Times New Roman" w:hAnsi="Times New Roman" w:eastAsia="宋体"/>
                <w:sz w:val="21"/>
                <w:szCs w:val="21"/>
              </w:rPr>
              <w:t>☑</w:t>
            </w:r>
          </w:p>
        </w:tc>
        <w:tc>
          <w:tcPr>
            <w:tcW w:w="3945" w:type="dxa"/>
            <w:gridSpan w:val="9"/>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C</w:t>
            </w:r>
            <w:r>
              <w:rPr>
                <w:rFonts w:ascii="Times New Roman" w:hAnsi="Times New Roman" w:eastAsia="宋体"/>
                <w:sz w:val="21"/>
                <w:szCs w:val="21"/>
                <w:vertAlign w:val="subscript"/>
              </w:rPr>
              <w:t>本项目</w:t>
            </w:r>
            <w:r>
              <w:rPr>
                <w:rFonts w:ascii="Times New Roman" w:hAnsi="Times New Roman" w:eastAsia="宋体"/>
                <w:sz w:val="21"/>
                <w:szCs w:val="21"/>
              </w:rPr>
              <w:t>最大占标率＞100%□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Merge w:val="restart"/>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正常排放年均浓度贡献值</w:t>
            </w:r>
          </w:p>
        </w:tc>
        <w:tc>
          <w:tcPr>
            <w:tcW w:w="1025"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一类区</w:t>
            </w:r>
          </w:p>
        </w:tc>
        <w:tc>
          <w:tcPr>
            <w:tcW w:w="2930" w:type="dxa"/>
            <w:gridSpan w:val="10"/>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C</w:t>
            </w:r>
            <w:r>
              <w:rPr>
                <w:rFonts w:ascii="Times New Roman" w:hAnsi="Times New Roman" w:eastAsia="宋体"/>
                <w:sz w:val="21"/>
                <w:szCs w:val="21"/>
                <w:vertAlign w:val="subscript"/>
              </w:rPr>
              <w:t>本项目</w:t>
            </w:r>
            <w:r>
              <w:rPr>
                <w:rFonts w:ascii="Times New Roman" w:hAnsi="Times New Roman" w:eastAsia="宋体"/>
                <w:sz w:val="21"/>
                <w:szCs w:val="21"/>
              </w:rPr>
              <w:t>最大占标率≤100%□</w:t>
            </w:r>
          </w:p>
        </w:tc>
        <w:tc>
          <w:tcPr>
            <w:tcW w:w="2953" w:type="dxa"/>
            <w:gridSpan w:val="5"/>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C</w:t>
            </w:r>
            <w:r>
              <w:rPr>
                <w:rFonts w:ascii="Times New Roman" w:hAnsi="Times New Roman" w:eastAsia="宋体"/>
                <w:sz w:val="21"/>
                <w:szCs w:val="21"/>
                <w:vertAlign w:val="subscript"/>
              </w:rPr>
              <w:t>本项目</w:t>
            </w:r>
            <w:r>
              <w:rPr>
                <w:rFonts w:ascii="Times New Roman" w:hAnsi="Times New Roman" w:eastAsia="宋体"/>
                <w:sz w:val="21"/>
                <w:szCs w:val="21"/>
              </w:rPr>
              <w:t>最大占标率＞100%□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Merge w:val="continue"/>
            <w:vAlign w:val="center"/>
          </w:tcPr>
          <w:p>
            <w:pPr>
              <w:pStyle w:val="7"/>
              <w:snapToGrid w:val="0"/>
              <w:spacing w:line="240" w:lineRule="auto"/>
              <w:ind w:firstLine="0" w:firstLineChars="0"/>
              <w:jc w:val="center"/>
              <w:rPr>
                <w:rFonts w:ascii="Times New Roman" w:hAnsi="Times New Roman" w:eastAsia="宋体"/>
                <w:sz w:val="21"/>
                <w:szCs w:val="21"/>
              </w:rPr>
            </w:pPr>
          </w:p>
        </w:tc>
        <w:tc>
          <w:tcPr>
            <w:tcW w:w="1025"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二类区</w:t>
            </w:r>
          </w:p>
        </w:tc>
        <w:tc>
          <w:tcPr>
            <w:tcW w:w="2930" w:type="dxa"/>
            <w:gridSpan w:val="10"/>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C</w:t>
            </w:r>
            <w:r>
              <w:rPr>
                <w:rFonts w:ascii="Times New Roman" w:hAnsi="Times New Roman" w:eastAsia="宋体"/>
                <w:sz w:val="21"/>
                <w:szCs w:val="21"/>
                <w:vertAlign w:val="subscript"/>
              </w:rPr>
              <w:t>本项目</w:t>
            </w:r>
            <w:r>
              <w:rPr>
                <w:rFonts w:ascii="Times New Roman" w:hAnsi="Times New Roman" w:eastAsia="宋体"/>
                <w:sz w:val="21"/>
                <w:szCs w:val="21"/>
              </w:rPr>
              <w:t>最大占标率≤100%</w:t>
            </w:r>
            <w:r>
              <w:rPr>
                <w:rFonts w:hint="eastAsia" w:ascii="Times New Roman" w:hAnsi="Times New Roman" w:eastAsia="宋体"/>
                <w:sz w:val="21"/>
                <w:szCs w:val="21"/>
              </w:rPr>
              <w:t>☑</w:t>
            </w:r>
          </w:p>
        </w:tc>
        <w:tc>
          <w:tcPr>
            <w:tcW w:w="2953" w:type="dxa"/>
            <w:gridSpan w:val="5"/>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C</w:t>
            </w:r>
            <w:r>
              <w:rPr>
                <w:rFonts w:ascii="Times New Roman" w:hAnsi="Times New Roman" w:eastAsia="宋体"/>
                <w:sz w:val="21"/>
                <w:szCs w:val="21"/>
                <w:vertAlign w:val="subscript"/>
              </w:rPr>
              <w:t>本项目</w:t>
            </w:r>
            <w:r>
              <w:rPr>
                <w:rFonts w:ascii="Times New Roman" w:hAnsi="Times New Roman" w:eastAsia="宋体"/>
                <w:sz w:val="21"/>
                <w:szCs w:val="21"/>
              </w:rPr>
              <w:t>最大占标率＞100%□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非正常排放1h浓度贡献值</w:t>
            </w:r>
          </w:p>
        </w:tc>
        <w:tc>
          <w:tcPr>
            <w:tcW w:w="1871" w:type="dxa"/>
            <w:gridSpan w:val="4"/>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非正常时长（</w:t>
            </w:r>
            <w:r>
              <w:rPr>
                <w:rFonts w:hint="eastAsia" w:ascii="Times New Roman" w:hAnsi="Times New Roman" w:eastAsia="宋体"/>
                <w:sz w:val="21"/>
                <w:szCs w:val="21"/>
              </w:rPr>
              <w:t>1</w:t>
            </w:r>
            <w:r>
              <w:rPr>
                <w:rFonts w:ascii="Times New Roman" w:hAnsi="Times New Roman" w:eastAsia="宋体"/>
                <w:sz w:val="21"/>
                <w:szCs w:val="21"/>
              </w:rPr>
              <w:t>）h</w:t>
            </w:r>
          </w:p>
        </w:tc>
        <w:tc>
          <w:tcPr>
            <w:tcW w:w="2084" w:type="dxa"/>
            <w:gridSpan w:val="7"/>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C</w:t>
            </w:r>
            <w:r>
              <w:rPr>
                <w:rFonts w:ascii="Times New Roman" w:hAnsi="Times New Roman" w:eastAsia="宋体"/>
                <w:sz w:val="21"/>
                <w:szCs w:val="21"/>
                <w:vertAlign w:val="subscript"/>
              </w:rPr>
              <w:t>非正常</w:t>
            </w:r>
            <w:r>
              <w:rPr>
                <w:rFonts w:ascii="Times New Roman" w:hAnsi="Times New Roman" w:eastAsia="宋体"/>
                <w:sz w:val="21"/>
                <w:szCs w:val="21"/>
              </w:rPr>
              <w:t>占标率≤100%□</w:t>
            </w:r>
          </w:p>
        </w:tc>
        <w:tc>
          <w:tcPr>
            <w:tcW w:w="2953" w:type="dxa"/>
            <w:gridSpan w:val="5"/>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C</w:t>
            </w:r>
            <w:r>
              <w:rPr>
                <w:rFonts w:ascii="Times New Roman" w:hAnsi="Times New Roman" w:eastAsia="宋体"/>
                <w:sz w:val="21"/>
                <w:szCs w:val="21"/>
                <w:vertAlign w:val="subscript"/>
              </w:rPr>
              <w:t>非正常</w:t>
            </w:r>
            <w:r>
              <w:rPr>
                <w:rFonts w:ascii="Times New Roman" w:hAnsi="Times New Roman" w:eastAsia="宋体"/>
                <w:sz w:val="21"/>
                <w:szCs w:val="21"/>
              </w:rPr>
              <w:t>占标率＞100%□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保证率日均浓度和年均浓度叠加值</w:t>
            </w:r>
          </w:p>
        </w:tc>
        <w:tc>
          <w:tcPr>
            <w:tcW w:w="3955" w:type="dxa"/>
            <w:gridSpan w:val="11"/>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C</w:t>
            </w:r>
            <w:r>
              <w:rPr>
                <w:rFonts w:ascii="Times New Roman" w:hAnsi="Times New Roman" w:eastAsia="宋体"/>
                <w:sz w:val="21"/>
                <w:szCs w:val="21"/>
                <w:vertAlign w:val="subscript"/>
              </w:rPr>
              <w:t>叠加</w:t>
            </w:r>
            <w:r>
              <w:rPr>
                <w:rFonts w:ascii="Times New Roman" w:hAnsi="Times New Roman" w:eastAsia="宋体"/>
                <w:sz w:val="21"/>
                <w:szCs w:val="21"/>
              </w:rPr>
              <w:t>达标□</w:t>
            </w:r>
          </w:p>
        </w:tc>
        <w:tc>
          <w:tcPr>
            <w:tcW w:w="2953" w:type="dxa"/>
            <w:gridSpan w:val="5"/>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C</w:t>
            </w:r>
            <w:r>
              <w:rPr>
                <w:rFonts w:ascii="Times New Roman" w:hAnsi="Times New Roman" w:eastAsia="宋体"/>
                <w:sz w:val="21"/>
                <w:szCs w:val="21"/>
                <w:vertAlign w:val="subscript"/>
              </w:rPr>
              <w:t>叠加</w:t>
            </w:r>
            <w:r>
              <w:rPr>
                <w:rFonts w:ascii="Times New Roman" w:hAnsi="Times New Roman" w:eastAsia="宋体"/>
                <w:sz w:val="21"/>
                <w:szCs w:val="21"/>
              </w:rPr>
              <w:t>不达标□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区域环境质量的整体变化情况</w:t>
            </w:r>
          </w:p>
        </w:tc>
        <w:tc>
          <w:tcPr>
            <w:tcW w:w="3955" w:type="dxa"/>
            <w:gridSpan w:val="11"/>
            <w:vAlign w:val="center"/>
          </w:tcPr>
          <w:p>
            <w:pPr>
              <w:pStyle w:val="7"/>
              <w:snapToGrid w:val="0"/>
              <w:spacing w:line="240" w:lineRule="auto"/>
              <w:ind w:firstLine="0" w:firstLineChars="0"/>
              <w:jc w:val="center"/>
              <w:rPr>
                <w:rFonts w:ascii="Times New Roman" w:hAnsi="Times New Roman" w:eastAsia="宋体"/>
                <w:sz w:val="21"/>
                <w:szCs w:val="21"/>
              </w:rPr>
            </w:pPr>
            <w:bookmarkStart w:id="678" w:name="OLE_LINK36"/>
            <w:r>
              <w:rPr>
                <w:rFonts w:ascii="Times New Roman" w:hAnsi="Times New Roman" w:eastAsia="宋体"/>
                <w:sz w:val="21"/>
                <w:szCs w:val="21"/>
              </w:rPr>
              <w:t>k≤ -20%</w:t>
            </w:r>
            <w:bookmarkEnd w:id="678"/>
            <w:r>
              <w:rPr>
                <w:rFonts w:ascii="Times New Roman" w:hAnsi="Times New Roman" w:eastAsia="宋体"/>
                <w:sz w:val="21"/>
                <w:szCs w:val="21"/>
              </w:rPr>
              <w:t>□</w:t>
            </w:r>
          </w:p>
        </w:tc>
        <w:tc>
          <w:tcPr>
            <w:tcW w:w="2953" w:type="dxa"/>
            <w:gridSpan w:val="5"/>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k＞ -20%□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restart"/>
            <w:vAlign w:val="center"/>
          </w:tcPr>
          <w:p>
            <w:pPr>
              <w:pStyle w:val="7"/>
              <w:snapToGrid w:val="0"/>
              <w:spacing w:line="240" w:lineRule="auto"/>
              <w:ind w:firstLine="0" w:firstLineChars="0"/>
              <w:jc w:val="center"/>
              <w:rPr>
                <w:rFonts w:ascii="Times New Roman" w:hAnsi="Times New Roman" w:eastAsia="宋体"/>
                <w:bCs w:val="0"/>
                <w:sz w:val="21"/>
                <w:szCs w:val="21"/>
              </w:rPr>
            </w:pPr>
            <w:r>
              <w:rPr>
                <w:rFonts w:ascii="Times New Roman" w:hAnsi="Times New Roman" w:eastAsia="宋体"/>
                <w:bCs w:val="0"/>
                <w:sz w:val="21"/>
                <w:szCs w:val="21"/>
              </w:rPr>
              <w:t>环境监测计划</w:t>
            </w: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污染源监测</w:t>
            </w:r>
          </w:p>
        </w:tc>
        <w:tc>
          <w:tcPr>
            <w:tcW w:w="2963" w:type="dxa"/>
            <w:gridSpan w:val="7"/>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监测因子：（NH</w:t>
            </w:r>
            <w:r>
              <w:rPr>
                <w:rFonts w:ascii="Times New Roman" w:hAnsi="Times New Roman" w:eastAsia="宋体"/>
                <w:sz w:val="21"/>
                <w:szCs w:val="21"/>
                <w:vertAlign w:val="subscript"/>
              </w:rPr>
              <w:t>3</w:t>
            </w:r>
            <w:r>
              <w:rPr>
                <w:rFonts w:ascii="Times New Roman" w:hAnsi="Times New Roman" w:eastAsia="宋体"/>
                <w:sz w:val="21"/>
                <w:szCs w:val="21"/>
              </w:rPr>
              <w:t>、H</w:t>
            </w:r>
            <w:r>
              <w:rPr>
                <w:rFonts w:ascii="Times New Roman" w:hAnsi="Times New Roman" w:eastAsia="宋体"/>
                <w:sz w:val="21"/>
                <w:szCs w:val="21"/>
                <w:vertAlign w:val="subscript"/>
              </w:rPr>
              <w:t>2</w:t>
            </w:r>
            <w:r>
              <w:rPr>
                <w:rFonts w:ascii="Times New Roman" w:hAnsi="Times New Roman" w:eastAsia="宋体"/>
                <w:sz w:val="21"/>
                <w:szCs w:val="21"/>
              </w:rPr>
              <w:t>S、臭气浓度）</w:t>
            </w:r>
          </w:p>
        </w:tc>
        <w:tc>
          <w:tcPr>
            <w:tcW w:w="2248"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有组织废气监测□</w:t>
            </w:r>
          </w:p>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无组织废气监测</w:t>
            </w:r>
            <w:r>
              <w:rPr>
                <w:rFonts w:hint="eastAsia" w:ascii="Times New Roman" w:hAnsi="Times New Roman" w:eastAsia="宋体"/>
                <w:sz w:val="21"/>
                <w:szCs w:val="21"/>
              </w:rPr>
              <w:t>☑</w:t>
            </w:r>
          </w:p>
        </w:tc>
        <w:tc>
          <w:tcPr>
            <w:tcW w:w="1697" w:type="dxa"/>
            <w:gridSpan w:val="3"/>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无监测□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bCs w:val="0"/>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环境质量监测</w:t>
            </w:r>
          </w:p>
        </w:tc>
        <w:tc>
          <w:tcPr>
            <w:tcW w:w="2963" w:type="dxa"/>
            <w:gridSpan w:val="7"/>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监测因子：（NH</w:t>
            </w:r>
            <w:r>
              <w:rPr>
                <w:rFonts w:ascii="Times New Roman" w:hAnsi="Times New Roman" w:eastAsia="宋体"/>
                <w:sz w:val="21"/>
                <w:szCs w:val="21"/>
                <w:vertAlign w:val="subscript"/>
              </w:rPr>
              <w:t>3</w:t>
            </w:r>
            <w:r>
              <w:rPr>
                <w:rFonts w:ascii="Times New Roman" w:hAnsi="Times New Roman" w:eastAsia="宋体"/>
                <w:sz w:val="21"/>
                <w:szCs w:val="21"/>
              </w:rPr>
              <w:t>、H</w:t>
            </w:r>
            <w:r>
              <w:rPr>
                <w:rFonts w:ascii="Times New Roman" w:hAnsi="Times New Roman" w:eastAsia="宋体"/>
                <w:sz w:val="21"/>
                <w:szCs w:val="21"/>
                <w:vertAlign w:val="subscript"/>
              </w:rPr>
              <w:t>2</w:t>
            </w:r>
            <w:r>
              <w:rPr>
                <w:rFonts w:ascii="Times New Roman" w:hAnsi="Times New Roman" w:eastAsia="宋体"/>
                <w:sz w:val="21"/>
                <w:szCs w:val="21"/>
              </w:rPr>
              <w:t>S、臭气浓度、TSP）</w:t>
            </w:r>
          </w:p>
        </w:tc>
        <w:tc>
          <w:tcPr>
            <w:tcW w:w="2248" w:type="dxa"/>
            <w:gridSpan w:val="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 xml:space="preserve">监测点位数（ </w:t>
            </w:r>
            <w:r>
              <w:rPr>
                <w:rFonts w:hint="eastAsia" w:ascii="Times New Roman" w:hAnsi="Times New Roman" w:eastAsia="宋体"/>
                <w:sz w:val="21"/>
                <w:szCs w:val="21"/>
              </w:rPr>
              <w:t>1</w:t>
            </w:r>
            <w:r>
              <w:rPr>
                <w:rFonts w:ascii="Times New Roman" w:hAnsi="Times New Roman" w:eastAsia="宋体"/>
                <w:sz w:val="21"/>
                <w:szCs w:val="21"/>
              </w:rPr>
              <w:t xml:space="preserve"> ）</w:t>
            </w:r>
          </w:p>
        </w:tc>
        <w:tc>
          <w:tcPr>
            <w:tcW w:w="1697" w:type="dxa"/>
            <w:gridSpan w:val="3"/>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无监测□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restart"/>
            <w:vAlign w:val="center"/>
          </w:tcPr>
          <w:p>
            <w:pPr>
              <w:pStyle w:val="7"/>
              <w:snapToGrid w:val="0"/>
              <w:spacing w:line="240" w:lineRule="auto"/>
              <w:ind w:firstLine="0" w:firstLineChars="0"/>
              <w:jc w:val="center"/>
              <w:rPr>
                <w:rFonts w:ascii="Times New Roman" w:hAnsi="Times New Roman" w:eastAsia="宋体"/>
                <w:bCs w:val="0"/>
                <w:sz w:val="21"/>
                <w:szCs w:val="21"/>
              </w:rPr>
            </w:pPr>
            <w:r>
              <w:rPr>
                <w:rFonts w:ascii="Times New Roman" w:hAnsi="Times New Roman" w:eastAsia="宋体"/>
                <w:bCs w:val="0"/>
                <w:sz w:val="21"/>
                <w:szCs w:val="21"/>
              </w:rPr>
              <w:t>评价结论</w:t>
            </w: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环境影响</w:t>
            </w:r>
          </w:p>
        </w:tc>
        <w:tc>
          <w:tcPr>
            <w:tcW w:w="3955" w:type="dxa"/>
            <w:gridSpan w:val="11"/>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可接受</w:t>
            </w:r>
            <w:r>
              <w:rPr>
                <w:rFonts w:hint="eastAsia" w:ascii="Times New Roman" w:hAnsi="Times New Roman" w:eastAsia="宋体"/>
                <w:sz w:val="21"/>
                <w:szCs w:val="21"/>
              </w:rPr>
              <w:t>☑</w:t>
            </w:r>
          </w:p>
        </w:tc>
        <w:tc>
          <w:tcPr>
            <w:tcW w:w="2953" w:type="dxa"/>
            <w:gridSpan w:val="5"/>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不可以接受</w:t>
            </w:r>
            <w:bookmarkStart w:id="679" w:name="OLE_LINK38"/>
            <w:bookmarkStart w:id="680" w:name="OLE_LINK37"/>
            <w:r>
              <w:rPr>
                <w:rFonts w:ascii="Times New Roman" w:hAnsi="Times New Roman" w:eastAsia="宋体"/>
                <w:sz w:val="21"/>
                <w:szCs w:val="21"/>
              </w:rPr>
              <w:t>□</w:t>
            </w:r>
            <w:bookmarkEnd w:id="679"/>
            <w:bookmarkEnd w:id="680"/>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大气环境防护距离</w:t>
            </w:r>
          </w:p>
        </w:tc>
        <w:tc>
          <w:tcPr>
            <w:tcW w:w="6908" w:type="dxa"/>
            <w:gridSpan w:val="16"/>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距（</w:t>
            </w:r>
            <w:r>
              <w:rPr>
                <w:rFonts w:ascii="宋体" w:hAnsi="宋体" w:eastAsia="宋体" w:cs="宋体"/>
                <w:sz w:val="21"/>
                <w:szCs w:val="22"/>
                <w:lang w:val="zh-CN" w:bidi="zh-CN"/>
              </w:rPr>
              <w:t>东、南、西、北</w:t>
            </w:r>
            <w:r>
              <w:rPr>
                <w:rFonts w:ascii="Times New Roman" w:hAnsi="Times New Roman" w:eastAsia="宋体"/>
                <w:sz w:val="21"/>
                <w:szCs w:val="21"/>
              </w:rPr>
              <w:t>）厂界最远（0）m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7" w:type="dxa"/>
            <w:vMerge w:val="continue"/>
            <w:vAlign w:val="center"/>
          </w:tcPr>
          <w:p>
            <w:pPr>
              <w:pStyle w:val="7"/>
              <w:snapToGrid w:val="0"/>
              <w:spacing w:line="240" w:lineRule="auto"/>
              <w:ind w:firstLine="0" w:firstLineChars="0"/>
              <w:jc w:val="center"/>
              <w:rPr>
                <w:rFonts w:ascii="Times New Roman" w:hAnsi="Times New Roman" w:eastAsia="宋体"/>
                <w:sz w:val="21"/>
                <w:szCs w:val="21"/>
              </w:rPr>
            </w:pPr>
          </w:p>
        </w:tc>
        <w:tc>
          <w:tcPr>
            <w:tcW w:w="1273"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污染源年排放量</w:t>
            </w:r>
          </w:p>
        </w:tc>
        <w:tc>
          <w:tcPr>
            <w:tcW w:w="1710" w:type="dxa"/>
            <w:gridSpan w:val="3"/>
            <w:tcBorders>
              <w:right w:val="single" w:color="auto" w:sz="8" w:space="0"/>
            </w:tcBorders>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SO</w:t>
            </w:r>
            <w:r>
              <w:rPr>
                <w:rFonts w:ascii="Times New Roman" w:hAnsi="Times New Roman" w:eastAsia="宋体"/>
                <w:sz w:val="21"/>
                <w:szCs w:val="21"/>
                <w:vertAlign w:val="subscript"/>
              </w:rPr>
              <w:t>2</w:t>
            </w:r>
            <w:r>
              <w:rPr>
                <w:rFonts w:ascii="Times New Roman" w:hAnsi="Times New Roman" w:eastAsia="宋体"/>
                <w:sz w:val="21"/>
                <w:szCs w:val="21"/>
              </w:rPr>
              <w:t>：t/a</w:t>
            </w:r>
          </w:p>
        </w:tc>
        <w:tc>
          <w:tcPr>
            <w:tcW w:w="1849" w:type="dxa"/>
            <w:gridSpan w:val="7"/>
            <w:tcBorders>
              <w:left w:val="single" w:color="auto" w:sz="8" w:space="0"/>
            </w:tcBorders>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NO</w:t>
            </w:r>
            <w:r>
              <w:rPr>
                <w:rFonts w:ascii="Times New Roman" w:hAnsi="Times New Roman" w:eastAsia="宋体"/>
                <w:sz w:val="21"/>
                <w:szCs w:val="21"/>
                <w:vertAlign w:val="subscript"/>
              </w:rPr>
              <w:t>2</w:t>
            </w:r>
            <w:r>
              <w:rPr>
                <w:rFonts w:ascii="Times New Roman" w:hAnsi="Times New Roman" w:eastAsia="宋体"/>
                <w:sz w:val="21"/>
                <w:szCs w:val="21"/>
              </w:rPr>
              <w:t>：t/a</w:t>
            </w:r>
          </w:p>
        </w:tc>
        <w:tc>
          <w:tcPr>
            <w:tcW w:w="1770" w:type="dxa"/>
            <w:gridSpan w:val="4"/>
            <w:vAlign w:val="center"/>
          </w:tcPr>
          <w:p>
            <w:pPr>
              <w:pStyle w:val="7"/>
              <w:snapToGrid w:val="0"/>
              <w:spacing w:line="240" w:lineRule="auto"/>
              <w:ind w:firstLine="0" w:firstLineChars="0"/>
              <w:jc w:val="center"/>
              <w:rPr>
                <w:rFonts w:ascii="Times New Roman" w:hAnsi="Times New Roman" w:eastAsia="宋体"/>
                <w:sz w:val="21"/>
                <w:szCs w:val="21"/>
                <w:highlight w:val="yellow"/>
              </w:rPr>
            </w:pPr>
            <w:r>
              <w:rPr>
                <w:rFonts w:ascii="Times New Roman" w:hAnsi="Times New Roman" w:eastAsia="宋体"/>
                <w:sz w:val="21"/>
                <w:szCs w:val="21"/>
              </w:rPr>
              <w:t>TSP：</w:t>
            </w:r>
            <w:r>
              <w:rPr>
                <w:rFonts w:hint="eastAsia" w:ascii="Times New Roman" w:hAnsi="Times New Roman" w:eastAsia="宋体"/>
                <w:sz w:val="21"/>
                <w:szCs w:val="21"/>
              </w:rPr>
              <w:t>0.0016</w:t>
            </w:r>
            <w:r>
              <w:rPr>
                <w:rFonts w:ascii="Times New Roman" w:hAnsi="Times New Roman" w:eastAsia="宋体"/>
                <w:sz w:val="21"/>
                <w:szCs w:val="21"/>
              </w:rPr>
              <w:t>t/a</w:t>
            </w:r>
          </w:p>
        </w:tc>
        <w:tc>
          <w:tcPr>
            <w:tcW w:w="1579" w:type="dxa"/>
            <w:gridSpan w:val="2"/>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VOC</w:t>
            </w:r>
            <w:r>
              <w:rPr>
                <w:rFonts w:ascii="Times New Roman" w:hAnsi="Times New Roman" w:eastAsia="宋体"/>
                <w:sz w:val="21"/>
                <w:szCs w:val="21"/>
                <w:vertAlign w:val="subscript"/>
              </w:rPr>
              <w:t>S</w:t>
            </w:r>
            <w:r>
              <w:rPr>
                <w:rFonts w:ascii="Times New Roman" w:hAnsi="Times New Roman" w:eastAsia="宋体"/>
                <w:sz w:val="21"/>
                <w:szCs w:val="21"/>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48" w:type="dxa"/>
            <w:gridSpan w:val="18"/>
            <w:vAlign w:val="center"/>
          </w:tcPr>
          <w:p>
            <w:pPr>
              <w:pStyle w:val="7"/>
              <w:snapToGrid w:val="0"/>
              <w:spacing w:line="240" w:lineRule="auto"/>
              <w:ind w:firstLine="0" w:firstLineChars="0"/>
              <w:rPr>
                <w:rFonts w:ascii="Times New Roman" w:hAnsi="Times New Roman" w:eastAsia="宋体"/>
                <w:sz w:val="21"/>
                <w:szCs w:val="21"/>
              </w:rPr>
            </w:pPr>
            <w:r>
              <w:rPr>
                <w:rFonts w:ascii="Times New Roman" w:hAnsi="Times New Roman" w:eastAsia="宋体"/>
                <w:sz w:val="21"/>
                <w:szCs w:val="21"/>
              </w:rPr>
              <w:t>注：“□”为勾选项，填“√”；“（）”为内容填写项。</w:t>
            </w:r>
          </w:p>
        </w:tc>
      </w:tr>
    </w:tbl>
    <w:p>
      <w:pPr>
        <w:pStyle w:val="51"/>
        <w:snapToGrid w:val="0"/>
        <w:spacing w:before="120" w:beforeLines="50" w:after="120" w:afterLines="50" w:line="540" w:lineRule="exact"/>
        <w:contextualSpacing/>
        <w:rPr>
          <w:rFonts w:cs="Times New Roman"/>
          <w:bCs w:val="0"/>
          <w:snapToGrid w:val="0"/>
          <w:kern w:val="0"/>
          <w:sz w:val="30"/>
          <w:szCs w:val="30"/>
        </w:rPr>
      </w:pPr>
      <w:bookmarkStart w:id="681" w:name="_Toc16788"/>
      <w:bookmarkStart w:id="682" w:name="_Toc1885"/>
      <w:bookmarkStart w:id="683" w:name="_Toc8898"/>
      <w:bookmarkStart w:id="684" w:name="_Toc21274"/>
      <w:r>
        <w:rPr>
          <w:rFonts w:cs="Times New Roman"/>
          <w:bCs w:val="0"/>
          <w:snapToGrid w:val="0"/>
          <w:kern w:val="0"/>
          <w:sz w:val="30"/>
          <w:szCs w:val="30"/>
        </w:rPr>
        <w:t>5.2地表水环境影响分析</w:t>
      </w:r>
      <w:bookmarkEnd w:id="681"/>
      <w:bookmarkEnd w:id="682"/>
      <w:bookmarkEnd w:id="683"/>
      <w:bookmarkEnd w:id="684"/>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685" w:name="_Toc6850"/>
      <w:r>
        <w:rPr>
          <w:rFonts w:cs="Times New Roman"/>
          <w:bCs w:val="0"/>
          <w:snapToGrid w:val="0"/>
          <w:kern w:val="0"/>
          <w:sz w:val="28"/>
          <w:szCs w:val="28"/>
        </w:rPr>
        <w:t>5.2.1正常工况下水环境影响分析</w:t>
      </w:r>
      <w:bookmarkEnd w:id="685"/>
    </w:p>
    <w:p>
      <w:pPr>
        <w:pStyle w:val="11"/>
        <w:keepNext w:val="0"/>
        <w:keepLines w:val="0"/>
        <w:pageBreakBefore w:val="0"/>
        <w:widowControl w:val="0"/>
        <w:kinsoku/>
        <w:wordWrap/>
        <w:overflowPunct/>
        <w:topLinePunct w:val="0"/>
        <w:autoSpaceDE/>
        <w:autoSpaceDN/>
        <w:bidi w:val="0"/>
        <w:adjustRightInd/>
        <w:snapToGrid/>
        <w:spacing w:after="0" w:line="540" w:lineRule="exact"/>
        <w:ind w:right="0" w:firstLine="480"/>
        <w:textAlignment w:val="auto"/>
        <w:rPr>
          <w:rFonts w:hint="eastAsia" w:ascii="Times New Roman" w:hAnsi="Times New Roman"/>
          <w:sz w:val="24"/>
          <w:lang w:val="zh-CN"/>
        </w:rPr>
      </w:pPr>
      <w:r>
        <w:rPr>
          <w:rFonts w:hint="eastAsia" w:ascii="Times New Roman" w:hAnsi="Times New Roman"/>
          <w:sz w:val="24"/>
          <w:lang w:val="zh-CN"/>
        </w:rPr>
        <w:t>项目采用“雨污分流制”</w:t>
      </w:r>
    </w:p>
    <w:p>
      <w:pPr>
        <w:keepNext w:val="0"/>
        <w:keepLines w:val="0"/>
        <w:pageBreakBefore w:val="0"/>
        <w:widowControl w:val="0"/>
        <w:kinsoku/>
        <w:wordWrap/>
        <w:overflowPunct/>
        <w:topLinePunct w:val="0"/>
        <w:autoSpaceDE/>
        <w:autoSpaceDN/>
        <w:bidi w:val="0"/>
        <w:adjustRightInd/>
        <w:snapToGrid/>
        <w:spacing w:line="540" w:lineRule="exact"/>
        <w:ind w:right="0" w:firstLine="480" w:firstLineChars="200"/>
        <w:textAlignment w:val="auto"/>
        <w:rPr>
          <w:rFonts w:hint="eastAsia"/>
          <w:color w:val="FF0000"/>
          <w:lang w:val="zh-CN" w:eastAsia="zh-CN"/>
        </w:rPr>
      </w:pPr>
      <w:r>
        <w:rPr>
          <w:rFonts w:hint="eastAsia" w:ascii="Times New Roman" w:hAnsi="Times New Roman" w:eastAsia="宋体" w:cs="Times New Roman"/>
          <w:color w:val="FF0000"/>
          <w:kern w:val="2"/>
          <w:sz w:val="24"/>
          <w:szCs w:val="24"/>
          <w:lang w:val="zh-CN" w:eastAsia="zh-CN" w:bidi="ar-SA"/>
        </w:rPr>
        <w:t>牛尿大部分蒸发，少量由牛舍垫料(主要为牛粪、沙土)吸收，采用干法清粪工艺，采取机械+人工干法清粪方式将粪便及时、单独清出，做到日产日清，养殖期间无生产废水排放。</w:t>
      </w:r>
    </w:p>
    <w:p>
      <w:pPr>
        <w:adjustRightInd w:val="0"/>
        <w:snapToGrid w:val="0"/>
        <w:spacing w:line="540" w:lineRule="exact"/>
        <w:ind w:firstLine="480" w:firstLineChars="200"/>
        <w:rPr>
          <w:rFonts w:ascii="Times New Roman" w:hAnsi="Times New Roman"/>
          <w:color w:val="FF0000"/>
          <w:sz w:val="24"/>
          <w:lang w:val="zh-CN"/>
        </w:rPr>
      </w:pPr>
      <w:r>
        <w:rPr>
          <w:rFonts w:hint="eastAsia" w:ascii="Times New Roman" w:hAnsi="Times New Roman"/>
          <w:color w:val="FF0000"/>
          <w:kern w:val="1"/>
          <w:sz w:val="24"/>
          <w:lang w:val="en-US" w:eastAsia="zh-CN"/>
        </w:rPr>
        <w:t>厂区初期雨水通过道路两侧设置的导流沟进入1座120m</w:t>
      </w:r>
      <w:r>
        <w:rPr>
          <w:rFonts w:hint="eastAsia" w:ascii="Times New Roman" w:hAnsi="Times New Roman"/>
          <w:color w:val="FF0000"/>
          <w:kern w:val="1"/>
          <w:sz w:val="24"/>
          <w:vertAlign w:val="superscript"/>
          <w:lang w:val="en-US" w:eastAsia="zh-CN"/>
        </w:rPr>
        <w:t>3</w:t>
      </w:r>
      <w:r>
        <w:rPr>
          <w:rFonts w:hint="eastAsia" w:ascii="Times New Roman" w:hAnsi="Times New Roman"/>
          <w:color w:val="FF0000"/>
          <w:kern w:val="1"/>
          <w:sz w:val="24"/>
          <w:lang w:val="en-US" w:eastAsia="zh-CN"/>
        </w:rPr>
        <w:t>初期雨水收集池(TW002)，全部用于厂区绿化。</w:t>
      </w:r>
    </w:p>
    <w:p>
      <w:pPr>
        <w:adjustRightInd w:val="0"/>
        <w:snapToGrid w:val="0"/>
        <w:spacing w:line="540" w:lineRule="exact"/>
        <w:ind w:firstLine="480" w:firstLineChars="200"/>
        <w:rPr>
          <w:rFonts w:ascii="Times New Roman" w:hAnsi="Times New Roman"/>
          <w:kern w:val="1"/>
          <w:sz w:val="24"/>
          <w:highlight w:val="none"/>
          <w:lang w:val="zh-CN"/>
        </w:rPr>
      </w:pPr>
      <w:r>
        <w:rPr>
          <w:rFonts w:ascii="Times New Roman" w:hAnsi="Times New Roman"/>
          <w:color w:val="FF0000"/>
          <w:sz w:val="24"/>
          <w:lang w:val="zh-CN"/>
        </w:rPr>
        <w:t>项目劳动定员</w:t>
      </w:r>
      <w:r>
        <w:rPr>
          <w:rFonts w:hint="eastAsia" w:ascii="Times New Roman" w:hAnsi="Times New Roman"/>
          <w:color w:val="FF0000"/>
          <w:sz w:val="24"/>
        </w:rPr>
        <w:t>7</w:t>
      </w:r>
      <w:r>
        <w:rPr>
          <w:rFonts w:ascii="Times New Roman" w:hAnsi="Times New Roman"/>
          <w:color w:val="FF0000"/>
          <w:sz w:val="24"/>
          <w:lang w:val="zh-CN"/>
        </w:rPr>
        <w:t xml:space="preserve">人，生活用水按 </w:t>
      </w:r>
      <w:r>
        <w:rPr>
          <w:rFonts w:hint="eastAsia" w:ascii="Times New Roman" w:hAnsi="Times New Roman"/>
          <w:color w:val="FF0000"/>
          <w:sz w:val="24"/>
          <w:lang w:val="en-US" w:eastAsia="zh-CN"/>
        </w:rPr>
        <w:t>100</w:t>
      </w:r>
      <w:r>
        <w:rPr>
          <w:rFonts w:ascii="Times New Roman" w:hAnsi="Times New Roman"/>
          <w:color w:val="FF0000"/>
          <w:sz w:val="24"/>
          <w:lang w:val="zh-CN"/>
        </w:rPr>
        <w:t>L/人·d计，则生活用水量为</w:t>
      </w:r>
      <w:r>
        <w:rPr>
          <w:rFonts w:hint="eastAsia" w:ascii="Times New Roman" w:hAnsi="Times New Roman"/>
          <w:color w:val="FF0000"/>
          <w:sz w:val="24"/>
          <w:lang w:val="en-US" w:eastAsia="zh-CN"/>
        </w:rPr>
        <w:t>255.5</w:t>
      </w:r>
      <w:r>
        <w:rPr>
          <w:rFonts w:ascii="Times New Roman" w:hAnsi="Times New Roman"/>
          <w:color w:val="FF0000"/>
          <w:sz w:val="24"/>
          <w:lang w:val="zh-CN"/>
        </w:rPr>
        <w:t>m</w:t>
      </w:r>
      <w:r>
        <w:rPr>
          <w:rFonts w:ascii="Times New Roman" w:hAnsi="Times New Roman"/>
          <w:color w:val="FF0000"/>
          <w:sz w:val="24"/>
          <w:vertAlign w:val="superscript"/>
          <w:lang w:val="zh-CN"/>
        </w:rPr>
        <w:t>3</w:t>
      </w:r>
      <w:r>
        <w:rPr>
          <w:rFonts w:ascii="Times New Roman" w:hAnsi="Times New Roman"/>
          <w:color w:val="FF0000"/>
          <w:sz w:val="24"/>
          <w:lang w:val="zh-CN"/>
        </w:rPr>
        <w:t>/a。</w:t>
      </w:r>
      <w:r>
        <w:rPr>
          <w:rFonts w:hint="eastAsia" w:ascii="Times New Roman" w:hAnsi="Times New Roman"/>
          <w:color w:val="FF0000"/>
          <w:sz w:val="24"/>
          <w:lang w:val="zh-CN"/>
        </w:rPr>
        <w:t>职工生活污水主要为员工盥洗废水，用于厂区的洒水降尘；厂区建有卫生旱厕，用于员工生活卫生，旱厕定期由附近农户清掏还田</w:t>
      </w:r>
      <w:r>
        <w:rPr>
          <w:rFonts w:hint="eastAsia" w:ascii="Times New Roman" w:hAnsi="Times New Roman"/>
          <w:sz w:val="24"/>
          <w:lang w:val="zh-CN"/>
        </w:rPr>
        <w:t>。</w:t>
      </w:r>
    </w:p>
    <w:p>
      <w:pPr>
        <w:adjustRightInd w:val="0"/>
        <w:snapToGrid w:val="0"/>
        <w:spacing w:line="540" w:lineRule="exact"/>
        <w:ind w:firstLine="480" w:firstLineChars="200"/>
        <w:rPr>
          <w:rFonts w:ascii="Times New Roman" w:hAnsi="Times New Roman"/>
          <w:sz w:val="24"/>
          <w:lang w:val="zh-CN"/>
        </w:rPr>
      </w:pPr>
      <w:r>
        <w:rPr>
          <w:rFonts w:hint="eastAsia" w:ascii="Times New Roman" w:hAnsi="Times New Roman"/>
          <w:kern w:val="1"/>
          <w:sz w:val="24"/>
          <w:lang w:val="zh-CN"/>
        </w:rPr>
        <w:t>综上所述，项目废水不直接外排，</w:t>
      </w:r>
      <w:r>
        <w:rPr>
          <w:rFonts w:hint="eastAsia" w:ascii="Times New Roman" w:hAnsi="Times New Roman"/>
          <w:sz w:val="24"/>
          <w:lang w:val="zh-CN"/>
        </w:rPr>
        <w:t>对渝河水质无影响。</w:t>
      </w:r>
    </w:p>
    <w:p>
      <w:pPr>
        <w:pStyle w:val="51"/>
        <w:snapToGrid w:val="0"/>
        <w:spacing w:before="120" w:beforeLines="50" w:after="120" w:afterLines="50" w:line="540" w:lineRule="exact"/>
        <w:contextualSpacing/>
        <w:rPr>
          <w:rFonts w:cs="Times New Roman"/>
          <w:bCs w:val="0"/>
          <w:snapToGrid w:val="0"/>
          <w:kern w:val="0"/>
          <w:sz w:val="30"/>
          <w:szCs w:val="30"/>
        </w:rPr>
      </w:pPr>
      <w:bookmarkStart w:id="686" w:name="_Toc2340"/>
      <w:bookmarkStart w:id="687" w:name="_Toc22293"/>
      <w:bookmarkStart w:id="688" w:name="_Toc20696"/>
      <w:bookmarkStart w:id="689" w:name="_Toc17769"/>
      <w:r>
        <w:rPr>
          <w:rFonts w:cs="Times New Roman"/>
          <w:bCs w:val="0"/>
          <w:snapToGrid w:val="0"/>
          <w:kern w:val="0"/>
          <w:sz w:val="30"/>
          <w:szCs w:val="30"/>
        </w:rPr>
        <w:t>5.3地下水环境影响分析</w:t>
      </w:r>
      <w:bookmarkEnd w:id="686"/>
      <w:bookmarkEnd w:id="687"/>
      <w:bookmarkEnd w:id="688"/>
      <w:bookmarkEnd w:id="689"/>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690" w:name="_Toc15192"/>
      <w:bookmarkStart w:id="691" w:name="_Toc4053"/>
      <w:bookmarkStart w:id="692" w:name="_Toc3399"/>
      <w:bookmarkStart w:id="693" w:name="_Toc31840"/>
      <w:r>
        <w:rPr>
          <w:rFonts w:cs="Times New Roman"/>
          <w:bCs w:val="0"/>
          <w:snapToGrid w:val="0"/>
          <w:kern w:val="0"/>
          <w:sz w:val="28"/>
          <w:szCs w:val="28"/>
        </w:rPr>
        <w:t>5.3.1区域水文地质条件</w:t>
      </w:r>
      <w:bookmarkEnd w:id="690"/>
      <w:bookmarkEnd w:id="691"/>
      <w:bookmarkEnd w:id="692"/>
    </w:p>
    <w:p>
      <w:pPr>
        <w:pStyle w:val="2"/>
        <w:adjustRightInd w:val="0"/>
        <w:spacing w:line="540" w:lineRule="exact"/>
        <w:ind w:firstLine="480" w:firstLineChars="200"/>
        <w:jc w:val="both"/>
        <w:rPr>
          <w:rFonts w:ascii="Times New Roman" w:hAnsi="Times New Roman"/>
          <w:sz w:val="24"/>
          <w:szCs w:val="15"/>
        </w:rPr>
      </w:pPr>
      <w:r>
        <w:rPr>
          <w:rFonts w:ascii="Times New Roman" w:hAnsi="Times New Roman"/>
          <w:sz w:val="24"/>
          <w:szCs w:val="15"/>
        </w:rPr>
        <w:t>从水文地质条件划分，规划</w:t>
      </w:r>
      <w:r>
        <w:rPr>
          <w:rFonts w:hint="eastAsia" w:ascii="Times New Roman" w:hAnsi="Times New Roman"/>
          <w:sz w:val="24"/>
          <w:szCs w:val="15"/>
        </w:rPr>
        <w:t>项目</w:t>
      </w:r>
      <w:r>
        <w:rPr>
          <w:rFonts w:ascii="Times New Roman" w:hAnsi="Times New Roman"/>
          <w:sz w:val="24"/>
          <w:szCs w:val="15"/>
        </w:rPr>
        <w:t>位于</w:t>
      </w:r>
      <w:r>
        <w:rPr>
          <w:rFonts w:hint="eastAsia" w:ascii="Times New Roman" w:hAnsi="Times New Roman"/>
          <w:sz w:val="24"/>
          <w:szCs w:val="15"/>
        </w:rPr>
        <w:t>隆德县，地属宁夏回族自治区南端，六盘山脉以西，县境内地势东高西低，地形复杂，类型多样，属陇中黄土高原区，即地质意义所属的陇西盆地。县境东部山区含水层以下白垩系泥质岩为主，岩层间歇和断裂破碎带为活动通道，汇集沟谷排入沟道转为地表水。河谷砂砾层厚而松散，富水性强。黄土丘陵区多为线型上层滞水。渝河、十字河、好水河、甘渭河、庄浪河、水洛河、唐家河处境通过葫芦河注入渭河。水体矿化度610~770mm/之间，为弱碱性。根据地形、地貌、土壤、植被等，将隆德县划分为三个区:土石山区、黄土丘陵沟壑区和河谷川道区。该项目所在位置神林乡神林村为黄土丘陵沟壑区，地形坡度10°以上，大部分在10°~30°之间，地表沟壑纵横，土质疏松，植被稀少，水土流失严重。</w:t>
      </w:r>
    </w:p>
    <w:p>
      <w:pPr>
        <w:pStyle w:val="52"/>
        <w:pageBreakBefore w:val="0"/>
        <w:widowControl/>
        <w:tabs>
          <w:tab w:val="left" w:pos="284"/>
        </w:tabs>
        <w:kinsoku/>
        <w:wordWrap/>
        <w:overflowPunct/>
        <w:topLinePunct w:val="0"/>
        <w:autoSpaceDE/>
        <w:autoSpaceDN/>
        <w:bidi w:val="0"/>
        <w:adjustRightInd/>
        <w:snapToGrid w:val="0"/>
        <w:spacing w:after="0" w:afterLines="0" w:line="540" w:lineRule="exact"/>
        <w:contextualSpacing/>
        <w:textAlignment w:val="auto"/>
        <w:rPr>
          <w:rFonts w:cs="Times New Roman"/>
          <w:bCs w:val="0"/>
          <w:snapToGrid w:val="0"/>
          <w:kern w:val="0"/>
          <w:sz w:val="28"/>
          <w:szCs w:val="28"/>
        </w:rPr>
      </w:pPr>
      <w:bookmarkStart w:id="694" w:name="_Toc2258"/>
      <w:r>
        <w:rPr>
          <w:rFonts w:cs="Times New Roman"/>
          <w:bCs w:val="0"/>
          <w:snapToGrid w:val="0"/>
          <w:kern w:val="0"/>
          <w:sz w:val="28"/>
          <w:szCs w:val="28"/>
        </w:rPr>
        <w:t>5.3.2地下水环境影响预测与分析</w:t>
      </w:r>
      <w:bookmarkEnd w:id="694"/>
    </w:p>
    <w:p>
      <w:pPr>
        <w:pageBreakBefore w:val="0"/>
        <w:widowControl/>
        <w:kinsoku/>
        <w:wordWrap/>
        <w:overflowPunct/>
        <w:topLinePunct w:val="0"/>
        <w:autoSpaceDE/>
        <w:autoSpaceDN/>
        <w:bidi w:val="0"/>
        <w:adjustRightInd/>
        <w:spacing w:line="540" w:lineRule="exact"/>
        <w:ind w:firstLine="481" w:firstLineChars="200"/>
        <w:jc w:val="left"/>
        <w:textAlignment w:val="auto"/>
      </w:pPr>
      <w:r>
        <w:rPr>
          <w:rFonts w:hint="eastAsia" w:ascii="宋体" w:hAnsi="宋体" w:cs="宋体"/>
          <w:b/>
          <w:bCs/>
          <w:color w:val="000000"/>
          <w:kern w:val="0"/>
          <w:sz w:val="24"/>
          <w:lang w:bidi="ar"/>
        </w:rPr>
        <w:t xml:space="preserve">㈠正常工况下地下水环境影响分析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 xml:space="preserve">⑴污染影响因素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 xml:space="preserve">①区域地质条件：地下水能否被污染以及污染程度的大小，与本区域环境地质条件有关，特别是包气带的地质结构、厚度、岩性、渗透系统等。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②污染物的理化性质：决定了其在地理化学环境中迁移能力。本项目对地下水潜在 的污染因素主要有</w:t>
      </w:r>
      <w:r>
        <w:rPr>
          <w:rFonts w:hint="eastAsia" w:ascii="Times New Roman" w:hAnsi="Times New Roman"/>
          <w:color w:val="000000"/>
          <w:kern w:val="0"/>
          <w:sz w:val="24"/>
          <w:lang w:bidi="ar"/>
        </w:rPr>
        <w:t>积粪场</w:t>
      </w:r>
      <w:r>
        <w:rPr>
          <w:rFonts w:ascii="Times New Roman" w:hAnsi="Times New Roman"/>
          <w:color w:val="000000"/>
          <w:kern w:val="0"/>
          <w:sz w:val="24"/>
          <w:lang w:bidi="ar"/>
        </w:rPr>
        <w:t>牛粪、牛棚牛尿及生活污水中的COD、NH</w:t>
      </w:r>
      <w:r>
        <w:rPr>
          <w:rFonts w:ascii="Times New Roman" w:hAnsi="Times New Roman"/>
          <w:color w:val="000000"/>
          <w:kern w:val="0"/>
          <w:sz w:val="24"/>
          <w:vertAlign w:val="subscript"/>
          <w:lang w:bidi="ar"/>
        </w:rPr>
        <w:t>3</w:t>
      </w:r>
      <w:r>
        <w:rPr>
          <w:rFonts w:ascii="Times New Roman" w:hAnsi="Times New Roman"/>
          <w:color w:val="000000"/>
          <w:kern w:val="0"/>
          <w:sz w:val="24"/>
          <w:lang w:bidi="ar"/>
        </w:rPr>
        <w:t xml:space="preserve">-N 等污染物。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 xml:space="preserve">⑵污染源及污染的主要途径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污染源：牛棚</w:t>
      </w:r>
      <w:r>
        <w:rPr>
          <w:rFonts w:hint="eastAsia" w:ascii="Times New Roman" w:hAnsi="Times New Roman"/>
          <w:color w:val="000000"/>
          <w:kern w:val="0"/>
          <w:sz w:val="24"/>
          <w:lang w:eastAsia="zh-CN" w:bidi="ar"/>
        </w:rPr>
        <w:t>、活动场</w:t>
      </w:r>
      <w:r>
        <w:rPr>
          <w:rFonts w:ascii="Times New Roman" w:hAnsi="Times New Roman"/>
          <w:color w:val="000000"/>
          <w:kern w:val="0"/>
          <w:sz w:val="24"/>
          <w:lang w:bidi="ar"/>
        </w:rPr>
        <w:t>的牛尿；</w:t>
      </w:r>
      <w:r>
        <w:rPr>
          <w:rFonts w:hint="eastAsia" w:ascii="Times New Roman" w:hAnsi="Times New Roman"/>
          <w:color w:val="000000"/>
          <w:kern w:val="0"/>
          <w:sz w:val="24"/>
          <w:lang w:bidi="ar"/>
        </w:rPr>
        <w:t>积粪场</w:t>
      </w:r>
      <w:r>
        <w:rPr>
          <w:rFonts w:ascii="Times New Roman" w:hAnsi="Times New Roman"/>
          <w:color w:val="000000"/>
          <w:kern w:val="0"/>
          <w:sz w:val="24"/>
          <w:lang w:bidi="ar"/>
        </w:rPr>
        <w:t>的渗滤液；危险废物贮存间泄漏。</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污染途径：</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 xml:space="preserve">①牛棚、活动场的牛尿渗入地下造成地下水环境污染；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②</w:t>
      </w:r>
      <w:r>
        <w:rPr>
          <w:rFonts w:hint="eastAsia" w:ascii="Times New Roman" w:hAnsi="Times New Roman"/>
          <w:color w:val="000000"/>
          <w:kern w:val="0"/>
          <w:sz w:val="24"/>
          <w:lang w:bidi="ar"/>
        </w:rPr>
        <w:t>积粪场</w:t>
      </w:r>
      <w:r>
        <w:rPr>
          <w:rFonts w:ascii="Times New Roman" w:hAnsi="Times New Roman"/>
          <w:color w:val="000000"/>
          <w:kern w:val="0"/>
          <w:sz w:val="24"/>
          <w:lang w:bidi="ar"/>
        </w:rPr>
        <w:t xml:space="preserve">地面损坏或围墙裂缝等原因导致渗滤液渗入地下造成地下水环境污染；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③危险废物贮存间非正常工况下造成地下水环境污染；</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 xml:space="preserve">⑶影响分析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本项目不开采地下水，生产生活用水由</w:t>
      </w:r>
      <w:r>
        <w:rPr>
          <w:rFonts w:hint="eastAsia" w:ascii="Times New Roman" w:hAnsi="Times New Roman"/>
          <w:color w:val="000000"/>
          <w:kern w:val="0"/>
          <w:sz w:val="24"/>
          <w:lang w:bidi="ar"/>
        </w:rPr>
        <w:t>隆德县自来水厂</w:t>
      </w:r>
      <w:r>
        <w:rPr>
          <w:rFonts w:ascii="Times New Roman" w:hAnsi="Times New Roman"/>
          <w:color w:val="000000"/>
          <w:kern w:val="0"/>
          <w:sz w:val="24"/>
          <w:lang w:bidi="ar"/>
        </w:rPr>
        <w:t>提供，厂址不属于生活供水水源的补给区，地下水环境敏感程度属于不敏感。项目运营期牛棚牛尿、</w:t>
      </w:r>
      <w:r>
        <w:rPr>
          <w:rFonts w:hint="eastAsia" w:ascii="Times New Roman" w:hAnsi="Times New Roman"/>
          <w:color w:val="000000"/>
          <w:kern w:val="0"/>
          <w:sz w:val="24"/>
          <w:lang w:bidi="ar"/>
        </w:rPr>
        <w:t>积粪场</w:t>
      </w:r>
      <w:r>
        <w:rPr>
          <w:rFonts w:ascii="Times New Roman" w:hAnsi="Times New Roman"/>
          <w:color w:val="000000"/>
          <w:kern w:val="0"/>
          <w:sz w:val="24"/>
          <w:lang w:bidi="ar"/>
        </w:rPr>
        <w:t xml:space="preserve">的淋滤水、危险废物贮存间危废的泄漏污水可能会通过包气带缓慢渗入浅层地下水，造成浅层地下水的污染。本项目通过采取以下措施对地下水污染进行防治： </w:t>
      </w:r>
    </w:p>
    <w:p>
      <w:pPr>
        <w:widowControl/>
        <w:spacing w:line="540" w:lineRule="exact"/>
        <w:ind w:firstLine="480" w:firstLineChars="200"/>
        <w:jc w:val="left"/>
        <w:rPr>
          <w:rFonts w:ascii="Times New Roman" w:hAnsi="Times New Roman"/>
          <w:color w:val="FF0000"/>
          <w:kern w:val="0"/>
          <w:sz w:val="24"/>
          <w:lang w:bidi="ar"/>
        </w:rPr>
      </w:pPr>
      <w:r>
        <w:rPr>
          <w:rFonts w:ascii="Times New Roman" w:hAnsi="Times New Roman"/>
          <w:color w:val="FF0000"/>
          <w:kern w:val="0"/>
          <w:sz w:val="24"/>
          <w:lang w:bidi="ar"/>
        </w:rPr>
        <w:t>①</w:t>
      </w:r>
      <w:r>
        <w:rPr>
          <w:rFonts w:hint="eastAsia" w:ascii="Times New Roman" w:hAnsi="Times New Roman"/>
          <w:color w:val="FF0000"/>
          <w:kern w:val="0"/>
          <w:sz w:val="24"/>
          <w:lang w:bidi="ar"/>
        </w:rPr>
        <w:t>积粪场</w:t>
      </w:r>
      <w:r>
        <w:rPr>
          <w:rFonts w:ascii="Times New Roman" w:hAnsi="Times New Roman"/>
          <w:color w:val="FF0000"/>
          <w:kern w:val="0"/>
          <w:sz w:val="24"/>
          <w:lang w:bidi="ar"/>
        </w:rPr>
        <w:t xml:space="preserve">、危险废物贮存间基础采取等效黏土防渗层 Mb≥6.0m，渗透系数≤1.0×10-7cm/s 的防渗措施。 </w:t>
      </w:r>
    </w:p>
    <w:p>
      <w:pPr>
        <w:widowControl/>
        <w:spacing w:line="540" w:lineRule="exact"/>
        <w:ind w:firstLine="480" w:firstLineChars="200"/>
        <w:jc w:val="left"/>
        <w:rPr>
          <w:rFonts w:ascii="Times New Roman" w:hAnsi="Times New Roman"/>
          <w:color w:val="FF0000"/>
          <w:sz w:val="24"/>
        </w:rPr>
      </w:pPr>
      <w:r>
        <w:rPr>
          <w:rFonts w:ascii="Times New Roman" w:hAnsi="Times New Roman"/>
          <w:color w:val="FF0000"/>
          <w:kern w:val="0"/>
          <w:sz w:val="24"/>
          <w:lang w:bidi="ar"/>
        </w:rPr>
        <w:t xml:space="preserve">②牛棚、运动场基础采取等效黏土防渗层 Mb≥1.5m，采取渗透系数≤1.0×10-7cm/s 的防渗措施。 </w:t>
      </w:r>
    </w:p>
    <w:p>
      <w:pPr>
        <w:widowControl/>
        <w:spacing w:line="540" w:lineRule="exact"/>
        <w:ind w:firstLine="480" w:firstLineChars="200"/>
        <w:jc w:val="left"/>
        <w:rPr>
          <w:rFonts w:ascii="Times New Roman" w:hAnsi="Times New Roman"/>
          <w:sz w:val="24"/>
        </w:rPr>
      </w:pPr>
      <w:r>
        <w:rPr>
          <w:rFonts w:ascii="Times New Roman" w:hAnsi="Times New Roman"/>
          <w:color w:val="FF0000"/>
          <w:kern w:val="0"/>
          <w:sz w:val="24"/>
          <w:lang w:bidi="ar"/>
        </w:rPr>
        <w:t>③生活管理区、饲料加工储存区、厂区道路等进行水泥硬化。</w:t>
      </w:r>
      <w:r>
        <w:rPr>
          <w:rFonts w:ascii="Times New Roman" w:hAnsi="Times New Roman"/>
          <w:color w:val="000000"/>
          <w:kern w:val="0"/>
          <w:sz w:val="24"/>
          <w:lang w:bidi="ar"/>
        </w:rPr>
        <w:t xml:space="preserve">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综上所处，通过采取上述有效防治措施后，正常工况下本项目运营期对地下水环境 影响较小</w:t>
      </w:r>
      <w:r>
        <w:rPr>
          <w:rFonts w:hint="eastAsia" w:ascii="Times New Roman" w:hAnsi="Times New Roman"/>
          <w:color w:val="000000"/>
          <w:kern w:val="0"/>
          <w:sz w:val="24"/>
          <w:lang w:bidi="ar"/>
        </w:rPr>
        <w:t>。</w:t>
      </w:r>
    </w:p>
    <w:p>
      <w:pPr>
        <w:widowControl/>
        <w:spacing w:line="540" w:lineRule="exact"/>
        <w:ind w:firstLine="481" w:firstLineChars="200"/>
        <w:jc w:val="left"/>
        <w:rPr>
          <w:rFonts w:ascii="Times New Roman" w:hAnsi="Times New Roman"/>
          <w:sz w:val="24"/>
        </w:rPr>
      </w:pPr>
      <w:r>
        <w:rPr>
          <w:rFonts w:ascii="Times New Roman" w:hAnsi="Times New Roman"/>
          <w:b/>
          <w:bCs/>
          <w:color w:val="000000"/>
          <w:kern w:val="0"/>
          <w:sz w:val="24"/>
          <w:lang w:bidi="ar"/>
        </w:rPr>
        <w:t>㈡非正常工况下地下水环境影响分析</w:t>
      </w:r>
    </w:p>
    <w:p>
      <w:pPr>
        <w:widowControl/>
        <w:spacing w:line="540" w:lineRule="exact"/>
        <w:ind w:firstLine="480" w:firstLineChars="200"/>
        <w:jc w:val="left"/>
        <w:rPr>
          <w:rFonts w:ascii="Times New Roman" w:hAnsi="Times New Roman"/>
          <w:sz w:val="24"/>
        </w:rPr>
      </w:pPr>
      <w:r>
        <w:rPr>
          <w:rFonts w:hint="eastAsia" w:ascii="Times New Roman" w:hAnsi="Times New Roman"/>
          <w:color w:val="000000"/>
          <w:kern w:val="0"/>
          <w:sz w:val="24"/>
          <w:lang w:eastAsia="zh-CN" w:bidi="ar"/>
        </w:rPr>
        <w:t>（</w:t>
      </w:r>
      <w:r>
        <w:rPr>
          <w:rFonts w:hint="eastAsia" w:ascii="Times New Roman" w:hAnsi="Times New Roman"/>
          <w:color w:val="000000"/>
          <w:kern w:val="0"/>
          <w:sz w:val="24"/>
          <w:lang w:val="en-US" w:eastAsia="zh-CN" w:bidi="ar"/>
        </w:rPr>
        <w:t>1</w:t>
      </w:r>
      <w:r>
        <w:rPr>
          <w:rFonts w:hint="eastAsia" w:ascii="Times New Roman" w:hAnsi="Times New Roman"/>
          <w:color w:val="000000"/>
          <w:kern w:val="0"/>
          <w:sz w:val="24"/>
          <w:lang w:eastAsia="zh-CN" w:bidi="ar"/>
        </w:rPr>
        <w:t>）</w:t>
      </w:r>
      <w:r>
        <w:rPr>
          <w:rFonts w:ascii="Times New Roman" w:hAnsi="Times New Roman"/>
          <w:color w:val="000000"/>
          <w:kern w:val="0"/>
          <w:sz w:val="24"/>
          <w:lang w:bidi="ar"/>
        </w:rPr>
        <w:t xml:space="preserve">预测情景 </w:t>
      </w:r>
    </w:p>
    <w:p>
      <w:pPr>
        <w:adjustRightInd w:val="0"/>
        <w:snapToGrid w:val="0"/>
        <w:spacing w:line="540" w:lineRule="exact"/>
        <w:ind w:firstLine="480" w:firstLineChars="200"/>
        <w:rPr>
          <w:rFonts w:ascii="Times New Roman" w:hAnsi="Times New Roman"/>
          <w:sz w:val="24"/>
        </w:rPr>
      </w:pPr>
      <w:r>
        <w:rPr>
          <w:rFonts w:ascii="Times New Roman" w:hAnsi="Times New Roman"/>
          <w:color w:val="000000"/>
          <w:kern w:val="0"/>
          <w:sz w:val="24"/>
          <w:lang w:bidi="ar"/>
        </w:rPr>
        <w:t>本次主要考虑</w:t>
      </w:r>
      <w:r>
        <w:rPr>
          <w:rFonts w:hint="eastAsia" w:ascii="Times New Roman" w:hAnsi="Times New Roman"/>
          <w:color w:val="000000"/>
          <w:kern w:val="0"/>
          <w:sz w:val="24"/>
          <w:lang w:bidi="ar"/>
        </w:rPr>
        <w:t>积粪场</w:t>
      </w:r>
      <w:r>
        <w:rPr>
          <w:rFonts w:ascii="Times New Roman" w:hAnsi="Times New Roman"/>
          <w:color w:val="000000"/>
          <w:kern w:val="0"/>
          <w:sz w:val="24"/>
          <w:lang w:bidi="ar"/>
        </w:rPr>
        <w:t xml:space="preserve">地面发生裂缝渗漏，导致渗滤液下渗对地下水的影响。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 xml:space="preserve">（2）预测源强 </w:t>
      </w:r>
    </w:p>
    <w:p>
      <w:pPr>
        <w:widowControl/>
        <w:spacing w:line="540" w:lineRule="exact"/>
        <w:ind w:firstLine="480" w:firstLineChars="200"/>
        <w:jc w:val="left"/>
        <w:rPr>
          <w:rFonts w:ascii="Times New Roman" w:hAnsi="Times New Roman"/>
          <w:sz w:val="24"/>
        </w:rPr>
      </w:pPr>
      <w:r>
        <w:rPr>
          <w:rFonts w:hint="eastAsia" w:ascii="Times New Roman" w:hAnsi="Times New Roman"/>
          <w:color w:val="000000"/>
          <w:kern w:val="0"/>
          <w:sz w:val="24"/>
          <w:lang w:bidi="ar"/>
        </w:rPr>
        <w:t>根据《环境影响评价技术导则-地下水环境》（HJ610-2016），按照重金属、持久性 有机污染物和其它类型进行分类，并对每一类别中的各项因采用标准指数法进行排序， 分别取标准指数最大因子作为预测因子。本项目粪污尿液中主要污染物为其它类型，选 择氨氮作为预测因子。</w:t>
      </w:r>
      <w:r>
        <w:rPr>
          <w:rFonts w:hint="eastAsia" w:ascii="Times New Roman" w:hAnsi="Times New Roman"/>
          <w:color w:val="FF0000"/>
          <w:kern w:val="0"/>
          <w:sz w:val="24"/>
          <w:lang w:bidi="ar"/>
        </w:rPr>
        <w:t>根据《畜禽养殖业污染治理工程技术规范》（HJ 497-2009）附录 A中肉牛养殖场干清粪工艺尿液中氨氮浓度为22.1mg/L，本次预测粪污尿液中氨氮浓度 取值22.1mg/L。污染物评价标准采用《地下水环境质量标准》（GB/T14848-2017）中Ⅲ 类水质作为评价标准，氨氮≤0.5mg/L。</w:t>
      </w:r>
      <w:r>
        <w:rPr>
          <w:rFonts w:ascii="Times New Roman" w:hAnsi="Times New Roman"/>
          <w:color w:val="000000"/>
          <w:kern w:val="0"/>
          <w:sz w:val="24"/>
          <w:lang w:bidi="ar"/>
        </w:rPr>
        <w:t xml:space="preserve">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②渗漏面积：</w:t>
      </w:r>
      <w:r>
        <w:rPr>
          <w:rFonts w:hint="eastAsia" w:ascii="Times New Roman" w:hAnsi="Times New Roman"/>
          <w:color w:val="000000"/>
          <w:kern w:val="0"/>
          <w:sz w:val="24"/>
          <w:lang w:bidi="ar"/>
        </w:rPr>
        <w:t>根据《给水排水构筑物工程施工及验收规范》（GB50141-2008），钢筋混凝土结构水 池渗水量不得超过2L/(m</w:t>
      </w:r>
      <w:r>
        <w:rPr>
          <w:rFonts w:hint="eastAsia" w:ascii="Times New Roman" w:hAnsi="Times New Roman"/>
          <w:color w:val="000000"/>
          <w:kern w:val="0"/>
          <w:sz w:val="24"/>
          <w:vertAlign w:val="superscript"/>
          <w:lang w:bidi="ar"/>
        </w:rPr>
        <w:t>2</w:t>
      </w:r>
      <w:r>
        <w:rPr>
          <w:rFonts w:hint="eastAsia" w:ascii="Times New Roman" w:hAnsi="Times New Roman"/>
          <w:color w:val="000000"/>
          <w:kern w:val="0"/>
          <w:sz w:val="24"/>
          <w:lang w:bidi="ar"/>
        </w:rPr>
        <w:t>•d)，非正常状况渗漏量应不小于正常状况允许渗漏量限值的10 倍，假定不考虑渗漏过程中包气带对污染物的吸附阻滞过程，视为污染物全部进入潜水 含水层，则非正常状况渗漏量为渗漏强度×渗漏面积×10，渗漏强度≤2L/(m</w:t>
      </w:r>
      <w:r>
        <w:rPr>
          <w:rFonts w:hint="eastAsia" w:ascii="Times New Roman" w:hAnsi="Times New Roman"/>
          <w:color w:val="000000"/>
          <w:kern w:val="0"/>
          <w:sz w:val="24"/>
          <w:vertAlign w:val="superscript"/>
          <w:lang w:bidi="ar"/>
        </w:rPr>
        <w:t>2</w:t>
      </w:r>
      <w:r>
        <w:rPr>
          <w:rFonts w:hint="eastAsia" w:ascii="Times New Roman" w:hAnsi="Times New Roman"/>
          <w:color w:val="000000"/>
          <w:kern w:val="0"/>
          <w:sz w:val="24"/>
          <w:lang w:bidi="ar"/>
        </w:rPr>
        <w:t>•d)，</w:t>
      </w:r>
      <w:r>
        <w:rPr>
          <w:rFonts w:ascii="Times New Roman" w:hAnsi="Times New Roman"/>
          <w:color w:val="000000"/>
          <w:kern w:val="0"/>
          <w:sz w:val="24"/>
          <w:lang w:bidi="ar"/>
        </w:rPr>
        <w:t>渗漏面积按</w:t>
      </w:r>
      <w:r>
        <w:rPr>
          <w:rFonts w:hint="eastAsia" w:ascii="Times New Roman" w:hAnsi="Times New Roman"/>
          <w:color w:val="000000"/>
          <w:kern w:val="0"/>
          <w:sz w:val="24"/>
          <w:lang w:bidi="ar"/>
        </w:rPr>
        <w:t>积粪场</w:t>
      </w:r>
      <w:r>
        <w:rPr>
          <w:rFonts w:ascii="Times New Roman" w:hAnsi="Times New Roman"/>
          <w:color w:val="000000"/>
          <w:kern w:val="0"/>
          <w:sz w:val="24"/>
          <w:lang w:bidi="ar"/>
        </w:rPr>
        <w:t>底部面积的2%进行计算，取</w:t>
      </w:r>
      <w:r>
        <w:rPr>
          <w:rFonts w:hint="eastAsia" w:ascii="Times New Roman" w:hAnsi="Times New Roman"/>
          <w:color w:val="000000"/>
          <w:kern w:val="0"/>
          <w:sz w:val="24"/>
          <w:lang w:bidi="ar"/>
        </w:rPr>
        <w:t>10.5</w:t>
      </w:r>
      <w:r>
        <w:rPr>
          <w:rFonts w:ascii="Times New Roman" w:hAnsi="Times New Roman"/>
          <w:color w:val="000000"/>
          <w:kern w:val="0"/>
          <w:sz w:val="24"/>
          <w:lang w:bidi="ar"/>
        </w:rPr>
        <w:t>m</w:t>
      </w:r>
      <w:r>
        <w:rPr>
          <w:rFonts w:ascii="Times New Roman" w:hAnsi="Times New Roman"/>
          <w:color w:val="000000"/>
          <w:kern w:val="0"/>
          <w:sz w:val="24"/>
          <w:vertAlign w:val="superscript"/>
          <w:lang w:bidi="ar"/>
        </w:rPr>
        <w:t>2</w:t>
      </w:r>
      <w:r>
        <w:rPr>
          <w:rFonts w:ascii="Times New Roman" w:hAnsi="Times New Roman"/>
          <w:color w:val="000000"/>
          <w:kern w:val="0"/>
          <w:sz w:val="24"/>
          <w:lang w:bidi="ar"/>
        </w:rPr>
        <w:t xml:space="preserve">。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③渗漏量：</w:t>
      </w:r>
      <w:r>
        <w:rPr>
          <w:rFonts w:hint="eastAsia" w:ascii="Times New Roman" w:hAnsi="Times New Roman"/>
          <w:color w:val="000000"/>
          <w:kern w:val="0"/>
          <w:sz w:val="24"/>
          <w:lang w:bidi="ar"/>
        </w:rPr>
        <w:t>积粪场</w:t>
      </w:r>
      <w:r>
        <w:rPr>
          <w:rFonts w:ascii="Times New Roman" w:hAnsi="Times New Roman"/>
          <w:color w:val="000000"/>
          <w:kern w:val="0"/>
          <w:sz w:val="24"/>
          <w:lang w:bidi="ar"/>
        </w:rPr>
        <w:t xml:space="preserve">破损部位的渗漏量按照下式计算 </w:t>
      </w:r>
    </w:p>
    <w:p>
      <w:pPr>
        <w:widowControl/>
        <w:spacing w:line="540" w:lineRule="exact"/>
        <w:ind w:firstLine="480" w:firstLineChars="200"/>
        <w:jc w:val="center"/>
        <w:rPr>
          <w:rFonts w:ascii="Times New Roman" w:hAnsi="Times New Roman"/>
          <w:sz w:val="24"/>
        </w:rPr>
      </w:pPr>
      <w:r>
        <w:rPr>
          <w:rFonts w:ascii="Times New Roman" w:hAnsi="Times New Roman"/>
          <w:color w:val="000000"/>
          <w:kern w:val="0"/>
          <w:sz w:val="24"/>
          <w:lang w:bidi="ar"/>
        </w:rPr>
        <w:t>Q=K·A·I</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式中：Q—破损部位的渗漏量，m</w:t>
      </w:r>
      <w:r>
        <w:rPr>
          <w:rFonts w:ascii="Times New Roman" w:hAnsi="Times New Roman"/>
          <w:color w:val="000000"/>
          <w:kern w:val="0"/>
          <w:sz w:val="24"/>
          <w:vertAlign w:val="superscript"/>
          <w:lang w:bidi="ar"/>
        </w:rPr>
        <w:t>3</w:t>
      </w:r>
      <w:r>
        <w:rPr>
          <w:rFonts w:ascii="Times New Roman" w:hAnsi="Times New Roman"/>
          <w:color w:val="000000"/>
          <w:kern w:val="0"/>
          <w:sz w:val="24"/>
          <w:lang w:bidi="ar"/>
        </w:rPr>
        <w:t>/d；</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K—包气带饱和垂向渗透系数，取2.6×10</w:t>
      </w:r>
      <w:r>
        <w:rPr>
          <w:rFonts w:ascii="Times New Roman" w:hAnsi="Times New Roman"/>
          <w:color w:val="000000"/>
          <w:kern w:val="0"/>
          <w:sz w:val="24"/>
          <w:vertAlign w:val="superscript"/>
          <w:lang w:bidi="ar"/>
        </w:rPr>
        <w:t>-3</w:t>
      </w:r>
      <w:r>
        <w:rPr>
          <w:rFonts w:ascii="Times New Roman" w:hAnsi="Times New Roman"/>
          <w:color w:val="000000"/>
          <w:kern w:val="0"/>
          <w:sz w:val="24"/>
          <w:lang w:bidi="ar"/>
        </w:rPr>
        <w:t>m/d；</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A—破损部位渗漏面积，</w:t>
      </w:r>
      <w:r>
        <w:rPr>
          <w:rFonts w:hint="eastAsia" w:ascii="Times New Roman" w:hAnsi="Times New Roman"/>
          <w:color w:val="000000"/>
          <w:kern w:val="0"/>
          <w:sz w:val="24"/>
          <w:lang w:bidi="ar"/>
        </w:rPr>
        <w:t>10.5</w:t>
      </w:r>
      <w:r>
        <w:rPr>
          <w:rFonts w:ascii="Times New Roman" w:hAnsi="Times New Roman"/>
          <w:color w:val="000000"/>
          <w:kern w:val="0"/>
          <w:sz w:val="24"/>
          <w:lang w:bidi="ar"/>
        </w:rPr>
        <w:t>m</w:t>
      </w:r>
      <w:r>
        <w:rPr>
          <w:rFonts w:ascii="Times New Roman" w:hAnsi="Times New Roman"/>
          <w:color w:val="000000"/>
          <w:kern w:val="0"/>
          <w:sz w:val="24"/>
          <w:vertAlign w:val="superscript"/>
          <w:lang w:bidi="ar"/>
        </w:rPr>
        <w:t>2</w:t>
      </w:r>
      <w:r>
        <w:rPr>
          <w:rFonts w:ascii="Times New Roman" w:hAnsi="Times New Roman"/>
          <w:color w:val="000000"/>
          <w:kern w:val="0"/>
          <w:sz w:val="24"/>
          <w:lang w:bidi="ar"/>
        </w:rPr>
        <w:t>；</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I—水力坡度，无量纲，1.12。</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由此计算可知破损部位的渗漏量为</w:t>
      </w:r>
      <w:r>
        <w:rPr>
          <w:rFonts w:hint="eastAsia" w:ascii="Times New Roman" w:hAnsi="Times New Roman"/>
          <w:color w:val="000000"/>
          <w:kern w:val="0"/>
          <w:sz w:val="24"/>
          <w:lang w:bidi="ar"/>
        </w:rPr>
        <w:t>0.03</w:t>
      </w:r>
      <w:r>
        <w:rPr>
          <w:rFonts w:ascii="Times New Roman" w:hAnsi="Times New Roman"/>
          <w:color w:val="000000"/>
          <w:kern w:val="0"/>
          <w:sz w:val="24"/>
          <w:lang w:bidi="ar"/>
        </w:rPr>
        <w:t>m</w:t>
      </w:r>
      <w:r>
        <w:rPr>
          <w:rFonts w:ascii="Times New Roman" w:hAnsi="Times New Roman"/>
          <w:color w:val="000000"/>
          <w:kern w:val="0"/>
          <w:sz w:val="24"/>
          <w:vertAlign w:val="superscript"/>
          <w:lang w:bidi="ar"/>
        </w:rPr>
        <w:t>3</w:t>
      </w:r>
      <w:r>
        <w:rPr>
          <w:rFonts w:ascii="Times New Roman" w:hAnsi="Times New Roman"/>
          <w:color w:val="000000"/>
          <w:kern w:val="0"/>
          <w:sz w:val="24"/>
          <w:lang w:bidi="ar"/>
        </w:rPr>
        <w:t xml:space="preserve">/d。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④渗漏时间：从环境安全角度考虑，渗漏时间取</w:t>
      </w:r>
      <w:r>
        <w:rPr>
          <w:rFonts w:hint="eastAsia" w:ascii="Times New Roman" w:hAnsi="Times New Roman"/>
          <w:color w:val="000000"/>
          <w:kern w:val="0"/>
          <w:sz w:val="24"/>
          <w:lang w:val="en-US" w:eastAsia="zh-CN" w:bidi="ar"/>
        </w:rPr>
        <w:t>365</w:t>
      </w:r>
      <w:r>
        <w:rPr>
          <w:rFonts w:ascii="Times New Roman" w:hAnsi="Times New Roman"/>
          <w:color w:val="000000"/>
          <w:kern w:val="0"/>
          <w:sz w:val="24"/>
          <w:lang w:bidi="ar"/>
        </w:rPr>
        <w:t>d，则总渗漏量为</w:t>
      </w:r>
      <w:r>
        <w:rPr>
          <w:rFonts w:hint="eastAsia" w:ascii="Times New Roman" w:hAnsi="Times New Roman"/>
          <w:color w:val="000000"/>
          <w:kern w:val="0"/>
          <w:sz w:val="24"/>
          <w:lang w:val="en-US" w:eastAsia="zh-CN" w:bidi="ar"/>
        </w:rPr>
        <w:t>10.95</w:t>
      </w:r>
      <w:r>
        <w:rPr>
          <w:rFonts w:ascii="Times New Roman" w:hAnsi="Times New Roman"/>
          <w:color w:val="000000"/>
          <w:kern w:val="0"/>
          <w:sz w:val="24"/>
          <w:lang w:bidi="ar"/>
        </w:rPr>
        <w:t>m</w:t>
      </w:r>
      <w:r>
        <w:rPr>
          <w:rFonts w:ascii="Times New Roman" w:hAnsi="Times New Roman"/>
          <w:color w:val="000000"/>
          <w:kern w:val="0"/>
          <w:sz w:val="24"/>
          <w:vertAlign w:val="superscript"/>
          <w:lang w:bidi="ar"/>
        </w:rPr>
        <w:t>3</w:t>
      </w:r>
      <w:r>
        <w:rPr>
          <w:rFonts w:ascii="Times New Roman" w:hAnsi="Times New Roman"/>
          <w:color w:val="000000"/>
          <w:kern w:val="0"/>
          <w:sz w:val="24"/>
          <w:lang w:bidi="ar"/>
        </w:rPr>
        <w:t>，废水中NH</w:t>
      </w:r>
      <w:r>
        <w:rPr>
          <w:rFonts w:ascii="Times New Roman" w:hAnsi="Times New Roman"/>
          <w:color w:val="000000"/>
          <w:kern w:val="0"/>
          <w:sz w:val="24"/>
          <w:vertAlign w:val="subscript"/>
          <w:lang w:bidi="ar"/>
        </w:rPr>
        <w:t>3</w:t>
      </w:r>
      <w:r>
        <w:rPr>
          <w:rFonts w:ascii="Times New Roman" w:hAnsi="Times New Roman"/>
          <w:color w:val="000000"/>
          <w:kern w:val="0"/>
          <w:sz w:val="24"/>
          <w:lang w:bidi="ar"/>
        </w:rPr>
        <w:t>-N 初始浓度为</w:t>
      </w:r>
      <w:r>
        <w:rPr>
          <w:rFonts w:hint="eastAsia" w:ascii="Times New Roman" w:hAnsi="Times New Roman"/>
          <w:color w:val="000000"/>
          <w:kern w:val="0"/>
          <w:sz w:val="24"/>
          <w:lang w:val="en-US" w:eastAsia="zh-CN" w:bidi="ar"/>
        </w:rPr>
        <w:t>22.1</w:t>
      </w:r>
      <w:r>
        <w:rPr>
          <w:rFonts w:ascii="Times New Roman" w:hAnsi="Times New Roman"/>
          <w:color w:val="000000"/>
          <w:kern w:val="0"/>
          <w:sz w:val="24"/>
          <w:lang w:bidi="ar"/>
        </w:rPr>
        <w:t>mg/L，则污染物渗漏量为</w:t>
      </w:r>
      <w:r>
        <w:rPr>
          <w:rFonts w:hint="eastAsia" w:ascii="Times New Roman" w:hAnsi="Times New Roman"/>
          <w:color w:val="000000"/>
          <w:kern w:val="0"/>
          <w:sz w:val="24"/>
          <w:lang w:bidi="ar"/>
        </w:rPr>
        <w:t>0.</w:t>
      </w:r>
      <w:r>
        <w:rPr>
          <w:rFonts w:hint="eastAsia" w:ascii="Times New Roman" w:hAnsi="Times New Roman"/>
          <w:color w:val="000000"/>
          <w:kern w:val="0"/>
          <w:sz w:val="24"/>
          <w:lang w:val="en-US" w:eastAsia="zh-CN" w:bidi="ar"/>
        </w:rPr>
        <w:t>24</w:t>
      </w:r>
      <w:r>
        <w:rPr>
          <w:rFonts w:ascii="Times New Roman" w:hAnsi="Times New Roman"/>
          <w:color w:val="000000"/>
          <w:kern w:val="0"/>
          <w:sz w:val="24"/>
          <w:lang w:bidi="ar"/>
        </w:rPr>
        <w:t xml:space="preserve">kg/次。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 xml:space="preserve">（3）预测范围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 xml:space="preserve">预测范围为本项目非正常状况下影响的区域。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 xml:space="preserve">（4）预测时段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 xml:space="preserve">预测时段选择事故发生后 100d、365d、1000d 作为预测时间节点。 </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 xml:space="preserve">（5）预测模式 </w:t>
      </w:r>
    </w:p>
    <w:p>
      <w:pPr>
        <w:widowControl/>
        <w:spacing w:line="540" w:lineRule="exact"/>
        <w:ind w:firstLine="480" w:firstLineChars="200"/>
        <w:jc w:val="left"/>
        <w:rPr>
          <w:rFonts w:hint="eastAsia" w:ascii="Times New Roman" w:hAnsi="Times New Roman"/>
          <w:color w:val="000000"/>
          <w:kern w:val="0"/>
          <w:sz w:val="24"/>
          <w:lang w:bidi="ar"/>
        </w:rPr>
      </w:pPr>
      <w:r>
        <w:rPr>
          <w:rFonts w:hint="eastAsia" w:ascii="Times New Roman" w:hAnsi="Times New Roman"/>
          <w:color w:val="000000"/>
          <w:kern w:val="0"/>
          <w:sz w:val="24"/>
          <w:lang w:bidi="ar"/>
        </w:rPr>
        <w:t>预测模型 本次选择模型将污染源以点源考虑，在模拟污染物扩散时，不考虑吸附作用、化学反应等因素。地下水预测采用溶质运移解析法，采用预测模型如下：</w:t>
      </w:r>
    </w:p>
    <w:p>
      <w:pPr>
        <w:keepNext w:val="0"/>
        <w:keepLines w:val="0"/>
        <w:pageBreakBefore w:val="0"/>
        <w:widowControl/>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color w:val="000000"/>
          <w:kern w:val="0"/>
          <w:sz w:val="24"/>
          <w:lang w:bidi="ar"/>
        </w:rPr>
      </w:pPr>
    </w:p>
    <w:p>
      <w:pPr>
        <w:keepNext w:val="0"/>
        <w:keepLines w:val="0"/>
        <w:pageBreakBefore w:val="0"/>
        <w:widowControl/>
        <w:kinsoku/>
        <w:wordWrap/>
        <w:overflowPunct/>
        <w:topLinePunct w:val="0"/>
        <w:autoSpaceDE/>
        <w:autoSpaceDN/>
        <w:bidi w:val="0"/>
        <w:adjustRightInd/>
        <w:snapToGrid/>
        <w:spacing w:line="240" w:lineRule="auto"/>
        <w:ind w:firstLine="400" w:firstLineChars="200"/>
        <w:jc w:val="center"/>
        <w:textAlignment w:val="auto"/>
        <w:rPr>
          <w:rFonts w:hint="default" w:ascii="仿宋" w:hAnsi="仿宋" w:eastAsia="仿宋" w:cs="仿宋"/>
          <w:sz w:val="20"/>
          <w:szCs w:val="20"/>
        </w:rPr>
      </w:pPr>
      <w:r>
        <w:rPr>
          <w:rFonts w:hint="default" w:ascii="仿宋" w:hAnsi="仿宋" w:eastAsia="仿宋" w:cs="仿宋"/>
          <w:position w:val="-29"/>
          <w:sz w:val="20"/>
          <w:szCs w:val="20"/>
        </w:rPr>
        <w:drawing>
          <wp:inline distT="0" distB="0" distL="0" distR="0">
            <wp:extent cx="3263900" cy="960755"/>
            <wp:effectExtent l="0" t="0" r="12700" b="10795"/>
            <wp:docPr id="4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8.jpeg"/>
                    <pic:cNvPicPr>
                      <a:picLocks noChangeAspect="1"/>
                    </pic:cNvPicPr>
                  </pic:nvPicPr>
                  <pic:blipFill>
                    <a:blip r:embed="rId43" cstate="print"/>
                    <a:stretch>
                      <a:fillRect/>
                    </a:stretch>
                  </pic:blipFill>
                  <pic:spPr>
                    <a:xfrm>
                      <a:off x="0" y="0"/>
                      <a:ext cx="3264035" cy="961263"/>
                    </a:xfrm>
                    <a:prstGeom prst="rect">
                      <a:avLst/>
                    </a:prstGeom>
                  </pic:spPr>
                </pic:pic>
              </a:graphicData>
            </a:graphic>
          </wp:inline>
        </w:drawing>
      </w:r>
    </w:p>
    <w:p>
      <w:pPr>
        <w:widowControl/>
        <w:spacing w:line="540" w:lineRule="exact"/>
        <w:ind w:firstLine="480" w:firstLineChars="200"/>
        <w:jc w:val="left"/>
        <w:rPr>
          <w:rFonts w:hint="eastAsia" w:ascii="Times New Roman" w:hAnsi="Times New Roman"/>
          <w:color w:val="000000"/>
          <w:kern w:val="0"/>
          <w:sz w:val="24"/>
          <w:lang w:bidi="ar"/>
        </w:rPr>
      </w:pPr>
      <w:r>
        <w:rPr>
          <w:rFonts w:hint="eastAsia" w:ascii="Times New Roman" w:hAnsi="Times New Roman"/>
          <w:color w:val="000000"/>
          <w:kern w:val="0"/>
          <w:sz w:val="24"/>
          <w:lang w:bidi="ar"/>
        </w:rPr>
        <w:t xml:space="preserve">式中： x——距注入点的距离，m； </w:t>
      </w:r>
    </w:p>
    <w:p>
      <w:pPr>
        <w:widowControl/>
        <w:spacing w:line="540" w:lineRule="exact"/>
        <w:ind w:firstLine="1440" w:firstLineChars="600"/>
        <w:jc w:val="left"/>
        <w:rPr>
          <w:rFonts w:hint="eastAsia" w:ascii="Times New Roman" w:hAnsi="Times New Roman"/>
          <w:color w:val="000000"/>
          <w:kern w:val="0"/>
          <w:sz w:val="24"/>
          <w:lang w:bidi="ar"/>
        </w:rPr>
      </w:pPr>
      <w:r>
        <w:rPr>
          <w:rFonts w:hint="eastAsia" w:ascii="Times New Roman" w:hAnsi="Times New Roman"/>
          <w:color w:val="000000"/>
          <w:kern w:val="0"/>
          <w:sz w:val="24"/>
          <w:lang w:bidi="ar"/>
        </w:rPr>
        <w:t>t——时间，d；</w:t>
      </w:r>
    </w:p>
    <w:p>
      <w:pPr>
        <w:widowControl/>
        <w:spacing w:line="540" w:lineRule="exact"/>
        <w:ind w:firstLine="480" w:firstLineChars="200"/>
        <w:jc w:val="left"/>
        <w:rPr>
          <w:rFonts w:hint="eastAsia" w:ascii="Times New Roman" w:hAnsi="Times New Roman"/>
          <w:color w:val="000000"/>
          <w:kern w:val="0"/>
          <w:sz w:val="24"/>
          <w:lang w:bidi="ar"/>
        </w:rPr>
      </w:pPr>
      <w:r>
        <w:rPr>
          <w:rFonts w:hint="eastAsia" w:ascii="Times New Roman" w:hAnsi="Times New Roman"/>
          <w:color w:val="000000"/>
          <w:kern w:val="0"/>
          <w:sz w:val="24"/>
          <w:lang w:bidi="ar"/>
        </w:rPr>
        <w:t xml:space="preserve">C(x，t)——t 时刻 x 处的示踪剂浓度，g/L； </w:t>
      </w:r>
    </w:p>
    <w:p>
      <w:pPr>
        <w:widowControl/>
        <w:spacing w:line="540" w:lineRule="exact"/>
        <w:ind w:firstLine="480" w:firstLineChars="200"/>
        <w:jc w:val="left"/>
        <w:rPr>
          <w:rFonts w:hint="eastAsia" w:ascii="Times New Roman" w:hAnsi="Times New Roman"/>
          <w:color w:val="000000"/>
          <w:kern w:val="0"/>
          <w:sz w:val="24"/>
          <w:lang w:bidi="ar"/>
        </w:rPr>
      </w:pPr>
      <w:r>
        <w:rPr>
          <w:rFonts w:hint="eastAsia" w:ascii="Times New Roman" w:hAnsi="Times New Roman"/>
          <w:color w:val="000000"/>
          <w:kern w:val="0"/>
          <w:sz w:val="24"/>
          <w:lang w:bidi="ar"/>
        </w:rPr>
        <w:t>m—注入的示踪剂质量，kg； w—横截面面积，m</w:t>
      </w:r>
      <w:r>
        <w:rPr>
          <w:rFonts w:hint="eastAsia" w:ascii="Times New Roman" w:hAnsi="Times New Roman"/>
          <w:color w:val="000000"/>
          <w:kern w:val="0"/>
          <w:sz w:val="24"/>
          <w:vertAlign w:val="superscript"/>
          <w:lang w:bidi="ar"/>
        </w:rPr>
        <w:t>2</w:t>
      </w:r>
      <w:r>
        <w:rPr>
          <w:rFonts w:hint="eastAsia" w:ascii="Times New Roman" w:hAnsi="Times New Roman"/>
          <w:color w:val="000000"/>
          <w:kern w:val="0"/>
          <w:sz w:val="24"/>
          <w:lang w:bidi="ar"/>
        </w:rPr>
        <w:t xml:space="preserve"> ；</w:t>
      </w:r>
    </w:p>
    <w:p>
      <w:pPr>
        <w:widowControl/>
        <w:spacing w:line="540" w:lineRule="exact"/>
        <w:ind w:firstLine="480" w:firstLineChars="200"/>
        <w:jc w:val="left"/>
        <w:rPr>
          <w:rFonts w:hint="eastAsia" w:ascii="Times New Roman" w:hAnsi="Times New Roman"/>
          <w:color w:val="000000"/>
          <w:kern w:val="0"/>
          <w:sz w:val="24"/>
          <w:lang w:bidi="ar"/>
        </w:rPr>
      </w:pPr>
      <w:r>
        <w:rPr>
          <w:rFonts w:hint="eastAsia" w:ascii="Times New Roman" w:hAnsi="Times New Roman"/>
          <w:color w:val="000000"/>
          <w:kern w:val="0"/>
          <w:sz w:val="24"/>
          <w:lang w:bidi="ar"/>
        </w:rPr>
        <w:t>u—水流速度，m/d；</w:t>
      </w:r>
    </w:p>
    <w:p>
      <w:pPr>
        <w:widowControl/>
        <w:spacing w:line="540" w:lineRule="exact"/>
        <w:ind w:firstLine="480" w:firstLineChars="200"/>
        <w:jc w:val="left"/>
        <w:rPr>
          <w:rFonts w:hint="eastAsia" w:ascii="Times New Roman" w:hAnsi="Times New Roman"/>
          <w:color w:val="000000"/>
          <w:kern w:val="0"/>
          <w:sz w:val="24"/>
          <w:lang w:bidi="ar"/>
        </w:rPr>
      </w:pPr>
      <w:r>
        <w:rPr>
          <w:rFonts w:hint="eastAsia" w:ascii="Times New Roman" w:hAnsi="Times New Roman"/>
          <w:color w:val="000000"/>
          <w:kern w:val="0"/>
          <w:sz w:val="24"/>
          <w:lang w:bidi="ar"/>
        </w:rPr>
        <w:t>ne —有效孔隙度，无量纲；</w:t>
      </w:r>
    </w:p>
    <w:p>
      <w:pPr>
        <w:widowControl/>
        <w:spacing w:line="540" w:lineRule="exact"/>
        <w:ind w:firstLine="480" w:firstLineChars="200"/>
        <w:jc w:val="left"/>
        <w:rPr>
          <w:rFonts w:hint="eastAsia" w:ascii="Times New Roman" w:hAnsi="Times New Roman"/>
          <w:color w:val="000000"/>
          <w:kern w:val="0"/>
          <w:sz w:val="24"/>
          <w:lang w:bidi="ar"/>
        </w:rPr>
      </w:pPr>
      <w:r>
        <w:rPr>
          <w:rFonts w:hint="eastAsia" w:ascii="Times New Roman" w:hAnsi="Times New Roman"/>
          <w:color w:val="000000"/>
          <w:kern w:val="0"/>
          <w:sz w:val="24"/>
          <w:lang w:bidi="ar"/>
        </w:rPr>
        <w:t xml:space="preserve"> DL ——纵向弥散系数，m</w:t>
      </w:r>
      <w:r>
        <w:rPr>
          <w:rFonts w:hint="eastAsia" w:ascii="Times New Roman" w:hAnsi="Times New Roman"/>
          <w:color w:val="000000"/>
          <w:kern w:val="0"/>
          <w:sz w:val="24"/>
          <w:vertAlign w:val="superscript"/>
          <w:lang w:bidi="ar"/>
        </w:rPr>
        <w:t>2</w:t>
      </w:r>
      <w:r>
        <w:rPr>
          <w:rFonts w:hint="eastAsia" w:ascii="Times New Roman" w:hAnsi="Times New Roman"/>
          <w:color w:val="000000"/>
          <w:kern w:val="0"/>
          <w:sz w:val="24"/>
          <w:lang w:bidi="ar"/>
        </w:rPr>
        <w:t xml:space="preserve">/d； </w:t>
      </w:r>
    </w:p>
    <w:p>
      <w:pPr>
        <w:widowControl/>
        <w:spacing w:line="540" w:lineRule="exact"/>
        <w:ind w:firstLine="480" w:firstLineChars="200"/>
        <w:jc w:val="left"/>
        <w:rPr>
          <w:rFonts w:hint="eastAsia" w:ascii="Times New Roman" w:hAnsi="Times New Roman"/>
          <w:color w:val="000000"/>
          <w:kern w:val="0"/>
          <w:sz w:val="24"/>
          <w:lang w:bidi="ar"/>
        </w:rPr>
      </w:pPr>
      <w:r>
        <w:rPr>
          <w:rFonts w:hint="eastAsia" w:ascii="Times New Roman" w:hAnsi="Times New Roman"/>
          <w:color w:val="000000"/>
          <w:kern w:val="0"/>
          <w:sz w:val="24"/>
          <w:lang w:bidi="ar"/>
        </w:rPr>
        <w:t>π—圆周率</w:t>
      </w:r>
    </w:p>
    <w:p>
      <w:pPr>
        <w:widowControl/>
        <w:spacing w:line="540" w:lineRule="exact"/>
        <w:ind w:firstLine="480" w:firstLineChars="200"/>
        <w:jc w:val="left"/>
        <w:rPr>
          <w:rFonts w:ascii="Times New Roman" w:hAnsi="Times New Roman"/>
          <w:sz w:val="24"/>
        </w:rPr>
      </w:pPr>
      <w:r>
        <w:rPr>
          <w:rFonts w:ascii="Times New Roman" w:hAnsi="Times New Roman"/>
          <w:color w:val="000000"/>
          <w:kern w:val="0"/>
          <w:sz w:val="24"/>
          <w:lang w:bidi="ar"/>
        </w:rPr>
        <w:t>⑹预测参数</w:t>
      </w:r>
    </w:p>
    <w:p>
      <w:pPr>
        <w:widowControl/>
        <w:spacing w:line="540" w:lineRule="exact"/>
        <w:ind w:firstLine="480" w:firstLineChars="200"/>
        <w:jc w:val="left"/>
        <w:rPr>
          <w:rFonts w:ascii="Times New Roman" w:hAnsi="Times New Roman"/>
          <w:color w:val="000000"/>
          <w:kern w:val="0"/>
          <w:sz w:val="24"/>
          <w:lang w:bidi="ar"/>
        </w:rPr>
      </w:pPr>
      <w:r>
        <w:rPr>
          <w:rFonts w:ascii="Times New Roman" w:hAnsi="Times New Roman"/>
          <w:color w:val="000000"/>
          <w:kern w:val="0"/>
          <w:sz w:val="24"/>
          <w:lang w:bidi="ar"/>
        </w:rPr>
        <w:t xml:space="preserve">计算模式中各参数值见表 5.3-2。 </w:t>
      </w:r>
    </w:p>
    <w:p>
      <w:pPr>
        <w:widowControl/>
        <w:spacing w:line="540" w:lineRule="exact"/>
        <w:ind w:firstLine="481" w:firstLineChars="200"/>
        <w:jc w:val="center"/>
        <w:rPr>
          <w:rFonts w:ascii="宋体" w:hAnsi="宋体" w:cs="宋体"/>
          <w:b/>
          <w:bCs/>
          <w:sz w:val="24"/>
        </w:rPr>
      </w:pPr>
      <w:r>
        <w:rPr>
          <w:rFonts w:ascii="Times New Roman" w:hAnsi="Times New Roman"/>
          <w:b/>
          <w:bCs/>
          <w:color w:val="000000"/>
          <w:kern w:val="0"/>
          <w:sz w:val="24"/>
          <w:lang w:bidi="ar"/>
        </w:rPr>
        <w:t xml:space="preserve">表 5.3-2     </w:t>
      </w:r>
      <w:r>
        <w:rPr>
          <w:rFonts w:hint="eastAsia" w:ascii="宋体" w:hAnsi="宋体" w:cs="宋体"/>
          <w:b/>
          <w:bCs/>
          <w:color w:val="000000"/>
          <w:kern w:val="0"/>
          <w:sz w:val="24"/>
          <w:lang w:bidi="ar"/>
        </w:rPr>
        <w:t xml:space="preserve"> 水质预测各参数取值表</w:t>
      </w:r>
    </w:p>
    <w:tbl>
      <w:tblPr>
        <w:tblStyle w:val="29"/>
        <w:tblW w:w="0" w:type="auto"/>
        <w:tblInd w:w="102" w:type="dxa"/>
        <w:tblLayout w:type="fixed"/>
        <w:tblCellMar>
          <w:top w:w="0" w:type="dxa"/>
          <w:left w:w="0" w:type="dxa"/>
          <w:bottom w:w="0" w:type="dxa"/>
          <w:right w:w="0" w:type="dxa"/>
        </w:tblCellMar>
      </w:tblPr>
      <w:tblGrid>
        <w:gridCol w:w="1472"/>
        <w:gridCol w:w="1210"/>
        <w:gridCol w:w="1094"/>
        <w:gridCol w:w="1674"/>
        <w:gridCol w:w="1925"/>
        <w:gridCol w:w="1697"/>
      </w:tblGrid>
      <w:tr>
        <w:tblPrEx>
          <w:tblCellMar>
            <w:top w:w="0" w:type="dxa"/>
            <w:left w:w="0" w:type="dxa"/>
            <w:bottom w:w="0" w:type="dxa"/>
            <w:right w:w="0" w:type="dxa"/>
          </w:tblCellMar>
        </w:tblPrEx>
        <w:trPr>
          <w:trHeight w:val="408" w:hRule="exact"/>
        </w:trPr>
        <w:tc>
          <w:tcPr>
            <w:tcW w:w="1472" w:type="dxa"/>
            <w:tcBorders>
              <w:top w:val="single" w:color="000000" w:sz="12" w:space="0"/>
              <w:left w:val="single" w:color="000000" w:sz="12" w:space="0"/>
              <w:bottom w:val="single" w:color="000000" w:sz="6" w:space="0"/>
              <w:right w:val="single" w:color="000000" w:sz="8" w:space="0"/>
            </w:tcBorders>
          </w:tcPr>
          <w:p>
            <w:pPr>
              <w:pStyle w:val="46"/>
              <w:spacing w:before="20" w:line="240" w:lineRule="auto"/>
              <w:ind w:right="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参数</w:t>
            </w:r>
          </w:p>
        </w:tc>
        <w:tc>
          <w:tcPr>
            <w:tcW w:w="1210" w:type="dxa"/>
            <w:tcBorders>
              <w:top w:val="single" w:color="000000" w:sz="12" w:space="0"/>
              <w:left w:val="single" w:color="000000" w:sz="8" w:space="0"/>
              <w:bottom w:val="single" w:color="000000" w:sz="6" w:space="0"/>
              <w:right w:val="single" w:color="000000" w:sz="8" w:space="0"/>
            </w:tcBorders>
          </w:tcPr>
          <w:p>
            <w:pPr>
              <w:pStyle w:val="46"/>
              <w:spacing w:before="20" w:line="240" w:lineRule="auto"/>
              <w:ind w:right="1"/>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K（m/d）</w:t>
            </w:r>
          </w:p>
        </w:tc>
        <w:tc>
          <w:tcPr>
            <w:tcW w:w="1094" w:type="dxa"/>
            <w:tcBorders>
              <w:top w:val="single" w:color="000000" w:sz="12" w:space="0"/>
              <w:left w:val="single" w:color="000000" w:sz="8" w:space="0"/>
              <w:bottom w:val="single" w:color="000000" w:sz="6" w:space="0"/>
              <w:right w:val="single" w:color="000000" w:sz="8" w:space="0"/>
            </w:tcBorders>
          </w:tcPr>
          <w:p>
            <w:pPr>
              <w:pStyle w:val="46"/>
              <w:spacing w:before="20" w:line="240" w:lineRule="auto"/>
              <w:ind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ne</w:t>
            </w:r>
          </w:p>
        </w:tc>
        <w:tc>
          <w:tcPr>
            <w:tcW w:w="1674" w:type="dxa"/>
            <w:tcBorders>
              <w:top w:val="single" w:color="000000" w:sz="12" w:space="0"/>
              <w:left w:val="single" w:color="000000" w:sz="8" w:space="0"/>
              <w:bottom w:val="single" w:color="000000" w:sz="6" w:space="0"/>
              <w:right w:val="single" w:color="000000" w:sz="8" w:space="0"/>
            </w:tcBorders>
          </w:tcPr>
          <w:p>
            <w:pPr>
              <w:pStyle w:val="46"/>
              <w:spacing w:before="20" w:line="240" w:lineRule="auto"/>
              <w:ind w:right="1"/>
              <w:jc w:val="center"/>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I</w:t>
            </w:r>
          </w:p>
        </w:tc>
        <w:tc>
          <w:tcPr>
            <w:tcW w:w="1925" w:type="dxa"/>
            <w:tcBorders>
              <w:top w:val="single" w:color="000000" w:sz="12" w:space="0"/>
              <w:left w:val="single" w:color="000000" w:sz="8" w:space="0"/>
              <w:bottom w:val="single" w:color="000000" w:sz="6" w:space="0"/>
              <w:right w:val="single" w:color="000000" w:sz="8" w:space="0"/>
            </w:tcBorders>
          </w:tcPr>
          <w:p>
            <w:pPr>
              <w:pStyle w:val="46"/>
              <w:spacing w:before="20" w:line="240" w:lineRule="auto"/>
              <w:ind w:right="1"/>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u（m/d）</w:t>
            </w:r>
          </w:p>
        </w:tc>
        <w:tc>
          <w:tcPr>
            <w:tcW w:w="1697" w:type="dxa"/>
            <w:tcBorders>
              <w:top w:val="single" w:color="000000" w:sz="12" w:space="0"/>
              <w:left w:val="single" w:color="000000" w:sz="8" w:space="0"/>
              <w:bottom w:val="single" w:color="000000" w:sz="6" w:space="0"/>
              <w:right w:val="single" w:color="000000" w:sz="12" w:space="0"/>
            </w:tcBorders>
          </w:tcPr>
          <w:p>
            <w:pPr>
              <w:pStyle w:val="46"/>
              <w:spacing w:before="20" w:line="240" w:lineRule="auto"/>
              <w:ind w:left="3" w:right="0"/>
              <w:jc w:val="center"/>
              <w:rPr>
                <w:rFonts w:hint="default" w:ascii="Times New Roman" w:hAnsi="Times New Roman" w:eastAsia="宋体" w:cs="Times New Roman"/>
                <w:sz w:val="21"/>
                <w:szCs w:val="21"/>
              </w:rPr>
            </w:pPr>
            <w:r>
              <w:rPr>
                <w:rFonts w:hint="default" w:ascii="Times New Roman" w:hAnsi="Times New Roman" w:eastAsia="宋体" w:cs="Times New Roman"/>
                <w:spacing w:val="1"/>
                <w:w w:val="99"/>
                <w:sz w:val="21"/>
                <w:szCs w:val="21"/>
              </w:rPr>
              <w:t>DL</w:t>
            </w:r>
            <w:r>
              <w:rPr>
                <w:rFonts w:hint="default" w:ascii="Times New Roman" w:hAnsi="Times New Roman" w:eastAsia="宋体" w:cs="Times New Roman"/>
                <w:spacing w:val="-1"/>
                <w:w w:val="99"/>
                <w:sz w:val="21"/>
                <w:szCs w:val="21"/>
              </w:rPr>
              <w:t>（</w:t>
            </w:r>
            <w:r>
              <w:rPr>
                <w:rFonts w:hint="default" w:ascii="Times New Roman" w:hAnsi="Times New Roman" w:eastAsia="宋体" w:cs="Times New Roman"/>
                <w:spacing w:val="1"/>
                <w:w w:val="99"/>
                <w:sz w:val="21"/>
                <w:szCs w:val="21"/>
              </w:rPr>
              <w:t>m</w:t>
            </w:r>
            <w:r>
              <w:rPr>
                <w:rFonts w:hint="default" w:ascii="Times New Roman" w:hAnsi="Times New Roman" w:eastAsia="宋体" w:cs="Times New Roman"/>
                <w:spacing w:val="-1"/>
                <w:w w:val="105"/>
                <w:position w:val="10"/>
                <w:sz w:val="21"/>
                <w:szCs w:val="21"/>
              </w:rPr>
              <w:t>2</w:t>
            </w:r>
            <w:r>
              <w:rPr>
                <w:rFonts w:hint="default" w:ascii="Times New Roman" w:hAnsi="Times New Roman" w:eastAsia="宋体" w:cs="Times New Roman"/>
                <w:spacing w:val="1"/>
                <w:w w:val="99"/>
                <w:sz w:val="21"/>
                <w:szCs w:val="21"/>
              </w:rPr>
              <w:t>/</w:t>
            </w:r>
            <w:r>
              <w:rPr>
                <w:rFonts w:hint="default" w:ascii="Times New Roman" w:hAnsi="Times New Roman" w:eastAsia="宋体" w:cs="Times New Roman"/>
                <w:spacing w:val="-2"/>
                <w:w w:val="99"/>
                <w:sz w:val="21"/>
                <w:szCs w:val="21"/>
              </w:rPr>
              <w:t>d</w:t>
            </w:r>
            <w:r>
              <w:rPr>
                <w:rFonts w:hint="default" w:ascii="Times New Roman" w:hAnsi="Times New Roman" w:eastAsia="宋体" w:cs="Times New Roman"/>
                <w:w w:val="99"/>
                <w:sz w:val="21"/>
                <w:szCs w:val="21"/>
              </w:rPr>
              <w:t>）</w:t>
            </w:r>
          </w:p>
        </w:tc>
      </w:tr>
      <w:tr>
        <w:tblPrEx>
          <w:tblCellMar>
            <w:top w:w="0" w:type="dxa"/>
            <w:left w:w="0" w:type="dxa"/>
            <w:bottom w:w="0" w:type="dxa"/>
            <w:right w:w="0" w:type="dxa"/>
          </w:tblCellMar>
        </w:tblPrEx>
        <w:trPr>
          <w:trHeight w:val="294" w:hRule="exact"/>
        </w:trPr>
        <w:tc>
          <w:tcPr>
            <w:tcW w:w="1472" w:type="dxa"/>
            <w:tcBorders>
              <w:top w:val="single" w:color="000000" w:sz="6" w:space="0"/>
              <w:left w:val="single" w:color="000000" w:sz="12" w:space="0"/>
              <w:bottom w:val="single" w:color="000000" w:sz="12" w:space="0"/>
              <w:right w:val="single" w:color="000000" w:sz="8" w:space="0"/>
            </w:tcBorders>
          </w:tcPr>
          <w:p>
            <w:pPr>
              <w:pStyle w:val="46"/>
              <w:spacing w:line="241" w:lineRule="exact"/>
              <w:ind w:right="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取值</w:t>
            </w:r>
          </w:p>
        </w:tc>
        <w:tc>
          <w:tcPr>
            <w:tcW w:w="1210" w:type="dxa"/>
            <w:tcBorders>
              <w:top w:val="single" w:color="000000" w:sz="6" w:space="0"/>
              <w:left w:val="single" w:color="000000" w:sz="8" w:space="0"/>
              <w:bottom w:val="single" w:color="000000" w:sz="12" w:space="0"/>
              <w:right w:val="single" w:color="000000" w:sz="8" w:space="0"/>
            </w:tcBorders>
          </w:tcPr>
          <w:p>
            <w:pPr>
              <w:pStyle w:val="46"/>
              <w:spacing w:line="241" w:lineRule="exact"/>
              <w:ind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1094" w:type="dxa"/>
            <w:tcBorders>
              <w:top w:val="single" w:color="000000" w:sz="6" w:space="0"/>
              <w:left w:val="single" w:color="000000" w:sz="8" w:space="0"/>
              <w:bottom w:val="single" w:color="000000" w:sz="12" w:space="0"/>
              <w:right w:val="single" w:color="000000" w:sz="8" w:space="0"/>
            </w:tcBorders>
          </w:tcPr>
          <w:p>
            <w:pPr>
              <w:pStyle w:val="46"/>
              <w:spacing w:line="241" w:lineRule="exact"/>
              <w:ind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0.25</w:t>
            </w:r>
          </w:p>
        </w:tc>
        <w:tc>
          <w:tcPr>
            <w:tcW w:w="1674" w:type="dxa"/>
            <w:tcBorders>
              <w:top w:val="single" w:color="000000" w:sz="6" w:space="0"/>
              <w:left w:val="single" w:color="000000" w:sz="8" w:space="0"/>
              <w:bottom w:val="single" w:color="000000" w:sz="12" w:space="0"/>
              <w:right w:val="single" w:color="000000" w:sz="8" w:space="0"/>
            </w:tcBorders>
          </w:tcPr>
          <w:p>
            <w:pPr>
              <w:pStyle w:val="46"/>
              <w:spacing w:line="241" w:lineRule="exact"/>
              <w:ind w:right="1"/>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0.004</w:t>
            </w:r>
          </w:p>
        </w:tc>
        <w:tc>
          <w:tcPr>
            <w:tcW w:w="1925" w:type="dxa"/>
            <w:tcBorders>
              <w:top w:val="single" w:color="000000" w:sz="6" w:space="0"/>
              <w:left w:val="single" w:color="000000" w:sz="8" w:space="0"/>
              <w:bottom w:val="single" w:color="000000" w:sz="12" w:space="0"/>
              <w:right w:val="single" w:color="000000" w:sz="8" w:space="0"/>
            </w:tcBorders>
          </w:tcPr>
          <w:p>
            <w:pPr>
              <w:pStyle w:val="46"/>
              <w:spacing w:line="241" w:lineRule="exact"/>
              <w:ind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0.021</w:t>
            </w:r>
          </w:p>
        </w:tc>
        <w:tc>
          <w:tcPr>
            <w:tcW w:w="1697" w:type="dxa"/>
            <w:tcBorders>
              <w:top w:val="single" w:color="000000" w:sz="6" w:space="0"/>
              <w:left w:val="single" w:color="000000" w:sz="8" w:space="0"/>
              <w:bottom w:val="single" w:color="000000" w:sz="12" w:space="0"/>
              <w:right w:val="single" w:color="000000" w:sz="12" w:space="0"/>
            </w:tcBorders>
          </w:tcPr>
          <w:p>
            <w:pPr>
              <w:pStyle w:val="46"/>
              <w:spacing w:line="241" w:lineRule="exact"/>
              <w:ind w:left="4"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w:t>
            </w:r>
          </w:p>
        </w:tc>
      </w:tr>
    </w:tbl>
    <w:p>
      <w:pPr>
        <w:widowControl/>
        <w:spacing w:line="540" w:lineRule="exact"/>
        <w:ind w:firstLine="480" w:firstLineChars="200"/>
        <w:rPr>
          <w:rFonts w:hint="default" w:ascii="Times New Roman" w:hAnsi="Times New Roman" w:eastAsia="宋体"/>
          <w:color w:val="000000"/>
          <w:kern w:val="0"/>
          <w:sz w:val="24"/>
          <w:lang w:val="en-US" w:eastAsia="zh-CN" w:bidi="ar"/>
        </w:rPr>
      </w:pPr>
      <w:r>
        <w:rPr>
          <w:rFonts w:hint="eastAsia" w:ascii="Times New Roman" w:hAnsi="Times New Roman"/>
          <w:color w:val="000000"/>
          <w:kern w:val="0"/>
          <w:sz w:val="24"/>
          <w:lang w:val="en-US" w:eastAsia="zh-CN" w:bidi="ar"/>
        </w:rPr>
        <w:t>(7)预测结果</w:t>
      </w:r>
    </w:p>
    <w:p>
      <w:pPr>
        <w:widowControl/>
        <w:spacing w:line="540" w:lineRule="exact"/>
        <w:ind w:firstLine="480" w:firstLineChars="200"/>
        <w:rPr>
          <w:rFonts w:ascii="Times New Roman" w:hAnsi="Times New Roman"/>
          <w:color w:val="000000"/>
          <w:kern w:val="0"/>
          <w:sz w:val="24"/>
          <w:lang w:bidi="ar"/>
        </w:rPr>
      </w:pPr>
      <w:r>
        <w:rPr>
          <w:rFonts w:hint="eastAsia" w:ascii="Times New Roman" w:hAnsi="Times New Roman"/>
          <w:color w:val="000000"/>
          <w:kern w:val="0"/>
          <w:sz w:val="24"/>
          <w:lang w:bidi="ar"/>
        </w:rPr>
        <w:t>将上述参数代入预测公式，各预测时段氨氮污染羽中心浓度随时间和距离变化特征见下表。</w:t>
      </w:r>
    </w:p>
    <w:p>
      <w:pPr>
        <w:widowControl/>
        <w:spacing w:line="540" w:lineRule="exact"/>
        <w:jc w:val="center"/>
        <w:rPr>
          <w:rFonts w:ascii="Times New Roman" w:hAnsi="Times New Roman"/>
          <w:b/>
          <w:bCs/>
          <w:color w:val="000000"/>
          <w:kern w:val="0"/>
          <w:sz w:val="24"/>
          <w:highlight w:val="none"/>
          <w:lang w:bidi="ar"/>
        </w:rPr>
      </w:pPr>
      <w:r>
        <w:rPr>
          <w:rFonts w:hint="eastAsia" w:ascii="Times New Roman" w:hAnsi="Times New Roman"/>
          <w:b/>
          <w:bCs/>
          <w:color w:val="000000"/>
          <w:kern w:val="0"/>
          <w:sz w:val="24"/>
          <w:highlight w:val="none"/>
          <w:lang w:bidi="ar"/>
        </w:rPr>
        <w:t>表</w:t>
      </w:r>
      <w:r>
        <w:rPr>
          <w:rFonts w:hint="eastAsia" w:ascii="Times New Roman" w:hAnsi="Times New Roman"/>
          <w:b/>
          <w:bCs/>
          <w:color w:val="000000"/>
          <w:kern w:val="0"/>
          <w:sz w:val="24"/>
          <w:highlight w:val="none"/>
          <w:lang w:val="en-US" w:eastAsia="zh-CN" w:bidi="ar"/>
        </w:rPr>
        <w:t>5.3-3</w:t>
      </w:r>
      <w:r>
        <w:rPr>
          <w:rFonts w:hint="eastAsia" w:ascii="Times New Roman" w:hAnsi="Times New Roman"/>
          <w:b/>
          <w:bCs/>
          <w:color w:val="000000"/>
          <w:kern w:val="0"/>
          <w:sz w:val="24"/>
          <w:highlight w:val="none"/>
          <w:lang w:bidi="ar"/>
        </w:rPr>
        <w:tab/>
      </w:r>
      <w:r>
        <w:rPr>
          <w:rFonts w:hint="eastAsia" w:ascii="Times New Roman" w:hAnsi="Times New Roman"/>
          <w:b/>
          <w:bCs/>
          <w:color w:val="000000"/>
          <w:kern w:val="0"/>
          <w:sz w:val="24"/>
          <w:highlight w:val="none"/>
          <w:lang w:val="en-US" w:eastAsia="zh-CN" w:bidi="ar"/>
        </w:rPr>
        <w:t xml:space="preserve">     </w:t>
      </w:r>
      <w:r>
        <w:rPr>
          <w:rFonts w:hint="eastAsia" w:ascii="Times New Roman" w:hAnsi="Times New Roman"/>
          <w:b/>
          <w:bCs/>
          <w:color w:val="000000"/>
          <w:kern w:val="0"/>
          <w:sz w:val="24"/>
          <w:highlight w:val="none"/>
          <w:lang w:bidi="ar"/>
        </w:rPr>
        <w:t>地下水氨氮预测结果一览表</w:t>
      </w:r>
    </w:p>
    <w:tbl>
      <w:tblPr>
        <w:tblStyle w:val="29"/>
        <w:tblW w:w="0" w:type="auto"/>
        <w:tblInd w:w="102" w:type="dxa"/>
        <w:tblLayout w:type="fixed"/>
        <w:tblCellMar>
          <w:top w:w="0" w:type="dxa"/>
          <w:left w:w="0" w:type="dxa"/>
          <w:bottom w:w="0" w:type="dxa"/>
          <w:right w:w="0" w:type="dxa"/>
        </w:tblCellMar>
      </w:tblPr>
      <w:tblGrid>
        <w:gridCol w:w="2675"/>
        <w:gridCol w:w="2786"/>
        <w:gridCol w:w="3611"/>
      </w:tblGrid>
      <w:tr>
        <w:tblPrEx>
          <w:tblCellMar>
            <w:top w:w="0" w:type="dxa"/>
            <w:left w:w="0" w:type="dxa"/>
            <w:bottom w:w="0" w:type="dxa"/>
            <w:right w:w="0" w:type="dxa"/>
          </w:tblCellMar>
        </w:tblPrEx>
        <w:trPr>
          <w:trHeight w:val="423" w:hRule="exact"/>
        </w:trPr>
        <w:tc>
          <w:tcPr>
            <w:tcW w:w="2675" w:type="dxa"/>
            <w:tcBorders>
              <w:top w:val="single" w:color="000000" w:sz="12" w:space="0"/>
              <w:left w:val="single" w:color="000000" w:sz="12"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bCs/>
                <w:sz w:val="21"/>
                <w:szCs w:val="21"/>
              </w:rPr>
              <w:t>预测时段</w:t>
            </w:r>
          </w:p>
        </w:tc>
        <w:tc>
          <w:tcPr>
            <w:tcW w:w="2786" w:type="dxa"/>
            <w:tcBorders>
              <w:top w:val="single" w:color="000000" w:sz="12"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bCs/>
                <w:sz w:val="21"/>
                <w:szCs w:val="21"/>
              </w:rPr>
              <w:t>距离（m）</w:t>
            </w:r>
          </w:p>
        </w:tc>
        <w:tc>
          <w:tcPr>
            <w:tcW w:w="3611" w:type="dxa"/>
            <w:tcBorders>
              <w:top w:val="single" w:color="000000" w:sz="12"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bCs/>
                <w:sz w:val="21"/>
                <w:szCs w:val="21"/>
              </w:rPr>
              <w:t>氨氮贡献值（mg/L）</w:t>
            </w:r>
          </w:p>
        </w:tc>
      </w:tr>
      <w:tr>
        <w:tblPrEx>
          <w:tblCellMar>
            <w:top w:w="0" w:type="dxa"/>
            <w:left w:w="0" w:type="dxa"/>
            <w:bottom w:w="0" w:type="dxa"/>
            <w:right w:w="0" w:type="dxa"/>
          </w:tblCellMar>
        </w:tblPrEx>
        <w:trPr>
          <w:trHeight w:val="337" w:hRule="exact"/>
        </w:trPr>
        <w:tc>
          <w:tcPr>
            <w:tcW w:w="2675" w:type="dxa"/>
            <w:vMerge w:val="restart"/>
            <w:tcBorders>
              <w:top w:val="single" w:color="000000" w:sz="6" w:space="0"/>
              <w:left w:val="single" w:color="000000" w:sz="12"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100d</w:t>
            </w: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22.1</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0.001447344462</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bottom w:val="single" w:color="000000" w:sz="6"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restart"/>
            <w:tcBorders>
              <w:top w:val="single" w:color="000000" w:sz="6" w:space="0"/>
              <w:left w:val="single" w:color="000000" w:sz="12"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365d</w:t>
            </w: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22.1</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74.9790121826</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0.20834443398</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w w:val="99"/>
                <w:sz w:val="21"/>
                <w:szCs w:val="21"/>
              </w:rPr>
              <w:t>5.</w:t>
            </w:r>
            <w:r>
              <w:rPr>
                <w:rFonts w:hint="default" w:ascii="Times New Roman" w:hAnsi="Times New Roman" w:eastAsia="宋体" w:cs="Times New Roman"/>
                <w:spacing w:val="-2"/>
                <w:w w:val="99"/>
                <w:sz w:val="21"/>
                <w:szCs w:val="21"/>
              </w:rPr>
              <w:t>0</w:t>
            </w:r>
            <w:r>
              <w:rPr>
                <w:rFonts w:hint="default" w:ascii="Times New Roman" w:hAnsi="Times New Roman" w:eastAsia="宋体" w:cs="Times New Roman"/>
                <w:spacing w:val="1"/>
                <w:w w:val="99"/>
                <w:sz w:val="21"/>
                <w:szCs w:val="21"/>
              </w:rPr>
              <w:t>716</w:t>
            </w:r>
            <w:r>
              <w:rPr>
                <w:rFonts w:hint="default" w:ascii="Times New Roman" w:hAnsi="Times New Roman" w:eastAsia="宋体" w:cs="Times New Roman"/>
                <w:spacing w:val="-2"/>
                <w:w w:val="99"/>
                <w:sz w:val="21"/>
                <w:szCs w:val="21"/>
              </w:rPr>
              <w:t>8</w:t>
            </w:r>
            <w:r>
              <w:rPr>
                <w:rFonts w:hint="default" w:ascii="Times New Roman" w:hAnsi="Times New Roman" w:eastAsia="宋体" w:cs="Times New Roman"/>
                <w:spacing w:val="1"/>
                <w:w w:val="99"/>
                <w:sz w:val="21"/>
                <w:szCs w:val="21"/>
              </w:rPr>
              <w:t>5</w:t>
            </w:r>
            <w:r>
              <w:rPr>
                <w:rFonts w:hint="default" w:ascii="Times New Roman" w:hAnsi="Times New Roman" w:eastAsia="宋体" w:cs="Times New Roman"/>
                <w:spacing w:val="-1"/>
                <w:w w:val="99"/>
                <w:sz w:val="21"/>
                <w:szCs w:val="21"/>
              </w:rPr>
              <w:t>×</w:t>
            </w:r>
            <w:r>
              <w:rPr>
                <w:rFonts w:hint="default" w:ascii="Times New Roman" w:hAnsi="Times New Roman" w:eastAsia="宋体" w:cs="Times New Roman"/>
                <w:spacing w:val="1"/>
                <w:w w:val="99"/>
                <w:sz w:val="21"/>
                <w:szCs w:val="21"/>
              </w:rPr>
              <w:t>10</w:t>
            </w:r>
            <w:r>
              <w:rPr>
                <w:rFonts w:hint="default" w:ascii="Times New Roman" w:hAnsi="Times New Roman" w:eastAsia="宋体" w:cs="Times New Roman"/>
                <w:spacing w:val="-1"/>
                <w:w w:val="106"/>
                <w:position w:val="10"/>
                <w:sz w:val="21"/>
                <w:szCs w:val="21"/>
              </w:rPr>
              <w:t>-</w:t>
            </w:r>
            <w:r>
              <w:rPr>
                <w:rFonts w:hint="default" w:ascii="Times New Roman" w:hAnsi="Times New Roman" w:eastAsia="宋体" w:cs="Times New Roman"/>
                <w:w w:val="106"/>
                <w:position w:val="10"/>
                <w:sz w:val="21"/>
                <w:szCs w:val="21"/>
              </w:rPr>
              <w:t>7</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bottom w:val="single" w:color="000000" w:sz="6"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restart"/>
            <w:tcBorders>
              <w:top w:val="single" w:color="000000" w:sz="6" w:space="0"/>
              <w:left w:val="single" w:color="000000" w:sz="12"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b/>
                <w:bCs/>
                <w:sz w:val="21"/>
                <w:szCs w:val="21"/>
              </w:rPr>
            </w:pPr>
          </w:p>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1000d</w:t>
            </w: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0.7248045</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42.61557</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93.96185</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15.37847</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0.2663135</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0.0004537909</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w w:val="99"/>
                <w:sz w:val="21"/>
                <w:szCs w:val="21"/>
              </w:rPr>
              <w:t>7.0</w:t>
            </w:r>
            <w:r>
              <w:rPr>
                <w:rFonts w:hint="default" w:ascii="Times New Roman" w:hAnsi="Times New Roman" w:eastAsia="宋体" w:cs="Times New Roman"/>
                <w:spacing w:val="-2"/>
                <w:w w:val="99"/>
                <w:sz w:val="21"/>
                <w:szCs w:val="21"/>
              </w:rPr>
              <w:t>1</w:t>
            </w:r>
            <w:r>
              <w:rPr>
                <w:rFonts w:hint="default" w:ascii="Times New Roman" w:hAnsi="Times New Roman" w:eastAsia="宋体" w:cs="Times New Roman"/>
                <w:spacing w:val="1"/>
                <w:w w:val="99"/>
                <w:sz w:val="21"/>
                <w:szCs w:val="21"/>
              </w:rPr>
              <w:t>23</w:t>
            </w:r>
            <w:r>
              <w:rPr>
                <w:rFonts w:hint="default" w:ascii="Times New Roman" w:hAnsi="Times New Roman" w:eastAsia="宋体" w:cs="Times New Roman"/>
                <w:spacing w:val="-2"/>
                <w:w w:val="99"/>
                <w:sz w:val="21"/>
                <w:szCs w:val="21"/>
              </w:rPr>
              <w:t>6</w:t>
            </w:r>
            <w:r>
              <w:rPr>
                <w:rFonts w:hint="default" w:ascii="Times New Roman" w:hAnsi="Times New Roman" w:eastAsia="宋体" w:cs="Times New Roman"/>
                <w:spacing w:val="2"/>
                <w:w w:val="99"/>
                <w:sz w:val="21"/>
                <w:szCs w:val="21"/>
              </w:rPr>
              <w:t>×</w:t>
            </w:r>
            <w:r>
              <w:rPr>
                <w:rFonts w:hint="default" w:ascii="Times New Roman" w:hAnsi="Times New Roman" w:eastAsia="宋体" w:cs="Times New Roman"/>
                <w:spacing w:val="1"/>
                <w:w w:val="99"/>
                <w:sz w:val="21"/>
                <w:szCs w:val="21"/>
              </w:rPr>
              <w:t>1</w:t>
            </w:r>
            <w:r>
              <w:rPr>
                <w:rFonts w:hint="default" w:ascii="Times New Roman" w:hAnsi="Times New Roman" w:eastAsia="宋体" w:cs="Times New Roman"/>
                <w:spacing w:val="-2"/>
                <w:w w:val="99"/>
                <w:sz w:val="21"/>
                <w:szCs w:val="21"/>
              </w:rPr>
              <w:t>0</w:t>
            </w:r>
            <w:r>
              <w:rPr>
                <w:rFonts w:hint="default" w:ascii="Times New Roman" w:hAnsi="Times New Roman" w:eastAsia="宋体" w:cs="Times New Roman"/>
                <w:spacing w:val="-1"/>
                <w:w w:val="105"/>
                <w:position w:val="11"/>
                <w:sz w:val="21"/>
                <w:szCs w:val="21"/>
              </w:rPr>
              <w:t>-</w:t>
            </w:r>
            <w:r>
              <w:rPr>
                <w:rFonts w:hint="default" w:ascii="Times New Roman" w:hAnsi="Times New Roman" w:eastAsia="宋体" w:cs="Times New Roman"/>
                <w:w w:val="105"/>
                <w:position w:val="11"/>
                <w:sz w:val="21"/>
                <w:szCs w:val="21"/>
              </w:rPr>
              <w:t>8</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w w:val="99"/>
                <w:sz w:val="21"/>
                <w:szCs w:val="21"/>
              </w:rPr>
              <w:t>9.9</w:t>
            </w:r>
            <w:r>
              <w:rPr>
                <w:rFonts w:hint="default" w:ascii="Times New Roman" w:hAnsi="Times New Roman" w:eastAsia="宋体" w:cs="Times New Roman"/>
                <w:spacing w:val="-2"/>
                <w:w w:val="99"/>
                <w:sz w:val="21"/>
                <w:szCs w:val="21"/>
              </w:rPr>
              <w:t>9</w:t>
            </w:r>
            <w:r>
              <w:rPr>
                <w:rFonts w:hint="default" w:ascii="Times New Roman" w:hAnsi="Times New Roman" w:eastAsia="宋体" w:cs="Times New Roman"/>
                <w:spacing w:val="1"/>
                <w:w w:val="99"/>
                <w:sz w:val="21"/>
                <w:szCs w:val="21"/>
              </w:rPr>
              <w:t>200</w:t>
            </w:r>
            <w:r>
              <w:rPr>
                <w:rFonts w:hint="default" w:ascii="Times New Roman" w:hAnsi="Times New Roman" w:eastAsia="宋体" w:cs="Times New Roman"/>
                <w:spacing w:val="-2"/>
                <w:w w:val="99"/>
                <w:sz w:val="21"/>
                <w:szCs w:val="21"/>
              </w:rPr>
              <w:t>7</w:t>
            </w:r>
            <w:r>
              <w:rPr>
                <w:rFonts w:hint="default" w:ascii="Times New Roman" w:hAnsi="Times New Roman" w:eastAsia="宋体" w:cs="Times New Roman"/>
                <w:spacing w:val="-1"/>
                <w:w w:val="99"/>
                <w:sz w:val="21"/>
                <w:szCs w:val="21"/>
              </w:rPr>
              <w:t>×</w:t>
            </w:r>
            <w:r>
              <w:rPr>
                <w:rFonts w:hint="default" w:ascii="Times New Roman" w:hAnsi="Times New Roman" w:eastAsia="宋体" w:cs="Times New Roman"/>
                <w:spacing w:val="1"/>
                <w:w w:val="99"/>
                <w:sz w:val="21"/>
                <w:szCs w:val="21"/>
              </w:rPr>
              <w:t>10</w:t>
            </w:r>
            <w:r>
              <w:rPr>
                <w:rFonts w:hint="default" w:ascii="Times New Roman" w:hAnsi="Times New Roman" w:eastAsia="宋体" w:cs="Times New Roman"/>
                <w:spacing w:val="-1"/>
                <w:w w:val="106"/>
                <w:position w:val="10"/>
                <w:sz w:val="21"/>
                <w:szCs w:val="21"/>
              </w:rPr>
              <w:t>-1</w:t>
            </w:r>
            <w:r>
              <w:rPr>
                <w:rFonts w:hint="default" w:ascii="Times New Roman" w:hAnsi="Times New Roman" w:eastAsia="宋体" w:cs="Times New Roman"/>
                <w:w w:val="106"/>
                <w:position w:val="10"/>
                <w:sz w:val="21"/>
                <w:szCs w:val="21"/>
              </w:rPr>
              <w:t>3</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37" w:hRule="exact"/>
        </w:trPr>
        <w:tc>
          <w:tcPr>
            <w:tcW w:w="2675" w:type="dxa"/>
            <w:vMerge w:val="continue"/>
            <w:tcBorders>
              <w:left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6"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400</w:t>
            </w:r>
          </w:p>
        </w:tc>
        <w:tc>
          <w:tcPr>
            <w:tcW w:w="3611" w:type="dxa"/>
            <w:tcBorders>
              <w:top w:val="single" w:color="000000" w:sz="6" w:space="0"/>
              <w:left w:val="single" w:color="000000" w:sz="8" w:space="0"/>
              <w:bottom w:val="single" w:color="000000" w:sz="6"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r>
        <w:tblPrEx>
          <w:tblCellMar>
            <w:top w:w="0" w:type="dxa"/>
            <w:left w:w="0" w:type="dxa"/>
            <w:bottom w:w="0" w:type="dxa"/>
            <w:right w:w="0" w:type="dxa"/>
          </w:tblCellMar>
        </w:tblPrEx>
        <w:trPr>
          <w:trHeight w:val="344" w:hRule="exact"/>
        </w:trPr>
        <w:tc>
          <w:tcPr>
            <w:tcW w:w="2675" w:type="dxa"/>
            <w:vMerge w:val="continue"/>
            <w:tcBorders>
              <w:left w:val="single" w:color="000000" w:sz="12" w:space="0"/>
              <w:bottom w:val="single" w:color="000000" w:sz="12" w:space="0"/>
              <w:right w:val="single" w:color="000000" w:sz="8" w:space="0"/>
            </w:tcBorders>
            <w:vAlign w:val="center"/>
          </w:tcPr>
          <w:p>
            <w:pPr>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p>
        </w:tc>
        <w:tc>
          <w:tcPr>
            <w:tcW w:w="2786" w:type="dxa"/>
            <w:tcBorders>
              <w:top w:val="single" w:color="000000" w:sz="6" w:space="0"/>
              <w:left w:val="single" w:color="000000" w:sz="8" w:space="0"/>
              <w:bottom w:val="single" w:color="000000" w:sz="12" w:space="0"/>
              <w:right w:val="single" w:color="000000" w:sz="8"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500</w:t>
            </w:r>
          </w:p>
        </w:tc>
        <w:tc>
          <w:tcPr>
            <w:tcW w:w="3611" w:type="dxa"/>
            <w:tcBorders>
              <w:top w:val="single" w:color="000000" w:sz="6" w:space="0"/>
              <w:left w:val="single" w:color="000000" w:sz="8" w:space="0"/>
              <w:bottom w:val="single" w:color="000000" w:sz="12" w:space="0"/>
              <w:right w:val="single" w:color="000000" w:sz="12" w:space="0"/>
            </w:tcBorders>
            <w:vAlign w:val="center"/>
          </w:tcPr>
          <w:p>
            <w:pPr>
              <w:pStyle w:val="46"/>
              <w:keepNext w:val="0"/>
              <w:keepLines w:val="0"/>
              <w:pageBreakBefore w:val="0"/>
              <w:widowControl w:val="0"/>
              <w:kinsoku/>
              <w:wordWrap/>
              <w:topLinePunct w:val="0"/>
              <w:bidi w:val="0"/>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0</w:t>
            </w:r>
          </w:p>
        </w:tc>
      </w:tr>
    </w:tbl>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仿宋" w:hAnsi="仿宋" w:eastAsia="仿宋" w:cs="仿宋"/>
          <w:position w:val="-85"/>
          <w:sz w:val="20"/>
          <w:szCs w:val="20"/>
        </w:rPr>
      </w:pP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color w:val="000000"/>
          <w:kern w:val="0"/>
          <w:sz w:val="24"/>
          <w:lang w:bidi="ar"/>
        </w:rPr>
      </w:pPr>
      <w:r>
        <w:rPr>
          <w:rFonts w:hint="default" w:ascii="仿宋" w:hAnsi="仿宋" w:eastAsia="仿宋" w:cs="仿宋"/>
          <w:position w:val="-85"/>
          <w:sz w:val="20"/>
          <w:szCs w:val="20"/>
        </w:rPr>
        <w:drawing>
          <wp:inline distT="0" distB="0" distL="0" distR="0">
            <wp:extent cx="4580255" cy="2733675"/>
            <wp:effectExtent l="0" t="0" r="10795" b="9525"/>
            <wp:docPr id="5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9.jpeg"/>
                    <pic:cNvPicPr>
                      <a:picLocks noChangeAspect="1"/>
                    </pic:cNvPicPr>
                  </pic:nvPicPr>
                  <pic:blipFill>
                    <a:blip r:embed="rId44" cstate="print"/>
                    <a:stretch>
                      <a:fillRect/>
                    </a:stretch>
                  </pic:blipFill>
                  <pic:spPr>
                    <a:xfrm>
                      <a:off x="0" y="0"/>
                      <a:ext cx="4580505" cy="27336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40" w:lineRule="exact"/>
        <w:ind w:left="0" w:right="0"/>
        <w:jc w:val="center"/>
        <w:textAlignment w:val="auto"/>
        <w:outlineLvl w:val="9"/>
        <w:rPr>
          <w:b/>
          <w:bCs/>
        </w:rPr>
      </w:pPr>
      <w:r>
        <w:rPr>
          <w:rFonts w:hint="default" w:ascii="Times New Roman" w:hAnsi="Times New Roman" w:eastAsia="宋体" w:cs="Times New Roman"/>
          <w:b/>
          <w:bCs/>
          <w:sz w:val="24"/>
          <w:szCs w:val="24"/>
        </w:rPr>
        <w:t>图</w:t>
      </w:r>
      <w:r>
        <w:rPr>
          <w:rFonts w:hint="eastAsia" w:ascii="Times New Roman" w:hAnsi="Times New Roman" w:eastAsia="宋体" w:cs="Times New Roman"/>
          <w:b/>
          <w:bCs/>
          <w:sz w:val="24"/>
          <w:szCs w:val="24"/>
          <w:lang w:val="en-US" w:eastAsia="zh-CN"/>
        </w:rPr>
        <w:t>5.3-1</w:t>
      </w:r>
      <w:r>
        <w:rPr>
          <w:rFonts w:hint="default" w:ascii="Times New Roman" w:hAnsi="Times New Roman" w:eastAsia="宋体" w:cs="Times New Roman"/>
          <w:b/>
          <w:bCs/>
          <w:spacing w:val="-4"/>
          <w:sz w:val="24"/>
          <w:szCs w:val="24"/>
        </w:rPr>
        <w:t xml:space="preserve"> </w:t>
      </w:r>
      <w:r>
        <w:rPr>
          <w:rFonts w:hint="default" w:ascii="Times New Roman" w:hAnsi="Times New Roman" w:eastAsia="宋体" w:cs="Times New Roman"/>
          <w:b/>
          <w:bCs/>
          <w:sz w:val="24"/>
          <w:szCs w:val="24"/>
        </w:rPr>
        <w:t>氨氮贡献值随距离变化情况（100d）</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仿宋" w:hAnsi="仿宋" w:eastAsia="仿宋" w:cs="仿宋"/>
          <w:position w:val="-85"/>
          <w:sz w:val="20"/>
          <w:szCs w:val="20"/>
        </w:rPr>
      </w:pPr>
      <w:r>
        <w:rPr>
          <w:rFonts w:hint="default" w:ascii="仿宋" w:hAnsi="仿宋" w:eastAsia="仿宋" w:cs="仿宋"/>
          <w:position w:val="-85"/>
          <w:sz w:val="20"/>
          <w:szCs w:val="20"/>
        </w:rPr>
        <w:drawing>
          <wp:inline distT="0" distB="0" distL="0" distR="0">
            <wp:extent cx="4580890" cy="2743200"/>
            <wp:effectExtent l="0" t="0" r="10160" b="0"/>
            <wp:docPr id="58"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0.jpeg"/>
                    <pic:cNvPicPr>
                      <a:picLocks noChangeAspect="1"/>
                    </pic:cNvPicPr>
                  </pic:nvPicPr>
                  <pic:blipFill>
                    <a:blip r:embed="rId45" cstate="print"/>
                    <a:stretch>
                      <a:fillRect/>
                    </a:stretch>
                  </pic:blipFill>
                  <pic:spPr>
                    <a:xfrm>
                      <a:off x="0" y="0"/>
                      <a:ext cx="4581144" cy="2743200"/>
                    </a:xfrm>
                    <a:prstGeom prst="rect">
                      <a:avLst/>
                    </a:prstGeom>
                  </pic:spPr>
                </pic:pic>
              </a:graphicData>
            </a:graphic>
          </wp:inline>
        </w:drawing>
      </w:r>
    </w:p>
    <w:p>
      <w:pPr>
        <w:widowControl/>
        <w:spacing w:line="540" w:lineRule="exact"/>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图</w:t>
      </w:r>
      <w:r>
        <w:rPr>
          <w:rFonts w:hint="eastAsia" w:ascii="Times New Roman" w:hAnsi="Times New Roman" w:cs="Times New Roman"/>
          <w:b/>
          <w:bCs/>
          <w:sz w:val="24"/>
          <w:szCs w:val="24"/>
          <w:lang w:val="en-US" w:eastAsia="zh-CN"/>
        </w:rPr>
        <w:t>5.3-2</w:t>
      </w:r>
      <w:r>
        <w:rPr>
          <w:rFonts w:hint="default" w:ascii="Times New Roman" w:hAnsi="Times New Roman" w:eastAsia="宋体" w:cs="Times New Roman"/>
          <w:b/>
          <w:bCs/>
          <w:sz w:val="24"/>
          <w:szCs w:val="24"/>
        </w:rPr>
        <w:t xml:space="preserve"> 氨氮贡献值随距离变化情况（365d）</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color w:val="000000"/>
          <w:kern w:val="0"/>
          <w:sz w:val="24"/>
          <w:lang w:bidi="ar"/>
        </w:rPr>
      </w:pPr>
      <w:r>
        <w:rPr>
          <w:rFonts w:hint="default" w:ascii="仿宋" w:hAnsi="仿宋" w:eastAsia="仿宋" w:cs="仿宋"/>
          <w:position w:val="-85"/>
          <w:sz w:val="20"/>
          <w:szCs w:val="20"/>
        </w:rPr>
        <w:drawing>
          <wp:inline distT="0" distB="0" distL="0" distR="0">
            <wp:extent cx="4572000" cy="2743200"/>
            <wp:effectExtent l="0" t="0" r="0" b="0"/>
            <wp:docPr id="7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51.jpeg"/>
                    <pic:cNvPicPr>
                      <a:picLocks noChangeAspect="1"/>
                    </pic:cNvPicPr>
                  </pic:nvPicPr>
                  <pic:blipFill>
                    <a:blip r:embed="rId46" cstate="print"/>
                    <a:stretch>
                      <a:fillRect/>
                    </a:stretch>
                  </pic:blipFill>
                  <pic:spPr>
                    <a:xfrm>
                      <a:off x="0" y="0"/>
                      <a:ext cx="4572000" cy="2743200"/>
                    </a:xfrm>
                    <a:prstGeom prst="rect">
                      <a:avLst/>
                    </a:prstGeom>
                  </pic:spPr>
                </pic:pic>
              </a:graphicData>
            </a:graphic>
          </wp:inline>
        </w:drawing>
      </w:r>
    </w:p>
    <w:p>
      <w:pPr>
        <w:widowControl/>
        <w:spacing w:line="540" w:lineRule="exact"/>
        <w:jc w:val="center"/>
        <w:rPr>
          <w:rFonts w:hint="default" w:ascii="Times New Roman" w:hAnsi="Times New Roman" w:eastAsia="宋体" w:cs="Times New Roman"/>
          <w:b/>
          <w:bCs/>
          <w:color w:val="000000"/>
          <w:kern w:val="0"/>
          <w:sz w:val="24"/>
          <w:lang w:bidi="ar"/>
        </w:rPr>
      </w:pPr>
      <w:r>
        <w:rPr>
          <w:rFonts w:hint="default" w:ascii="Times New Roman" w:hAnsi="Times New Roman" w:eastAsia="宋体" w:cs="Times New Roman"/>
          <w:b/>
          <w:bCs/>
          <w:sz w:val="24"/>
          <w:szCs w:val="24"/>
        </w:rPr>
        <w:t>图</w:t>
      </w:r>
      <w:r>
        <w:rPr>
          <w:rFonts w:hint="eastAsia" w:ascii="Times New Roman" w:hAnsi="Times New Roman" w:eastAsia="宋体" w:cs="Times New Roman"/>
          <w:b/>
          <w:bCs/>
          <w:sz w:val="24"/>
          <w:szCs w:val="24"/>
          <w:lang w:val="en-US" w:eastAsia="zh-CN"/>
        </w:rPr>
        <w:t>5.3-3</w:t>
      </w:r>
      <w:r>
        <w:rPr>
          <w:rFonts w:hint="default" w:ascii="Times New Roman" w:hAnsi="Times New Roman" w:eastAsia="宋体" w:cs="Times New Roman"/>
          <w:b/>
          <w:bCs/>
          <w:sz w:val="24"/>
          <w:szCs w:val="24"/>
        </w:rPr>
        <w:t xml:space="preserve"> 氨氮贡献值随距离变化情况（1000d）</w:t>
      </w:r>
    </w:p>
    <w:p>
      <w:pPr>
        <w:keepNext w:val="0"/>
        <w:keepLines w:val="0"/>
        <w:pageBreakBefore w:val="0"/>
        <w:widowControl w:val="0"/>
        <w:kinsoku/>
        <w:wordWrap/>
        <w:overflowPunct/>
        <w:topLinePunct w:val="0"/>
        <w:autoSpaceDE/>
        <w:autoSpaceDN/>
        <w:bidi w:val="0"/>
        <w:adjustRightInd/>
        <w:snapToGrid/>
        <w:spacing w:line="540" w:lineRule="exact"/>
        <w:ind w:left="0" w:right="0" w:firstLine="468"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由以上预测结果分析得知，在假定事故条件下，在牛粪棚发生泄漏事故，污染影响</w:t>
      </w:r>
      <w:r>
        <w:rPr>
          <w:rFonts w:hint="default" w:ascii="Times New Roman" w:hAnsi="Times New Roman" w:eastAsia="宋体" w:cs="Times New Roman"/>
          <w:sz w:val="24"/>
          <w:szCs w:val="24"/>
        </w:rPr>
        <w:t>程度随时间逐渐减小第 100 天、365</w:t>
      </w:r>
      <w:r>
        <w:rPr>
          <w:rFonts w:hint="default" w:ascii="Times New Roman" w:hAnsi="Times New Roman" w:eastAsia="宋体" w:cs="Times New Roman"/>
          <w:spacing w:val="21"/>
          <w:sz w:val="24"/>
          <w:szCs w:val="24"/>
        </w:rPr>
        <w:t xml:space="preserve"> </w:t>
      </w:r>
      <w:r>
        <w:rPr>
          <w:rFonts w:hint="default" w:ascii="Times New Roman" w:hAnsi="Times New Roman" w:eastAsia="宋体" w:cs="Times New Roman"/>
          <w:sz w:val="24"/>
          <w:szCs w:val="24"/>
        </w:rPr>
        <w:t>天和1000天后氨氮最大运移距离分别为10m、30m 和70m，均未超出场界。在实际的扩散过程中，经过土壤及砂层的吸附吸收，污染物泄</w:t>
      </w:r>
      <w:r>
        <w:rPr>
          <w:rFonts w:hint="default" w:ascii="Times New Roman" w:hAnsi="Times New Roman" w:eastAsia="宋体" w:cs="Times New Roman"/>
          <w:spacing w:val="-101"/>
          <w:sz w:val="24"/>
          <w:szCs w:val="24"/>
        </w:rPr>
        <w:t xml:space="preserve"> </w:t>
      </w:r>
      <w:r>
        <w:rPr>
          <w:rFonts w:hint="default" w:ascii="Times New Roman" w:hAnsi="Times New Roman" w:eastAsia="宋体" w:cs="Times New Roman"/>
          <w:sz w:val="24"/>
          <w:szCs w:val="24"/>
        </w:rPr>
        <w:t>漏后在土壤环境中的迁移影响范围小于预测迁移距离。</w:t>
      </w:r>
    </w:p>
    <w:p>
      <w:pPr>
        <w:pStyle w:val="11"/>
        <w:keepNext w:val="0"/>
        <w:keepLines w:val="0"/>
        <w:pageBreakBefore w:val="0"/>
        <w:widowControl w:val="0"/>
        <w:kinsoku/>
        <w:wordWrap/>
        <w:overflowPunct/>
        <w:topLinePunct w:val="0"/>
        <w:autoSpaceDE/>
        <w:autoSpaceDN/>
        <w:bidi w:val="0"/>
        <w:adjustRightInd/>
        <w:snapToGrid/>
        <w:spacing w:after="0" w:line="540" w:lineRule="exact"/>
        <w:ind w:left="0" w:right="0" w:firstLine="468" w:firstLineChars="200"/>
        <w:jc w:val="both"/>
        <w:textAlignment w:val="auto"/>
        <w:rPr>
          <w:rFonts w:ascii="Times New Roman" w:hAnsi="Times New Roman"/>
          <w:color w:val="000000"/>
          <w:kern w:val="0"/>
          <w:sz w:val="24"/>
          <w:lang w:bidi="ar"/>
        </w:rPr>
      </w:pPr>
      <w:r>
        <w:rPr>
          <w:rFonts w:hint="default" w:ascii="Times New Roman" w:hAnsi="Times New Roman" w:eastAsia="宋体" w:cs="Times New Roman"/>
          <w:spacing w:val="-3"/>
          <w:sz w:val="24"/>
          <w:szCs w:val="24"/>
        </w:rPr>
        <w:t>考虑到地下水污染具有高度隐蔽性，难发现，难治理，因此建议建设单位在观念上</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3"/>
          <w:sz w:val="24"/>
          <w:szCs w:val="24"/>
        </w:rPr>
        <w:t>重视地下水污染，从源头上做好控制，在项目装置设计、施工和运行时，必须严格控制</w:t>
      </w:r>
      <w:r>
        <w:rPr>
          <w:rFonts w:hint="default" w:ascii="Times New Roman" w:hAnsi="Times New Roman" w:eastAsia="宋体" w:cs="Times New Roman"/>
          <w:spacing w:val="-100"/>
          <w:sz w:val="24"/>
          <w:szCs w:val="24"/>
        </w:rPr>
        <w:t xml:space="preserve"> </w:t>
      </w:r>
      <w:r>
        <w:rPr>
          <w:rFonts w:hint="default" w:ascii="Times New Roman" w:hAnsi="Times New Roman" w:eastAsia="宋体" w:cs="Times New Roman"/>
          <w:spacing w:val="-3"/>
          <w:sz w:val="24"/>
          <w:szCs w:val="24"/>
        </w:rPr>
        <w:t>区域粪污中尿液的无组织泄漏，应严把设计和施工质量关，杜绝因材质、制管、防腐涂</w:t>
      </w:r>
      <w:r>
        <w:rPr>
          <w:rFonts w:hint="default" w:ascii="Times New Roman" w:hAnsi="Times New Roman" w:eastAsia="宋体" w:cs="Times New Roman"/>
          <w:spacing w:val="-101"/>
          <w:sz w:val="24"/>
          <w:szCs w:val="24"/>
        </w:rPr>
        <w:t xml:space="preserve"> </w:t>
      </w:r>
      <w:r>
        <w:rPr>
          <w:rFonts w:hint="default" w:ascii="Times New Roman" w:hAnsi="Times New Roman" w:eastAsia="宋体" w:cs="Times New Roman"/>
          <w:spacing w:val="-3"/>
          <w:sz w:val="24"/>
          <w:szCs w:val="24"/>
        </w:rPr>
        <w:t>层、焊接缺陷及运行失误而造成泄漏，加强防渗措施，强化监控手段，定期检查，杜绝</w:t>
      </w:r>
      <w:r>
        <w:rPr>
          <w:rFonts w:hint="default" w:ascii="Times New Roman" w:hAnsi="Times New Roman" w:eastAsia="宋体" w:cs="Times New Roman"/>
          <w:spacing w:val="-104"/>
          <w:sz w:val="24"/>
          <w:szCs w:val="24"/>
        </w:rPr>
        <w:t xml:space="preserve"> </w:t>
      </w:r>
      <w:r>
        <w:rPr>
          <w:rFonts w:hint="default" w:ascii="Times New Roman" w:hAnsi="Times New Roman" w:eastAsia="宋体" w:cs="Times New Roman"/>
          <w:sz w:val="24"/>
          <w:szCs w:val="24"/>
        </w:rPr>
        <w:t>场区存在长期事故性排放点源的存在，保护评价区地下水环境质量。</w:t>
      </w:r>
    </w:p>
    <w:p>
      <w:pPr>
        <w:pStyle w:val="51"/>
        <w:snapToGrid w:val="0"/>
        <w:spacing w:before="120" w:beforeLines="50" w:after="120" w:afterLines="50" w:line="540" w:lineRule="exact"/>
        <w:contextualSpacing/>
        <w:rPr>
          <w:rFonts w:cs="Times New Roman"/>
          <w:bCs w:val="0"/>
          <w:snapToGrid w:val="0"/>
          <w:kern w:val="0"/>
        </w:rPr>
      </w:pPr>
      <w:bookmarkStart w:id="695" w:name="_Toc9860"/>
      <w:bookmarkStart w:id="696" w:name="_Toc2770"/>
      <w:bookmarkStart w:id="697" w:name="_Toc16698"/>
      <w:bookmarkStart w:id="698" w:name="_Toc6582"/>
      <w:r>
        <w:rPr>
          <w:rFonts w:cs="Times New Roman"/>
          <w:bCs w:val="0"/>
          <w:snapToGrid w:val="0"/>
          <w:kern w:val="0"/>
        </w:rPr>
        <w:t>5.4声环境影响分析</w:t>
      </w:r>
      <w:bookmarkEnd w:id="693"/>
      <w:bookmarkEnd w:id="695"/>
      <w:bookmarkEnd w:id="696"/>
      <w:bookmarkEnd w:id="697"/>
      <w:bookmarkEnd w:id="698"/>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699" w:name="_Toc18075"/>
      <w:r>
        <w:rPr>
          <w:rFonts w:cs="Times New Roman"/>
          <w:bCs w:val="0"/>
          <w:snapToGrid w:val="0"/>
          <w:kern w:val="0"/>
          <w:sz w:val="28"/>
          <w:szCs w:val="28"/>
        </w:rPr>
        <w:t>5.4.1噪声源强</w:t>
      </w:r>
      <w:bookmarkEnd w:id="699"/>
    </w:p>
    <w:p>
      <w:pPr>
        <w:pStyle w:val="23"/>
        <w:adjustRightInd w:val="0"/>
        <w:snapToGrid w:val="0"/>
        <w:spacing w:after="0" w:line="540" w:lineRule="exact"/>
        <w:ind w:left="0" w:leftChars="0" w:firstLine="480" w:firstLineChars="200"/>
        <w:rPr>
          <w:rFonts w:ascii="Times New Roman" w:hAnsi="Times New Roman"/>
          <w:b/>
          <w:sz w:val="24"/>
        </w:rPr>
      </w:pPr>
      <w:r>
        <w:rPr>
          <w:rFonts w:ascii="Times New Roman" w:hAnsi="Times New Roman"/>
          <w:sz w:val="24"/>
          <w:szCs w:val="22"/>
        </w:rPr>
        <w:t>本项目噪声主要来自TMR搅拌站内饲料配料混合设备、粉碎机、水泵及牛群活动叫声等。</w:t>
      </w:r>
      <w:r>
        <w:rPr>
          <w:rFonts w:ascii="Times New Roman" w:hAnsi="Times New Roman"/>
          <w:sz w:val="24"/>
          <w:szCs w:val="15"/>
          <w:lang w:val="zh-CN"/>
        </w:rPr>
        <w:t>各个机械</w:t>
      </w:r>
      <w:r>
        <w:rPr>
          <w:rFonts w:ascii="Times New Roman" w:hAnsi="Times New Roman"/>
          <w:sz w:val="24"/>
          <w:szCs w:val="15"/>
        </w:rPr>
        <w:t>设备均置于厂房内，并采取基础减振等措施，</w:t>
      </w:r>
      <w:r>
        <w:rPr>
          <w:rFonts w:ascii="Times New Roman" w:hAnsi="Times New Roman"/>
          <w:sz w:val="24"/>
          <w:szCs w:val="15"/>
          <w:lang w:val="zh-CN"/>
        </w:rPr>
        <w:t>根据类比资料，确定拟建工程主要噪声源强情况见表</w:t>
      </w:r>
      <w:r>
        <w:rPr>
          <w:rFonts w:ascii="Times New Roman" w:hAnsi="Times New Roman"/>
          <w:sz w:val="24"/>
          <w:szCs w:val="15"/>
        </w:rPr>
        <w:t>5.4-1</w:t>
      </w:r>
      <w:r>
        <w:rPr>
          <w:rFonts w:ascii="Times New Roman" w:hAnsi="Times New Roman"/>
          <w:sz w:val="24"/>
          <w:szCs w:val="15"/>
          <w:lang w:val="zh-CN"/>
        </w:rPr>
        <w:t>。</w:t>
      </w:r>
    </w:p>
    <w:p>
      <w:pPr>
        <w:adjustRightInd w:val="0"/>
        <w:snapToGrid w:val="0"/>
        <w:jc w:val="center"/>
        <w:rPr>
          <w:rFonts w:ascii="Times New Roman" w:hAnsi="Times New Roman"/>
          <w:b/>
          <w:color w:val="FF0000"/>
          <w:sz w:val="24"/>
        </w:rPr>
      </w:pPr>
      <w:r>
        <w:rPr>
          <w:rFonts w:ascii="Times New Roman" w:hAnsi="Times New Roman"/>
          <w:b/>
          <w:color w:val="FF0000"/>
          <w:sz w:val="24"/>
        </w:rPr>
        <w:t>表5.4-1    主要噪声设备源强及治理效果一览表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7"/>
        <w:gridCol w:w="1408"/>
        <w:gridCol w:w="699"/>
        <w:gridCol w:w="705"/>
        <w:gridCol w:w="720"/>
        <w:gridCol w:w="2488"/>
        <w:gridCol w:w="1196"/>
        <w:gridCol w:w="11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restart"/>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eastAsia="zh-CN"/>
              </w:rPr>
            </w:pPr>
            <w:r>
              <w:rPr>
                <w:rFonts w:hint="eastAsia" w:ascii="Times New Roman" w:hAnsi="Times New Roman" w:cs="Calibri"/>
                <w:b/>
                <w:bCs/>
                <w:color w:val="FF0000"/>
                <w:sz w:val="21"/>
                <w:szCs w:val="21"/>
                <w:lang w:eastAsia="zh-CN"/>
              </w:rPr>
              <w:t>序号</w:t>
            </w:r>
          </w:p>
        </w:tc>
        <w:tc>
          <w:tcPr>
            <w:tcW w:w="1408" w:type="dxa"/>
            <w:vMerge w:val="restart"/>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eastAsia="zh-CN"/>
              </w:rPr>
            </w:pPr>
            <w:r>
              <w:rPr>
                <w:rFonts w:hint="eastAsia" w:ascii="Times New Roman" w:hAnsi="Times New Roman" w:cs="Calibri"/>
                <w:b/>
                <w:bCs/>
                <w:color w:val="FF0000"/>
                <w:sz w:val="21"/>
                <w:szCs w:val="21"/>
                <w:lang w:eastAsia="zh-CN"/>
              </w:rPr>
              <w:t>声源名称</w:t>
            </w:r>
          </w:p>
        </w:tc>
        <w:tc>
          <w:tcPr>
            <w:tcW w:w="2124" w:type="dxa"/>
            <w:gridSpan w:val="3"/>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Calibri"/>
                <w:b/>
                <w:bCs/>
                <w:color w:val="FF0000"/>
                <w:sz w:val="21"/>
                <w:szCs w:val="21"/>
                <w:lang w:val="en-US"/>
              </w:rPr>
            </w:pPr>
            <w:r>
              <w:rPr>
                <w:rFonts w:hint="eastAsia" w:ascii="Times New Roman" w:hAnsi="Times New Roman" w:cs="Calibri"/>
                <w:b/>
                <w:bCs/>
                <w:color w:val="FF0000"/>
                <w:sz w:val="21"/>
                <w:szCs w:val="21"/>
                <w:lang w:eastAsia="zh-CN"/>
              </w:rPr>
              <w:t>空间相对位置</w:t>
            </w:r>
            <w:r>
              <w:rPr>
                <w:rFonts w:hint="eastAsia" w:ascii="Times New Roman" w:hAnsi="Times New Roman" w:cs="Calibri"/>
                <w:b/>
                <w:bCs/>
                <w:color w:val="FF0000"/>
                <w:sz w:val="21"/>
                <w:szCs w:val="21"/>
                <w:lang w:val="en-US" w:eastAsia="zh-CN"/>
              </w:rPr>
              <w:t>m</w:t>
            </w:r>
          </w:p>
        </w:tc>
        <w:tc>
          <w:tcPr>
            <w:tcW w:w="2488" w:type="dxa"/>
            <w:vMerge w:val="restart"/>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eastAsia="zh-CN"/>
              </w:rPr>
            </w:pPr>
            <w:r>
              <w:rPr>
                <w:rFonts w:hint="eastAsia" w:ascii="Times New Roman" w:hAnsi="Times New Roman" w:cs="Calibri"/>
                <w:b/>
                <w:bCs/>
                <w:color w:val="FF0000"/>
                <w:sz w:val="21"/>
                <w:szCs w:val="21"/>
                <w:lang w:eastAsia="zh-CN"/>
              </w:rPr>
              <w:t>声源源强</w:t>
            </w:r>
          </w:p>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Calibri"/>
                <w:b/>
                <w:bCs/>
                <w:color w:val="FF0000"/>
                <w:sz w:val="21"/>
                <w:szCs w:val="21"/>
                <w:lang w:val="en-US" w:eastAsia="zh-CN"/>
              </w:rPr>
            </w:pPr>
            <w:r>
              <w:rPr>
                <w:rFonts w:hint="eastAsia" w:ascii="Times New Roman" w:hAnsi="Times New Roman" w:cs="Calibri"/>
                <w:b/>
                <w:bCs/>
                <w:color w:val="FF0000"/>
                <w:sz w:val="21"/>
                <w:szCs w:val="21"/>
                <w:lang w:eastAsia="zh-CN"/>
              </w:rPr>
              <w:t>声功率级</w:t>
            </w:r>
            <w:r>
              <w:rPr>
                <w:rFonts w:hint="eastAsia" w:ascii="Times New Roman" w:hAnsi="Times New Roman" w:cs="Calibri"/>
                <w:b/>
                <w:bCs/>
                <w:color w:val="FF0000"/>
                <w:sz w:val="21"/>
                <w:szCs w:val="21"/>
                <w:lang w:val="en-US" w:eastAsia="zh-CN"/>
              </w:rPr>
              <w:t>/dB(A)</w:t>
            </w:r>
          </w:p>
        </w:tc>
        <w:tc>
          <w:tcPr>
            <w:tcW w:w="1196" w:type="dxa"/>
            <w:vMerge w:val="restart"/>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eastAsia="zh-CN"/>
              </w:rPr>
            </w:pPr>
            <w:r>
              <w:rPr>
                <w:rFonts w:hint="eastAsia" w:ascii="Times New Roman" w:hAnsi="Times New Roman" w:cs="Calibri"/>
                <w:b/>
                <w:bCs/>
                <w:color w:val="FF0000"/>
                <w:sz w:val="21"/>
                <w:szCs w:val="21"/>
                <w:lang w:eastAsia="zh-CN"/>
              </w:rPr>
              <w:t>声源控制措施</w:t>
            </w:r>
          </w:p>
        </w:tc>
        <w:tc>
          <w:tcPr>
            <w:tcW w:w="1149" w:type="dxa"/>
            <w:vMerge w:val="restart"/>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eastAsia="zh-CN"/>
              </w:rPr>
            </w:pPr>
            <w:r>
              <w:rPr>
                <w:rFonts w:hint="eastAsia" w:ascii="Times New Roman" w:hAnsi="Times New Roman" w:cs="Calibri"/>
                <w:b/>
                <w:bCs/>
                <w:color w:val="FF0000"/>
                <w:sz w:val="21"/>
                <w:szCs w:val="21"/>
                <w:lang w:eastAsia="zh-CN"/>
              </w:rPr>
              <w:t>运行时段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bCs/>
                <w:color w:val="FF0000"/>
                <w:sz w:val="21"/>
                <w:szCs w:val="21"/>
              </w:rPr>
            </w:pPr>
          </w:p>
        </w:tc>
        <w:tc>
          <w:tcPr>
            <w:tcW w:w="1408" w:type="dxa"/>
            <w:vMerge w:val="continue"/>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bCs/>
                <w:color w:val="FF0000"/>
                <w:sz w:val="21"/>
                <w:szCs w:val="21"/>
              </w:rPr>
            </w:pPr>
          </w:p>
        </w:tc>
        <w:tc>
          <w:tcPr>
            <w:tcW w:w="699" w:type="dxa"/>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val="en-US" w:eastAsia="zh-CN"/>
              </w:rPr>
            </w:pPr>
            <w:r>
              <w:rPr>
                <w:rFonts w:hint="eastAsia" w:ascii="Times New Roman" w:hAnsi="Times New Roman" w:cs="Calibri"/>
                <w:b/>
                <w:bCs/>
                <w:color w:val="FF0000"/>
                <w:sz w:val="21"/>
                <w:szCs w:val="21"/>
                <w:lang w:val="en-US" w:eastAsia="zh-CN"/>
              </w:rPr>
              <w:t>X</w:t>
            </w:r>
          </w:p>
        </w:tc>
        <w:tc>
          <w:tcPr>
            <w:tcW w:w="705" w:type="dxa"/>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val="en-US" w:eastAsia="zh-CN"/>
              </w:rPr>
            </w:pPr>
            <w:r>
              <w:rPr>
                <w:rFonts w:hint="eastAsia" w:ascii="Times New Roman" w:hAnsi="Times New Roman" w:cs="Calibri"/>
                <w:b/>
                <w:bCs/>
                <w:color w:val="FF0000"/>
                <w:sz w:val="21"/>
                <w:szCs w:val="21"/>
                <w:lang w:val="en-US" w:eastAsia="zh-CN"/>
              </w:rPr>
              <w:t>Y</w:t>
            </w:r>
          </w:p>
        </w:tc>
        <w:tc>
          <w:tcPr>
            <w:tcW w:w="720" w:type="dxa"/>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bCs/>
                <w:color w:val="FF0000"/>
                <w:sz w:val="21"/>
                <w:szCs w:val="21"/>
                <w:lang w:val="en-US" w:eastAsia="zh-CN"/>
              </w:rPr>
            </w:pPr>
            <w:r>
              <w:rPr>
                <w:rFonts w:hint="eastAsia" w:ascii="Times New Roman" w:hAnsi="Times New Roman" w:cs="Calibri"/>
                <w:b/>
                <w:bCs/>
                <w:color w:val="FF0000"/>
                <w:sz w:val="21"/>
                <w:szCs w:val="21"/>
                <w:lang w:val="en-US" w:eastAsia="zh-CN"/>
              </w:rPr>
              <w:t>Z</w:t>
            </w:r>
          </w:p>
        </w:tc>
        <w:tc>
          <w:tcPr>
            <w:tcW w:w="2488" w:type="dxa"/>
            <w:vMerge w:val="continue"/>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bCs/>
                <w:color w:val="FF0000"/>
                <w:sz w:val="21"/>
                <w:szCs w:val="21"/>
              </w:rPr>
            </w:pPr>
          </w:p>
        </w:tc>
        <w:tc>
          <w:tcPr>
            <w:tcW w:w="1196" w:type="dxa"/>
            <w:vMerge w:val="continue"/>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bCs/>
                <w:color w:val="FF0000"/>
                <w:sz w:val="21"/>
                <w:szCs w:val="21"/>
              </w:rPr>
            </w:pPr>
          </w:p>
        </w:tc>
        <w:tc>
          <w:tcPr>
            <w:tcW w:w="1149" w:type="dxa"/>
            <w:vMerge w:val="continue"/>
            <w:tcBorders>
              <w:tl2br w:val="nil"/>
              <w:tr2bl w:val="nil"/>
            </w:tcBorders>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bCs/>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1</w:t>
            </w:r>
          </w:p>
        </w:tc>
        <w:tc>
          <w:tcPr>
            <w:tcW w:w="1408"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混合搅拌机</w:t>
            </w:r>
          </w:p>
        </w:tc>
        <w:tc>
          <w:tcPr>
            <w:tcW w:w="699"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5</w:t>
            </w:r>
          </w:p>
        </w:tc>
        <w:tc>
          <w:tcPr>
            <w:tcW w:w="705"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3</w:t>
            </w:r>
          </w:p>
        </w:tc>
        <w:tc>
          <w:tcPr>
            <w:tcW w:w="720"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3</w:t>
            </w:r>
          </w:p>
        </w:tc>
        <w:tc>
          <w:tcPr>
            <w:tcW w:w="2488"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80</w:t>
            </w:r>
          </w:p>
        </w:tc>
        <w:tc>
          <w:tcPr>
            <w:tcW w:w="1196"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val="0"/>
                <w:bCs w:val="0"/>
                <w:color w:val="FF0000"/>
                <w:sz w:val="21"/>
                <w:szCs w:val="21"/>
              </w:rPr>
            </w:pPr>
            <w:r>
              <w:rPr>
                <w:rFonts w:hint="eastAsia" w:ascii="Times New Roman" w:hAnsi="Times New Roman" w:cs="Calibri"/>
                <w:b w:val="0"/>
                <w:bCs w:val="0"/>
                <w:color w:val="FF0000"/>
                <w:sz w:val="21"/>
                <w:szCs w:val="21"/>
              </w:rPr>
              <w:t>设备减振、厂房隔声</w:t>
            </w:r>
          </w:p>
        </w:tc>
        <w:tc>
          <w:tcPr>
            <w:tcW w:w="1149"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eastAsia="zh-CN"/>
              </w:rPr>
            </w:pPr>
            <w:r>
              <w:rPr>
                <w:rFonts w:hint="eastAsia" w:ascii="Times New Roman" w:hAnsi="Times New Roman" w:cs="Calibri"/>
                <w:b w:val="0"/>
                <w:bCs w:val="0"/>
                <w:color w:val="FF0000"/>
                <w:sz w:val="21"/>
                <w:szCs w:val="21"/>
                <w:lang w:eastAsia="zh-CN"/>
              </w:rPr>
              <w:t>间歇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757"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2</w:t>
            </w:r>
          </w:p>
        </w:tc>
        <w:tc>
          <w:tcPr>
            <w:tcW w:w="1408"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eastAsia="zh-CN"/>
              </w:rPr>
            </w:pPr>
            <w:r>
              <w:rPr>
                <w:rFonts w:hint="eastAsia" w:ascii="Times New Roman" w:hAnsi="Times New Roman" w:cs="Calibri"/>
                <w:b w:val="0"/>
                <w:bCs w:val="0"/>
                <w:color w:val="FF0000"/>
                <w:sz w:val="21"/>
                <w:szCs w:val="21"/>
                <w:lang w:eastAsia="zh-CN"/>
              </w:rPr>
              <w:t>粉碎机</w:t>
            </w:r>
          </w:p>
        </w:tc>
        <w:tc>
          <w:tcPr>
            <w:tcW w:w="699"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3</w:t>
            </w:r>
          </w:p>
        </w:tc>
        <w:tc>
          <w:tcPr>
            <w:tcW w:w="705"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6</w:t>
            </w:r>
          </w:p>
        </w:tc>
        <w:tc>
          <w:tcPr>
            <w:tcW w:w="720"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3</w:t>
            </w:r>
          </w:p>
        </w:tc>
        <w:tc>
          <w:tcPr>
            <w:tcW w:w="2488"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cs="Calibri"/>
                <w:b w:val="0"/>
                <w:bCs w:val="0"/>
                <w:color w:val="FF0000"/>
                <w:sz w:val="21"/>
                <w:szCs w:val="21"/>
                <w:lang w:val="en-US" w:eastAsia="zh-CN"/>
              </w:rPr>
            </w:pPr>
            <w:r>
              <w:rPr>
                <w:rFonts w:hint="eastAsia" w:ascii="Times New Roman" w:hAnsi="Times New Roman" w:cs="Calibri"/>
                <w:b w:val="0"/>
                <w:bCs w:val="0"/>
                <w:color w:val="FF0000"/>
                <w:sz w:val="21"/>
                <w:szCs w:val="21"/>
                <w:lang w:val="en-US" w:eastAsia="zh-CN"/>
              </w:rPr>
              <w:t>80-95</w:t>
            </w:r>
          </w:p>
        </w:tc>
        <w:tc>
          <w:tcPr>
            <w:tcW w:w="1196"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ascii="Times New Roman" w:hAnsi="Times New Roman" w:cs="Calibri"/>
                <w:b w:val="0"/>
                <w:bCs w:val="0"/>
                <w:color w:val="FF0000"/>
                <w:sz w:val="21"/>
                <w:szCs w:val="21"/>
              </w:rPr>
            </w:pPr>
            <w:r>
              <w:rPr>
                <w:rFonts w:hint="eastAsia" w:ascii="Times New Roman" w:hAnsi="Times New Roman" w:cs="Calibri"/>
                <w:b w:val="0"/>
                <w:bCs w:val="0"/>
                <w:color w:val="FF0000"/>
                <w:sz w:val="21"/>
                <w:szCs w:val="21"/>
              </w:rPr>
              <w:t>设备减振、厂房隔声</w:t>
            </w:r>
          </w:p>
        </w:tc>
        <w:tc>
          <w:tcPr>
            <w:tcW w:w="1149" w:type="dxa"/>
            <w:tcBorders>
              <w:tl2br w:val="nil"/>
              <w:tr2bl w:val="nil"/>
            </w:tcBorders>
            <w:vAlign w:val="center"/>
          </w:tcPr>
          <w:p>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rPr>
                <w:rFonts w:hint="eastAsia" w:ascii="Times New Roman" w:hAnsi="Times New Roman" w:cs="Calibri"/>
                <w:b w:val="0"/>
                <w:bCs w:val="0"/>
                <w:color w:val="FF0000"/>
                <w:sz w:val="21"/>
                <w:szCs w:val="21"/>
                <w:lang w:eastAsia="zh-CN"/>
              </w:rPr>
            </w:pPr>
            <w:r>
              <w:rPr>
                <w:rFonts w:hint="eastAsia" w:ascii="Times New Roman" w:hAnsi="Times New Roman" w:cs="Calibri"/>
                <w:b w:val="0"/>
                <w:bCs w:val="0"/>
                <w:color w:val="FF0000"/>
                <w:sz w:val="21"/>
                <w:szCs w:val="21"/>
                <w:lang w:eastAsia="zh-CN"/>
              </w:rPr>
              <w:t>间歇</w:t>
            </w:r>
          </w:p>
        </w:tc>
      </w:tr>
    </w:tbl>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700" w:name="_Toc23457"/>
      <w:r>
        <w:rPr>
          <w:rFonts w:cs="Times New Roman"/>
          <w:bCs w:val="0"/>
          <w:snapToGrid w:val="0"/>
          <w:kern w:val="0"/>
          <w:sz w:val="28"/>
          <w:szCs w:val="28"/>
        </w:rPr>
        <w:t>5.4.2噪声预测结果与影响分析</w:t>
      </w:r>
      <w:bookmarkEnd w:id="700"/>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根据《环境影响评价技术导则--声环境》（HJ 2.4-20</w:t>
      </w:r>
      <w:r>
        <w:rPr>
          <w:rFonts w:hint="eastAsia" w:ascii="Times New Roman" w:hAnsi="Times New Roman"/>
          <w:sz w:val="24"/>
          <w:lang w:val="en-US" w:eastAsia="zh-CN"/>
        </w:rPr>
        <w:t>21</w:t>
      </w:r>
      <w:r>
        <w:rPr>
          <w:rFonts w:ascii="Times New Roman" w:hAnsi="Times New Roman"/>
          <w:sz w:val="24"/>
        </w:rPr>
        <w:t>）的技术要求，本次评价采取导则上的推荐模式进行声环境影响预测。</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GB3 \* MERGEFORMAT </w:instrText>
      </w:r>
      <w:r>
        <w:rPr>
          <w:rFonts w:ascii="Times New Roman" w:hAnsi="Times New Roman"/>
          <w:sz w:val="24"/>
        </w:rPr>
        <w:fldChar w:fldCharType="separate"/>
      </w:r>
      <w:r>
        <w:rPr>
          <w:rFonts w:ascii="Times New Roman" w:hAnsi="Times New Roman"/>
          <w:sz w:val="24"/>
        </w:rPr>
        <w:t>①</w:t>
      </w:r>
      <w:r>
        <w:rPr>
          <w:rFonts w:ascii="Times New Roman" w:hAnsi="Times New Roman"/>
          <w:sz w:val="24"/>
        </w:rPr>
        <w:fldChar w:fldCharType="end"/>
      </w:r>
      <w:r>
        <w:rPr>
          <w:rFonts w:ascii="Times New Roman" w:hAnsi="Times New Roman"/>
          <w:sz w:val="24"/>
        </w:rPr>
        <w:t>建设项目声源在预测点产生的等效声级贡献值(L</w:t>
      </w:r>
      <w:r>
        <w:rPr>
          <w:rFonts w:ascii="Times New Roman" w:hAnsi="Times New Roman"/>
          <w:sz w:val="24"/>
          <w:vertAlign w:val="subscript"/>
        </w:rPr>
        <w:t>eqg</w:t>
      </w:r>
      <w:r>
        <w:rPr>
          <w:rFonts w:ascii="Times New Roman" w:hAnsi="Times New Roman"/>
          <w:sz w:val="24"/>
        </w:rPr>
        <w:t>)计算公式：</w:t>
      </w:r>
    </w:p>
    <w:p>
      <w:pPr>
        <w:adjustRightInd w:val="0"/>
        <w:snapToGrid w:val="0"/>
        <w:spacing w:line="540" w:lineRule="exact"/>
        <w:ind w:firstLine="480" w:firstLineChars="200"/>
        <w:jc w:val="center"/>
        <w:rPr>
          <w:rFonts w:ascii="Times New Roman" w:hAnsi="Times New Roman"/>
          <w:sz w:val="24"/>
        </w:rPr>
      </w:pPr>
      <w:r>
        <w:rPr>
          <w:rFonts w:ascii="Times New Roman" w:hAnsi="Times New Roman"/>
          <w:position w:val="-28"/>
          <w:sz w:val="24"/>
        </w:rPr>
        <w:object>
          <v:shape id="_x0000_i1026" o:spt="75" type="#_x0000_t75" style="height:35.05pt;width:141.45pt;" o:ole="t" filled="f" o:preferrelative="t" stroked="f" coordsize="21600,21600">
            <v:path/>
            <v:fill on="f" focussize="0,0"/>
            <v:stroke on="f" joinstyle="miter"/>
            <v:imagedata r:id="rId48" o:title=""/>
            <o:lock v:ext="edit" aspectratio="t"/>
            <w10:wrap type="none"/>
            <w10:anchorlock/>
          </v:shape>
          <o:OLEObject Type="Embed" ProgID="Equation.DSMT4" ShapeID="_x0000_i1026" DrawAspect="Content" ObjectID="_1468075726" r:id="rId47">
            <o:LockedField>false</o:LockedField>
          </o:OLEObject>
        </w:objec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式中：</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L</w:t>
      </w:r>
      <w:r>
        <w:rPr>
          <w:rFonts w:ascii="Times New Roman" w:hAnsi="Times New Roman"/>
          <w:sz w:val="24"/>
          <w:vertAlign w:val="subscript"/>
        </w:rPr>
        <w:t>eqg</w:t>
      </w:r>
      <w:r>
        <w:rPr>
          <w:rFonts w:ascii="Times New Roman" w:hAnsi="Times New Roman"/>
          <w:sz w:val="24"/>
        </w:rPr>
        <w:t>—建设项目声源在预测点的等效声级贡献值，dB(A)；</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L</w:t>
      </w:r>
      <w:r>
        <w:rPr>
          <w:rFonts w:ascii="Times New Roman" w:hAnsi="Times New Roman"/>
          <w:sz w:val="24"/>
          <w:vertAlign w:val="subscript"/>
        </w:rPr>
        <w:t>Ai</w:t>
      </w:r>
      <w:r>
        <w:rPr>
          <w:rFonts w:ascii="Times New Roman" w:hAnsi="Times New Roman"/>
          <w:sz w:val="24"/>
        </w:rPr>
        <w:t xml:space="preserve"> — i声源在预测点产生的A 声级，dB(A)；</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T— 预测计算的时间段，s；</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t</w:t>
      </w:r>
      <w:r>
        <w:rPr>
          <w:rFonts w:ascii="Times New Roman" w:hAnsi="Times New Roman"/>
          <w:sz w:val="24"/>
          <w:vertAlign w:val="subscript"/>
        </w:rPr>
        <w:t>i</w:t>
      </w:r>
      <w:r>
        <w:rPr>
          <w:rFonts w:ascii="Times New Roman" w:hAnsi="Times New Roman"/>
          <w:sz w:val="24"/>
        </w:rPr>
        <w:t>— i 声源在T 时段内的运行时间，s。</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GB3 \* MERGEFORMAT </w:instrText>
      </w:r>
      <w:r>
        <w:rPr>
          <w:rFonts w:ascii="Times New Roman" w:hAnsi="Times New Roman"/>
          <w:sz w:val="24"/>
        </w:rPr>
        <w:fldChar w:fldCharType="separate"/>
      </w:r>
      <w:r>
        <w:rPr>
          <w:rFonts w:ascii="Times New Roman" w:hAnsi="Times New Roman"/>
          <w:sz w:val="24"/>
        </w:rPr>
        <w:t>②</w:t>
      </w:r>
      <w:r>
        <w:rPr>
          <w:rFonts w:ascii="Times New Roman" w:hAnsi="Times New Roman"/>
          <w:sz w:val="24"/>
        </w:rPr>
        <w:fldChar w:fldCharType="end"/>
      </w:r>
      <w:r>
        <w:rPr>
          <w:rFonts w:ascii="Times New Roman" w:hAnsi="Times New Roman"/>
          <w:sz w:val="24"/>
        </w:rPr>
        <w:t>预测点的预测等效声级(Leq )计算公式</w:t>
      </w:r>
    </w:p>
    <w:p>
      <w:pPr>
        <w:adjustRightInd w:val="0"/>
        <w:snapToGrid w:val="0"/>
        <w:spacing w:line="540" w:lineRule="exact"/>
        <w:ind w:firstLine="480" w:firstLineChars="200"/>
        <w:jc w:val="center"/>
        <w:rPr>
          <w:rFonts w:ascii="Times New Roman" w:hAnsi="Times New Roman"/>
          <w:sz w:val="24"/>
        </w:rPr>
      </w:pPr>
      <w:r>
        <w:rPr>
          <w:rFonts w:ascii="Times New Roman" w:hAnsi="Times New Roman"/>
          <w:sz w:val="24"/>
        </w:rPr>
        <w:object>
          <v:shape id="_x0000_i1027" o:spt="75" type="#_x0000_t75" style="height:22.95pt;width:149.75pt;" o:ole="t" filled="f" o:preferrelative="t" stroked="f" coordsize="21600,21600">
            <v:path/>
            <v:fill on="f" focussize="0,0"/>
            <v:stroke on="f" joinstyle="miter"/>
            <v:imagedata r:id="rId50" o:title=""/>
            <o:lock v:ext="edit" aspectratio="t"/>
            <w10:wrap type="none"/>
            <w10:anchorlock/>
          </v:shape>
          <o:OLEObject Type="Embed" ProgID="Equation.3" ShapeID="_x0000_i1027" DrawAspect="Content" ObjectID="_1468075727" r:id="rId49">
            <o:LockedField>false</o:LockedField>
          </o:OLEObject>
        </w:objec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式中：</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L</w:t>
      </w:r>
      <w:r>
        <w:rPr>
          <w:rFonts w:ascii="Times New Roman" w:hAnsi="Times New Roman"/>
          <w:sz w:val="24"/>
          <w:vertAlign w:val="subscript"/>
        </w:rPr>
        <w:t>eqg</w:t>
      </w:r>
      <w:r>
        <w:rPr>
          <w:rFonts w:ascii="Times New Roman" w:hAnsi="Times New Roman"/>
          <w:sz w:val="24"/>
        </w:rPr>
        <w:t>—建设项目声源在预测点的等效声级贡献值，dB(A)；</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L</w:t>
      </w:r>
      <w:r>
        <w:rPr>
          <w:rFonts w:ascii="Times New Roman" w:hAnsi="Times New Roman"/>
          <w:sz w:val="24"/>
          <w:vertAlign w:val="subscript"/>
        </w:rPr>
        <w:t>eqb</w:t>
      </w:r>
      <w:r>
        <w:rPr>
          <w:rFonts w:ascii="Times New Roman" w:hAnsi="Times New Roman"/>
          <w:sz w:val="24"/>
        </w:rPr>
        <w:t>—预测点的背景值，dB(A)</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3 \* GB3 \* MERGEFORMAT </w:instrText>
      </w:r>
      <w:r>
        <w:rPr>
          <w:rFonts w:ascii="Times New Roman" w:hAnsi="Times New Roman"/>
          <w:sz w:val="24"/>
        </w:rPr>
        <w:fldChar w:fldCharType="separate"/>
      </w:r>
      <w:r>
        <w:rPr>
          <w:rFonts w:ascii="Times New Roman" w:hAnsi="Times New Roman"/>
          <w:sz w:val="24"/>
        </w:rPr>
        <w:t>③</w:t>
      </w:r>
      <w:r>
        <w:rPr>
          <w:rFonts w:ascii="Times New Roman" w:hAnsi="Times New Roman"/>
          <w:sz w:val="24"/>
        </w:rPr>
        <w:fldChar w:fldCharType="end"/>
      </w:r>
      <w:r>
        <w:rPr>
          <w:rFonts w:ascii="Times New Roman" w:hAnsi="Times New Roman"/>
          <w:sz w:val="24"/>
        </w:rPr>
        <w:t>户外声传播衰减计算</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户外声传播衰减包括几何发散（A</w:t>
      </w:r>
      <w:r>
        <w:rPr>
          <w:rFonts w:ascii="Times New Roman" w:hAnsi="Times New Roman"/>
          <w:sz w:val="24"/>
          <w:vertAlign w:val="subscript"/>
        </w:rPr>
        <w:t>div</w:t>
      </w:r>
      <w:r>
        <w:rPr>
          <w:rFonts w:ascii="Times New Roman" w:hAnsi="Times New Roman"/>
          <w:sz w:val="24"/>
        </w:rPr>
        <w:t>）、大气吸收（A</w:t>
      </w:r>
      <w:r>
        <w:rPr>
          <w:rFonts w:ascii="Times New Roman" w:hAnsi="Times New Roman"/>
          <w:sz w:val="24"/>
          <w:vertAlign w:val="subscript"/>
        </w:rPr>
        <w:t>atm</w:t>
      </w:r>
      <w:r>
        <w:rPr>
          <w:rFonts w:ascii="Times New Roman" w:hAnsi="Times New Roman"/>
          <w:sz w:val="24"/>
        </w:rPr>
        <w:t>）、地面效应（A</w:t>
      </w:r>
      <w:r>
        <w:rPr>
          <w:rFonts w:ascii="Times New Roman" w:hAnsi="Times New Roman"/>
          <w:sz w:val="24"/>
          <w:vertAlign w:val="subscript"/>
        </w:rPr>
        <w:t>gr</w:t>
      </w:r>
      <w:r>
        <w:rPr>
          <w:rFonts w:ascii="Times New Roman" w:hAnsi="Times New Roman"/>
          <w:sz w:val="24"/>
        </w:rPr>
        <w:t>）、屏障屏蔽（A</w:t>
      </w:r>
      <w:r>
        <w:rPr>
          <w:rFonts w:ascii="Times New Roman" w:hAnsi="Times New Roman"/>
          <w:sz w:val="24"/>
          <w:vertAlign w:val="subscript"/>
        </w:rPr>
        <w:t>bar</w:t>
      </w:r>
      <w:r>
        <w:rPr>
          <w:rFonts w:ascii="Times New Roman" w:hAnsi="Times New Roman"/>
          <w:sz w:val="24"/>
        </w:rPr>
        <w:t>）、其他多方面效应（A</w:t>
      </w:r>
      <w:r>
        <w:rPr>
          <w:rFonts w:ascii="Times New Roman" w:hAnsi="Times New Roman"/>
          <w:sz w:val="24"/>
          <w:vertAlign w:val="subscript"/>
        </w:rPr>
        <w:t>misc</w:t>
      </w:r>
      <w:r>
        <w:rPr>
          <w:rFonts w:ascii="Times New Roman" w:hAnsi="Times New Roman"/>
          <w:sz w:val="24"/>
        </w:rPr>
        <w:t>）引起的衰减。</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距声源点r处的A声级按下式计算：</w:t>
      </w:r>
    </w:p>
    <w:p>
      <w:pPr>
        <w:adjustRightInd w:val="0"/>
        <w:snapToGrid w:val="0"/>
        <w:spacing w:line="540" w:lineRule="exact"/>
        <w:ind w:firstLine="480" w:firstLineChars="200"/>
        <w:jc w:val="center"/>
        <w:rPr>
          <w:rFonts w:ascii="Times New Roman" w:hAnsi="Times New Roman"/>
          <w:sz w:val="24"/>
        </w:rPr>
      </w:pPr>
      <w:r>
        <w:rPr>
          <w:rFonts w:ascii="Times New Roman" w:hAnsi="Times New Roman"/>
          <w:sz w:val="24"/>
        </w:rPr>
        <w:drawing>
          <wp:inline distT="0" distB="0" distL="114300" distR="114300">
            <wp:extent cx="3422015" cy="358140"/>
            <wp:effectExtent l="0" t="0" r="6985" b="3810"/>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51"/>
                    <a:stretch>
                      <a:fillRect/>
                    </a:stretch>
                  </pic:blipFill>
                  <pic:spPr>
                    <a:xfrm>
                      <a:off x="0" y="0"/>
                      <a:ext cx="3422015" cy="358140"/>
                    </a:xfrm>
                    <a:prstGeom prst="rect">
                      <a:avLst/>
                    </a:prstGeom>
                    <a:noFill/>
                    <a:ln>
                      <a:noFill/>
                    </a:ln>
                  </pic:spPr>
                </pic:pic>
              </a:graphicData>
            </a:graphic>
          </wp:inline>
        </w:drawing>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在预测中考虑反射引起的修正、屏障引起的衰减、双绕射、室内声源等效室外声源等影响和计算方法。</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701" w:name="_Toc23107"/>
      <w:r>
        <w:rPr>
          <w:rFonts w:cs="Times New Roman"/>
          <w:bCs w:val="0"/>
          <w:snapToGrid w:val="0"/>
          <w:kern w:val="0"/>
          <w:sz w:val="28"/>
          <w:szCs w:val="28"/>
        </w:rPr>
        <w:t>5.4.</w:t>
      </w:r>
      <w:r>
        <w:rPr>
          <w:rFonts w:hint="eastAsia" w:cs="Times New Roman"/>
          <w:bCs w:val="0"/>
          <w:snapToGrid w:val="0"/>
          <w:kern w:val="0"/>
          <w:sz w:val="28"/>
          <w:szCs w:val="28"/>
        </w:rPr>
        <w:t>3</w:t>
      </w:r>
      <w:r>
        <w:rPr>
          <w:rFonts w:cs="Times New Roman"/>
          <w:bCs w:val="0"/>
          <w:snapToGrid w:val="0"/>
          <w:kern w:val="0"/>
          <w:sz w:val="28"/>
          <w:szCs w:val="28"/>
        </w:rPr>
        <w:t>噪声预测结果与影响分析</w:t>
      </w:r>
      <w:bookmarkEnd w:id="701"/>
    </w:p>
    <w:p>
      <w:pPr>
        <w:tabs>
          <w:tab w:val="left" w:pos="3320"/>
        </w:tabs>
        <w:overflowPunct w:val="0"/>
        <w:snapToGrid w:val="0"/>
        <w:spacing w:line="540" w:lineRule="exact"/>
        <w:ind w:firstLine="480" w:firstLineChars="200"/>
        <w:jc w:val="left"/>
        <w:rPr>
          <w:rFonts w:ascii="Times New Roman" w:hAnsi="Times New Roman"/>
          <w:snapToGrid w:val="0"/>
          <w:kern w:val="0"/>
          <w:sz w:val="24"/>
        </w:rPr>
      </w:pPr>
      <w:r>
        <w:rPr>
          <w:rFonts w:ascii="Times New Roman" w:hAnsi="Times New Roman"/>
          <w:snapToGrid w:val="0"/>
          <w:kern w:val="0"/>
          <w:sz w:val="24"/>
        </w:rPr>
        <w:t>本项目属于新建项目</w:t>
      </w:r>
      <w:r>
        <w:rPr>
          <w:rFonts w:hint="eastAsia" w:ascii="Times New Roman" w:hAnsi="Times New Roman"/>
          <w:snapToGrid w:val="0"/>
          <w:kern w:val="0"/>
          <w:sz w:val="24"/>
        </w:rPr>
        <w:t>，</w:t>
      </w:r>
      <w:r>
        <w:rPr>
          <w:rFonts w:ascii="Times New Roman" w:hAnsi="Times New Roman"/>
          <w:snapToGrid w:val="0"/>
          <w:kern w:val="0"/>
          <w:sz w:val="24"/>
        </w:rPr>
        <w:t>为了说明拟建工程对周围声环境的影响程度，本次以项目营运期对各厂界噪声贡献值进行评价</w:t>
      </w:r>
      <w:r>
        <w:rPr>
          <w:rFonts w:hint="eastAsia" w:ascii="Times New Roman" w:hAnsi="Times New Roman"/>
          <w:snapToGrid w:val="0"/>
          <w:kern w:val="0"/>
          <w:sz w:val="24"/>
        </w:rPr>
        <w:t>，</w:t>
      </w:r>
      <w:r>
        <w:rPr>
          <w:rFonts w:ascii="Times New Roman" w:hAnsi="Times New Roman"/>
          <w:snapToGrid w:val="0"/>
          <w:kern w:val="0"/>
          <w:sz w:val="24"/>
        </w:rPr>
        <w:t>本次评价</w:t>
      </w:r>
      <w:r>
        <w:rPr>
          <w:rFonts w:hint="eastAsia" w:ascii="Times New Roman" w:hAnsi="Times New Roman"/>
          <w:snapToGrid w:val="0"/>
          <w:kern w:val="0"/>
          <w:sz w:val="24"/>
        </w:rPr>
        <w:t>以</w:t>
      </w:r>
      <w:r>
        <w:rPr>
          <w:rFonts w:ascii="Times New Roman" w:hAnsi="Times New Roman"/>
          <w:snapToGrid w:val="0"/>
          <w:kern w:val="0"/>
          <w:sz w:val="24"/>
        </w:rPr>
        <w:t>全厂投产后厂界噪声贡献值见表5.5-1。</w:t>
      </w:r>
    </w:p>
    <w:p>
      <w:pPr>
        <w:tabs>
          <w:tab w:val="left" w:pos="3320"/>
        </w:tabs>
        <w:overflowPunct w:val="0"/>
        <w:snapToGrid w:val="0"/>
        <w:jc w:val="center"/>
        <w:rPr>
          <w:rFonts w:ascii="Times New Roman" w:hAnsi="Times New Roman"/>
          <w:b/>
          <w:bCs/>
          <w:sz w:val="24"/>
        </w:rPr>
      </w:pPr>
      <w:r>
        <w:rPr>
          <w:rFonts w:ascii="Times New Roman" w:hAnsi="Times New Roman"/>
          <w:b/>
          <w:bCs/>
          <w:sz w:val="24"/>
        </w:rPr>
        <w:t>表5.</w:t>
      </w:r>
      <w:r>
        <w:rPr>
          <w:rFonts w:hint="eastAsia" w:ascii="Times New Roman" w:hAnsi="Times New Roman"/>
          <w:b/>
          <w:bCs/>
          <w:sz w:val="24"/>
        </w:rPr>
        <w:t>4-2</w:t>
      </w:r>
      <w:r>
        <w:rPr>
          <w:rFonts w:ascii="Times New Roman" w:hAnsi="Times New Roman"/>
          <w:b/>
          <w:bCs/>
          <w:sz w:val="24"/>
        </w:rPr>
        <w:t xml:space="preserve">        厂界噪声预测结果一览表       单位：dB(A)</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763"/>
        <w:gridCol w:w="2640"/>
        <w:gridCol w:w="2400"/>
        <w:gridCol w:w="22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10" w:hRule="atLeast"/>
          <w:jc w:val="center"/>
        </w:trPr>
        <w:tc>
          <w:tcPr>
            <w:tcW w:w="972"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厂界</w:t>
            </w:r>
          </w:p>
        </w:tc>
        <w:tc>
          <w:tcPr>
            <w:tcW w:w="1455" w:type="pct"/>
            <w:vAlign w:val="center"/>
          </w:tcPr>
          <w:p>
            <w:pPr>
              <w:snapToGrid w:val="0"/>
              <w:jc w:val="center"/>
              <w:rPr>
                <w:rFonts w:ascii="Times New Roman" w:hAnsi="Times New Roman"/>
                <w:snapToGrid w:val="0"/>
                <w:kern w:val="0"/>
                <w:szCs w:val="21"/>
              </w:rPr>
            </w:pPr>
            <w:r>
              <w:rPr>
                <w:rFonts w:ascii="Times New Roman" w:hAnsi="Times New Roman"/>
                <w:bCs/>
                <w:snapToGrid w:val="0"/>
                <w:kern w:val="0"/>
                <w:szCs w:val="21"/>
              </w:rPr>
              <w:t>标准值</w:t>
            </w:r>
          </w:p>
        </w:tc>
        <w:tc>
          <w:tcPr>
            <w:tcW w:w="1323" w:type="pct"/>
            <w:vAlign w:val="center"/>
          </w:tcPr>
          <w:p>
            <w:pPr>
              <w:snapToGrid w:val="0"/>
              <w:jc w:val="center"/>
              <w:rPr>
                <w:rFonts w:ascii="Times New Roman" w:hAnsi="Times New Roman"/>
                <w:snapToGrid w:val="0"/>
                <w:kern w:val="0"/>
                <w:szCs w:val="21"/>
              </w:rPr>
            </w:pPr>
            <w:r>
              <w:rPr>
                <w:rFonts w:hint="eastAsia" w:ascii="Times New Roman" w:hAnsi="Times New Roman"/>
                <w:snapToGrid w:val="0"/>
                <w:kern w:val="0"/>
                <w:szCs w:val="21"/>
              </w:rPr>
              <w:t>厂界噪声</w:t>
            </w:r>
            <w:r>
              <w:rPr>
                <w:rFonts w:ascii="Times New Roman" w:hAnsi="Times New Roman"/>
                <w:snapToGrid w:val="0"/>
                <w:kern w:val="0"/>
                <w:szCs w:val="21"/>
              </w:rPr>
              <w:t>贡献值</w:t>
            </w:r>
          </w:p>
        </w:tc>
        <w:tc>
          <w:tcPr>
            <w:tcW w:w="1250"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达标状况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2" w:type="pct"/>
            <w:vMerge w:val="restar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东厂界</w:t>
            </w:r>
          </w:p>
        </w:tc>
        <w:tc>
          <w:tcPr>
            <w:tcW w:w="1455"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昼间：60</w:t>
            </w:r>
          </w:p>
        </w:tc>
        <w:tc>
          <w:tcPr>
            <w:tcW w:w="1323" w:type="pct"/>
            <w:vMerge w:val="restart"/>
            <w:vAlign w:val="center"/>
          </w:tcPr>
          <w:p>
            <w:pPr>
              <w:snapToGrid w:val="0"/>
              <w:jc w:val="center"/>
              <w:rPr>
                <w:rFonts w:hint="default" w:ascii="Times New Roman" w:hAnsi="Times New Roman" w:eastAsia="宋体"/>
                <w:snapToGrid w:val="0"/>
                <w:kern w:val="0"/>
                <w:szCs w:val="21"/>
                <w:lang w:val="en-US" w:eastAsia="zh-CN"/>
              </w:rPr>
            </w:pPr>
            <w:r>
              <w:rPr>
                <w:rFonts w:hint="eastAsia" w:ascii="Times New Roman" w:hAnsi="Times New Roman"/>
                <w:snapToGrid w:val="0"/>
                <w:kern w:val="0"/>
                <w:szCs w:val="21"/>
                <w:lang w:val="en-US" w:eastAsia="zh-CN"/>
              </w:rPr>
              <w:t>23.4</w:t>
            </w:r>
          </w:p>
        </w:tc>
        <w:tc>
          <w:tcPr>
            <w:tcW w:w="1250"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2" w:type="pct"/>
            <w:vMerge w:val="continue"/>
            <w:vAlign w:val="center"/>
          </w:tcPr>
          <w:p>
            <w:pPr>
              <w:widowControl/>
              <w:snapToGrid w:val="0"/>
              <w:jc w:val="center"/>
              <w:rPr>
                <w:rFonts w:ascii="Times New Roman" w:hAnsi="Times New Roman"/>
                <w:snapToGrid w:val="0"/>
                <w:kern w:val="0"/>
                <w:szCs w:val="21"/>
              </w:rPr>
            </w:pPr>
          </w:p>
        </w:tc>
        <w:tc>
          <w:tcPr>
            <w:tcW w:w="1455"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夜间：50</w:t>
            </w:r>
          </w:p>
        </w:tc>
        <w:tc>
          <w:tcPr>
            <w:tcW w:w="1323" w:type="pct"/>
            <w:vMerge w:val="continue"/>
            <w:vAlign w:val="center"/>
          </w:tcPr>
          <w:p>
            <w:pPr>
              <w:widowControl/>
              <w:snapToGrid w:val="0"/>
              <w:jc w:val="center"/>
              <w:rPr>
                <w:rFonts w:ascii="Times New Roman" w:hAnsi="Times New Roman"/>
                <w:snapToGrid w:val="0"/>
                <w:kern w:val="0"/>
                <w:szCs w:val="21"/>
              </w:rPr>
            </w:pPr>
          </w:p>
        </w:tc>
        <w:tc>
          <w:tcPr>
            <w:tcW w:w="1250"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2" w:type="pct"/>
            <w:vMerge w:val="restar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南厂界</w:t>
            </w:r>
          </w:p>
        </w:tc>
        <w:tc>
          <w:tcPr>
            <w:tcW w:w="1455"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昼间：60</w:t>
            </w:r>
          </w:p>
        </w:tc>
        <w:tc>
          <w:tcPr>
            <w:tcW w:w="1323" w:type="pct"/>
            <w:vMerge w:val="restart"/>
            <w:vAlign w:val="center"/>
          </w:tcPr>
          <w:p>
            <w:pPr>
              <w:snapToGrid w:val="0"/>
              <w:jc w:val="center"/>
              <w:rPr>
                <w:rFonts w:hint="default" w:ascii="Times New Roman" w:hAnsi="Times New Roman" w:eastAsia="宋体"/>
                <w:snapToGrid w:val="0"/>
                <w:kern w:val="0"/>
                <w:szCs w:val="21"/>
                <w:lang w:val="en-US" w:eastAsia="zh-CN"/>
              </w:rPr>
            </w:pPr>
            <w:r>
              <w:rPr>
                <w:rFonts w:hint="eastAsia" w:ascii="Times New Roman" w:hAnsi="Times New Roman"/>
                <w:snapToGrid w:val="0"/>
                <w:kern w:val="0"/>
                <w:szCs w:val="21"/>
                <w:lang w:val="en-US" w:eastAsia="zh-CN"/>
              </w:rPr>
              <w:t>26.3</w:t>
            </w:r>
          </w:p>
        </w:tc>
        <w:tc>
          <w:tcPr>
            <w:tcW w:w="1250"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2" w:type="pct"/>
            <w:vMerge w:val="continue"/>
            <w:vAlign w:val="center"/>
          </w:tcPr>
          <w:p>
            <w:pPr>
              <w:widowControl/>
              <w:snapToGrid w:val="0"/>
              <w:jc w:val="center"/>
              <w:rPr>
                <w:rFonts w:ascii="Times New Roman" w:hAnsi="Times New Roman"/>
                <w:snapToGrid w:val="0"/>
                <w:kern w:val="0"/>
                <w:szCs w:val="21"/>
              </w:rPr>
            </w:pPr>
          </w:p>
        </w:tc>
        <w:tc>
          <w:tcPr>
            <w:tcW w:w="1455"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夜间：50</w:t>
            </w:r>
          </w:p>
        </w:tc>
        <w:tc>
          <w:tcPr>
            <w:tcW w:w="1323" w:type="pct"/>
            <w:vMerge w:val="continue"/>
            <w:vAlign w:val="center"/>
          </w:tcPr>
          <w:p>
            <w:pPr>
              <w:widowControl/>
              <w:snapToGrid w:val="0"/>
              <w:jc w:val="center"/>
              <w:rPr>
                <w:rFonts w:ascii="Times New Roman" w:hAnsi="Times New Roman"/>
                <w:snapToGrid w:val="0"/>
                <w:kern w:val="0"/>
                <w:szCs w:val="21"/>
              </w:rPr>
            </w:pPr>
          </w:p>
        </w:tc>
        <w:tc>
          <w:tcPr>
            <w:tcW w:w="1250"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2" w:type="pct"/>
            <w:vMerge w:val="restar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西厂界</w:t>
            </w:r>
          </w:p>
        </w:tc>
        <w:tc>
          <w:tcPr>
            <w:tcW w:w="1455"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昼间：60</w:t>
            </w:r>
          </w:p>
        </w:tc>
        <w:tc>
          <w:tcPr>
            <w:tcW w:w="1323" w:type="pct"/>
            <w:vMerge w:val="restart"/>
            <w:vAlign w:val="center"/>
          </w:tcPr>
          <w:p>
            <w:pPr>
              <w:snapToGrid w:val="0"/>
              <w:jc w:val="center"/>
              <w:rPr>
                <w:rFonts w:hint="default" w:ascii="Times New Roman" w:hAnsi="Times New Roman" w:eastAsia="宋体"/>
                <w:snapToGrid w:val="0"/>
                <w:kern w:val="0"/>
                <w:szCs w:val="21"/>
                <w:lang w:val="en-US" w:eastAsia="zh-CN"/>
              </w:rPr>
            </w:pPr>
            <w:r>
              <w:rPr>
                <w:rFonts w:hint="eastAsia" w:ascii="Times New Roman" w:hAnsi="Times New Roman"/>
                <w:snapToGrid w:val="0"/>
                <w:kern w:val="0"/>
                <w:szCs w:val="21"/>
                <w:lang w:val="en-US" w:eastAsia="zh-CN"/>
              </w:rPr>
              <w:t>28.4</w:t>
            </w:r>
          </w:p>
        </w:tc>
        <w:tc>
          <w:tcPr>
            <w:tcW w:w="1250"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2" w:type="pct"/>
            <w:vMerge w:val="continue"/>
            <w:vAlign w:val="center"/>
          </w:tcPr>
          <w:p>
            <w:pPr>
              <w:widowControl/>
              <w:snapToGrid w:val="0"/>
              <w:jc w:val="center"/>
              <w:rPr>
                <w:rFonts w:ascii="Times New Roman" w:hAnsi="Times New Roman"/>
                <w:snapToGrid w:val="0"/>
                <w:kern w:val="0"/>
                <w:szCs w:val="21"/>
              </w:rPr>
            </w:pPr>
          </w:p>
        </w:tc>
        <w:tc>
          <w:tcPr>
            <w:tcW w:w="1455"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夜间：50</w:t>
            </w:r>
          </w:p>
        </w:tc>
        <w:tc>
          <w:tcPr>
            <w:tcW w:w="1323" w:type="pct"/>
            <w:vMerge w:val="continue"/>
            <w:vAlign w:val="center"/>
          </w:tcPr>
          <w:p>
            <w:pPr>
              <w:widowControl/>
              <w:snapToGrid w:val="0"/>
              <w:jc w:val="center"/>
              <w:rPr>
                <w:rFonts w:ascii="Times New Roman" w:hAnsi="Times New Roman"/>
                <w:snapToGrid w:val="0"/>
                <w:kern w:val="0"/>
                <w:szCs w:val="21"/>
              </w:rPr>
            </w:pPr>
          </w:p>
        </w:tc>
        <w:tc>
          <w:tcPr>
            <w:tcW w:w="1250"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2" w:type="pct"/>
            <w:vMerge w:val="restar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北厂界</w:t>
            </w:r>
          </w:p>
        </w:tc>
        <w:tc>
          <w:tcPr>
            <w:tcW w:w="1455"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昼间：60</w:t>
            </w:r>
          </w:p>
        </w:tc>
        <w:tc>
          <w:tcPr>
            <w:tcW w:w="1323" w:type="pct"/>
            <w:vMerge w:val="restart"/>
            <w:vAlign w:val="center"/>
          </w:tcPr>
          <w:p>
            <w:pPr>
              <w:snapToGrid w:val="0"/>
              <w:jc w:val="center"/>
              <w:rPr>
                <w:rFonts w:hint="default" w:ascii="Times New Roman" w:hAnsi="Times New Roman" w:eastAsia="宋体"/>
                <w:snapToGrid w:val="0"/>
                <w:kern w:val="0"/>
                <w:szCs w:val="21"/>
                <w:lang w:val="en-US" w:eastAsia="zh-CN"/>
              </w:rPr>
            </w:pPr>
            <w:r>
              <w:rPr>
                <w:rFonts w:hint="eastAsia" w:ascii="Times New Roman" w:hAnsi="Times New Roman"/>
                <w:snapToGrid w:val="0"/>
                <w:kern w:val="0"/>
                <w:szCs w:val="21"/>
                <w:lang w:val="en-US" w:eastAsia="zh-CN"/>
              </w:rPr>
              <w:t>28.5</w:t>
            </w:r>
          </w:p>
        </w:tc>
        <w:tc>
          <w:tcPr>
            <w:tcW w:w="1250"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2" w:type="pct"/>
            <w:vMerge w:val="continue"/>
            <w:vAlign w:val="center"/>
          </w:tcPr>
          <w:p>
            <w:pPr>
              <w:widowControl/>
              <w:snapToGrid w:val="0"/>
              <w:jc w:val="center"/>
              <w:rPr>
                <w:rFonts w:ascii="Times New Roman" w:hAnsi="Times New Roman"/>
                <w:snapToGrid w:val="0"/>
                <w:kern w:val="0"/>
                <w:szCs w:val="21"/>
              </w:rPr>
            </w:pPr>
          </w:p>
        </w:tc>
        <w:tc>
          <w:tcPr>
            <w:tcW w:w="1455"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夜间：50</w:t>
            </w:r>
          </w:p>
        </w:tc>
        <w:tc>
          <w:tcPr>
            <w:tcW w:w="1323" w:type="pct"/>
            <w:vMerge w:val="continue"/>
            <w:vAlign w:val="center"/>
          </w:tcPr>
          <w:p>
            <w:pPr>
              <w:widowControl/>
              <w:snapToGrid w:val="0"/>
              <w:jc w:val="center"/>
              <w:rPr>
                <w:rFonts w:ascii="Times New Roman" w:hAnsi="Times New Roman"/>
                <w:snapToGrid w:val="0"/>
                <w:kern w:val="0"/>
                <w:szCs w:val="21"/>
              </w:rPr>
            </w:pPr>
          </w:p>
        </w:tc>
        <w:tc>
          <w:tcPr>
            <w:tcW w:w="1250" w:type="pct"/>
            <w:vAlign w:val="center"/>
          </w:tcPr>
          <w:p>
            <w:pPr>
              <w:snapToGrid w:val="0"/>
              <w:jc w:val="center"/>
              <w:rPr>
                <w:rFonts w:ascii="Times New Roman" w:hAnsi="Times New Roman"/>
                <w:snapToGrid w:val="0"/>
                <w:kern w:val="0"/>
                <w:szCs w:val="21"/>
              </w:rPr>
            </w:pPr>
            <w:r>
              <w:rPr>
                <w:rFonts w:ascii="Times New Roman" w:hAnsi="Times New Roman"/>
                <w:snapToGrid w:val="0"/>
                <w:kern w:val="0"/>
                <w:szCs w:val="21"/>
              </w:rPr>
              <w:t>达标</w:t>
            </w:r>
          </w:p>
        </w:tc>
      </w:tr>
    </w:tbl>
    <w:p>
      <w:pPr>
        <w:tabs>
          <w:tab w:val="left" w:pos="3320"/>
        </w:tabs>
        <w:overflowPunct w:val="0"/>
        <w:snapToGrid w:val="0"/>
        <w:spacing w:before="72" w:beforeLines="30" w:line="540" w:lineRule="exact"/>
        <w:ind w:firstLine="480" w:firstLineChars="200"/>
        <w:rPr>
          <w:rFonts w:hint="eastAsia" w:ascii="Times New Roman" w:hAnsi="Times New Roman"/>
          <w:snapToGrid w:val="0"/>
          <w:kern w:val="0"/>
          <w:sz w:val="24"/>
          <w:lang w:eastAsia="zh-CN"/>
        </w:rPr>
      </w:pPr>
      <w:r>
        <w:rPr>
          <w:rFonts w:ascii="Times New Roman" w:hAnsi="Times New Roman"/>
          <w:snapToGrid w:val="0"/>
          <w:kern w:val="0"/>
          <w:sz w:val="24"/>
        </w:rPr>
        <w:t>项目建设性质为新建，按照《环境影响评价技术导则 声环境》（HJ2.4-20</w:t>
      </w:r>
      <w:r>
        <w:rPr>
          <w:rFonts w:hint="eastAsia" w:ascii="Times New Roman" w:hAnsi="Times New Roman"/>
          <w:snapToGrid w:val="0"/>
          <w:kern w:val="0"/>
          <w:sz w:val="24"/>
          <w:lang w:val="en-US" w:eastAsia="zh-CN"/>
        </w:rPr>
        <w:t>21</w:t>
      </w:r>
      <w:r>
        <w:rPr>
          <w:rFonts w:ascii="Times New Roman" w:hAnsi="Times New Roman"/>
          <w:snapToGrid w:val="0"/>
          <w:kern w:val="0"/>
          <w:sz w:val="24"/>
        </w:rPr>
        <w:t>）</w:t>
      </w:r>
      <w:r>
        <w:rPr>
          <w:rFonts w:hint="eastAsia" w:ascii="Times New Roman" w:hAnsi="Times New Roman"/>
          <w:snapToGrid w:val="0"/>
          <w:kern w:val="0"/>
          <w:sz w:val="24"/>
        </w:rPr>
        <w:t>要求，</w:t>
      </w:r>
      <w:r>
        <w:rPr>
          <w:rFonts w:ascii="Times New Roman" w:hAnsi="Times New Roman"/>
          <w:snapToGrid w:val="0"/>
          <w:kern w:val="0"/>
          <w:sz w:val="24"/>
        </w:rPr>
        <w:t>新建项目以边界贡献值评价，由预测结果可知，</w:t>
      </w:r>
      <w:r>
        <w:rPr>
          <w:rFonts w:hint="eastAsia" w:ascii="Times New Roman" w:hAnsi="Times New Roman"/>
          <w:snapToGrid w:val="0"/>
          <w:kern w:val="0"/>
          <w:sz w:val="24"/>
        </w:rPr>
        <w:t>项目全厂</w:t>
      </w:r>
      <w:r>
        <w:rPr>
          <w:rFonts w:ascii="Times New Roman" w:hAnsi="Times New Roman"/>
          <w:snapToGrid w:val="0"/>
          <w:kern w:val="0"/>
          <w:sz w:val="24"/>
        </w:rPr>
        <w:t>噪声污染源对各厂界的贡献值在</w:t>
      </w:r>
      <w:r>
        <w:rPr>
          <w:rFonts w:hint="eastAsia" w:ascii="Times New Roman" w:hAnsi="Times New Roman"/>
          <w:snapToGrid w:val="0"/>
          <w:kern w:val="0"/>
          <w:sz w:val="24"/>
          <w:lang w:val="en-US" w:eastAsia="zh-CN"/>
        </w:rPr>
        <w:t>23.4-28.5</w:t>
      </w:r>
      <w:r>
        <w:rPr>
          <w:rFonts w:ascii="Times New Roman" w:hAnsi="Times New Roman"/>
          <w:snapToGrid w:val="0"/>
          <w:kern w:val="0"/>
          <w:sz w:val="24"/>
        </w:rPr>
        <w:t>dB(A)，满足《工业企业厂界环境噪声排放标准》（GB12348-2008）中</w:t>
      </w:r>
      <w:r>
        <w:rPr>
          <w:rFonts w:hint="eastAsia" w:ascii="Times New Roman" w:hAnsi="Times New Roman"/>
          <w:snapToGrid w:val="0"/>
          <w:kern w:val="0"/>
          <w:sz w:val="24"/>
        </w:rPr>
        <w:t>2</w:t>
      </w:r>
      <w:r>
        <w:rPr>
          <w:rFonts w:ascii="Times New Roman" w:hAnsi="Times New Roman"/>
          <w:snapToGrid w:val="0"/>
          <w:kern w:val="0"/>
          <w:sz w:val="24"/>
        </w:rPr>
        <w:t>类区标准要求</w:t>
      </w:r>
      <w:r>
        <w:rPr>
          <w:rFonts w:hint="eastAsia" w:ascii="Times New Roman" w:hAnsi="Times New Roman"/>
          <w:snapToGrid w:val="0"/>
          <w:kern w:val="0"/>
          <w:sz w:val="24"/>
          <w:lang w:eastAsia="zh-CN"/>
        </w:rPr>
        <w:t>。</w:t>
      </w:r>
    </w:p>
    <w:p>
      <w:pPr>
        <w:pStyle w:val="2"/>
        <w:jc w:val="center"/>
        <w:rPr>
          <w:rFonts w:hint="eastAsia" w:ascii="Times New Roman" w:hAnsi="Times New Roman"/>
          <w:snapToGrid w:val="0"/>
          <w:kern w:val="0"/>
          <w:sz w:val="24"/>
          <w:highlight w:val="yellow"/>
          <w:lang w:eastAsia="zh-CN"/>
        </w:rPr>
      </w:pPr>
    </w:p>
    <w:p>
      <w:pPr>
        <w:pStyle w:val="2"/>
        <w:jc w:val="center"/>
        <w:rPr>
          <w:rFonts w:hint="eastAsia"/>
          <w:color w:val="FF0000"/>
          <w:lang w:eastAsia="zh-CN"/>
        </w:rPr>
      </w:pPr>
      <w:r>
        <w:rPr>
          <w:rFonts w:hint="default" w:ascii="Times New Roman" w:hAnsi="Times New Roman" w:cs="Times New Roman"/>
          <w:b/>
          <w:bCs/>
          <w:snapToGrid w:val="0"/>
          <w:color w:val="FF0000"/>
          <w:kern w:val="0"/>
          <w:sz w:val="24"/>
          <w:highlight w:val="none"/>
          <w:lang w:eastAsia="zh-CN"/>
        </w:rPr>
        <w:t>表</w:t>
      </w:r>
      <w:r>
        <w:rPr>
          <w:rFonts w:hint="default" w:ascii="Times New Roman" w:hAnsi="Times New Roman" w:cs="Times New Roman"/>
          <w:b/>
          <w:bCs/>
          <w:snapToGrid w:val="0"/>
          <w:color w:val="FF0000"/>
          <w:kern w:val="0"/>
          <w:sz w:val="24"/>
          <w:highlight w:val="none"/>
          <w:lang w:val="en-US" w:eastAsia="zh-CN"/>
        </w:rPr>
        <w:t>5.4-3</w:t>
      </w:r>
      <w:r>
        <w:rPr>
          <w:rFonts w:hint="eastAsia" w:ascii="Times New Roman" w:hAnsi="Times New Roman" w:cs="Times New Roman"/>
          <w:b/>
          <w:bCs/>
          <w:snapToGrid w:val="0"/>
          <w:color w:val="FF0000"/>
          <w:kern w:val="0"/>
          <w:sz w:val="24"/>
          <w:highlight w:val="none"/>
          <w:lang w:val="en-US" w:eastAsia="zh-CN"/>
        </w:rPr>
        <w:t xml:space="preserve">    建设项目</w:t>
      </w:r>
      <w:r>
        <w:rPr>
          <w:rFonts w:hint="default" w:ascii="Times New Roman" w:hAnsi="Times New Roman" w:cs="Times New Roman"/>
          <w:b/>
          <w:bCs/>
          <w:snapToGrid w:val="0"/>
          <w:color w:val="FF0000"/>
          <w:kern w:val="0"/>
          <w:sz w:val="24"/>
          <w:highlight w:val="none"/>
          <w:lang w:eastAsia="zh-CN"/>
        </w:rPr>
        <w:t>声环境影响评价自查表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76"/>
        <w:gridCol w:w="1529"/>
        <w:gridCol w:w="1032"/>
        <w:gridCol w:w="575"/>
        <w:gridCol w:w="576"/>
        <w:gridCol w:w="79"/>
        <w:gridCol w:w="378"/>
        <w:gridCol w:w="694"/>
        <w:gridCol w:w="1151"/>
        <w:gridCol w:w="39"/>
        <w:gridCol w:w="536"/>
        <w:gridCol w:w="576"/>
        <w:gridCol w:w="11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5" w:type="dxa"/>
            <w:gridSpan w:val="2"/>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工作内容</w:t>
            </w:r>
          </w:p>
        </w:tc>
        <w:tc>
          <w:tcPr>
            <w:tcW w:w="6788" w:type="dxa"/>
            <w:gridSpan w:val="11"/>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Merge w:val="restart"/>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评价等级与范围</w:t>
            </w: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评价等级</w:t>
            </w:r>
          </w:p>
        </w:tc>
        <w:tc>
          <w:tcPr>
            <w:tcW w:w="6788" w:type="dxa"/>
            <w:gridSpan w:val="11"/>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eastAsia="zh-CN"/>
              </w:rPr>
              <w:t>一级</w:t>
            </w:r>
            <w:r>
              <w:rPr>
                <w:rFonts w:hint="eastAsia"/>
                <w:color w:val="FF0000"/>
                <w:sz w:val="21"/>
                <w:szCs w:val="21"/>
                <w:highlight w:val="none"/>
                <w:vertAlign w:val="baseline"/>
                <w:lang w:val="en-US" w:eastAsia="zh-CN"/>
              </w:rPr>
              <w:t xml:space="preserve">  </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二级 </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val="en-US" w:eastAsia="zh-CN"/>
              </w:rPr>
              <w:t xml:space="preserve">                 三级 </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Merge w:val="continue"/>
            <w:tcBorders>
              <w:tl2br w:val="nil"/>
              <w:tr2bl w:val="nil"/>
            </w:tcBorders>
            <w:vAlign w:val="center"/>
          </w:tcPr>
          <w:p>
            <w:pPr>
              <w:pStyle w:val="2"/>
              <w:jc w:val="center"/>
              <w:rPr>
                <w:rFonts w:hint="eastAsia"/>
                <w:color w:val="FF0000"/>
                <w:sz w:val="21"/>
                <w:szCs w:val="21"/>
                <w:highlight w:val="none"/>
                <w:vertAlign w:val="baseline"/>
                <w:lang w:eastAsia="zh-CN"/>
              </w:rPr>
            </w:pP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评价范围</w:t>
            </w:r>
          </w:p>
        </w:tc>
        <w:tc>
          <w:tcPr>
            <w:tcW w:w="6788" w:type="dxa"/>
            <w:gridSpan w:val="11"/>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val="en-US" w:eastAsia="zh-CN"/>
              </w:rPr>
              <w:t>200m</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大于200m</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小于200m</w:t>
            </w:r>
            <w:r>
              <w:rPr>
                <w:rFonts w:hint="eastAsia"/>
                <w:color w:val="FF0000"/>
                <w:sz w:val="21"/>
                <w:szCs w:val="21"/>
                <w:highlight w:val="none"/>
                <w:vertAlign w:val="baseline"/>
                <w:lang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976"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评价因子</w:t>
            </w: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评价因子</w:t>
            </w:r>
          </w:p>
        </w:tc>
        <w:tc>
          <w:tcPr>
            <w:tcW w:w="6788" w:type="dxa"/>
            <w:gridSpan w:val="11"/>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eastAsia="zh-CN"/>
              </w:rPr>
              <w:t>等效连续</w:t>
            </w:r>
            <w:r>
              <w:rPr>
                <w:rFonts w:hint="eastAsia"/>
                <w:color w:val="FF0000"/>
                <w:sz w:val="21"/>
                <w:szCs w:val="21"/>
                <w:highlight w:val="none"/>
                <w:vertAlign w:val="baseline"/>
                <w:lang w:val="en-US" w:eastAsia="zh-CN"/>
              </w:rPr>
              <w:t>A声级</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val="en-US" w:eastAsia="zh-CN"/>
              </w:rPr>
              <w:t xml:space="preserve">     最大A声级</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计权等效连续感觉噪声级</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评价标准</w:t>
            </w: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评价标准</w:t>
            </w:r>
          </w:p>
        </w:tc>
        <w:tc>
          <w:tcPr>
            <w:tcW w:w="6788" w:type="dxa"/>
            <w:gridSpan w:val="11"/>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eastAsia="zh-CN"/>
              </w:rPr>
              <w:t>国家标准</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val="en-US" w:eastAsia="zh-CN"/>
              </w:rPr>
              <w:t xml:space="preserve">       地方标准</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国外标准</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Merge w:val="restart"/>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现状评价</w:t>
            </w: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环境功能区</w:t>
            </w:r>
          </w:p>
        </w:tc>
        <w:tc>
          <w:tcPr>
            <w:tcW w:w="1032" w:type="dxa"/>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val="en-US" w:eastAsia="zh-CN"/>
              </w:rPr>
              <w:t>0类区</w:t>
            </w:r>
            <w:r>
              <w:rPr>
                <w:rFonts w:hint="eastAsia"/>
                <w:color w:val="FF0000"/>
                <w:sz w:val="21"/>
                <w:szCs w:val="21"/>
                <w:highlight w:val="none"/>
                <w:vertAlign w:val="baseline"/>
                <w:lang w:eastAsia="zh-CN"/>
              </w:rPr>
              <w:sym w:font="Wingdings" w:char="00A8"/>
            </w:r>
          </w:p>
        </w:tc>
        <w:tc>
          <w:tcPr>
            <w:tcW w:w="1151" w:type="dxa"/>
            <w:gridSpan w:val="2"/>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val="en-US" w:eastAsia="zh-CN"/>
              </w:rPr>
              <w:t>1类区</w:t>
            </w:r>
            <w:r>
              <w:rPr>
                <w:rFonts w:hint="eastAsia"/>
                <w:color w:val="FF0000"/>
                <w:sz w:val="21"/>
                <w:szCs w:val="21"/>
                <w:highlight w:val="none"/>
                <w:vertAlign w:val="baseline"/>
                <w:lang w:eastAsia="zh-CN"/>
              </w:rPr>
              <w:sym w:font="Wingdings" w:char="00A8"/>
            </w:r>
          </w:p>
        </w:tc>
        <w:tc>
          <w:tcPr>
            <w:tcW w:w="1151" w:type="dxa"/>
            <w:gridSpan w:val="3"/>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val="en-US" w:eastAsia="zh-CN"/>
              </w:rPr>
              <w:t>2类区</w:t>
            </w:r>
            <w:r>
              <w:rPr>
                <w:rFonts w:hint="eastAsia"/>
                <w:color w:val="FF0000"/>
                <w:sz w:val="21"/>
                <w:szCs w:val="21"/>
                <w:highlight w:val="none"/>
                <w:vertAlign w:val="baseline"/>
                <w:lang w:eastAsia="zh-CN"/>
              </w:rPr>
              <w:sym w:font="Wingdings" w:char="00FE"/>
            </w:r>
          </w:p>
        </w:tc>
        <w:tc>
          <w:tcPr>
            <w:tcW w:w="1151" w:type="dxa"/>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val="en-US" w:eastAsia="zh-CN"/>
              </w:rPr>
              <w:t>3类区</w:t>
            </w:r>
            <w:r>
              <w:rPr>
                <w:rFonts w:hint="eastAsia"/>
                <w:color w:val="FF0000"/>
                <w:sz w:val="21"/>
                <w:szCs w:val="21"/>
                <w:highlight w:val="none"/>
                <w:vertAlign w:val="baseline"/>
                <w:lang w:eastAsia="zh-CN"/>
              </w:rPr>
              <w:sym w:font="Wingdings" w:char="00A8"/>
            </w:r>
          </w:p>
        </w:tc>
        <w:tc>
          <w:tcPr>
            <w:tcW w:w="1151" w:type="dxa"/>
            <w:gridSpan w:val="3"/>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val="en-US" w:eastAsia="zh-CN"/>
              </w:rPr>
              <w:t>4a类区</w:t>
            </w:r>
            <w:r>
              <w:rPr>
                <w:rFonts w:hint="eastAsia"/>
                <w:color w:val="FF0000"/>
                <w:sz w:val="21"/>
                <w:szCs w:val="21"/>
                <w:highlight w:val="none"/>
                <w:vertAlign w:val="baseline"/>
                <w:lang w:eastAsia="zh-CN"/>
              </w:rPr>
              <w:sym w:font="Wingdings" w:char="00A8"/>
            </w:r>
          </w:p>
        </w:tc>
        <w:tc>
          <w:tcPr>
            <w:tcW w:w="1152" w:type="dxa"/>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val="en-US" w:eastAsia="zh-CN"/>
              </w:rPr>
              <w:t>4b类区</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Merge w:val="continue"/>
            <w:tcBorders>
              <w:tl2br w:val="nil"/>
              <w:tr2bl w:val="nil"/>
            </w:tcBorders>
            <w:vAlign w:val="center"/>
          </w:tcPr>
          <w:p>
            <w:pPr>
              <w:pStyle w:val="2"/>
              <w:jc w:val="center"/>
              <w:rPr>
                <w:rFonts w:hint="eastAsia"/>
                <w:color w:val="FF0000"/>
                <w:sz w:val="21"/>
                <w:szCs w:val="21"/>
                <w:highlight w:val="none"/>
                <w:vertAlign w:val="baseline"/>
                <w:lang w:eastAsia="zh-CN"/>
              </w:rPr>
            </w:pP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评价年度</w:t>
            </w:r>
          </w:p>
        </w:tc>
        <w:tc>
          <w:tcPr>
            <w:tcW w:w="1607" w:type="dxa"/>
            <w:gridSpan w:val="2"/>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val="en-US" w:eastAsia="zh-CN"/>
              </w:rPr>
              <w:t>初期</w:t>
            </w:r>
            <w:r>
              <w:rPr>
                <w:rFonts w:hint="eastAsia"/>
                <w:color w:val="FF0000"/>
                <w:sz w:val="21"/>
                <w:szCs w:val="21"/>
                <w:highlight w:val="none"/>
                <w:vertAlign w:val="baseline"/>
                <w:lang w:eastAsia="zh-CN"/>
              </w:rPr>
              <w:sym w:font="Wingdings" w:char="00FE"/>
            </w:r>
          </w:p>
        </w:tc>
        <w:tc>
          <w:tcPr>
            <w:tcW w:w="1727" w:type="dxa"/>
            <w:gridSpan w:val="4"/>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近期</w:t>
            </w:r>
            <w:r>
              <w:rPr>
                <w:rFonts w:hint="eastAsia"/>
                <w:color w:val="FF0000"/>
                <w:sz w:val="21"/>
                <w:szCs w:val="21"/>
                <w:highlight w:val="none"/>
                <w:vertAlign w:val="baseline"/>
                <w:lang w:eastAsia="zh-CN"/>
              </w:rPr>
              <w:sym w:font="Wingdings" w:char="00A8"/>
            </w:r>
          </w:p>
        </w:tc>
        <w:tc>
          <w:tcPr>
            <w:tcW w:w="1726" w:type="dxa"/>
            <w:gridSpan w:val="3"/>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中期</w:t>
            </w:r>
            <w:r>
              <w:rPr>
                <w:rFonts w:hint="eastAsia"/>
                <w:color w:val="FF0000"/>
                <w:sz w:val="21"/>
                <w:szCs w:val="21"/>
                <w:highlight w:val="none"/>
                <w:vertAlign w:val="baseline"/>
                <w:lang w:eastAsia="zh-CN"/>
              </w:rPr>
              <w:sym w:font="Wingdings" w:char="00A8"/>
            </w:r>
          </w:p>
        </w:tc>
        <w:tc>
          <w:tcPr>
            <w:tcW w:w="1728" w:type="dxa"/>
            <w:gridSpan w:val="2"/>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远期</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976" w:type="dxa"/>
            <w:vMerge w:val="continue"/>
            <w:tcBorders>
              <w:tl2br w:val="nil"/>
              <w:tr2bl w:val="nil"/>
            </w:tcBorders>
            <w:vAlign w:val="center"/>
          </w:tcPr>
          <w:p>
            <w:pPr>
              <w:pStyle w:val="2"/>
              <w:jc w:val="center"/>
              <w:rPr>
                <w:rFonts w:hint="eastAsia"/>
                <w:color w:val="FF0000"/>
                <w:sz w:val="21"/>
                <w:szCs w:val="21"/>
                <w:highlight w:val="none"/>
                <w:vertAlign w:val="baseline"/>
                <w:lang w:eastAsia="zh-CN"/>
              </w:rPr>
            </w:pP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现状调查方法</w:t>
            </w:r>
          </w:p>
        </w:tc>
        <w:tc>
          <w:tcPr>
            <w:tcW w:w="6788" w:type="dxa"/>
            <w:gridSpan w:val="11"/>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eastAsia="zh-CN"/>
              </w:rPr>
              <w:t>现场实测法</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现场实测加模型计算法</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val="en-US" w:eastAsia="zh-CN"/>
              </w:rPr>
              <w:t xml:space="preserve">   收集资料</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Merge w:val="continue"/>
            <w:tcBorders>
              <w:tl2br w:val="nil"/>
              <w:tr2bl w:val="nil"/>
            </w:tcBorders>
            <w:vAlign w:val="center"/>
          </w:tcPr>
          <w:p>
            <w:pPr>
              <w:pStyle w:val="2"/>
              <w:jc w:val="center"/>
              <w:rPr>
                <w:rFonts w:hint="eastAsia"/>
                <w:color w:val="FF0000"/>
                <w:sz w:val="21"/>
                <w:szCs w:val="21"/>
                <w:highlight w:val="none"/>
                <w:vertAlign w:val="baseline"/>
                <w:lang w:eastAsia="zh-CN"/>
              </w:rPr>
            </w:pP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现状评价</w:t>
            </w:r>
          </w:p>
        </w:tc>
        <w:tc>
          <w:tcPr>
            <w:tcW w:w="2640" w:type="dxa"/>
            <w:gridSpan w:val="5"/>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达标百分比</w:t>
            </w:r>
          </w:p>
        </w:tc>
        <w:tc>
          <w:tcPr>
            <w:tcW w:w="4148" w:type="dxa"/>
            <w:gridSpan w:val="6"/>
            <w:tcBorders>
              <w:tl2br w:val="nil"/>
              <w:tr2bl w:val="nil"/>
            </w:tcBorders>
            <w:vAlign w:val="center"/>
          </w:tcPr>
          <w:p>
            <w:pPr>
              <w:pStyle w:val="2"/>
              <w:jc w:val="center"/>
              <w:rPr>
                <w:rFonts w:hint="eastAsia"/>
                <w:color w:val="FF0000"/>
                <w:sz w:val="21"/>
                <w:szCs w:val="21"/>
                <w:highlight w:val="none"/>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噪声源调查</w:t>
            </w: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噪声源调查方法</w:t>
            </w:r>
          </w:p>
        </w:tc>
        <w:tc>
          <w:tcPr>
            <w:tcW w:w="6788" w:type="dxa"/>
            <w:gridSpan w:val="11"/>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eastAsia="zh-CN"/>
              </w:rPr>
              <w:t>现场实测</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val="en-US" w:eastAsia="zh-CN"/>
              </w:rPr>
              <w:t xml:space="preserve">            已有资料 </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研究成果</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Merge w:val="restart"/>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声环境影响预测与评价</w:t>
            </w: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预测模型</w:t>
            </w:r>
          </w:p>
        </w:tc>
        <w:tc>
          <w:tcPr>
            <w:tcW w:w="6788" w:type="dxa"/>
            <w:gridSpan w:val="11"/>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eastAsia="zh-CN"/>
              </w:rPr>
              <w:t>导则推荐模型</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val="en-US" w:eastAsia="zh-CN"/>
              </w:rPr>
              <w:t xml:space="preserve">     其他</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976" w:type="dxa"/>
            <w:vMerge w:val="continue"/>
            <w:tcBorders>
              <w:tl2br w:val="nil"/>
              <w:tr2bl w:val="nil"/>
            </w:tcBorders>
            <w:vAlign w:val="center"/>
          </w:tcPr>
          <w:p>
            <w:pPr>
              <w:pStyle w:val="2"/>
              <w:jc w:val="center"/>
              <w:rPr>
                <w:rFonts w:hint="eastAsia"/>
                <w:color w:val="FF0000"/>
                <w:sz w:val="21"/>
                <w:szCs w:val="21"/>
                <w:highlight w:val="none"/>
                <w:vertAlign w:val="baseline"/>
                <w:lang w:eastAsia="zh-CN"/>
              </w:rPr>
            </w:pP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预测范围</w:t>
            </w:r>
          </w:p>
        </w:tc>
        <w:tc>
          <w:tcPr>
            <w:tcW w:w="6788" w:type="dxa"/>
            <w:gridSpan w:val="11"/>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val="en-US" w:eastAsia="zh-CN"/>
              </w:rPr>
              <w:t>200m</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大于200m</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小于200m</w:t>
            </w:r>
            <w:r>
              <w:rPr>
                <w:rFonts w:hint="eastAsia"/>
                <w:color w:val="FF0000"/>
                <w:sz w:val="21"/>
                <w:szCs w:val="21"/>
                <w:highlight w:val="none"/>
                <w:vertAlign w:val="baseline"/>
                <w:lang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Merge w:val="continue"/>
            <w:tcBorders>
              <w:tl2br w:val="nil"/>
              <w:tr2bl w:val="nil"/>
            </w:tcBorders>
            <w:vAlign w:val="center"/>
          </w:tcPr>
          <w:p>
            <w:pPr>
              <w:pStyle w:val="2"/>
              <w:jc w:val="center"/>
              <w:rPr>
                <w:rFonts w:hint="eastAsia"/>
                <w:color w:val="FF0000"/>
                <w:sz w:val="21"/>
                <w:szCs w:val="21"/>
                <w:highlight w:val="none"/>
                <w:vertAlign w:val="baseline"/>
                <w:lang w:eastAsia="zh-CN"/>
              </w:rPr>
            </w:pP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预测因子</w:t>
            </w:r>
          </w:p>
        </w:tc>
        <w:tc>
          <w:tcPr>
            <w:tcW w:w="6788" w:type="dxa"/>
            <w:gridSpan w:val="11"/>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等效连续</w:t>
            </w:r>
            <w:r>
              <w:rPr>
                <w:rFonts w:hint="eastAsia"/>
                <w:color w:val="FF0000"/>
                <w:sz w:val="21"/>
                <w:szCs w:val="21"/>
                <w:highlight w:val="none"/>
                <w:vertAlign w:val="baseline"/>
                <w:lang w:val="en-US" w:eastAsia="zh-CN"/>
              </w:rPr>
              <w:t>A声级</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val="en-US" w:eastAsia="zh-CN"/>
              </w:rPr>
              <w:t xml:space="preserve">     最大A声级 </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计权等效连续感觉噪声级</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Merge w:val="continue"/>
            <w:tcBorders>
              <w:tl2br w:val="nil"/>
              <w:tr2bl w:val="nil"/>
            </w:tcBorders>
            <w:vAlign w:val="center"/>
          </w:tcPr>
          <w:p>
            <w:pPr>
              <w:pStyle w:val="2"/>
              <w:jc w:val="center"/>
              <w:rPr>
                <w:rFonts w:hint="eastAsia"/>
                <w:color w:val="FF0000"/>
                <w:sz w:val="21"/>
                <w:szCs w:val="21"/>
                <w:highlight w:val="none"/>
                <w:vertAlign w:val="baseline"/>
                <w:lang w:eastAsia="zh-CN"/>
              </w:rPr>
            </w:pP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厂界噪声贡献值</w:t>
            </w:r>
          </w:p>
        </w:tc>
        <w:tc>
          <w:tcPr>
            <w:tcW w:w="6788" w:type="dxa"/>
            <w:gridSpan w:val="11"/>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eastAsia="zh-CN"/>
              </w:rPr>
              <w:t>达标</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val="en-US" w:eastAsia="zh-CN"/>
              </w:rPr>
              <w:t xml:space="preserve">                       不达标</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Merge w:val="continue"/>
            <w:tcBorders>
              <w:tl2br w:val="nil"/>
              <w:tr2bl w:val="nil"/>
            </w:tcBorders>
            <w:vAlign w:val="center"/>
          </w:tcPr>
          <w:p>
            <w:pPr>
              <w:pStyle w:val="2"/>
              <w:jc w:val="center"/>
              <w:rPr>
                <w:rFonts w:hint="eastAsia"/>
                <w:color w:val="FF0000"/>
                <w:sz w:val="21"/>
                <w:szCs w:val="21"/>
                <w:highlight w:val="none"/>
                <w:vertAlign w:val="baseline"/>
                <w:lang w:eastAsia="zh-CN"/>
              </w:rPr>
            </w:pP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声环境保护目标处噪声值</w:t>
            </w:r>
          </w:p>
        </w:tc>
        <w:tc>
          <w:tcPr>
            <w:tcW w:w="6788" w:type="dxa"/>
            <w:gridSpan w:val="11"/>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达标</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val="en-US" w:eastAsia="zh-CN"/>
              </w:rPr>
              <w:t xml:space="preserve">                       不达标</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976" w:type="dxa"/>
            <w:vMerge w:val="restart"/>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环境监测计划</w:t>
            </w: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排放监测</w:t>
            </w:r>
          </w:p>
        </w:tc>
        <w:tc>
          <w:tcPr>
            <w:tcW w:w="6788" w:type="dxa"/>
            <w:gridSpan w:val="11"/>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eastAsia="zh-CN"/>
              </w:rPr>
              <w:t>厂界监测</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val="en-US" w:eastAsia="zh-CN"/>
              </w:rPr>
              <w:t xml:space="preserve">   固定位置监测 </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自动监测</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手动监测</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无检测</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vMerge w:val="continue"/>
            <w:tcBorders>
              <w:tl2br w:val="nil"/>
              <w:tr2bl w:val="nil"/>
            </w:tcBorders>
            <w:vAlign w:val="center"/>
          </w:tcPr>
          <w:p>
            <w:pPr>
              <w:pStyle w:val="2"/>
              <w:jc w:val="center"/>
              <w:rPr>
                <w:rFonts w:hint="eastAsia"/>
                <w:color w:val="FF0000"/>
                <w:sz w:val="21"/>
                <w:szCs w:val="21"/>
                <w:highlight w:val="none"/>
                <w:vertAlign w:val="baseline"/>
                <w:lang w:eastAsia="zh-CN"/>
              </w:rPr>
            </w:pP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声环境保护目标处噪声监测</w:t>
            </w:r>
          </w:p>
        </w:tc>
        <w:tc>
          <w:tcPr>
            <w:tcW w:w="2262" w:type="dxa"/>
            <w:gridSpan w:val="4"/>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监测因子：（噪声）</w:t>
            </w:r>
          </w:p>
        </w:tc>
        <w:tc>
          <w:tcPr>
            <w:tcW w:w="2262" w:type="dxa"/>
            <w:gridSpan w:val="4"/>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eastAsia="zh-CN"/>
              </w:rPr>
              <w:t>监测点位数</w:t>
            </w:r>
            <w:r>
              <w:rPr>
                <w:rFonts w:hint="eastAsia"/>
                <w:color w:val="FF0000"/>
                <w:sz w:val="21"/>
                <w:szCs w:val="21"/>
                <w:highlight w:val="none"/>
                <w:vertAlign w:val="baseline"/>
                <w:lang w:val="en-US" w:eastAsia="zh-CN"/>
              </w:rPr>
              <w:t>:</w:t>
            </w:r>
            <w:r>
              <w:rPr>
                <w:rFonts w:hint="eastAsia"/>
                <w:color w:val="FF0000"/>
                <w:sz w:val="21"/>
                <w:szCs w:val="21"/>
                <w:highlight w:val="none"/>
                <w:vertAlign w:val="baseline"/>
                <w:lang w:eastAsia="zh-CN"/>
              </w:rPr>
              <w:t>（</w:t>
            </w:r>
            <w:r>
              <w:rPr>
                <w:rFonts w:hint="eastAsia"/>
                <w:color w:val="FF0000"/>
                <w:sz w:val="21"/>
                <w:szCs w:val="21"/>
                <w:highlight w:val="none"/>
                <w:vertAlign w:val="baseline"/>
                <w:lang w:val="en-US" w:eastAsia="zh-CN"/>
              </w:rPr>
              <w:t>4</w:t>
            </w:r>
            <w:r>
              <w:rPr>
                <w:rFonts w:hint="eastAsia"/>
                <w:color w:val="FF0000"/>
                <w:sz w:val="21"/>
                <w:szCs w:val="21"/>
                <w:highlight w:val="none"/>
                <w:vertAlign w:val="baseline"/>
                <w:lang w:eastAsia="zh-CN"/>
              </w:rPr>
              <w:t>）</w:t>
            </w:r>
          </w:p>
        </w:tc>
        <w:tc>
          <w:tcPr>
            <w:tcW w:w="2264" w:type="dxa"/>
            <w:gridSpan w:val="3"/>
            <w:tcBorders>
              <w:tl2br w:val="nil"/>
              <w:tr2bl w:val="nil"/>
            </w:tcBorders>
            <w:vAlign w:val="center"/>
          </w:tcPr>
          <w:p>
            <w:pPr>
              <w:pStyle w:val="2"/>
              <w:jc w:val="both"/>
              <w:rPr>
                <w:rFonts w:hint="default"/>
                <w:color w:val="FF0000"/>
                <w:sz w:val="21"/>
                <w:szCs w:val="21"/>
                <w:highlight w:val="none"/>
                <w:vertAlign w:val="baseline"/>
                <w:lang w:val="en-US" w:eastAsia="zh-CN"/>
              </w:rPr>
            </w:pPr>
            <w:r>
              <w:rPr>
                <w:rFonts w:hint="eastAsia"/>
                <w:color w:val="FF0000"/>
                <w:sz w:val="21"/>
                <w:szCs w:val="21"/>
                <w:highlight w:val="none"/>
                <w:vertAlign w:val="baseline"/>
                <w:lang w:val="en-US" w:eastAsia="zh-CN"/>
              </w:rPr>
              <w:t>无监测</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6"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评价结论</w:t>
            </w:r>
          </w:p>
        </w:tc>
        <w:tc>
          <w:tcPr>
            <w:tcW w:w="1529" w:type="dxa"/>
            <w:tcBorders>
              <w:tl2br w:val="nil"/>
              <w:tr2bl w:val="nil"/>
            </w:tcBorders>
            <w:vAlign w:val="center"/>
          </w:tcPr>
          <w:p>
            <w:pPr>
              <w:pStyle w:val="2"/>
              <w:jc w:val="center"/>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环境影响</w:t>
            </w:r>
          </w:p>
        </w:tc>
        <w:tc>
          <w:tcPr>
            <w:tcW w:w="6788" w:type="dxa"/>
            <w:gridSpan w:val="11"/>
            <w:tcBorders>
              <w:tl2br w:val="nil"/>
              <w:tr2bl w:val="nil"/>
            </w:tcBorders>
            <w:vAlign w:val="center"/>
          </w:tcPr>
          <w:p>
            <w:pPr>
              <w:pStyle w:val="2"/>
              <w:jc w:val="center"/>
              <w:rPr>
                <w:rFonts w:hint="default"/>
                <w:color w:val="FF0000"/>
                <w:sz w:val="21"/>
                <w:szCs w:val="21"/>
                <w:highlight w:val="none"/>
                <w:vertAlign w:val="baseline"/>
                <w:lang w:val="en-US" w:eastAsia="zh-CN"/>
              </w:rPr>
            </w:pPr>
            <w:r>
              <w:rPr>
                <w:rFonts w:hint="eastAsia"/>
                <w:color w:val="FF0000"/>
                <w:sz w:val="21"/>
                <w:szCs w:val="21"/>
                <w:highlight w:val="none"/>
                <w:vertAlign w:val="baseline"/>
                <w:lang w:eastAsia="zh-CN"/>
              </w:rPr>
              <w:t>可行</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val="en-US" w:eastAsia="zh-CN"/>
              </w:rPr>
              <w:t xml:space="preserve">                不可行 </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293" w:type="dxa"/>
            <w:gridSpan w:val="13"/>
            <w:tcBorders>
              <w:tl2br w:val="nil"/>
              <w:tr2bl w:val="nil"/>
            </w:tcBorders>
            <w:vAlign w:val="center"/>
          </w:tcPr>
          <w:p>
            <w:pPr>
              <w:pStyle w:val="2"/>
              <w:jc w:val="left"/>
              <w:rPr>
                <w:rFonts w:hint="eastAsia"/>
                <w:color w:val="FF0000"/>
                <w:sz w:val="21"/>
                <w:szCs w:val="21"/>
                <w:highlight w:val="none"/>
                <w:vertAlign w:val="baseline"/>
                <w:lang w:eastAsia="zh-CN"/>
              </w:rPr>
            </w:pPr>
            <w:r>
              <w:rPr>
                <w:rFonts w:hint="eastAsia"/>
                <w:color w:val="FF0000"/>
                <w:sz w:val="21"/>
                <w:szCs w:val="21"/>
                <w:highlight w:val="none"/>
                <w:vertAlign w:val="baseline"/>
                <w:lang w:eastAsia="zh-CN"/>
              </w:rPr>
              <w:t>注：“</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eastAsia="zh-CN"/>
              </w:rPr>
              <w:t>”为勾选项，可√：“（）”为内容填写项。</w:t>
            </w:r>
          </w:p>
        </w:tc>
      </w:tr>
    </w:tbl>
    <w:p>
      <w:pPr>
        <w:pStyle w:val="2"/>
        <w:jc w:val="center"/>
        <w:rPr>
          <w:rFonts w:hint="eastAsia"/>
          <w:highlight w:val="yellow"/>
          <w:lang w:eastAsia="zh-CN"/>
        </w:rPr>
      </w:pPr>
    </w:p>
    <w:p>
      <w:pPr>
        <w:pStyle w:val="51"/>
        <w:keepNext/>
        <w:keepLines/>
        <w:pageBreakBefore w:val="0"/>
        <w:widowControl w:val="0"/>
        <w:kinsoku/>
        <w:wordWrap/>
        <w:overflowPunct/>
        <w:topLinePunct w:val="0"/>
        <w:autoSpaceDE/>
        <w:autoSpaceDN/>
        <w:bidi w:val="0"/>
        <w:adjustRightInd/>
        <w:snapToGrid w:val="0"/>
        <w:spacing w:before="0" w:beforeLines="0" w:after="0" w:afterLines="0" w:line="540" w:lineRule="exact"/>
        <w:contextualSpacing/>
        <w:textAlignment w:val="auto"/>
        <w:rPr>
          <w:rFonts w:cs="Times New Roman"/>
          <w:bCs w:val="0"/>
          <w:snapToGrid w:val="0"/>
          <w:kern w:val="0"/>
        </w:rPr>
      </w:pPr>
      <w:bookmarkStart w:id="702" w:name="_Toc30158"/>
      <w:bookmarkStart w:id="703" w:name="_Toc7534"/>
      <w:bookmarkStart w:id="704" w:name="_Toc19108"/>
      <w:bookmarkStart w:id="705" w:name="_Toc23986"/>
      <w:bookmarkStart w:id="706" w:name="_Toc14163"/>
      <w:r>
        <w:rPr>
          <w:rFonts w:cs="Times New Roman"/>
          <w:bCs w:val="0"/>
          <w:snapToGrid w:val="0"/>
          <w:kern w:val="0"/>
          <w:sz w:val="30"/>
          <w:szCs w:val="30"/>
        </w:rPr>
        <w:t>5.5固体废物影响分析</w:t>
      </w:r>
      <w:bookmarkEnd w:id="702"/>
      <w:bookmarkEnd w:id="703"/>
      <w:bookmarkEnd w:id="704"/>
      <w:bookmarkEnd w:id="705"/>
      <w:bookmarkEnd w:id="706"/>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本项目运营后，固体废物主要有牛粪、病死牛尸体</w:t>
      </w:r>
      <w:r>
        <w:rPr>
          <w:rFonts w:hint="eastAsia" w:ascii="Times New Roman" w:hAnsi="Times New Roman"/>
          <w:sz w:val="24"/>
          <w:lang w:eastAsia="zh-CN"/>
        </w:rPr>
        <w:t>及胎盘</w:t>
      </w:r>
      <w:r>
        <w:rPr>
          <w:rFonts w:ascii="Times New Roman" w:hAnsi="Times New Roman"/>
          <w:sz w:val="24"/>
        </w:rPr>
        <w:t>、兽医站少量医疗废物、除尘器收尘粉及生活垃圾。</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⑴牛粪便</w:t>
      </w:r>
    </w:p>
    <w:p>
      <w:pPr>
        <w:adjustRightInd w:val="0"/>
        <w:snapToGrid w:val="0"/>
        <w:spacing w:line="540" w:lineRule="exact"/>
        <w:ind w:firstLine="480" w:firstLineChars="200"/>
        <w:rPr>
          <w:rFonts w:ascii="Times New Roman" w:hAnsi="Times New Roman"/>
          <w:sz w:val="24"/>
          <w:szCs w:val="22"/>
        </w:rPr>
      </w:pPr>
      <w:r>
        <w:rPr>
          <w:rFonts w:ascii="Times New Roman" w:hAnsi="Times New Roman"/>
          <w:sz w:val="24"/>
        </w:rPr>
        <w:t>本项目采取干法清粪工艺，根据《排污许可证申请与核发技术规范畜禽养殖行业》各类污染物产生量中</w:t>
      </w:r>
      <w:r>
        <w:rPr>
          <w:rFonts w:hint="eastAsia" w:ascii="Times New Roman" w:hAnsi="Times New Roman"/>
          <w:sz w:val="24"/>
        </w:rPr>
        <w:t>肉牛</w:t>
      </w:r>
      <w:r>
        <w:rPr>
          <w:rFonts w:ascii="Times New Roman" w:hAnsi="Times New Roman"/>
          <w:sz w:val="24"/>
        </w:rPr>
        <w:t>，牛粪</w:t>
      </w:r>
      <w:r>
        <w:rPr>
          <w:rFonts w:hint="eastAsia" w:ascii="Times New Roman" w:hAnsi="Times New Roman"/>
          <w:sz w:val="24"/>
        </w:rPr>
        <w:t>量</w:t>
      </w:r>
      <w:r>
        <w:rPr>
          <w:rFonts w:ascii="Times New Roman" w:hAnsi="Times New Roman"/>
          <w:sz w:val="24"/>
        </w:rPr>
        <w:t>为</w:t>
      </w:r>
      <w:r>
        <w:rPr>
          <w:rFonts w:hint="eastAsia" w:ascii="Times New Roman" w:hAnsi="Times New Roman"/>
          <w:sz w:val="24"/>
        </w:rPr>
        <w:t>10.88</w:t>
      </w:r>
      <w:r>
        <w:rPr>
          <w:rFonts w:ascii="Times New Roman" w:hAnsi="Times New Roman"/>
          <w:sz w:val="24"/>
        </w:rPr>
        <w:t>kg/头·d。本项目牛粪总产生量约为</w:t>
      </w:r>
      <w:r>
        <w:rPr>
          <w:rFonts w:hint="eastAsia" w:ascii="Times New Roman" w:hAnsi="Times New Roman"/>
          <w:sz w:val="24"/>
        </w:rPr>
        <w:t>3971.2t/a</w:t>
      </w:r>
      <w:r>
        <w:rPr>
          <w:rFonts w:ascii="Times New Roman" w:hAnsi="Times New Roman"/>
          <w:sz w:val="24"/>
        </w:rPr>
        <w:t>。项目饲喂棚每天产生的粪便及时清出，清理的牛粪存放于</w:t>
      </w:r>
      <w:r>
        <w:rPr>
          <w:rFonts w:hint="eastAsia" w:ascii="Times New Roman" w:hAnsi="Times New Roman"/>
          <w:sz w:val="24"/>
        </w:rPr>
        <w:t>积粪场</w:t>
      </w:r>
      <w:r>
        <w:rPr>
          <w:rFonts w:ascii="Times New Roman" w:hAnsi="Times New Roman"/>
          <w:sz w:val="24"/>
        </w:rPr>
        <w:t>，</w:t>
      </w:r>
      <w:r>
        <w:rPr>
          <w:rFonts w:hint="eastAsia" w:ascii="Times New Roman" w:hAnsi="Times New Roman"/>
          <w:sz w:val="24"/>
          <w:lang w:eastAsia="zh-CN"/>
        </w:rPr>
        <w:t>定期由</w:t>
      </w:r>
      <w:r>
        <w:rPr>
          <w:rFonts w:hint="eastAsia" w:ascii="Times New Roman" w:hAnsi="Times New Roman"/>
          <w:bCs/>
          <w:sz w:val="24"/>
          <w:highlight w:val="none"/>
          <w:lang w:eastAsia="zh-CN"/>
        </w:rPr>
        <w:t>隆德县腾发牧草专业合作社运走进行处理</w:t>
      </w:r>
      <w:r>
        <w:rPr>
          <w:rFonts w:ascii="Times New Roman" w:hAnsi="Times New Roman"/>
          <w:sz w:val="24"/>
          <w:szCs w:val="22"/>
        </w:rPr>
        <w:t>。</w:t>
      </w:r>
    </w:p>
    <w:p>
      <w:pPr>
        <w:adjustRightInd w:val="0"/>
        <w:snapToGrid w:val="0"/>
        <w:spacing w:line="540" w:lineRule="exact"/>
        <w:ind w:firstLine="480" w:firstLineChars="200"/>
        <w:rPr>
          <w:rFonts w:hint="eastAsia" w:ascii="Times New Roman" w:hAnsi="Times New Roman" w:eastAsia="宋体"/>
          <w:sz w:val="24"/>
          <w:lang w:eastAsia="zh-CN"/>
        </w:rPr>
      </w:pPr>
      <w:r>
        <w:rPr>
          <w:rFonts w:ascii="Times New Roman" w:hAnsi="Times New Roman"/>
          <w:sz w:val="24"/>
        </w:rPr>
        <w:t>⑵病死尸体</w:t>
      </w:r>
      <w:r>
        <w:rPr>
          <w:rFonts w:hint="eastAsia" w:ascii="Times New Roman" w:hAnsi="Times New Roman"/>
          <w:sz w:val="24"/>
          <w:lang w:eastAsia="zh-CN"/>
        </w:rPr>
        <w:t>及胎盘</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rPr>
        <w:t>本项目根据本地区同行业现已运行的</w:t>
      </w:r>
      <w:r>
        <w:rPr>
          <w:rFonts w:hint="eastAsia" w:ascii="Times New Roman" w:hAnsi="Times New Roman"/>
          <w:sz w:val="24"/>
          <w:lang w:eastAsia="zh-CN"/>
        </w:rPr>
        <w:t>基础母牛</w:t>
      </w:r>
      <w:r>
        <w:rPr>
          <w:rFonts w:ascii="Times New Roman" w:hAnsi="Times New Roman"/>
          <w:sz w:val="24"/>
        </w:rPr>
        <w:t>养殖场估算</w:t>
      </w:r>
      <w:r>
        <w:rPr>
          <w:rFonts w:hint="eastAsia" w:ascii="Times New Roman" w:hAnsi="Times New Roman"/>
          <w:sz w:val="24"/>
          <w:lang w:eastAsia="zh-CN"/>
        </w:rPr>
        <w:t>胎盘</w:t>
      </w:r>
      <w:r>
        <w:rPr>
          <w:rFonts w:ascii="Times New Roman" w:hAnsi="Times New Roman"/>
          <w:sz w:val="24"/>
        </w:rPr>
        <w:t>产生情况，</w:t>
      </w:r>
      <w:r>
        <w:rPr>
          <w:rFonts w:hint="eastAsia" w:ascii="Times New Roman" w:hAnsi="Times New Roman"/>
          <w:sz w:val="24"/>
          <w:lang w:eastAsia="zh-CN"/>
        </w:rPr>
        <w:t>胎盘产生量</w:t>
      </w:r>
      <w:r>
        <w:rPr>
          <w:rFonts w:hint="eastAsia" w:ascii="Times New Roman" w:hAnsi="Times New Roman"/>
          <w:sz w:val="24"/>
          <w:lang w:val="en-US" w:eastAsia="zh-CN"/>
        </w:rPr>
        <w:t>2t/a。</w:t>
      </w:r>
      <w:r>
        <w:rPr>
          <w:rFonts w:hint="eastAsia" w:ascii="Times New Roman" w:hAnsi="Times New Roman"/>
          <w:sz w:val="24"/>
        </w:rPr>
        <w:t>病死牛尸体由隆德县神林畜牧兽医站监督运送到隆德县定点无害化处理场所焚烧</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按照《国家危险废物名录》（环境保护部令39号），病死牛尸体属危险废物，危险废物类别为HW01医疗废物，废物代码900-001-01（为防治动物传染病而需要收集和处置的废物）。</w:t>
      </w:r>
    </w:p>
    <w:p>
      <w:pPr>
        <w:pStyle w:val="2"/>
        <w:adjustRightInd w:val="0"/>
        <w:spacing w:line="540" w:lineRule="exact"/>
        <w:ind w:left="420" w:leftChars="200"/>
        <w:jc w:val="both"/>
        <w:rPr>
          <w:rFonts w:ascii="Times New Roman" w:hAnsi="Times New Roman"/>
          <w:sz w:val="24"/>
          <w:szCs w:val="22"/>
        </w:rPr>
      </w:pPr>
      <w:r>
        <w:rPr>
          <w:rFonts w:ascii="Times New Roman" w:hAnsi="Times New Roman"/>
          <w:sz w:val="24"/>
        </w:rPr>
        <w:t>(</w:t>
      </w:r>
      <w:r>
        <w:rPr>
          <w:rFonts w:hint="eastAsia" w:ascii="Times New Roman" w:hAnsi="Times New Roman"/>
          <w:sz w:val="24"/>
        </w:rPr>
        <w:t>3</w:t>
      </w:r>
      <w:r>
        <w:rPr>
          <w:rFonts w:ascii="Times New Roman" w:hAnsi="Times New Roman"/>
          <w:sz w:val="24"/>
        </w:rPr>
        <w:t>)</w:t>
      </w:r>
      <w:r>
        <w:rPr>
          <w:rFonts w:ascii="Times New Roman" w:hAnsi="Times New Roman"/>
          <w:sz w:val="24"/>
          <w:szCs w:val="22"/>
        </w:rPr>
        <w:t>除尘灰</w:t>
      </w:r>
    </w:p>
    <w:p>
      <w:pPr>
        <w:pStyle w:val="2"/>
        <w:adjustRightInd w:val="0"/>
        <w:spacing w:line="540" w:lineRule="exact"/>
        <w:ind w:firstLine="480" w:firstLineChars="200"/>
        <w:jc w:val="both"/>
        <w:rPr>
          <w:rFonts w:ascii="Times New Roman" w:hAnsi="Times New Roman"/>
          <w:sz w:val="24"/>
        </w:rPr>
      </w:pPr>
      <w:r>
        <w:rPr>
          <w:rFonts w:ascii="Times New Roman" w:hAnsi="Times New Roman"/>
          <w:sz w:val="24"/>
          <w:szCs w:val="22"/>
        </w:rPr>
        <w:t>本项目玉米秸秆、苜蓿、稻草等饲草料在加工过程会产生一定量的粉尘，本项目</w:t>
      </w:r>
      <w:r>
        <w:rPr>
          <w:rFonts w:hint="eastAsia" w:ascii="Times New Roman" w:hAnsi="Times New Roman"/>
          <w:sz w:val="24"/>
          <w:szCs w:val="22"/>
          <w:lang w:eastAsia="zh-CN"/>
        </w:rPr>
        <w:t>设备自带除尘器</w:t>
      </w:r>
      <w:r>
        <w:rPr>
          <w:rFonts w:ascii="Times New Roman" w:hAnsi="Times New Roman"/>
          <w:sz w:val="24"/>
          <w:szCs w:val="22"/>
        </w:rPr>
        <w:t>（除尘效率为9</w:t>
      </w:r>
      <w:r>
        <w:rPr>
          <w:rFonts w:hint="eastAsia" w:ascii="Times New Roman" w:hAnsi="Times New Roman"/>
          <w:sz w:val="24"/>
          <w:szCs w:val="22"/>
        </w:rPr>
        <w:t>8</w:t>
      </w:r>
      <w:r>
        <w:rPr>
          <w:rFonts w:ascii="Times New Roman" w:hAnsi="Times New Roman"/>
          <w:sz w:val="24"/>
          <w:szCs w:val="22"/>
        </w:rPr>
        <w:t>%），除尘器收集下来的粉尘量为</w:t>
      </w:r>
      <w:r>
        <w:rPr>
          <w:rFonts w:hint="eastAsia" w:ascii="Times New Roman" w:hAnsi="Times New Roman"/>
          <w:sz w:val="24"/>
          <w:szCs w:val="22"/>
          <w:lang w:eastAsia="zh-CN"/>
        </w:rPr>
        <w:t>0.0</w:t>
      </w:r>
      <w:r>
        <w:rPr>
          <w:rFonts w:hint="eastAsia" w:ascii="Times New Roman" w:hAnsi="Times New Roman"/>
          <w:sz w:val="24"/>
          <w:szCs w:val="22"/>
          <w:lang w:val="en-US" w:eastAsia="zh-CN"/>
        </w:rPr>
        <w:t>749</w:t>
      </w:r>
      <w:r>
        <w:rPr>
          <w:rFonts w:ascii="Times New Roman" w:hAnsi="Times New Roman"/>
          <w:sz w:val="24"/>
          <w:szCs w:val="22"/>
        </w:rPr>
        <w:t>t/a，可全部重新混入原料中加工成饲料，综合利用。</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rPr>
        <w:t>4</w:t>
      </w:r>
      <w:r>
        <w:rPr>
          <w:rFonts w:ascii="Times New Roman" w:hAnsi="Times New Roman"/>
          <w:sz w:val="24"/>
        </w:rPr>
        <w:t>)医疗废物</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项目产生的医疗废物主要为废一次性注射器以及废弃的药品等，根据建设单位提供的资料及类比同类养殖场就诊规模，项目建成后，在防治</w:t>
      </w:r>
      <w:r>
        <w:rPr>
          <w:rFonts w:hint="eastAsia" w:ascii="Times New Roman" w:hAnsi="Times New Roman"/>
          <w:sz w:val="24"/>
        </w:rPr>
        <w:t>肉牛</w:t>
      </w:r>
      <w:r>
        <w:rPr>
          <w:rFonts w:ascii="Times New Roman" w:hAnsi="Times New Roman"/>
          <w:sz w:val="24"/>
        </w:rPr>
        <w:t>传染病医治过程中产生的医疗废物约为</w:t>
      </w:r>
      <w:r>
        <w:rPr>
          <w:rFonts w:hint="eastAsia" w:ascii="Times New Roman" w:hAnsi="Times New Roman"/>
          <w:sz w:val="24"/>
          <w:lang w:val="en-US" w:eastAsia="zh-CN"/>
        </w:rPr>
        <w:t>0.47</w:t>
      </w:r>
      <w:r>
        <w:rPr>
          <w:rFonts w:ascii="Times New Roman" w:hAnsi="Times New Roman"/>
          <w:sz w:val="24"/>
        </w:rPr>
        <w:t>t/a。这部分医疗废物属于《国家危险废物名录》（2016年8月1日实施，废物类别为HW01，废物代码为900-001-01）所规定的危险废物。医疗废物集中收集后委托有危废处理资质的单位集中处理。</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rPr>
        <w:t>5</w:t>
      </w:r>
      <w:r>
        <w:rPr>
          <w:rFonts w:ascii="Times New Roman" w:hAnsi="Times New Roman"/>
          <w:sz w:val="24"/>
        </w:rPr>
        <w:t>)生活垃圾</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本项目劳动定员</w:t>
      </w:r>
      <w:r>
        <w:rPr>
          <w:rFonts w:hint="eastAsia" w:ascii="Times New Roman" w:hAnsi="Times New Roman"/>
          <w:sz w:val="24"/>
        </w:rPr>
        <w:t>7</w:t>
      </w:r>
      <w:r>
        <w:rPr>
          <w:rFonts w:ascii="Times New Roman" w:hAnsi="Times New Roman"/>
          <w:sz w:val="24"/>
        </w:rPr>
        <w:t>人，人均生活垃圾产生量按照0.5kg/d计算，则生活垃圾的产生量为</w:t>
      </w:r>
      <w:r>
        <w:rPr>
          <w:rFonts w:hint="eastAsia" w:ascii="Times New Roman" w:hAnsi="Times New Roman"/>
          <w:sz w:val="24"/>
        </w:rPr>
        <w:t>1.278</w:t>
      </w:r>
      <w:r>
        <w:rPr>
          <w:rFonts w:ascii="Times New Roman" w:hAnsi="Times New Roman"/>
          <w:sz w:val="24"/>
        </w:rPr>
        <w:t>t/a，设垃圾收集设施，收集后送至生活垃圾填埋场处理。</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项目产生的危险废物必须按照《危险废物转移联单管理办法》的要求，定期送有资质的单位统一处理；所有纳入危险废物范畴的固体废物，均暂时贮存在企业场区建设的危废暂存间内，危废暂存间严格按照《危险废物贮存污染控制标准》(GB18597-2001)及2013年修改单中相关要求设置，具体如下：</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①在场区内分离出独立的贮存空间，设置危废暂存间，并对不同种类的危废之间建设隔离墙；拟建设1座</w:t>
      </w:r>
      <w:r>
        <w:rPr>
          <w:rFonts w:hint="eastAsia" w:ascii="Times New Roman" w:hAnsi="Times New Roman"/>
          <w:sz w:val="24"/>
        </w:rPr>
        <w:t>10</w:t>
      </w:r>
      <w:r>
        <w:rPr>
          <w:rFonts w:ascii="Times New Roman" w:hAnsi="Times New Roman"/>
          <w:sz w:val="24"/>
        </w:rPr>
        <w:t>m</w:t>
      </w:r>
      <w:r>
        <w:rPr>
          <w:rFonts w:ascii="Times New Roman" w:hAnsi="Times New Roman"/>
          <w:sz w:val="24"/>
          <w:vertAlign w:val="superscript"/>
        </w:rPr>
        <w:t>2</w:t>
      </w:r>
      <w:r>
        <w:rPr>
          <w:rFonts w:ascii="Times New Roman" w:hAnsi="Times New Roman"/>
          <w:sz w:val="24"/>
        </w:rPr>
        <w:t>大小的危险废物暂存间；</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②建设单位应将各种危险废物分类存放，并制作标记，用以区分。</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③各危险废物存放周期不得超过1年。</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④本项目产生的废物若有其他利用途径，收购废物的公司必须拥有处理处置相关废物的营运资质。</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⑤除基础相关防渗工作外，地面加铺防渗层，防渗层为2mm厚高密度聚乙烯，或至少2mm厚的其它人工材料，渗透系数≤10</w:t>
      </w:r>
      <w:r>
        <w:rPr>
          <w:rFonts w:ascii="Times New Roman" w:hAnsi="Times New Roman"/>
          <w:sz w:val="24"/>
          <w:vertAlign w:val="superscript"/>
        </w:rPr>
        <w:t>-10</w:t>
      </w:r>
      <w:r>
        <w:rPr>
          <w:rFonts w:ascii="Times New Roman" w:hAnsi="Times New Roman"/>
          <w:sz w:val="24"/>
        </w:rPr>
        <w:t>cm/s。</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采取上述措施后，危险废物收集、储存及处理方式符合危险废物管理要求，对环境影响较小。</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(7)小结</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根据《中华人民共和国固体废物污染环境防治法》规定，项目产生的固体废物，在其收集、储存、运输、处置各个环节中，按规定需要采取相应防治措施：</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GB3 \* MERGEFORMAT </w:instrText>
      </w:r>
      <w:r>
        <w:rPr>
          <w:rFonts w:ascii="Times New Roman" w:hAnsi="Times New Roman"/>
          <w:sz w:val="24"/>
        </w:rPr>
        <w:fldChar w:fldCharType="separate"/>
      </w:r>
      <w:r>
        <w:rPr>
          <w:rFonts w:ascii="Times New Roman" w:hAnsi="Times New Roman"/>
        </w:rPr>
        <w:t>①</w:t>
      </w:r>
      <w:r>
        <w:rPr>
          <w:rFonts w:ascii="Times New Roman" w:hAnsi="Times New Roman"/>
          <w:sz w:val="24"/>
        </w:rPr>
        <w:fldChar w:fldCharType="end"/>
      </w:r>
      <w:r>
        <w:rPr>
          <w:rFonts w:ascii="Times New Roman" w:hAnsi="Times New Roman"/>
          <w:sz w:val="24"/>
        </w:rPr>
        <w:t>生活垃圾及其他工业固体废弃物分别设置专门的存储设施和场所，存储场所要做好防渗、溢流措施，并应采取设置顶盖等防止降雨（水）的进入；</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GB3 \* MERGEFORMAT </w:instrText>
      </w:r>
      <w:r>
        <w:rPr>
          <w:rFonts w:ascii="Times New Roman" w:hAnsi="Times New Roman"/>
          <w:sz w:val="24"/>
        </w:rPr>
        <w:fldChar w:fldCharType="separate"/>
      </w:r>
      <w:r>
        <w:rPr>
          <w:rFonts w:ascii="Times New Roman" w:hAnsi="Times New Roman"/>
        </w:rPr>
        <w:t>②</w:t>
      </w:r>
      <w:r>
        <w:rPr>
          <w:rFonts w:ascii="Times New Roman" w:hAnsi="Times New Roman"/>
          <w:sz w:val="24"/>
        </w:rPr>
        <w:fldChar w:fldCharType="end"/>
      </w:r>
      <w:r>
        <w:rPr>
          <w:rFonts w:ascii="Times New Roman" w:hAnsi="Times New Roman"/>
          <w:sz w:val="24"/>
        </w:rPr>
        <w:t>收集、储存、运输、利用、处置固体废物的场所必须采取防扬散、防流失、防渗漏或者其他防治污染环境的措施；</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3 \* GB3 \* MERGEFORMAT </w:instrText>
      </w:r>
      <w:r>
        <w:rPr>
          <w:rFonts w:ascii="Times New Roman" w:hAnsi="Times New Roman"/>
          <w:sz w:val="24"/>
        </w:rPr>
        <w:fldChar w:fldCharType="separate"/>
      </w:r>
      <w:r>
        <w:rPr>
          <w:rFonts w:ascii="Times New Roman" w:hAnsi="Times New Roman"/>
        </w:rPr>
        <w:t>③</w:t>
      </w:r>
      <w:r>
        <w:rPr>
          <w:rFonts w:ascii="Times New Roman" w:hAnsi="Times New Roman"/>
          <w:sz w:val="24"/>
        </w:rPr>
        <w:fldChar w:fldCharType="end"/>
      </w:r>
      <w:r>
        <w:rPr>
          <w:rFonts w:ascii="Times New Roman" w:hAnsi="Times New Roman"/>
          <w:sz w:val="24"/>
        </w:rPr>
        <w:t>不得在运输过程中沿途丢弃、遗撒固体废物，避免沿途遗洒和飘散造成环境污染；</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4 \* GB3 \* MERGEFORMAT </w:instrText>
      </w:r>
      <w:r>
        <w:rPr>
          <w:rFonts w:ascii="Times New Roman" w:hAnsi="Times New Roman"/>
          <w:sz w:val="24"/>
        </w:rPr>
        <w:fldChar w:fldCharType="separate"/>
      </w:r>
      <w:r>
        <w:rPr>
          <w:rFonts w:ascii="Times New Roman" w:hAnsi="Times New Roman"/>
        </w:rPr>
        <w:t>④</w:t>
      </w:r>
      <w:r>
        <w:rPr>
          <w:rFonts w:ascii="Times New Roman" w:hAnsi="Times New Roman"/>
          <w:sz w:val="24"/>
        </w:rPr>
        <w:fldChar w:fldCharType="end"/>
      </w:r>
      <w:r>
        <w:rPr>
          <w:rFonts w:ascii="Times New Roman" w:hAnsi="Times New Roman"/>
          <w:sz w:val="24"/>
        </w:rPr>
        <w:t>禁止将危险</w:t>
      </w:r>
      <w:r>
        <w:rPr>
          <w:rFonts w:hint="eastAsia" w:ascii="Times New Roman" w:hAnsi="Times New Roman"/>
          <w:sz w:val="24"/>
          <w:lang w:eastAsia="zh-CN"/>
        </w:rPr>
        <w:t>固体废物</w:t>
      </w:r>
      <w:r>
        <w:rPr>
          <w:rFonts w:ascii="Times New Roman" w:hAnsi="Times New Roman"/>
          <w:sz w:val="24"/>
        </w:rPr>
        <w:t>与生活垃圾混合贮存。</w:t>
      </w:r>
    </w:p>
    <w:p>
      <w:pPr>
        <w:adjustRightInd w:val="0"/>
        <w:snapToGrid w:val="0"/>
        <w:spacing w:line="540" w:lineRule="exact"/>
        <w:ind w:firstLine="480" w:firstLineChars="200"/>
        <w:rPr>
          <w:rFonts w:ascii="Times New Roman" w:hAnsi="Times New Roman"/>
          <w:bCs/>
          <w:szCs w:val="21"/>
        </w:rPr>
      </w:pPr>
      <w:r>
        <w:rPr>
          <w:rFonts w:ascii="Times New Roman" w:hAnsi="Times New Roman"/>
          <w:sz w:val="24"/>
        </w:rPr>
        <w:t>本项目产生的固体废物包括：</w:t>
      </w:r>
      <w:r>
        <w:rPr>
          <w:rFonts w:ascii="Times New Roman" w:hAnsi="Times New Roman"/>
          <w:sz w:val="24"/>
          <w:szCs w:val="22"/>
        </w:rPr>
        <w:t>牛粪、病死牛尸体、除尘器除尘灰、兽医站少量医疗废物及生活垃圾</w:t>
      </w:r>
      <w:r>
        <w:rPr>
          <w:rFonts w:ascii="Times New Roman" w:hAnsi="Times New Roman"/>
          <w:sz w:val="24"/>
        </w:rPr>
        <w:t>等。固体废物防治措施见表5.</w:t>
      </w:r>
      <w:r>
        <w:rPr>
          <w:rFonts w:hint="eastAsia" w:ascii="Times New Roman" w:hAnsi="Times New Roman"/>
          <w:sz w:val="24"/>
        </w:rPr>
        <w:t>5-1</w:t>
      </w:r>
      <w:r>
        <w:rPr>
          <w:rFonts w:ascii="Times New Roman" w:hAnsi="Times New Roman"/>
          <w:sz w:val="24"/>
        </w:rPr>
        <w:t>。</w:t>
      </w:r>
    </w:p>
    <w:p>
      <w:pPr>
        <w:adjustRightInd w:val="0"/>
        <w:snapToGrid w:val="0"/>
        <w:jc w:val="center"/>
        <w:rPr>
          <w:rFonts w:ascii="Times New Roman" w:hAnsi="Times New Roman"/>
          <w:b/>
          <w:bCs/>
          <w:sz w:val="24"/>
        </w:rPr>
      </w:pPr>
    </w:p>
    <w:p>
      <w:pPr>
        <w:adjustRightInd w:val="0"/>
        <w:snapToGrid w:val="0"/>
        <w:jc w:val="center"/>
        <w:rPr>
          <w:rFonts w:ascii="Times New Roman" w:hAnsi="Times New Roman"/>
          <w:b/>
          <w:bCs/>
          <w:sz w:val="24"/>
        </w:rPr>
      </w:pPr>
    </w:p>
    <w:p>
      <w:pPr>
        <w:adjustRightInd w:val="0"/>
        <w:snapToGrid w:val="0"/>
        <w:jc w:val="center"/>
        <w:rPr>
          <w:rFonts w:ascii="Times New Roman" w:hAnsi="Times New Roman"/>
          <w:b/>
          <w:bCs/>
          <w:sz w:val="24"/>
        </w:rPr>
      </w:pPr>
    </w:p>
    <w:p>
      <w:pPr>
        <w:adjustRightInd w:val="0"/>
        <w:snapToGrid w:val="0"/>
        <w:jc w:val="center"/>
        <w:rPr>
          <w:rFonts w:ascii="Times New Roman" w:hAnsi="Times New Roman"/>
          <w:b/>
          <w:bCs/>
          <w:sz w:val="24"/>
        </w:rPr>
      </w:pPr>
    </w:p>
    <w:p>
      <w:pPr>
        <w:adjustRightInd w:val="0"/>
        <w:snapToGrid w:val="0"/>
        <w:jc w:val="center"/>
        <w:rPr>
          <w:rFonts w:ascii="Times New Roman" w:hAnsi="Times New Roman"/>
          <w:b/>
          <w:bCs/>
          <w:sz w:val="24"/>
        </w:rPr>
      </w:pPr>
    </w:p>
    <w:p>
      <w:pPr>
        <w:adjustRightInd w:val="0"/>
        <w:snapToGrid w:val="0"/>
        <w:jc w:val="center"/>
        <w:rPr>
          <w:rFonts w:ascii="Times New Roman" w:hAnsi="Times New Roman"/>
          <w:b/>
          <w:bCs/>
          <w:sz w:val="24"/>
        </w:rPr>
      </w:pPr>
      <w:r>
        <w:rPr>
          <w:rFonts w:ascii="Times New Roman" w:hAnsi="Times New Roman"/>
          <w:b/>
          <w:bCs/>
          <w:sz w:val="24"/>
        </w:rPr>
        <w:t>表5.</w:t>
      </w:r>
      <w:r>
        <w:rPr>
          <w:rFonts w:hint="eastAsia" w:ascii="Times New Roman" w:hAnsi="Times New Roman"/>
          <w:b/>
          <w:bCs/>
          <w:sz w:val="24"/>
        </w:rPr>
        <w:t>5-1</w:t>
      </w:r>
      <w:r>
        <w:rPr>
          <w:rFonts w:ascii="Times New Roman" w:hAnsi="Times New Roman"/>
          <w:b/>
          <w:bCs/>
          <w:sz w:val="24"/>
        </w:rPr>
        <w:t xml:space="preserve">  固体废物处置情况</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2"/>
        <w:gridCol w:w="1320"/>
        <w:gridCol w:w="1016"/>
        <w:gridCol w:w="1109"/>
        <w:gridCol w:w="1558"/>
        <w:gridCol w:w="35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序号</w:t>
            </w:r>
          </w:p>
        </w:tc>
        <w:tc>
          <w:tcPr>
            <w:tcW w:w="1320"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排放源</w:t>
            </w:r>
          </w:p>
        </w:tc>
        <w:tc>
          <w:tcPr>
            <w:tcW w:w="1016" w:type="dxa"/>
            <w:vAlign w:val="center"/>
          </w:tcPr>
          <w:p>
            <w:pPr>
              <w:tabs>
                <w:tab w:val="left" w:pos="7020"/>
              </w:tabs>
              <w:autoSpaceDE w:val="0"/>
              <w:autoSpaceDN w:val="0"/>
              <w:adjustRightInd w:val="0"/>
              <w:snapToGrid w:val="0"/>
              <w:jc w:val="center"/>
              <w:rPr>
                <w:rFonts w:ascii="Times New Roman" w:hAnsi="Times New Roman"/>
                <w:bCs/>
                <w:szCs w:val="21"/>
              </w:rPr>
            </w:pPr>
            <w:r>
              <w:rPr>
                <w:rFonts w:hint="eastAsia" w:ascii="Times New Roman" w:hAnsi="Times New Roman"/>
                <w:bCs/>
                <w:szCs w:val="21"/>
                <w:lang w:eastAsia="zh-CN"/>
              </w:rPr>
              <w:t>固体废物</w:t>
            </w:r>
            <w:r>
              <w:rPr>
                <w:rFonts w:ascii="Times New Roman" w:hAnsi="Times New Roman"/>
                <w:bCs/>
                <w:szCs w:val="21"/>
              </w:rPr>
              <w:t>名称</w:t>
            </w:r>
          </w:p>
        </w:tc>
        <w:tc>
          <w:tcPr>
            <w:tcW w:w="1109" w:type="dxa"/>
            <w:vAlign w:val="center"/>
          </w:tcPr>
          <w:p>
            <w:pPr>
              <w:tabs>
                <w:tab w:val="left" w:pos="7020"/>
              </w:tabs>
              <w:autoSpaceDE w:val="0"/>
              <w:autoSpaceDN w:val="0"/>
              <w:adjustRightInd w:val="0"/>
              <w:snapToGrid w:val="0"/>
              <w:jc w:val="center"/>
              <w:rPr>
                <w:rFonts w:ascii="Times New Roman" w:hAnsi="Times New Roman"/>
                <w:bCs/>
              </w:rPr>
            </w:pPr>
            <w:r>
              <w:rPr>
                <w:rFonts w:ascii="Times New Roman" w:hAnsi="Times New Roman"/>
                <w:bCs/>
                <w:szCs w:val="21"/>
              </w:rPr>
              <w:t>产生量</w:t>
            </w:r>
            <w:r>
              <w:rPr>
                <w:rFonts w:ascii="Times New Roman" w:hAnsi="Times New Roman"/>
                <w:bCs/>
              </w:rPr>
              <w:t>（t/a）</w:t>
            </w:r>
          </w:p>
        </w:tc>
        <w:tc>
          <w:tcPr>
            <w:tcW w:w="1558"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污染物组</w:t>
            </w:r>
          </w:p>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成及性质</w:t>
            </w:r>
          </w:p>
        </w:tc>
        <w:tc>
          <w:tcPr>
            <w:tcW w:w="3596"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排放规律及去向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8" w:hRule="atLeast"/>
          <w:jc w:val="center"/>
        </w:trPr>
        <w:tc>
          <w:tcPr>
            <w:tcW w:w="472"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1</w:t>
            </w:r>
          </w:p>
        </w:tc>
        <w:tc>
          <w:tcPr>
            <w:tcW w:w="1320" w:type="dxa"/>
            <w:vAlign w:val="center"/>
          </w:tcPr>
          <w:p>
            <w:pPr>
              <w:tabs>
                <w:tab w:val="left" w:pos="7020"/>
              </w:tabs>
              <w:autoSpaceDE w:val="0"/>
              <w:autoSpaceDN w:val="0"/>
              <w:adjustRightInd w:val="0"/>
              <w:snapToGrid w:val="0"/>
              <w:jc w:val="center"/>
              <w:rPr>
                <w:rFonts w:ascii="Times New Roman" w:hAnsi="Times New Roman"/>
              </w:rPr>
            </w:pPr>
            <w:r>
              <w:rPr>
                <w:rFonts w:hint="eastAsia" w:ascii="Times New Roman" w:hAnsi="Times New Roman"/>
              </w:rPr>
              <w:t>牛棚</w:t>
            </w:r>
          </w:p>
        </w:tc>
        <w:tc>
          <w:tcPr>
            <w:tcW w:w="1016" w:type="dxa"/>
            <w:vAlign w:val="center"/>
          </w:tcPr>
          <w:p>
            <w:pPr>
              <w:jc w:val="center"/>
              <w:rPr>
                <w:rFonts w:ascii="Times New Roman" w:hAnsi="Times New Roman"/>
                <w:szCs w:val="21"/>
              </w:rPr>
            </w:pPr>
            <w:r>
              <w:rPr>
                <w:rFonts w:ascii="Times New Roman" w:hAnsi="Times New Roman"/>
                <w:szCs w:val="21"/>
              </w:rPr>
              <w:t>牛粪</w:t>
            </w:r>
          </w:p>
        </w:tc>
        <w:tc>
          <w:tcPr>
            <w:tcW w:w="1109"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3971.2t/a</w:t>
            </w:r>
          </w:p>
        </w:tc>
        <w:tc>
          <w:tcPr>
            <w:tcW w:w="1558" w:type="dxa"/>
            <w:vAlign w:val="center"/>
          </w:tcPr>
          <w:p>
            <w:pPr>
              <w:tabs>
                <w:tab w:val="left" w:pos="7020"/>
              </w:tabs>
              <w:autoSpaceDE w:val="0"/>
              <w:autoSpaceDN w:val="0"/>
              <w:adjustRightInd w:val="0"/>
              <w:snapToGrid w:val="0"/>
              <w:jc w:val="center"/>
              <w:rPr>
                <w:rFonts w:hint="eastAsia" w:ascii="Times New Roman" w:hAnsi="Times New Roman" w:eastAsia="宋体"/>
                <w:bCs/>
                <w:szCs w:val="21"/>
                <w:lang w:eastAsia="zh-CN"/>
              </w:rPr>
            </w:pPr>
            <w:r>
              <w:rPr>
                <w:rFonts w:ascii="Times New Roman" w:hAnsi="Times New Roman"/>
                <w:bCs/>
                <w:szCs w:val="21"/>
              </w:rPr>
              <w:t>一般</w:t>
            </w:r>
            <w:r>
              <w:rPr>
                <w:rFonts w:hint="eastAsia" w:ascii="Times New Roman" w:hAnsi="Times New Roman"/>
                <w:bCs/>
                <w:szCs w:val="21"/>
                <w:lang w:eastAsia="zh-CN"/>
              </w:rPr>
              <w:t>固体废物</w:t>
            </w:r>
          </w:p>
        </w:tc>
        <w:tc>
          <w:tcPr>
            <w:tcW w:w="3596" w:type="dxa"/>
            <w:vAlign w:val="center"/>
          </w:tcPr>
          <w:p>
            <w:pPr>
              <w:adjustRightInd w:val="0"/>
              <w:snapToGrid w:val="0"/>
              <w:rPr>
                <w:rFonts w:ascii="Times New Roman" w:hAnsi="Times New Roman"/>
                <w:bCs/>
                <w:szCs w:val="21"/>
              </w:rPr>
            </w:pPr>
            <w:r>
              <w:rPr>
                <w:rFonts w:hint="eastAsia" w:ascii="Times New Roman" w:hAnsi="Times New Roman"/>
                <w:bCs/>
                <w:szCs w:val="21"/>
                <w:lang w:eastAsia="zh-CN"/>
              </w:rPr>
              <w:t>干清粪工艺，日产日清，暂</w:t>
            </w:r>
            <w:r>
              <w:rPr>
                <w:rFonts w:hint="eastAsia" w:ascii="Times New Roman" w:hAnsi="Times New Roman"/>
                <w:bCs/>
                <w:szCs w:val="21"/>
              </w:rPr>
              <w:t>存于积粪场，</w:t>
            </w:r>
            <w:r>
              <w:rPr>
                <w:rFonts w:hint="eastAsia" w:ascii="Times New Roman" w:hAnsi="Times New Roman"/>
                <w:kern w:val="1"/>
                <w:szCs w:val="21"/>
                <w:lang w:val="zh-CN"/>
              </w:rPr>
              <w:t>定期由隆德县腾发牧草专业合作社运走</w:t>
            </w:r>
            <w:r>
              <w:rPr>
                <w:rFonts w:hint="eastAsia" w:ascii="Times New Roman" w:hAnsi="Times New Roman"/>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472"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2</w:t>
            </w:r>
          </w:p>
        </w:tc>
        <w:tc>
          <w:tcPr>
            <w:tcW w:w="1320"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牛舍</w:t>
            </w:r>
          </w:p>
        </w:tc>
        <w:tc>
          <w:tcPr>
            <w:tcW w:w="1016" w:type="dxa"/>
            <w:vAlign w:val="center"/>
          </w:tcPr>
          <w:p>
            <w:pPr>
              <w:adjustRightInd w:val="0"/>
              <w:snapToGrid w:val="0"/>
              <w:ind w:left="-105" w:leftChars="-50" w:right="-105" w:rightChars="-50"/>
              <w:jc w:val="center"/>
              <w:rPr>
                <w:rFonts w:hint="eastAsia" w:ascii="Times New Roman" w:hAnsi="Times New Roman" w:eastAsia="宋体"/>
                <w:szCs w:val="21"/>
                <w:lang w:eastAsia="zh-CN"/>
              </w:rPr>
            </w:pPr>
            <w:r>
              <w:rPr>
                <w:rFonts w:hint="eastAsia" w:ascii="Times New Roman" w:hAnsi="Times New Roman"/>
                <w:szCs w:val="21"/>
                <w:lang w:eastAsia="zh-CN"/>
              </w:rPr>
              <w:t>胎盘</w:t>
            </w:r>
          </w:p>
        </w:tc>
        <w:tc>
          <w:tcPr>
            <w:tcW w:w="1109" w:type="dxa"/>
            <w:vAlign w:val="center"/>
          </w:tcPr>
          <w:p>
            <w:pPr>
              <w:adjustRightInd w:val="0"/>
              <w:snapToGrid w:val="0"/>
              <w:jc w:val="center"/>
              <w:rPr>
                <w:rFonts w:ascii="Times New Roman" w:hAnsi="Times New Roman"/>
                <w:bCs/>
                <w:szCs w:val="21"/>
              </w:rPr>
            </w:pPr>
            <w:r>
              <w:rPr>
                <w:rFonts w:hint="eastAsia" w:ascii="Times New Roman" w:hAnsi="Times New Roman"/>
                <w:bCs/>
                <w:szCs w:val="21"/>
                <w:highlight w:val="none"/>
                <w:lang w:val="en-US" w:eastAsia="zh-CN"/>
              </w:rPr>
              <w:t>2</w:t>
            </w:r>
            <w:r>
              <w:rPr>
                <w:rFonts w:ascii="Times New Roman" w:hAnsi="Times New Roman"/>
                <w:bCs/>
                <w:szCs w:val="21"/>
                <w:highlight w:val="none"/>
              </w:rPr>
              <w:t>t/a</w:t>
            </w:r>
          </w:p>
        </w:tc>
        <w:tc>
          <w:tcPr>
            <w:tcW w:w="1558"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危险废物（HW01）</w:t>
            </w:r>
          </w:p>
        </w:tc>
        <w:tc>
          <w:tcPr>
            <w:tcW w:w="3596"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本项目将病死牛尸体</w:t>
            </w:r>
            <w:r>
              <w:rPr>
                <w:rFonts w:hint="eastAsia" w:ascii="Times New Roman" w:hAnsi="Times New Roman"/>
                <w:bCs/>
                <w:szCs w:val="21"/>
                <w:lang w:eastAsia="zh-CN"/>
              </w:rPr>
              <w:t>级胎盘</w:t>
            </w:r>
            <w:r>
              <w:rPr>
                <w:rFonts w:ascii="Times New Roman" w:hAnsi="Times New Roman"/>
                <w:bCs/>
                <w:szCs w:val="21"/>
              </w:rPr>
              <w:t>由专用车辆送往</w:t>
            </w:r>
            <w:r>
              <w:rPr>
                <w:rFonts w:hint="eastAsia" w:ascii="Times New Roman" w:hAnsi="Times New Roman"/>
                <w:bCs/>
                <w:szCs w:val="21"/>
              </w:rPr>
              <w:t>隆德县定点无害化处理厂所焚烧、深埋处理，不得随意丢弃</w:t>
            </w:r>
            <w:r>
              <w:rPr>
                <w:rFonts w:ascii="Times New Roman" w:hAnsi="Times New Roman"/>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dxa"/>
            <w:vAlign w:val="center"/>
          </w:tcPr>
          <w:p>
            <w:pPr>
              <w:tabs>
                <w:tab w:val="left" w:pos="7020"/>
              </w:tabs>
              <w:autoSpaceDE w:val="0"/>
              <w:autoSpaceDN w:val="0"/>
              <w:adjustRightInd w:val="0"/>
              <w:snapToGrid w:val="0"/>
              <w:jc w:val="center"/>
              <w:rPr>
                <w:rFonts w:ascii="Times New Roman" w:hAnsi="Times New Roman"/>
                <w:bCs/>
                <w:szCs w:val="21"/>
              </w:rPr>
            </w:pPr>
            <w:r>
              <w:rPr>
                <w:rFonts w:hint="eastAsia" w:ascii="Times New Roman" w:hAnsi="Times New Roman"/>
                <w:bCs/>
                <w:szCs w:val="21"/>
              </w:rPr>
              <w:t>3</w:t>
            </w:r>
          </w:p>
        </w:tc>
        <w:tc>
          <w:tcPr>
            <w:tcW w:w="1320"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兽医站</w:t>
            </w:r>
          </w:p>
        </w:tc>
        <w:tc>
          <w:tcPr>
            <w:tcW w:w="1016" w:type="dxa"/>
            <w:vAlign w:val="center"/>
          </w:tcPr>
          <w:p>
            <w:pPr>
              <w:jc w:val="center"/>
              <w:rPr>
                <w:rFonts w:ascii="Times New Roman" w:hAnsi="Times New Roman"/>
                <w:szCs w:val="21"/>
              </w:rPr>
            </w:pPr>
            <w:r>
              <w:rPr>
                <w:rFonts w:ascii="Times New Roman" w:hAnsi="Times New Roman"/>
                <w:szCs w:val="21"/>
              </w:rPr>
              <w:t>医疗垃圾</w:t>
            </w:r>
          </w:p>
        </w:tc>
        <w:tc>
          <w:tcPr>
            <w:tcW w:w="1109" w:type="dxa"/>
            <w:vAlign w:val="center"/>
          </w:tcPr>
          <w:p>
            <w:pPr>
              <w:tabs>
                <w:tab w:val="left" w:pos="471"/>
              </w:tabs>
              <w:adjustRightInd w:val="0"/>
              <w:snapToGrid w:val="0"/>
              <w:jc w:val="center"/>
              <w:rPr>
                <w:rFonts w:ascii="Times New Roman" w:hAnsi="Times New Roman"/>
                <w:bCs/>
                <w:szCs w:val="21"/>
              </w:rPr>
            </w:pPr>
            <w:r>
              <w:rPr>
                <w:rFonts w:hint="eastAsia" w:ascii="Times New Roman" w:hAnsi="Times New Roman"/>
                <w:bCs/>
                <w:szCs w:val="21"/>
                <w:lang w:val="en-US" w:eastAsia="zh-CN"/>
              </w:rPr>
              <w:t>0.47</w:t>
            </w:r>
            <w:r>
              <w:rPr>
                <w:rFonts w:ascii="Times New Roman" w:hAnsi="Times New Roman"/>
                <w:bCs/>
                <w:szCs w:val="21"/>
              </w:rPr>
              <w:t>t/a</w:t>
            </w:r>
          </w:p>
        </w:tc>
        <w:tc>
          <w:tcPr>
            <w:tcW w:w="1558"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危险废物（HW01）</w:t>
            </w:r>
          </w:p>
        </w:tc>
        <w:tc>
          <w:tcPr>
            <w:tcW w:w="3596"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交有危废处理资质的单位集中处理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dxa"/>
            <w:vAlign w:val="center"/>
          </w:tcPr>
          <w:p>
            <w:pPr>
              <w:tabs>
                <w:tab w:val="left" w:pos="7020"/>
              </w:tabs>
              <w:autoSpaceDE w:val="0"/>
              <w:autoSpaceDN w:val="0"/>
              <w:adjustRightInd w:val="0"/>
              <w:snapToGrid w:val="0"/>
              <w:jc w:val="center"/>
              <w:rPr>
                <w:rFonts w:ascii="Times New Roman" w:hAnsi="Times New Roman"/>
                <w:bCs/>
                <w:szCs w:val="21"/>
              </w:rPr>
            </w:pPr>
            <w:r>
              <w:rPr>
                <w:rFonts w:hint="eastAsia" w:ascii="Times New Roman" w:hAnsi="Times New Roman"/>
                <w:bCs/>
                <w:szCs w:val="21"/>
              </w:rPr>
              <w:t>4</w:t>
            </w:r>
          </w:p>
        </w:tc>
        <w:tc>
          <w:tcPr>
            <w:tcW w:w="1320"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饲料粉碎机</w:t>
            </w:r>
          </w:p>
        </w:tc>
        <w:tc>
          <w:tcPr>
            <w:tcW w:w="1016" w:type="dxa"/>
            <w:vAlign w:val="center"/>
          </w:tcPr>
          <w:p>
            <w:pPr>
              <w:jc w:val="center"/>
              <w:rPr>
                <w:rFonts w:ascii="Times New Roman" w:hAnsi="Times New Roman"/>
                <w:szCs w:val="21"/>
              </w:rPr>
            </w:pPr>
            <w:r>
              <w:rPr>
                <w:rFonts w:ascii="Times New Roman" w:hAnsi="Times New Roman"/>
                <w:szCs w:val="21"/>
              </w:rPr>
              <w:t>粉尘</w:t>
            </w:r>
          </w:p>
        </w:tc>
        <w:tc>
          <w:tcPr>
            <w:tcW w:w="1109" w:type="dxa"/>
            <w:vAlign w:val="center"/>
          </w:tcPr>
          <w:p>
            <w:pPr>
              <w:tabs>
                <w:tab w:val="left" w:pos="471"/>
              </w:tabs>
              <w:adjustRightInd w:val="0"/>
              <w:snapToGrid w:val="0"/>
              <w:jc w:val="center"/>
              <w:rPr>
                <w:rFonts w:ascii="Times New Roman" w:hAnsi="Times New Roman"/>
                <w:bCs/>
                <w:szCs w:val="21"/>
              </w:rPr>
            </w:pPr>
            <w:r>
              <w:rPr>
                <w:rFonts w:hint="eastAsia" w:ascii="Times New Roman" w:hAnsi="Times New Roman"/>
                <w:szCs w:val="21"/>
                <w:lang w:eastAsia="zh-CN"/>
              </w:rPr>
              <w:t>0.0</w:t>
            </w:r>
            <w:r>
              <w:rPr>
                <w:rFonts w:hint="eastAsia" w:ascii="Times New Roman" w:hAnsi="Times New Roman"/>
                <w:szCs w:val="21"/>
                <w:lang w:val="en-US" w:eastAsia="zh-CN"/>
              </w:rPr>
              <w:t>749</w:t>
            </w:r>
            <w:r>
              <w:rPr>
                <w:rFonts w:ascii="Times New Roman" w:hAnsi="Times New Roman"/>
                <w:bCs/>
                <w:szCs w:val="21"/>
              </w:rPr>
              <w:t>t/a</w:t>
            </w:r>
          </w:p>
        </w:tc>
        <w:tc>
          <w:tcPr>
            <w:tcW w:w="1558" w:type="dxa"/>
            <w:vAlign w:val="center"/>
          </w:tcPr>
          <w:p>
            <w:pPr>
              <w:tabs>
                <w:tab w:val="left" w:pos="7020"/>
              </w:tabs>
              <w:autoSpaceDE w:val="0"/>
              <w:autoSpaceDN w:val="0"/>
              <w:adjustRightInd w:val="0"/>
              <w:snapToGrid w:val="0"/>
              <w:jc w:val="center"/>
              <w:rPr>
                <w:rFonts w:hint="eastAsia" w:ascii="Times New Roman" w:hAnsi="Times New Roman" w:eastAsia="宋体"/>
                <w:bCs/>
                <w:szCs w:val="21"/>
                <w:lang w:eastAsia="zh-CN"/>
              </w:rPr>
            </w:pPr>
            <w:r>
              <w:rPr>
                <w:rFonts w:ascii="Times New Roman" w:hAnsi="Times New Roman"/>
                <w:bCs/>
                <w:szCs w:val="21"/>
              </w:rPr>
              <w:t>一般</w:t>
            </w:r>
            <w:r>
              <w:rPr>
                <w:rFonts w:hint="eastAsia" w:ascii="Times New Roman" w:hAnsi="Times New Roman"/>
                <w:bCs/>
                <w:szCs w:val="21"/>
                <w:lang w:eastAsia="zh-CN"/>
              </w:rPr>
              <w:t>固体废物</w:t>
            </w:r>
          </w:p>
        </w:tc>
        <w:tc>
          <w:tcPr>
            <w:tcW w:w="3596"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集中收集，作为饲料利用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dxa"/>
            <w:vAlign w:val="center"/>
          </w:tcPr>
          <w:p>
            <w:pPr>
              <w:tabs>
                <w:tab w:val="left" w:pos="7020"/>
              </w:tabs>
              <w:autoSpaceDE w:val="0"/>
              <w:autoSpaceDN w:val="0"/>
              <w:adjustRightInd w:val="0"/>
              <w:snapToGrid w:val="0"/>
              <w:jc w:val="center"/>
              <w:rPr>
                <w:rFonts w:ascii="Times New Roman" w:hAnsi="Times New Roman"/>
                <w:bCs/>
                <w:szCs w:val="21"/>
              </w:rPr>
            </w:pPr>
            <w:r>
              <w:rPr>
                <w:rFonts w:hint="eastAsia" w:ascii="Times New Roman" w:hAnsi="Times New Roman"/>
                <w:bCs/>
                <w:szCs w:val="21"/>
              </w:rPr>
              <w:t>5</w:t>
            </w:r>
          </w:p>
        </w:tc>
        <w:tc>
          <w:tcPr>
            <w:tcW w:w="1320"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办公生活区</w:t>
            </w:r>
          </w:p>
        </w:tc>
        <w:tc>
          <w:tcPr>
            <w:tcW w:w="1016" w:type="dxa"/>
            <w:vAlign w:val="center"/>
          </w:tcPr>
          <w:p>
            <w:pPr>
              <w:jc w:val="center"/>
              <w:rPr>
                <w:rFonts w:ascii="Times New Roman" w:hAnsi="Times New Roman"/>
                <w:szCs w:val="21"/>
              </w:rPr>
            </w:pPr>
            <w:r>
              <w:rPr>
                <w:rFonts w:ascii="Times New Roman" w:hAnsi="Times New Roman"/>
                <w:szCs w:val="21"/>
              </w:rPr>
              <w:t>生活垃圾</w:t>
            </w:r>
          </w:p>
        </w:tc>
        <w:tc>
          <w:tcPr>
            <w:tcW w:w="1109"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1.2</w:t>
            </w:r>
            <w:r>
              <w:rPr>
                <w:rFonts w:hint="eastAsia" w:ascii="Times New Roman" w:hAnsi="Times New Roman"/>
                <w:bCs/>
                <w:szCs w:val="21"/>
                <w:lang w:val="en-US" w:eastAsia="zh-CN"/>
              </w:rPr>
              <w:t>8</w:t>
            </w:r>
            <w:r>
              <w:rPr>
                <w:rFonts w:ascii="Times New Roman" w:hAnsi="Times New Roman"/>
                <w:bCs/>
                <w:szCs w:val="21"/>
              </w:rPr>
              <w:t>t/a</w:t>
            </w:r>
          </w:p>
        </w:tc>
        <w:tc>
          <w:tcPr>
            <w:tcW w:w="1558" w:type="dxa"/>
            <w:vAlign w:val="center"/>
          </w:tcPr>
          <w:p>
            <w:pPr>
              <w:tabs>
                <w:tab w:val="left" w:pos="7020"/>
              </w:tabs>
              <w:autoSpaceDE w:val="0"/>
              <w:autoSpaceDN w:val="0"/>
              <w:adjustRightInd w:val="0"/>
              <w:snapToGrid w:val="0"/>
              <w:jc w:val="center"/>
              <w:rPr>
                <w:rFonts w:hint="eastAsia" w:ascii="Times New Roman" w:hAnsi="Times New Roman" w:eastAsia="宋体"/>
                <w:bCs/>
                <w:szCs w:val="21"/>
                <w:lang w:eastAsia="zh-CN"/>
              </w:rPr>
            </w:pPr>
            <w:r>
              <w:rPr>
                <w:rFonts w:ascii="Times New Roman" w:hAnsi="Times New Roman"/>
                <w:bCs/>
                <w:szCs w:val="21"/>
              </w:rPr>
              <w:t>一般</w:t>
            </w:r>
            <w:r>
              <w:rPr>
                <w:rFonts w:hint="eastAsia" w:ascii="Times New Roman" w:hAnsi="Times New Roman"/>
                <w:bCs/>
                <w:szCs w:val="21"/>
                <w:lang w:eastAsia="zh-CN"/>
              </w:rPr>
              <w:t>固体废物</w:t>
            </w:r>
          </w:p>
        </w:tc>
        <w:tc>
          <w:tcPr>
            <w:tcW w:w="3596" w:type="dxa"/>
            <w:vAlign w:val="center"/>
          </w:tcPr>
          <w:p>
            <w:pPr>
              <w:tabs>
                <w:tab w:val="left" w:pos="7020"/>
              </w:tabs>
              <w:autoSpaceDE w:val="0"/>
              <w:autoSpaceDN w:val="0"/>
              <w:adjustRightInd w:val="0"/>
              <w:snapToGrid w:val="0"/>
              <w:jc w:val="center"/>
              <w:rPr>
                <w:rFonts w:ascii="Times New Roman" w:hAnsi="Times New Roman"/>
                <w:bCs/>
                <w:szCs w:val="21"/>
              </w:rPr>
            </w:pPr>
            <w:r>
              <w:rPr>
                <w:rFonts w:ascii="Times New Roman" w:hAnsi="Times New Roman"/>
                <w:bCs/>
                <w:szCs w:val="21"/>
              </w:rPr>
              <w:t>交由环卫部门集中处置</w:t>
            </w:r>
          </w:p>
        </w:tc>
      </w:tr>
    </w:tbl>
    <w:p>
      <w:pPr>
        <w:adjustRightInd w:val="0"/>
        <w:snapToGrid w:val="0"/>
        <w:spacing w:line="540" w:lineRule="exact"/>
        <w:ind w:firstLine="480" w:firstLineChars="200"/>
        <w:rPr>
          <w:rFonts w:ascii="Times New Roman" w:hAnsi="Times New Roman"/>
          <w:sz w:val="24"/>
        </w:rPr>
      </w:pPr>
      <w:r>
        <w:rPr>
          <w:rFonts w:ascii="Times New Roman" w:hAnsi="Times New Roman"/>
          <w:sz w:val="24"/>
        </w:rPr>
        <w:t>由表5.</w:t>
      </w:r>
      <w:r>
        <w:rPr>
          <w:rFonts w:hint="eastAsia" w:ascii="Times New Roman" w:hAnsi="Times New Roman"/>
          <w:sz w:val="24"/>
        </w:rPr>
        <w:t>5-1</w:t>
      </w:r>
      <w:r>
        <w:rPr>
          <w:rFonts w:ascii="Times New Roman" w:hAnsi="Times New Roman"/>
          <w:sz w:val="24"/>
        </w:rPr>
        <w:t>可知，本项目产生的固体废物，遵循“资源化、减量化、无害化”的处理原则，均采取了切实有效的处理处置措施，确保本项目各类固体废物妥善、安全处置，对环境影响较小。</w:t>
      </w:r>
    </w:p>
    <w:p>
      <w:pPr>
        <w:pStyle w:val="4"/>
        <w:adjustRightInd w:val="0"/>
        <w:snapToGrid w:val="0"/>
        <w:spacing w:before="48" w:beforeLines="20" w:line="540" w:lineRule="exact"/>
        <w:rPr>
          <w:rFonts w:ascii="Times New Roman" w:hAnsi="Times New Roman" w:eastAsia="宋体"/>
          <w:bCs w:val="0"/>
          <w:sz w:val="30"/>
          <w:szCs w:val="30"/>
        </w:rPr>
      </w:pPr>
      <w:bookmarkStart w:id="707" w:name="_Toc27666"/>
      <w:bookmarkStart w:id="708" w:name="_Toc8206"/>
      <w:bookmarkStart w:id="709" w:name="_Toc28782"/>
      <w:bookmarkStart w:id="710" w:name="_Toc2425"/>
      <w:bookmarkStart w:id="711" w:name="_Toc17786"/>
      <w:r>
        <w:rPr>
          <w:rFonts w:ascii="Times New Roman" w:hAnsi="Times New Roman" w:eastAsia="宋体"/>
          <w:bCs w:val="0"/>
          <w:sz w:val="30"/>
          <w:szCs w:val="30"/>
        </w:rPr>
        <w:t>5.6土壤环境影响分析</w:t>
      </w:r>
      <w:bookmarkEnd w:id="707"/>
      <w:bookmarkEnd w:id="708"/>
      <w:bookmarkEnd w:id="709"/>
      <w:bookmarkEnd w:id="710"/>
      <w:bookmarkEnd w:id="711"/>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712" w:name="_Toc29400"/>
      <w:r>
        <w:rPr>
          <w:rFonts w:hint="eastAsia" w:cs="Times New Roman"/>
          <w:bCs w:val="0"/>
          <w:snapToGrid w:val="0"/>
          <w:kern w:val="0"/>
          <w:sz w:val="28"/>
          <w:szCs w:val="28"/>
        </w:rPr>
        <w:t>5.6.1</w:t>
      </w:r>
      <w:r>
        <w:rPr>
          <w:rFonts w:cs="Times New Roman"/>
          <w:bCs w:val="0"/>
          <w:snapToGrid w:val="0"/>
          <w:kern w:val="0"/>
          <w:sz w:val="28"/>
          <w:szCs w:val="28"/>
        </w:rPr>
        <w:t>土壤环境影响识别</w:t>
      </w:r>
      <w:bookmarkEnd w:id="712"/>
    </w:p>
    <w:p>
      <w:pPr>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本项目属于新建项目，根据工程组成，可分为建设期、运营期两个阶段对土壤的环境影响。施工期环境影响识别主要针对施工过程中施工机械在使用过程中，施工人员在施工生活过程中，固体废物在临时储存过程中对土壤产生的影响等。</w:t>
      </w:r>
    </w:p>
    <w:p>
      <w:pPr>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运营期环境影响识别主要针对排放的大气污染物、废水污染物、固体废物等，本项目主要养殖区牛舍</w:t>
      </w:r>
      <w:r>
        <w:rPr>
          <w:rFonts w:hint="eastAsia" w:ascii="Times New Roman" w:hAnsi="Times New Roman"/>
          <w:snapToGrid w:val="0"/>
          <w:kern w:val="0"/>
          <w:sz w:val="24"/>
        </w:rPr>
        <w:t>和积粪场</w:t>
      </w:r>
      <w:r>
        <w:rPr>
          <w:rFonts w:ascii="Times New Roman" w:hAnsi="Times New Roman"/>
          <w:snapToGrid w:val="0"/>
          <w:kern w:val="0"/>
          <w:sz w:val="24"/>
        </w:rPr>
        <w:t>牛尿下渗污染土壤、污水沉淀池废水下渗污染土壤。饲料加工、</w:t>
      </w:r>
      <w:r>
        <w:rPr>
          <w:rFonts w:hint="eastAsia" w:ascii="Times New Roman" w:hAnsi="Times New Roman"/>
          <w:snapToGrid w:val="0"/>
          <w:kern w:val="0"/>
          <w:sz w:val="24"/>
        </w:rPr>
        <w:t>积粪场</w:t>
      </w:r>
      <w:r>
        <w:rPr>
          <w:rFonts w:ascii="Times New Roman" w:hAnsi="Times New Roman"/>
          <w:snapToGrid w:val="0"/>
          <w:kern w:val="0"/>
          <w:sz w:val="24"/>
        </w:rPr>
        <w:t>及牛舍废气污染物无组织排放后，硫化氢、氨、颗粒物落至土壤会随时间累计，造成大气沉降影响；污水沉淀池如事故防范措施不到位，会发生地面漫流影响，同时也会发生泄露导致垂直入渗影响。</w:t>
      </w:r>
    </w:p>
    <w:p>
      <w:pPr>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本项目对土壤的影响类型和途径见表</w:t>
      </w:r>
      <w:r>
        <w:rPr>
          <w:rFonts w:hint="eastAsia" w:ascii="Times New Roman" w:hAnsi="Times New Roman"/>
          <w:snapToGrid w:val="0"/>
          <w:kern w:val="0"/>
          <w:sz w:val="24"/>
        </w:rPr>
        <w:t>5.6-1</w:t>
      </w:r>
      <w:r>
        <w:rPr>
          <w:rFonts w:ascii="Times New Roman" w:hAnsi="Times New Roman"/>
          <w:snapToGrid w:val="0"/>
          <w:kern w:val="0"/>
          <w:sz w:val="24"/>
        </w:rPr>
        <w:t>。本项目土壤环境影响识别见表</w:t>
      </w:r>
      <w:r>
        <w:rPr>
          <w:rFonts w:hint="eastAsia" w:ascii="Times New Roman" w:hAnsi="Times New Roman"/>
          <w:snapToGrid w:val="0"/>
          <w:kern w:val="0"/>
          <w:sz w:val="24"/>
        </w:rPr>
        <w:t>5.6-2</w:t>
      </w:r>
      <w:r>
        <w:rPr>
          <w:rFonts w:ascii="Times New Roman" w:hAnsi="Times New Roman"/>
          <w:snapToGrid w:val="0"/>
          <w:kern w:val="0"/>
          <w:sz w:val="24"/>
        </w:rPr>
        <w:t>。</w:t>
      </w:r>
    </w:p>
    <w:p>
      <w:pPr>
        <w:pStyle w:val="65"/>
        <w:snapToGrid w:val="0"/>
        <w:ind w:firstLine="0"/>
        <w:jc w:val="center"/>
        <w:rPr>
          <w:rFonts w:ascii="Times New Roman" w:hAnsi="Times New Roman"/>
          <w:b/>
          <w:sz w:val="24"/>
        </w:rPr>
      </w:pPr>
    </w:p>
    <w:p>
      <w:pPr>
        <w:pStyle w:val="65"/>
        <w:snapToGrid w:val="0"/>
        <w:ind w:firstLine="0"/>
        <w:jc w:val="center"/>
        <w:rPr>
          <w:rFonts w:ascii="Times New Roman" w:hAnsi="Times New Roman"/>
          <w:b/>
          <w:sz w:val="24"/>
        </w:rPr>
      </w:pPr>
    </w:p>
    <w:p>
      <w:pPr>
        <w:pStyle w:val="65"/>
        <w:snapToGrid w:val="0"/>
        <w:ind w:firstLine="0"/>
        <w:jc w:val="center"/>
        <w:rPr>
          <w:rFonts w:ascii="Times New Roman" w:hAnsi="Times New Roman"/>
          <w:b/>
          <w:sz w:val="24"/>
        </w:rPr>
      </w:pPr>
    </w:p>
    <w:p>
      <w:pPr>
        <w:pStyle w:val="65"/>
        <w:snapToGrid w:val="0"/>
        <w:ind w:firstLine="0"/>
        <w:jc w:val="center"/>
        <w:rPr>
          <w:rFonts w:ascii="Times New Roman" w:hAnsi="Times New Roman"/>
          <w:b/>
          <w:sz w:val="24"/>
        </w:rPr>
      </w:pPr>
    </w:p>
    <w:p>
      <w:pPr>
        <w:pStyle w:val="65"/>
        <w:snapToGrid w:val="0"/>
        <w:ind w:firstLine="0"/>
        <w:jc w:val="center"/>
        <w:rPr>
          <w:rFonts w:ascii="Times New Roman" w:hAnsi="Times New Roman"/>
          <w:b/>
          <w:sz w:val="24"/>
        </w:rPr>
      </w:pPr>
      <w:r>
        <w:rPr>
          <w:rFonts w:ascii="Times New Roman" w:hAnsi="Times New Roman"/>
          <w:b/>
          <w:sz w:val="24"/>
        </w:rPr>
        <w:t>表5.6-1             本项目土壤影响类型与途径表</w:t>
      </w:r>
    </w:p>
    <w:tbl>
      <w:tblPr>
        <w:tblStyle w:val="29"/>
        <w:tblW w:w="9071" w:type="dxa"/>
        <w:jc w:val="center"/>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fixed"/>
        <w:tblCellMar>
          <w:top w:w="0" w:type="dxa"/>
          <w:left w:w="0" w:type="dxa"/>
          <w:bottom w:w="0" w:type="dxa"/>
          <w:right w:w="0" w:type="dxa"/>
        </w:tblCellMar>
      </w:tblPr>
      <w:tblGrid>
        <w:gridCol w:w="2473"/>
        <w:gridCol w:w="2183"/>
        <w:gridCol w:w="2168"/>
        <w:gridCol w:w="2247"/>
      </w:tblGrid>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458" w:type="dxa"/>
            <w:vMerge w:val="restart"/>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不同时段</w:t>
            </w:r>
          </w:p>
        </w:tc>
        <w:tc>
          <w:tcPr>
            <w:tcW w:w="6556" w:type="dxa"/>
            <w:gridSpan w:val="3"/>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污染影响型</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458" w:type="dxa"/>
            <w:vMerge w:val="continue"/>
            <w:vAlign w:val="center"/>
          </w:tcPr>
          <w:p>
            <w:pPr>
              <w:snapToGrid w:val="0"/>
              <w:jc w:val="center"/>
              <w:rPr>
                <w:rFonts w:ascii="Times New Roman" w:hAnsi="Times New Roman"/>
                <w:bCs/>
                <w:kern w:val="0"/>
                <w:szCs w:val="21"/>
                <w:lang w:eastAsia="en-US"/>
              </w:rPr>
            </w:pPr>
          </w:p>
        </w:tc>
        <w:tc>
          <w:tcPr>
            <w:tcW w:w="2169" w:type="dxa"/>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大气沉降</w:t>
            </w:r>
          </w:p>
        </w:tc>
        <w:tc>
          <w:tcPr>
            <w:tcW w:w="2154" w:type="dxa"/>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地面漫流</w:t>
            </w:r>
          </w:p>
        </w:tc>
        <w:tc>
          <w:tcPr>
            <w:tcW w:w="2233" w:type="dxa"/>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垂直入渗</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458"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建设期</w:t>
            </w:r>
          </w:p>
        </w:tc>
        <w:tc>
          <w:tcPr>
            <w:tcW w:w="2169"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w:t>
            </w:r>
          </w:p>
        </w:tc>
        <w:tc>
          <w:tcPr>
            <w:tcW w:w="2154"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w:t>
            </w:r>
          </w:p>
        </w:tc>
        <w:tc>
          <w:tcPr>
            <w:tcW w:w="2233"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458"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运营期</w:t>
            </w:r>
          </w:p>
        </w:tc>
        <w:tc>
          <w:tcPr>
            <w:tcW w:w="2169"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w:t>
            </w:r>
          </w:p>
        </w:tc>
        <w:tc>
          <w:tcPr>
            <w:tcW w:w="2154"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w:t>
            </w:r>
          </w:p>
        </w:tc>
        <w:tc>
          <w:tcPr>
            <w:tcW w:w="2233"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458"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服务期满后</w:t>
            </w:r>
          </w:p>
        </w:tc>
        <w:tc>
          <w:tcPr>
            <w:tcW w:w="2169"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w:t>
            </w:r>
          </w:p>
        </w:tc>
        <w:tc>
          <w:tcPr>
            <w:tcW w:w="2154"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w:t>
            </w:r>
          </w:p>
        </w:tc>
        <w:tc>
          <w:tcPr>
            <w:tcW w:w="2233"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w:t>
            </w:r>
          </w:p>
        </w:tc>
      </w:tr>
    </w:tbl>
    <w:p>
      <w:pPr>
        <w:pStyle w:val="65"/>
        <w:snapToGrid w:val="0"/>
        <w:ind w:firstLine="0"/>
        <w:jc w:val="center"/>
        <w:rPr>
          <w:rFonts w:ascii="Times New Roman" w:hAnsi="Times New Roman"/>
          <w:b/>
          <w:sz w:val="24"/>
        </w:rPr>
      </w:pPr>
      <w:r>
        <w:rPr>
          <w:rFonts w:ascii="Times New Roman" w:hAnsi="Times New Roman"/>
          <w:b/>
          <w:sz w:val="24"/>
        </w:rPr>
        <w:t xml:space="preserve">表5.6-2            </w:t>
      </w:r>
      <w:r>
        <w:rPr>
          <w:rFonts w:ascii="Times New Roman" w:hAnsi="Times New Roman"/>
          <w:b/>
          <w:szCs w:val="21"/>
        </w:rPr>
        <w:t xml:space="preserve"> </w:t>
      </w:r>
      <w:r>
        <w:rPr>
          <w:rFonts w:ascii="Times New Roman" w:hAnsi="Times New Roman"/>
          <w:b/>
          <w:sz w:val="24"/>
        </w:rPr>
        <w:t>本项目土壤影响类型与途径表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1351"/>
        <w:gridCol w:w="1523"/>
        <w:gridCol w:w="1247"/>
        <w:gridCol w:w="2215"/>
        <w:gridCol w:w="1938"/>
        <w:gridCol w:w="7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343" w:type="dxa"/>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污染源</w:t>
            </w:r>
          </w:p>
        </w:tc>
        <w:tc>
          <w:tcPr>
            <w:tcW w:w="1513" w:type="dxa"/>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工艺流程/节点</w:t>
            </w:r>
          </w:p>
        </w:tc>
        <w:tc>
          <w:tcPr>
            <w:tcW w:w="1239" w:type="dxa"/>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污染途径</w:t>
            </w:r>
          </w:p>
        </w:tc>
        <w:tc>
          <w:tcPr>
            <w:tcW w:w="2201" w:type="dxa"/>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全部污染物指标</w:t>
            </w:r>
          </w:p>
        </w:tc>
        <w:tc>
          <w:tcPr>
            <w:tcW w:w="1926" w:type="dxa"/>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土壤污染因子</w:t>
            </w:r>
          </w:p>
        </w:tc>
        <w:tc>
          <w:tcPr>
            <w:tcW w:w="792" w:type="dxa"/>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343" w:type="dxa"/>
            <w:vAlign w:val="center"/>
          </w:tcPr>
          <w:p>
            <w:pPr>
              <w:snapToGrid w:val="0"/>
              <w:jc w:val="center"/>
              <w:rPr>
                <w:rFonts w:ascii="Times New Roman" w:hAnsi="Times New Roman"/>
                <w:kern w:val="0"/>
                <w:szCs w:val="21"/>
              </w:rPr>
            </w:pPr>
            <w:r>
              <w:rPr>
                <w:rFonts w:ascii="Times New Roman" w:hAnsi="Times New Roman"/>
                <w:kern w:val="0"/>
                <w:szCs w:val="21"/>
              </w:rPr>
              <w:t>养殖区</w:t>
            </w:r>
          </w:p>
        </w:tc>
        <w:tc>
          <w:tcPr>
            <w:tcW w:w="1513" w:type="dxa"/>
            <w:vAlign w:val="center"/>
          </w:tcPr>
          <w:p>
            <w:pPr>
              <w:snapToGrid w:val="0"/>
              <w:jc w:val="center"/>
              <w:rPr>
                <w:rFonts w:ascii="Times New Roman" w:hAnsi="Times New Roman"/>
                <w:kern w:val="0"/>
                <w:szCs w:val="21"/>
              </w:rPr>
            </w:pPr>
            <w:r>
              <w:rPr>
                <w:rFonts w:ascii="Times New Roman" w:hAnsi="Times New Roman"/>
                <w:kern w:val="0"/>
                <w:szCs w:val="21"/>
              </w:rPr>
              <w:t>牛舍</w:t>
            </w:r>
          </w:p>
        </w:tc>
        <w:tc>
          <w:tcPr>
            <w:tcW w:w="1239"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垂直入渗</w:t>
            </w:r>
          </w:p>
        </w:tc>
        <w:tc>
          <w:tcPr>
            <w:tcW w:w="2201" w:type="dxa"/>
            <w:vAlign w:val="center"/>
          </w:tcPr>
          <w:p>
            <w:pPr>
              <w:snapToGrid w:val="0"/>
              <w:jc w:val="center"/>
              <w:rPr>
                <w:rFonts w:ascii="Times New Roman" w:hAnsi="Times New Roman"/>
                <w:kern w:val="0"/>
                <w:szCs w:val="21"/>
              </w:rPr>
            </w:pPr>
            <w:r>
              <w:rPr>
                <w:rFonts w:ascii="Times New Roman" w:hAnsi="Times New Roman"/>
                <w:kern w:val="0"/>
                <w:szCs w:val="21"/>
              </w:rPr>
              <w:t>牛尿积粪便</w:t>
            </w:r>
          </w:p>
        </w:tc>
        <w:tc>
          <w:tcPr>
            <w:tcW w:w="1926"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w:t>
            </w:r>
          </w:p>
        </w:tc>
        <w:tc>
          <w:tcPr>
            <w:tcW w:w="792" w:type="dxa"/>
            <w:vMerge w:val="restart"/>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对标</w:t>
            </w:r>
          </w:p>
          <w:p>
            <w:pPr>
              <w:snapToGrid w:val="0"/>
              <w:jc w:val="center"/>
              <w:rPr>
                <w:rFonts w:ascii="Times New Roman" w:hAnsi="Times New Roman"/>
                <w:kern w:val="0"/>
                <w:szCs w:val="21"/>
                <w:lang w:eastAsia="en-US"/>
              </w:rPr>
            </w:pPr>
            <w:r>
              <w:rPr>
                <w:rFonts w:ascii="Times New Roman" w:hAnsi="Times New Roman"/>
                <w:kern w:val="0"/>
                <w:szCs w:val="21"/>
                <w:lang w:eastAsia="en-US"/>
              </w:rPr>
              <w:t>筛选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343" w:type="dxa"/>
            <w:vAlign w:val="center"/>
          </w:tcPr>
          <w:p>
            <w:pPr>
              <w:snapToGrid w:val="0"/>
              <w:jc w:val="center"/>
              <w:rPr>
                <w:rFonts w:ascii="Times New Roman" w:hAnsi="Times New Roman"/>
                <w:kern w:val="0"/>
                <w:szCs w:val="21"/>
              </w:rPr>
            </w:pPr>
            <w:r>
              <w:rPr>
                <w:rFonts w:hint="eastAsia" w:ascii="Times New Roman" w:hAnsi="Times New Roman"/>
                <w:kern w:val="0"/>
                <w:szCs w:val="21"/>
              </w:rPr>
              <w:t>积粪场</w:t>
            </w:r>
          </w:p>
        </w:tc>
        <w:tc>
          <w:tcPr>
            <w:tcW w:w="1513"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污染物排放</w:t>
            </w:r>
          </w:p>
        </w:tc>
        <w:tc>
          <w:tcPr>
            <w:tcW w:w="1239"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大气沉降</w:t>
            </w:r>
          </w:p>
        </w:tc>
        <w:tc>
          <w:tcPr>
            <w:tcW w:w="2201" w:type="dxa"/>
            <w:vAlign w:val="center"/>
          </w:tcPr>
          <w:p>
            <w:pPr>
              <w:snapToGrid w:val="0"/>
              <w:jc w:val="center"/>
              <w:rPr>
                <w:rFonts w:ascii="Times New Roman" w:hAnsi="Times New Roman"/>
                <w:kern w:val="0"/>
                <w:szCs w:val="21"/>
              </w:rPr>
            </w:pPr>
            <w:r>
              <w:rPr>
                <w:rFonts w:ascii="Times New Roman" w:hAnsi="Times New Roman"/>
                <w:kern w:val="0"/>
                <w:szCs w:val="21"/>
              </w:rPr>
              <w:t>硫化氢、氨、TSP</w:t>
            </w:r>
          </w:p>
        </w:tc>
        <w:tc>
          <w:tcPr>
            <w:tcW w:w="1926" w:type="dxa"/>
            <w:vAlign w:val="center"/>
          </w:tcPr>
          <w:p>
            <w:pPr>
              <w:snapToGrid w:val="0"/>
              <w:jc w:val="center"/>
              <w:rPr>
                <w:rFonts w:ascii="Times New Roman" w:hAnsi="Times New Roman"/>
                <w:kern w:val="0"/>
                <w:szCs w:val="21"/>
              </w:rPr>
            </w:pPr>
            <w:r>
              <w:rPr>
                <w:rFonts w:ascii="Times New Roman" w:hAnsi="Times New Roman"/>
                <w:kern w:val="0"/>
                <w:szCs w:val="21"/>
              </w:rPr>
              <w:t>/</w:t>
            </w:r>
          </w:p>
        </w:tc>
        <w:tc>
          <w:tcPr>
            <w:tcW w:w="792" w:type="dxa"/>
            <w:vMerge w:val="continue"/>
            <w:vAlign w:val="center"/>
          </w:tcPr>
          <w:p>
            <w:pPr>
              <w:snapToGrid w:val="0"/>
              <w:jc w:val="center"/>
              <w:rPr>
                <w:rFonts w:ascii="Times New Roman" w:hAnsi="Times New Roman"/>
                <w:kern w:val="0"/>
                <w:szCs w:val="21"/>
                <w:lang w:eastAsia="en-US"/>
              </w:rPr>
            </w:pPr>
          </w:p>
        </w:tc>
      </w:tr>
    </w:tbl>
    <w:p>
      <w:pPr>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结合项目主要原辅料、污染物等分析，对照</w:t>
      </w:r>
      <w:r>
        <w:rPr>
          <w:rFonts w:ascii="Times New Roman" w:hAnsi="Times New Roman"/>
          <w:sz w:val="24"/>
        </w:rPr>
        <w:t>《土壤环境质量 农用地土壤污染风险管控标准》（试行）（GB15618-2018）</w:t>
      </w:r>
      <w:r>
        <w:rPr>
          <w:rFonts w:ascii="Times New Roman" w:hAnsi="Times New Roman"/>
          <w:snapToGrid w:val="0"/>
          <w:kern w:val="0"/>
          <w:sz w:val="24"/>
        </w:rPr>
        <w:t>，本项目无土壤污染因子，因此，本次不进行大气沉降和垂直入渗的土壤环境影响预测。</w:t>
      </w:r>
    </w:p>
    <w:p>
      <w:pPr>
        <w:pStyle w:val="52"/>
        <w:tabs>
          <w:tab w:val="left" w:pos="284"/>
        </w:tabs>
        <w:snapToGrid w:val="0"/>
        <w:spacing w:before="120" w:beforeLines="50" w:after="120" w:afterLines="50" w:line="540" w:lineRule="exact"/>
        <w:contextualSpacing/>
        <w:jc w:val="left"/>
        <w:rPr>
          <w:rFonts w:cs="Times New Roman"/>
          <w:bCs w:val="0"/>
          <w:snapToGrid w:val="0"/>
          <w:kern w:val="0"/>
          <w:sz w:val="28"/>
          <w:szCs w:val="28"/>
        </w:rPr>
      </w:pPr>
      <w:bookmarkStart w:id="713" w:name="_Toc5382"/>
      <w:r>
        <w:rPr>
          <w:rFonts w:hint="eastAsia" w:cs="Times New Roman"/>
          <w:bCs w:val="0"/>
          <w:snapToGrid w:val="0"/>
          <w:kern w:val="0"/>
          <w:sz w:val="28"/>
          <w:szCs w:val="28"/>
        </w:rPr>
        <w:t>5.6.2</w:t>
      </w:r>
      <w:r>
        <w:rPr>
          <w:rFonts w:cs="Times New Roman"/>
          <w:bCs w:val="0"/>
          <w:snapToGrid w:val="0"/>
          <w:kern w:val="0"/>
          <w:sz w:val="28"/>
          <w:szCs w:val="28"/>
        </w:rPr>
        <w:t>土壤环境影响分析</w:t>
      </w:r>
      <w:bookmarkEnd w:id="713"/>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本项目运营期虽无土壤污染因子产生，</w:t>
      </w:r>
      <w:r>
        <w:rPr>
          <w:rFonts w:hint="eastAsia" w:ascii="Times New Roman" w:hAnsi="Times New Roman"/>
          <w:sz w:val="24"/>
          <w:lang w:eastAsia="zh-CN"/>
        </w:rPr>
        <w:t>积粪场</w:t>
      </w:r>
      <w:r>
        <w:rPr>
          <w:rFonts w:ascii="Times New Roman" w:hAnsi="Times New Roman"/>
          <w:sz w:val="24"/>
        </w:rPr>
        <w:t>采取硬化防渗处理，铺设2.0mmHDPE防渗膜，渗透系数不大于1.0×10</w:t>
      </w:r>
      <w:r>
        <w:rPr>
          <w:rFonts w:ascii="Times New Roman" w:hAnsi="Times New Roman"/>
          <w:sz w:val="24"/>
          <w:vertAlign w:val="superscript"/>
        </w:rPr>
        <w:t>-10</w:t>
      </w:r>
      <w:r>
        <w:rPr>
          <w:rFonts w:ascii="Times New Roman" w:hAnsi="Times New Roman"/>
          <w:sz w:val="24"/>
        </w:rPr>
        <w:t>cm/s；危险废物暂存间地面和墙裙（不低于1.0m高）硬化防渗处理，铺设2.0mmHDPE防渗膜，渗透系数不大于1.0×10</w:t>
      </w:r>
      <w:r>
        <w:rPr>
          <w:rFonts w:ascii="Times New Roman" w:hAnsi="Times New Roman"/>
          <w:sz w:val="24"/>
          <w:vertAlign w:val="superscript"/>
        </w:rPr>
        <w:t>-10</w:t>
      </w:r>
      <w:r>
        <w:rPr>
          <w:rFonts w:ascii="Times New Roman" w:hAnsi="Times New Roman"/>
          <w:sz w:val="24"/>
        </w:rPr>
        <w:t>cm/s。运营期正常情况下不会通过垂直入渗的方式进入周边土壤环境，对土壤环境影响较小。</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另外，本项目为</w:t>
      </w:r>
      <w:r>
        <w:rPr>
          <w:rFonts w:hint="eastAsia" w:ascii="Times New Roman" w:hAnsi="Times New Roman"/>
          <w:sz w:val="24"/>
        </w:rPr>
        <w:t>基础母牛</w:t>
      </w:r>
      <w:r>
        <w:rPr>
          <w:rFonts w:ascii="Times New Roman" w:hAnsi="Times New Roman"/>
          <w:sz w:val="24"/>
        </w:rPr>
        <w:t>养殖项目，牛粪经收集后送至</w:t>
      </w:r>
      <w:r>
        <w:rPr>
          <w:rFonts w:hint="eastAsia" w:ascii="Times New Roman" w:hAnsi="Times New Roman"/>
          <w:sz w:val="24"/>
        </w:rPr>
        <w:t>积粪场</w:t>
      </w:r>
      <w:r>
        <w:rPr>
          <w:rFonts w:ascii="Times New Roman" w:hAnsi="Times New Roman"/>
          <w:sz w:val="24"/>
        </w:rPr>
        <w:t>储存，避免了牛粪乱堆污染土壤。干牛粪中含有粗蛋白10%--20%，粗脂肪1%--3%，无氮浸出物20%--30%，粗纤维15%--30%，因此具有很高的养分。牛粪能蓬松土壤，改善土地板结情况，螯合土地里的微量元素，提升土壤肥力等。本项目牛粪用于农田施肥时，应合理使用轮作的耕作方式，以平衡土壤养分，调节土壤生物学性状，防止土壤养分失衡，理化性质变劣。</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因此，采取合理措施后本项目牛粪不会对土壤造成不利影响</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根据本项目的特性分析，本项目可能对土壤造成污染的途径主要有：</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hint="eastAsia" w:ascii="Times New Roman" w:hAnsi="Times New Roman" w:cs="宋体"/>
          <w:sz w:val="24"/>
        </w:rPr>
        <w:t>⑴</w:t>
      </w:r>
      <w:r>
        <w:rPr>
          <w:rFonts w:ascii="Times New Roman" w:hAnsi="Times New Roman"/>
          <w:sz w:val="24"/>
        </w:rPr>
        <w:fldChar w:fldCharType="end"/>
      </w:r>
      <w:r>
        <w:rPr>
          <w:rFonts w:ascii="Times New Roman" w:hAnsi="Times New Roman"/>
          <w:sz w:val="24"/>
        </w:rPr>
        <w:t>大气污染型:污染物质来源于被污染的大气，它们降落到地表可破坏土壤肥力与生态系统的平衡，各种大气飘尘等降落地面，会造成土壤的污染。</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hint="eastAsia" w:ascii="Times New Roman" w:hAnsi="Times New Roman" w:cs="宋体"/>
          <w:sz w:val="24"/>
        </w:rPr>
        <w:t>⑵</w:t>
      </w:r>
      <w:r>
        <w:rPr>
          <w:rFonts w:ascii="Times New Roman" w:hAnsi="Times New Roman"/>
          <w:sz w:val="24"/>
        </w:rPr>
        <w:fldChar w:fldCharType="end"/>
      </w:r>
      <w:r>
        <w:rPr>
          <w:rFonts w:ascii="Times New Roman" w:hAnsi="Times New Roman"/>
          <w:sz w:val="24"/>
        </w:rPr>
        <w:t>固体废物污染型:项目生活垃圾、生产残渣以及医疗垃圾等在运输、贮存过程中通过扩散、降水淋洗等直接或间接地影响土壤。</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3 \* GB2 \* MERGEFORMAT </w:instrText>
      </w:r>
      <w:r>
        <w:rPr>
          <w:rFonts w:ascii="Times New Roman" w:hAnsi="Times New Roman"/>
          <w:sz w:val="24"/>
        </w:rPr>
        <w:fldChar w:fldCharType="separate"/>
      </w:r>
      <w:r>
        <w:rPr>
          <w:rFonts w:hint="eastAsia" w:ascii="Times New Roman" w:hAnsi="Times New Roman" w:cs="宋体"/>
          <w:sz w:val="24"/>
        </w:rPr>
        <w:t>⑶</w:t>
      </w:r>
      <w:r>
        <w:rPr>
          <w:rFonts w:ascii="Times New Roman" w:hAnsi="Times New Roman"/>
          <w:sz w:val="24"/>
        </w:rPr>
        <w:fldChar w:fldCharType="end"/>
      </w:r>
      <w:r>
        <w:rPr>
          <w:rFonts w:ascii="Times New Roman" w:hAnsi="Times New Roman"/>
          <w:sz w:val="24"/>
        </w:rPr>
        <w:t>针对以上土壤污染途径，建设单位应采取以下污染防治措施：</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GB3 \* MERGEFORMAT </w:instrText>
      </w:r>
      <w:r>
        <w:rPr>
          <w:rFonts w:ascii="Times New Roman" w:hAnsi="Times New Roman"/>
          <w:sz w:val="24"/>
        </w:rPr>
        <w:fldChar w:fldCharType="separate"/>
      </w:r>
      <w:r>
        <w:rPr>
          <w:rFonts w:hint="eastAsia" w:ascii="Times New Roman" w:hAnsi="Times New Roman" w:cs="宋体"/>
          <w:sz w:val="24"/>
        </w:rPr>
        <w:t>①</w:t>
      </w:r>
      <w:r>
        <w:rPr>
          <w:rFonts w:ascii="Times New Roman" w:hAnsi="Times New Roman"/>
          <w:sz w:val="24"/>
        </w:rPr>
        <w:fldChar w:fldCharType="end"/>
      </w:r>
      <w:r>
        <w:rPr>
          <w:rFonts w:ascii="Times New Roman" w:hAnsi="Times New Roman"/>
          <w:sz w:val="24"/>
        </w:rPr>
        <w:t>加强环保管理，确保废气污染物达标排放。全场</w:t>
      </w:r>
      <w:r>
        <w:rPr>
          <w:rFonts w:hint="eastAsia" w:ascii="Times New Roman" w:hAnsi="Times New Roman"/>
          <w:sz w:val="24"/>
          <w:lang w:eastAsia="zh-CN"/>
        </w:rPr>
        <w:t>固体废物</w:t>
      </w:r>
      <w:r>
        <w:rPr>
          <w:rFonts w:ascii="Times New Roman" w:hAnsi="Times New Roman"/>
          <w:sz w:val="24"/>
        </w:rPr>
        <w:t>分类收集，储存期间严格按照相应储存要求，设置专用的储存场所，在</w:t>
      </w:r>
      <w:r>
        <w:rPr>
          <w:rFonts w:hint="eastAsia" w:ascii="Times New Roman" w:hAnsi="Times New Roman"/>
          <w:sz w:val="24"/>
          <w:lang w:eastAsia="zh-CN"/>
        </w:rPr>
        <w:t>固体废物</w:t>
      </w:r>
      <w:r>
        <w:rPr>
          <w:rFonts w:ascii="Times New Roman" w:hAnsi="Times New Roman"/>
          <w:sz w:val="24"/>
        </w:rPr>
        <w:t>的收集运输等过程，注意防止洒落并及时清扫。</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GB3 \* MERGEFORMAT </w:instrText>
      </w:r>
      <w:r>
        <w:rPr>
          <w:rFonts w:ascii="Times New Roman" w:hAnsi="Times New Roman"/>
          <w:sz w:val="24"/>
        </w:rPr>
        <w:fldChar w:fldCharType="separate"/>
      </w:r>
      <w:r>
        <w:rPr>
          <w:rFonts w:hint="eastAsia" w:ascii="Times New Roman" w:hAnsi="Times New Roman" w:cs="宋体"/>
          <w:sz w:val="24"/>
        </w:rPr>
        <w:t>②</w:t>
      </w:r>
      <w:r>
        <w:rPr>
          <w:rFonts w:ascii="Times New Roman" w:hAnsi="Times New Roman"/>
          <w:sz w:val="24"/>
        </w:rPr>
        <w:fldChar w:fldCharType="end"/>
      </w:r>
      <w:r>
        <w:rPr>
          <w:rFonts w:ascii="Times New Roman" w:hAnsi="Times New Roman"/>
          <w:sz w:val="24"/>
        </w:rPr>
        <w:t>好对设备的维护、检修，切实杜绝“跑、冒、滴、漏"现象发生，同时，应加强关键部位的安全防护、报警措施，以便及时发现事故隐患，采取有效的应对措施以防事故的发生。</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3 \* GB3 \* MERGEFORMAT </w:instrText>
      </w:r>
      <w:r>
        <w:rPr>
          <w:rFonts w:ascii="Times New Roman" w:hAnsi="Times New Roman"/>
          <w:sz w:val="24"/>
        </w:rPr>
        <w:fldChar w:fldCharType="separate"/>
      </w:r>
      <w:r>
        <w:rPr>
          <w:rFonts w:hint="eastAsia" w:ascii="Times New Roman" w:hAnsi="Times New Roman" w:cs="宋体"/>
          <w:sz w:val="24"/>
        </w:rPr>
        <w:t>③</w:t>
      </w:r>
      <w:r>
        <w:rPr>
          <w:rFonts w:ascii="Times New Roman" w:hAnsi="Times New Roman"/>
          <w:sz w:val="24"/>
        </w:rPr>
        <w:fldChar w:fldCharType="end"/>
      </w:r>
      <w:r>
        <w:rPr>
          <w:rFonts w:ascii="Times New Roman" w:hAnsi="Times New Roman"/>
          <w:sz w:val="24"/>
        </w:rPr>
        <w:t>项目</w:t>
      </w:r>
      <w:r>
        <w:rPr>
          <w:rFonts w:hint="eastAsia" w:ascii="Times New Roman" w:hAnsi="Times New Roman"/>
          <w:sz w:val="24"/>
          <w:lang w:eastAsia="zh-CN"/>
        </w:rPr>
        <w:t>积粪场</w:t>
      </w:r>
      <w:r>
        <w:rPr>
          <w:rFonts w:ascii="Times New Roman" w:hAnsi="Times New Roman"/>
          <w:sz w:val="24"/>
        </w:rPr>
        <w:t>、</w:t>
      </w:r>
      <w:r>
        <w:rPr>
          <w:rFonts w:hint="eastAsia" w:ascii="Times New Roman" w:hAnsi="Times New Roman"/>
          <w:sz w:val="24"/>
          <w:lang w:eastAsia="zh-CN"/>
        </w:rPr>
        <w:t>固体废物</w:t>
      </w:r>
      <w:r>
        <w:rPr>
          <w:rFonts w:ascii="Times New Roman" w:hAnsi="Times New Roman"/>
          <w:sz w:val="24"/>
        </w:rPr>
        <w:t>储存场所等均应做好防渗措施，场区主要地面采取硬化等措施，控制污水下渗，减少土壤污染。</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4 \* GB2 \* MERGEFORMAT </w:instrText>
      </w:r>
      <w:r>
        <w:rPr>
          <w:rFonts w:ascii="Times New Roman" w:hAnsi="Times New Roman"/>
          <w:sz w:val="24"/>
        </w:rPr>
        <w:fldChar w:fldCharType="separate"/>
      </w:r>
      <w:r>
        <w:rPr>
          <w:rFonts w:hint="eastAsia" w:ascii="Times New Roman" w:hAnsi="Times New Roman" w:cs="宋体"/>
        </w:rPr>
        <w:t>⑷</w:t>
      </w:r>
      <w:r>
        <w:rPr>
          <w:rFonts w:ascii="Times New Roman" w:hAnsi="Times New Roman"/>
          <w:sz w:val="24"/>
        </w:rPr>
        <w:fldChar w:fldCharType="end"/>
      </w:r>
      <w:r>
        <w:rPr>
          <w:rFonts w:ascii="Times New Roman" w:hAnsi="Times New Roman"/>
          <w:sz w:val="24"/>
        </w:rPr>
        <w:t>做好生产区，粪污堆放及防渗措施。</w:t>
      </w:r>
    </w:p>
    <w:p>
      <w:pPr>
        <w:pStyle w:val="43"/>
        <w:adjustRightInd w:val="0"/>
        <w:snapToGrid w:val="0"/>
        <w:spacing w:line="540" w:lineRule="exact"/>
        <w:rPr>
          <w:szCs w:val="20"/>
        </w:rPr>
      </w:pPr>
      <w:r>
        <w:rPr>
          <w:szCs w:val="20"/>
        </w:rPr>
        <w:t>根据本项目的特性分析，本项目可能对土壤造成污染的途径主要有：</w:t>
      </w:r>
      <w:r>
        <w:rPr>
          <w:rFonts w:hint="eastAsia"/>
          <w:szCs w:val="20"/>
          <w:lang w:eastAsia="zh-CN"/>
        </w:rPr>
        <w:t>固体废物</w:t>
      </w:r>
      <w:r>
        <w:rPr>
          <w:szCs w:val="20"/>
        </w:rPr>
        <w:t>、污水泄漏在地面，对土壤造成的污染。</w:t>
      </w:r>
    </w:p>
    <w:p>
      <w:pPr>
        <w:pStyle w:val="43"/>
        <w:adjustRightInd w:val="0"/>
        <w:snapToGrid w:val="0"/>
        <w:spacing w:line="540" w:lineRule="exact"/>
        <w:rPr>
          <w:szCs w:val="20"/>
        </w:rPr>
      </w:pPr>
      <w:r>
        <w:rPr>
          <w:szCs w:val="20"/>
        </w:rPr>
        <w:t>针对以上土壤污染途径，建设单位应采取以下污染防治措施：</w:t>
      </w:r>
    </w:p>
    <w:p>
      <w:pPr>
        <w:pStyle w:val="43"/>
        <w:adjustRightInd w:val="0"/>
        <w:snapToGrid w:val="0"/>
        <w:spacing w:line="540" w:lineRule="exact"/>
        <w:rPr>
          <w:szCs w:val="20"/>
        </w:rPr>
      </w:pPr>
      <w:r>
        <w:rPr>
          <w:szCs w:val="20"/>
        </w:rPr>
        <w:t>⑴加强环保管理，确保废气污染物达标排放。全厂</w:t>
      </w:r>
      <w:r>
        <w:rPr>
          <w:rFonts w:hint="eastAsia"/>
          <w:szCs w:val="20"/>
          <w:lang w:eastAsia="zh-CN"/>
        </w:rPr>
        <w:t>固体废物</w:t>
      </w:r>
      <w:r>
        <w:rPr>
          <w:szCs w:val="20"/>
        </w:rPr>
        <w:t>分类收集，储存期间严格按照相应储存要求，设置专用的储存场所，在</w:t>
      </w:r>
      <w:r>
        <w:rPr>
          <w:rFonts w:hint="eastAsia"/>
          <w:szCs w:val="20"/>
          <w:lang w:eastAsia="zh-CN"/>
        </w:rPr>
        <w:t>固体废物</w:t>
      </w:r>
      <w:r>
        <w:rPr>
          <w:szCs w:val="20"/>
        </w:rPr>
        <w:t>的收集运输等过程，注意防止洒落并及时清扫。</w:t>
      </w:r>
      <w:r>
        <w:rPr>
          <w:rFonts w:hint="eastAsia"/>
          <w:szCs w:val="20"/>
          <w:lang w:eastAsia="zh-CN"/>
        </w:rPr>
        <w:t>固体废物</w:t>
      </w:r>
      <w:r>
        <w:rPr>
          <w:szCs w:val="20"/>
        </w:rPr>
        <w:t>储存期间，尽可能采用内衬型编织袋装存，防止渗漏。</w:t>
      </w:r>
    </w:p>
    <w:p>
      <w:pPr>
        <w:pStyle w:val="43"/>
        <w:adjustRightInd w:val="0"/>
        <w:snapToGrid w:val="0"/>
        <w:spacing w:line="540" w:lineRule="exact"/>
        <w:rPr>
          <w:szCs w:val="20"/>
        </w:rPr>
      </w:pPr>
      <w:r>
        <w:rPr>
          <w:szCs w:val="20"/>
        </w:rPr>
        <w:t>⑵项目废水收集设施、</w:t>
      </w:r>
      <w:r>
        <w:rPr>
          <w:rFonts w:hint="eastAsia"/>
          <w:szCs w:val="20"/>
          <w:lang w:eastAsia="zh-CN"/>
        </w:rPr>
        <w:t>固体废物</w:t>
      </w:r>
      <w:r>
        <w:rPr>
          <w:szCs w:val="20"/>
        </w:rPr>
        <w:t>储存场所等均应做好防渗措施，厂区主要地面采取硬化等措施，控制污水泄漏，减少土壤污染。</w:t>
      </w:r>
    </w:p>
    <w:p>
      <w:pPr>
        <w:pStyle w:val="43"/>
        <w:adjustRightInd w:val="0"/>
        <w:snapToGrid w:val="0"/>
        <w:spacing w:line="540" w:lineRule="exact"/>
        <w:rPr>
          <w:szCs w:val="20"/>
        </w:rPr>
      </w:pPr>
      <w:r>
        <w:rPr>
          <w:szCs w:val="20"/>
        </w:rPr>
        <w:t>建设项目土壤环境影响评价自查表详见表5.6-3。</w:t>
      </w:r>
    </w:p>
    <w:p>
      <w:pPr>
        <w:pStyle w:val="66"/>
        <w:spacing w:line="240" w:lineRule="auto"/>
        <w:rPr>
          <w:rFonts w:ascii="Times New Roman" w:hAnsi="Times New Roman" w:eastAsia="宋体"/>
          <w:b/>
          <w:snapToGrid w:val="0"/>
        </w:rPr>
      </w:pPr>
    </w:p>
    <w:p>
      <w:pPr>
        <w:pStyle w:val="66"/>
        <w:spacing w:line="240" w:lineRule="auto"/>
        <w:rPr>
          <w:rFonts w:ascii="Times New Roman" w:hAnsi="Times New Roman" w:eastAsia="宋体"/>
          <w:b/>
          <w:snapToGrid w:val="0"/>
        </w:rPr>
      </w:pPr>
    </w:p>
    <w:p>
      <w:pPr>
        <w:pStyle w:val="66"/>
        <w:spacing w:line="240" w:lineRule="auto"/>
        <w:rPr>
          <w:rFonts w:ascii="Times New Roman" w:hAnsi="Times New Roman" w:eastAsia="宋体"/>
          <w:b/>
          <w:snapToGrid w:val="0"/>
        </w:rPr>
      </w:pPr>
    </w:p>
    <w:p>
      <w:pPr>
        <w:pStyle w:val="66"/>
        <w:spacing w:line="240" w:lineRule="auto"/>
        <w:rPr>
          <w:rFonts w:ascii="Times New Roman" w:hAnsi="Times New Roman" w:eastAsia="宋体"/>
          <w:b/>
          <w:snapToGrid w:val="0"/>
        </w:rPr>
      </w:pPr>
    </w:p>
    <w:p>
      <w:pPr>
        <w:pStyle w:val="66"/>
        <w:spacing w:line="240" w:lineRule="auto"/>
        <w:rPr>
          <w:rFonts w:ascii="Times New Roman" w:hAnsi="Times New Roman" w:eastAsia="宋体"/>
          <w:b/>
          <w:snapToGrid w:val="0"/>
        </w:rPr>
      </w:pPr>
    </w:p>
    <w:p>
      <w:pPr>
        <w:pStyle w:val="66"/>
        <w:spacing w:line="240" w:lineRule="auto"/>
        <w:rPr>
          <w:rFonts w:ascii="Times New Roman" w:hAnsi="Times New Roman" w:eastAsia="宋体"/>
          <w:b/>
          <w:snapToGrid w:val="0"/>
        </w:rPr>
      </w:pPr>
    </w:p>
    <w:p>
      <w:pPr>
        <w:pStyle w:val="66"/>
        <w:spacing w:line="240" w:lineRule="auto"/>
        <w:rPr>
          <w:rFonts w:ascii="Times New Roman" w:hAnsi="Times New Roman" w:eastAsia="宋体"/>
          <w:b/>
          <w:snapToGrid w:val="0"/>
        </w:rPr>
      </w:pPr>
    </w:p>
    <w:p>
      <w:pPr>
        <w:pStyle w:val="66"/>
        <w:spacing w:line="240" w:lineRule="auto"/>
        <w:rPr>
          <w:rFonts w:ascii="Times New Roman" w:hAnsi="Times New Roman" w:eastAsia="宋体"/>
          <w:b/>
          <w:snapToGrid w:val="0"/>
        </w:rPr>
      </w:pPr>
      <w:r>
        <w:rPr>
          <w:rFonts w:ascii="Times New Roman" w:hAnsi="Times New Roman" w:eastAsia="宋体"/>
          <w:b/>
          <w:snapToGrid w:val="0"/>
        </w:rPr>
        <w:t>表</w:t>
      </w:r>
      <w:r>
        <w:rPr>
          <w:rFonts w:hint="eastAsia" w:ascii="Times New Roman" w:hAnsi="Times New Roman" w:eastAsia="宋体"/>
          <w:b/>
          <w:snapToGrid w:val="0"/>
        </w:rPr>
        <w:t>5.6-3</w:t>
      </w:r>
      <w:r>
        <w:rPr>
          <w:rFonts w:ascii="Times New Roman" w:hAnsi="Times New Roman" w:eastAsia="宋体"/>
          <w:b/>
          <w:snapToGrid w:val="0"/>
        </w:rPr>
        <w:t xml:space="preserve">    </w:t>
      </w:r>
      <w:r>
        <w:rPr>
          <w:rFonts w:hint="eastAsia" w:ascii="Times New Roman" w:hAnsi="Times New Roman" w:eastAsia="宋体"/>
          <w:b/>
          <w:snapToGrid w:val="0"/>
          <w:lang w:eastAsia="zh-CN"/>
        </w:rPr>
        <w:t>建设项目</w:t>
      </w:r>
      <w:r>
        <w:rPr>
          <w:rFonts w:ascii="Times New Roman" w:hAnsi="Times New Roman" w:eastAsia="宋体"/>
          <w:b/>
          <w:snapToGrid w:val="0"/>
        </w:rPr>
        <w:t>土壤环境影响评价自查表</w:t>
      </w:r>
    </w:p>
    <w:tbl>
      <w:tblPr>
        <w:tblStyle w:val="29"/>
        <w:tblW w:w="907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21"/>
        <w:gridCol w:w="1657"/>
        <w:gridCol w:w="1164"/>
        <w:gridCol w:w="1496"/>
        <w:gridCol w:w="1585"/>
        <w:gridCol w:w="273"/>
        <w:gridCol w:w="1149"/>
        <w:gridCol w:w="112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63" w:type="dxa"/>
            <w:gridSpan w:val="2"/>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工作内容</w:t>
            </w:r>
          </w:p>
        </w:tc>
        <w:tc>
          <w:tcPr>
            <w:tcW w:w="5632" w:type="dxa"/>
            <w:gridSpan w:val="5"/>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完成情况</w:t>
            </w:r>
          </w:p>
        </w:tc>
        <w:tc>
          <w:tcPr>
            <w:tcW w:w="1119" w:type="dxa"/>
            <w:vAlign w:val="center"/>
          </w:tcPr>
          <w:p>
            <w:pPr>
              <w:snapToGrid w:val="0"/>
              <w:jc w:val="center"/>
              <w:rPr>
                <w:rFonts w:ascii="Times New Roman" w:hAnsi="Times New Roman"/>
                <w:bCs/>
                <w:kern w:val="0"/>
                <w:szCs w:val="21"/>
                <w:lang w:eastAsia="en-US"/>
              </w:rPr>
            </w:pPr>
            <w:r>
              <w:rPr>
                <w:rFonts w:ascii="Times New Roman" w:hAnsi="Times New Roman"/>
                <w:bCs/>
                <w:kern w:val="0"/>
                <w:szCs w:val="21"/>
                <w:lang w:eastAsia="en-US"/>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restart"/>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影响识别</w:t>
            </w: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影响类型</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污染影响型</w:t>
            </w:r>
            <w:r>
              <w:rPr>
                <w:rFonts w:ascii="Times New Roman" w:hAnsi="Times New Roman" w:cs="Segoe UI Emoji"/>
                <w:kern w:val="0"/>
                <w:szCs w:val="21"/>
              </w:rPr>
              <w:t>☑</w:t>
            </w:r>
            <w:r>
              <w:rPr>
                <w:rFonts w:ascii="Times New Roman" w:hAnsi="Times New Roman"/>
                <w:kern w:val="0"/>
                <w:szCs w:val="21"/>
              </w:rPr>
              <w:t>；生态影响型□；两种兼有□</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土地利用类型</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建设用地</w:t>
            </w:r>
            <w:r>
              <w:rPr>
                <w:rFonts w:hint="eastAsia" w:ascii="Times New Roman" w:hAnsi="Times New Roman"/>
                <w:kern w:val="0"/>
                <w:szCs w:val="21"/>
                <w:lang w:eastAsia="zh-CN"/>
              </w:rPr>
              <w:t>☑</w:t>
            </w:r>
            <w:r>
              <w:rPr>
                <w:rFonts w:ascii="Times New Roman" w:hAnsi="Times New Roman"/>
                <w:kern w:val="0"/>
                <w:szCs w:val="21"/>
              </w:rPr>
              <w:t>；农用地</w:t>
            </w:r>
            <w:r>
              <w:rPr>
                <w:rFonts w:ascii="Times New Roman" w:hAnsi="Times New Roman" w:cs="Segoe UI Emoji"/>
                <w:kern w:val="0"/>
                <w:szCs w:val="21"/>
              </w:rPr>
              <w:t>☑</w:t>
            </w:r>
            <w:r>
              <w:rPr>
                <w:rFonts w:ascii="Times New Roman" w:hAnsi="Times New Roman"/>
                <w:kern w:val="0"/>
                <w:szCs w:val="21"/>
              </w:rPr>
              <w:t>；未利用地□</w:t>
            </w:r>
          </w:p>
        </w:tc>
        <w:tc>
          <w:tcPr>
            <w:tcW w:w="1119"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土地利用类</w:t>
            </w:r>
          </w:p>
          <w:p>
            <w:pPr>
              <w:snapToGrid w:val="0"/>
              <w:jc w:val="center"/>
              <w:rPr>
                <w:rFonts w:ascii="Times New Roman" w:hAnsi="Times New Roman"/>
                <w:kern w:val="0"/>
                <w:szCs w:val="21"/>
                <w:lang w:eastAsia="en-US"/>
              </w:rPr>
            </w:pPr>
            <w:r>
              <w:rPr>
                <w:rFonts w:ascii="Times New Roman" w:hAnsi="Times New Roman"/>
                <w:kern w:val="0"/>
                <w:szCs w:val="21"/>
                <w:lang w:eastAsia="en-US"/>
              </w:rPr>
              <w:t>型图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占地规模</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lang w:eastAsia="en-US"/>
              </w:rPr>
              <w:t>（</w:t>
            </w:r>
            <w:r>
              <w:rPr>
                <w:rFonts w:hint="eastAsia" w:ascii="Times New Roman" w:hAnsi="Times New Roman"/>
                <w:bCs/>
                <w:szCs w:val="21"/>
              </w:rPr>
              <w:t>3.14324</w:t>
            </w:r>
            <w:r>
              <w:rPr>
                <w:rFonts w:ascii="Times New Roman" w:hAnsi="Times New Roman"/>
                <w:kern w:val="0"/>
                <w:szCs w:val="21"/>
                <w:lang w:eastAsia="en-US"/>
              </w:rPr>
              <w:t>）hm</w:t>
            </w:r>
            <w:r>
              <w:rPr>
                <w:rFonts w:ascii="Times New Roman" w:hAnsi="Times New Roman"/>
                <w:kern w:val="0"/>
                <w:szCs w:val="21"/>
                <w:vertAlign w:val="superscript"/>
              </w:rPr>
              <w:t>2</w:t>
            </w:r>
          </w:p>
        </w:tc>
        <w:tc>
          <w:tcPr>
            <w:tcW w:w="1119" w:type="dxa"/>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敏感目标信息</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敏感目标（无）、方位（ 无 ）、距离（ 无 ）</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影响途径</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大气沉降</w:t>
            </w:r>
            <w:r>
              <w:rPr>
                <w:rFonts w:ascii="Times New Roman" w:hAnsi="Times New Roman" w:cs="Segoe UI Emoji"/>
                <w:kern w:val="0"/>
                <w:szCs w:val="21"/>
              </w:rPr>
              <w:t>☑</w:t>
            </w:r>
            <w:r>
              <w:rPr>
                <w:rFonts w:ascii="Times New Roman" w:hAnsi="Times New Roman"/>
                <w:kern w:val="0"/>
                <w:szCs w:val="21"/>
              </w:rPr>
              <w:t>；地面漫流□；垂直入渗</w:t>
            </w:r>
            <w:r>
              <w:rPr>
                <w:rFonts w:ascii="Times New Roman" w:hAnsi="Times New Roman" w:cs="Segoe UI Emoji"/>
                <w:kern w:val="0"/>
                <w:szCs w:val="21"/>
              </w:rPr>
              <w:t>☑</w:t>
            </w:r>
            <w:r>
              <w:rPr>
                <w:rFonts w:ascii="Times New Roman" w:hAnsi="Times New Roman"/>
                <w:kern w:val="0"/>
                <w:szCs w:val="21"/>
              </w:rPr>
              <w:t>；地下水位□；其他（）</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全部污染物</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特征因子</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rPr>
            </w:pPr>
          </w:p>
        </w:tc>
        <w:tc>
          <w:tcPr>
            <w:tcW w:w="1647" w:type="dxa"/>
            <w:vAlign w:val="center"/>
          </w:tcPr>
          <w:p>
            <w:pPr>
              <w:snapToGrid w:val="0"/>
              <w:jc w:val="center"/>
              <w:rPr>
                <w:rFonts w:ascii="Times New Roman" w:hAnsi="Times New Roman"/>
                <w:kern w:val="0"/>
                <w:szCs w:val="21"/>
              </w:rPr>
            </w:pPr>
            <w:r>
              <w:rPr>
                <w:rFonts w:ascii="Times New Roman" w:hAnsi="Times New Roman"/>
                <w:kern w:val="0"/>
                <w:szCs w:val="21"/>
              </w:rPr>
              <w:t>所属土壤环境影响评价项目类别</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Ⅰ类□；Ⅱ类□；Ⅲ类</w:t>
            </w:r>
            <w:r>
              <w:rPr>
                <w:rFonts w:hint="eastAsia" w:ascii="Times New Roman" w:hAnsi="Times New Roman"/>
                <w:kern w:val="0"/>
                <w:szCs w:val="21"/>
              </w:rPr>
              <w:t>☑</w:t>
            </w:r>
            <w:r>
              <w:rPr>
                <w:rFonts w:ascii="Times New Roman" w:hAnsi="Times New Roman"/>
                <w:kern w:val="0"/>
                <w:szCs w:val="21"/>
              </w:rPr>
              <w:t>；Ⅳ类□</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敏感程度</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敏感□；较敏感□；不敏感</w:t>
            </w:r>
            <w:r>
              <w:rPr>
                <w:rFonts w:hint="eastAsia" w:ascii="Times New Roman" w:hAnsi="Times New Roman"/>
                <w:kern w:val="0"/>
                <w:szCs w:val="21"/>
              </w:rPr>
              <w:t>☑</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63" w:type="dxa"/>
            <w:gridSpan w:val="2"/>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评价工作等级</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一级□；二级□；三级</w:t>
            </w:r>
            <w:r>
              <w:rPr>
                <w:rFonts w:hint="eastAsia" w:ascii="Times New Roman" w:hAnsi="Times New Roman"/>
                <w:kern w:val="0"/>
                <w:szCs w:val="21"/>
              </w:rPr>
              <w:t>☑</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restart"/>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现状调查内容</w:t>
            </w: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资料收集</w:t>
            </w:r>
          </w:p>
        </w:tc>
        <w:tc>
          <w:tcPr>
            <w:tcW w:w="5632" w:type="dxa"/>
            <w:gridSpan w:val="5"/>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a）</w:t>
            </w:r>
            <w:r>
              <w:rPr>
                <w:rFonts w:ascii="Times New Roman" w:hAnsi="Times New Roman"/>
                <w:kern w:val="0"/>
                <w:szCs w:val="21"/>
              </w:rPr>
              <w:t></w:t>
            </w:r>
            <w:r>
              <w:rPr>
                <w:rFonts w:ascii="Times New Roman" w:hAnsi="Times New Roman"/>
                <w:kern w:val="0"/>
                <w:szCs w:val="21"/>
                <w:lang w:eastAsia="en-US"/>
              </w:rPr>
              <w:t>；b）</w:t>
            </w:r>
            <w:r>
              <w:rPr>
                <w:rFonts w:ascii="Times New Roman" w:hAnsi="Times New Roman"/>
                <w:kern w:val="0"/>
                <w:szCs w:val="21"/>
              </w:rPr>
              <w:t></w:t>
            </w:r>
            <w:r>
              <w:rPr>
                <w:rFonts w:ascii="Times New Roman" w:hAnsi="Times New Roman"/>
                <w:kern w:val="0"/>
                <w:szCs w:val="21"/>
                <w:lang w:eastAsia="en-US"/>
              </w:rPr>
              <w:t>；c）</w:t>
            </w:r>
            <w:r>
              <w:rPr>
                <w:rFonts w:ascii="Times New Roman" w:hAnsi="Times New Roman"/>
                <w:kern w:val="0"/>
                <w:szCs w:val="21"/>
              </w:rPr>
              <w:t></w:t>
            </w:r>
            <w:r>
              <w:rPr>
                <w:rFonts w:ascii="Times New Roman" w:hAnsi="Times New Roman"/>
                <w:kern w:val="0"/>
                <w:szCs w:val="21"/>
                <w:lang w:eastAsia="en-US"/>
              </w:rPr>
              <w:t>；d）</w:t>
            </w:r>
            <w:r>
              <w:rPr>
                <w:rFonts w:ascii="Times New Roman" w:hAnsi="Times New Roman"/>
                <w:kern w:val="0"/>
                <w:szCs w:val="21"/>
              </w:rPr>
              <w:t></w:t>
            </w:r>
          </w:p>
        </w:tc>
        <w:tc>
          <w:tcPr>
            <w:tcW w:w="1119" w:type="dxa"/>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理化特性</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c1</w:t>
            </w:r>
          </w:p>
        </w:tc>
        <w:tc>
          <w:tcPr>
            <w:tcW w:w="1119"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同附录 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Merge w:val="restart"/>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现状监测点位</w:t>
            </w:r>
          </w:p>
        </w:tc>
        <w:tc>
          <w:tcPr>
            <w:tcW w:w="1157" w:type="dxa"/>
            <w:vAlign w:val="center"/>
          </w:tcPr>
          <w:p>
            <w:pPr>
              <w:snapToGrid w:val="0"/>
              <w:jc w:val="center"/>
              <w:rPr>
                <w:rFonts w:ascii="Times New Roman" w:hAnsi="Times New Roman"/>
                <w:kern w:val="0"/>
                <w:szCs w:val="21"/>
                <w:lang w:eastAsia="en-US"/>
              </w:rPr>
            </w:pPr>
          </w:p>
        </w:tc>
        <w:tc>
          <w:tcPr>
            <w:tcW w:w="148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占地范围内</w:t>
            </w:r>
          </w:p>
        </w:tc>
        <w:tc>
          <w:tcPr>
            <w:tcW w:w="1846" w:type="dxa"/>
            <w:gridSpan w:val="2"/>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占地范围外</w:t>
            </w:r>
          </w:p>
        </w:tc>
        <w:tc>
          <w:tcPr>
            <w:tcW w:w="1142"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深度</w:t>
            </w:r>
          </w:p>
        </w:tc>
        <w:tc>
          <w:tcPr>
            <w:tcW w:w="1119" w:type="dxa"/>
            <w:vMerge w:val="restart"/>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点位布置图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Merge w:val="continue"/>
            <w:vAlign w:val="center"/>
          </w:tcPr>
          <w:p>
            <w:pPr>
              <w:snapToGrid w:val="0"/>
              <w:jc w:val="center"/>
              <w:rPr>
                <w:rFonts w:ascii="Times New Roman" w:hAnsi="Times New Roman"/>
                <w:kern w:val="0"/>
                <w:szCs w:val="21"/>
                <w:lang w:eastAsia="en-US"/>
              </w:rPr>
            </w:pPr>
          </w:p>
        </w:tc>
        <w:tc>
          <w:tcPr>
            <w:tcW w:w="115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表层样点数</w:t>
            </w:r>
          </w:p>
        </w:tc>
        <w:tc>
          <w:tcPr>
            <w:tcW w:w="1487" w:type="dxa"/>
            <w:vAlign w:val="center"/>
          </w:tcPr>
          <w:p>
            <w:pPr>
              <w:snapToGrid w:val="0"/>
              <w:jc w:val="center"/>
              <w:rPr>
                <w:rFonts w:ascii="Times New Roman" w:hAnsi="Times New Roman"/>
                <w:kern w:val="0"/>
                <w:szCs w:val="21"/>
              </w:rPr>
            </w:pPr>
            <w:r>
              <w:rPr>
                <w:rFonts w:ascii="Times New Roman" w:hAnsi="Times New Roman"/>
                <w:kern w:val="0"/>
                <w:szCs w:val="21"/>
              </w:rPr>
              <w:t>3</w:t>
            </w:r>
          </w:p>
        </w:tc>
        <w:tc>
          <w:tcPr>
            <w:tcW w:w="1846" w:type="dxa"/>
            <w:gridSpan w:val="2"/>
            <w:vAlign w:val="center"/>
          </w:tcPr>
          <w:p>
            <w:pPr>
              <w:snapToGrid w:val="0"/>
              <w:jc w:val="center"/>
              <w:rPr>
                <w:rFonts w:ascii="Times New Roman" w:hAnsi="Times New Roman"/>
                <w:kern w:val="0"/>
                <w:szCs w:val="21"/>
              </w:rPr>
            </w:pPr>
            <w:r>
              <w:rPr>
                <w:rFonts w:ascii="Times New Roman" w:hAnsi="Times New Roman"/>
                <w:kern w:val="0"/>
                <w:szCs w:val="21"/>
              </w:rPr>
              <w:t>0</w:t>
            </w:r>
          </w:p>
        </w:tc>
        <w:tc>
          <w:tcPr>
            <w:tcW w:w="1142" w:type="dxa"/>
            <w:vAlign w:val="center"/>
          </w:tcPr>
          <w:p>
            <w:pPr>
              <w:snapToGrid w:val="0"/>
              <w:jc w:val="center"/>
              <w:rPr>
                <w:rFonts w:ascii="Times New Roman" w:hAnsi="Times New Roman"/>
                <w:kern w:val="0"/>
                <w:szCs w:val="21"/>
              </w:rPr>
            </w:pPr>
            <w:r>
              <w:rPr>
                <w:rFonts w:ascii="Times New Roman" w:hAnsi="Times New Roman"/>
                <w:kern w:val="0"/>
                <w:szCs w:val="21"/>
              </w:rPr>
              <w:t>0~20cm</w:t>
            </w:r>
          </w:p>
        </w:tc>
        <w:tc>
          <w:tcPr>
            <w:tcW w:w="1119" w:type="dxa"/>
            <w:vMerge w:val="continue"/>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Merge w:val="continue"/>
            <w:vAlign w:val="center"/>
          </w:tcPr>
          <w:p>
            <w:pPr>
              <w:snapToGrid w:val="0"/>
              <w:jc w:val="center"/>
              <w:rPr>
                <w:rFonts w:ascii="Times New Roman" w:hAnsi="Times New Roman"/>
                <w:kern w:val="0"/>
                <w:szCs w:val="21"/>
                <w:lang w:eastAsia="en-US"/>
              </w:rPr>
            </w:pPr>
          </w:p>
        </w:tc>
        <w:tc>
          <w:tcPr>
            <w:tcW w:w="115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柱状样点数</w:t>
            </w:r>
          </w:p>
        </w:tc>
        <w:tc>
          <w:tcPr>
            <w:tcW w:w="1487" w:type="dxa"/>
            <w:vAlign w:val="center"/>
          </w:tcPr>
          <w:p>
            <w:pPr>
              <w:snapToGrid w:val="0"/>
              <w:jc w:val="center"/>
              <w:rPr>
                <w:rFonts w:ascii="Times New Roman" w:hAnsi="Times New Roman"/>
                <w:kern w:val="0"/>
                <w:szCs w:val="21"/>
              </w:rPr>
            </w:pPr>
            <w:r>
              <w:rPr>
                <w:rFonts w:ascii="Times New Roman" w:hAnsi="Times New Roman"/>
                <w:kern w:val="0"/>
                <w:szCs w:val="21"/>
              </w:rPr>
              <w:t>0</w:t>
            </w:r>
          </w:p>
        </w:tc>
        <w:tc>
          <w:tcPr>
            <w:tcW w:w="1846" w:type="dxa"/>
            <w:gridSpan w:val="2"/>
            <w:vAlign w:val="center"/>
          </w:tcPr>
          <w:p>
            <w:pPr>
              <w:snapToGrid w:val="0"/>
              <w:jc w:val="center"/>
              <w:rPr>
                <w:rFonts w:ascii="Times New Roman" w:hAnsi="Times New Roman"/>
                <w:kern w:val="0"/>
                <w:szCs w:val="21"/>
              </w:rPr>
            </w:pPr>
            <w:r>
              <w:rPr>
                <w:rFonts w:ascii="Times New Roman" w:hAnsi="Times New Roman"/>
                <w:kern w:val="0"/>
                <w:szCs w:val="21"/>
              </w:rPr>
              <w:t>0</w:t>
            </w:r>
          </w:p>
        </w:tc>
        <w:tc>
          <w:tcPr>
            <w:tcW w:w="1142" w:type="dxa"/>
            <w:vAlign w:val="center"/>
          </w:tcPr>
          <w:p>
            <w:pPr>
              <w:snapToGrid w:val="0"/>
              <w:jc w:val="center"/>
              <w:rPr>
                <w:rFonts w:ascii="Times New Roman" w:hAnsi="Times New Roman"/>
                <w:kern w:val="0"/>
                <w:szCs w:val="21"/>
                <w:lang w:eastAsia="en-US"/>
              </w:rPr>
            </w:pPr>
          </w:p>
        </w:tc>
        <w:tc>
          <w:tcPr>
            <w:tcW w:w="1119" w:type="dxa"/>
            <w:vMerge w:val="continue"/>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现状监测因子</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8项基本因子、pH</w:t>
            </w:r>
          </w:p>
        </w:tc>
        <w:tc>
          <w:tcPr>
            <w:tcW w:w="1119" w:type="dxa"/>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restart"/>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现状评</w:t>
            </w:r>
          </w:p>
          <w:p>
            <w:pPr>
              <w:snapToGrid w:val="0"/>
              <w:jc w:val="center"/>
              <w:rPr>
                <w:rFonts w:ascii="Times New Roman" w:hAnsi="Times New Roman"/>
                <w:kern w:val="0"/>
                <w:szCs w:val="21"/>
                <w:lang w:eastAsia="en-US"/>
              </w:rPr>
            </w:pPr>
            <w:r>
              <w:rPr>
                <w:rFonts w:ascii="Times New Roman" w:hAnsi="Times New Roman"/>
                <w:kern w:val="0"/>
                <w:szCs w:val="21"/>
                <w:lang w:eastAsia="en-US"/>
              </w:rPr>
              <w:t>价</w:t>
            </w: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评价因子</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8项基本因子</w:t>
            </w:r>
          </w:p>
        </w:tc>
        <w:tc>
          <w:tcPr>
            <w:tcW w:w="1119" w:type="dxa"/>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评价标准</w:t>
            </w:r>
          </w:p>
        </w:tc>
        <w:tc>
          <w:tcPr>
            <w:tcW w:w="5632" w:type="dxa"/>
            <w:gridSpan w:val="5"/>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GB 15618</w:t>
            </w:r>
            <w:r>
              <w:rPr>
                <w:rFonts w:ascii="Times New Roman" w:hAnsi="Times New Roman" w:cs="Segoe UI Emoji"/>
                <w:kern w:val="0"/>
                <w:szCs w:val="21"/>
              </w:rPr>
              <w:t>☑</w:t>
            </w:r>
            <w:r>
              <w:rPr>
                <w:rFonts w:ascii="Times New Roman" w:hAnsi="Times New Roman"/>
                <w:kern w:val="0"/>
                <w:szCs w:val="21"/>
                <w:lang w:eastAsia="en-US"/>
              </w:rPr>
              <w:t>；GB 36600</w:t>
            </w:r>
            <w:r>
              <w:rPr>
                <w:rFonts w:ascii="Times New Roman" w:hAnsi="Times New Roman"/>
                <w:kern w:val="0"/>
                <w:szCs w:val="21"/>
              </w:rPr>
              <w:t>□</w:t>
            </w:r>
            <w:r>
              <w:rPr>
                <w:rFonts w:ascii="Times New Roman" w:hAnsi="Times New Roman"/>
                <w:kern w:val="0"/>
                <w:szCs w:val="21"/>
                <w:lang w:eastAsia="en-US"/>
              </w:rPr>
              <w:t>；表D.1□；表 D.2□；其他（）</w:t>
            </w:r>
          </w:p>
        </w:tc>
        <w:tc>
          <w:tcPr>
            <w:tcW w:w="1119" w:type="dxa"/>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现状评价结论</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各污染物浓度低于《土壤环境质量 农用地土壤污染风险管控标准》（试行）（GB15618-2018）</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restart"/>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影响预测</w:t>
            </w: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预测因子</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w:t>
            </w:r>
          </w:p>
        </w:tc>
        <w:tc>
          <w:tcPr>
            <w:tcW w:w="1119" w:type="dxa"/>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预测方法</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附录 E□；附录 F□；其他（</w:t>
            </w:r>
            <w:r>
              <w:rPr>
                <w:rFonts w:ascii="Times New Roman" w:hAnsi="Times New Roman"/>
                <w:kern w:val="0"/>
                <w:szCs w:val="21"/>
              </w:rPr>
              <w:tab/>
            </w:r>
            <w:r>
              <w:rPr>
                <w:rFonts w:ascii="Times New Roman" w:hAnsi="Times New Roman"/>
                <w:kern w:val="0"/>
                <w:szCs w:val="21"/>
              </w:rPr>
              <w:t>）</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预测分析内容</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影响范围（</w:t>
            </w:r>
            <w:r>
              <w:rPr>
                <w:rFonts w:ascii="Times New Roman" w:hAnsi="Times New Roman"/>
                <w:kern w:val="0"/>
                <w:szCs w:val="21"/>
              </w:rPr>
              <w:tab/>
            </w:r>
            <w:r>
              <w:rPr>
                <w:rFonts w:ascii="Times New Roman" w:hAnsi="Times New Roman"/>
                <w:kern w:val="0"/>
                <w:szCs w:val="21"/>
              </w:rPr>
              <w:t>）</w:t>
            </w:r>
          </w:p>
          <w:p>
            <w:pPr>
              <w:snapToGrid w:val="0"/>
              <w:jc w:val="center"/>
              <w:rPr>
                <w:rFonts w:ascii="Times New Roman" w:hAnsi="Times New Roman"/>
                <w:kern w:val="0"/>
                <w:szCs w:val="21"/>
              </w:rPr>
            </w:pPr>
            <w:r>
              <w:rPr>
                <w:rFonts w:ascii="Times New Roman" w:hAnsi="Times New Roman"/>
                <w:kern w:val="0"/>
                <w:szCs w:val="21"/>
              </w:rPr>
              <w:t>影响程度（</w:t>
            </w:r>
            <w:r>
              <w:rPr>
                <w:rFonts w:ascii="Times New Roman" w:hAnsi="Times New Roman"/>
                <w:kern w:val="0"/>
                <w:szCs w:val="21"/>
              </w:rPr>
              <w:tab/>
            </w:r>
            <w:r>
              <w:rPr>
                <w:rFonts w:ascii="Times New Roman" w:hAnsi="Times New Roman"/>
                <w:kern w:val="0"/>
                <w:szCs w:val="21"/>
              </w:rPr>
              <w:t>）</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预测结论</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达标结论：a）</w:t>
            </w:r>
            <w:r>
              <w:rPr>
                <w:rFonts w:hint="eastAsia" w:ascii="Times New Roman" w:hAnsi="Times New Roman"/>
                <w:kern w:val="0"/>
                <w:szCs w:val="21"/>
              </w:rPr>
              <w:t>☑</w:t>
            </w:r>
            <w:r>
              <w:rPr>
                <w:rFonts w:ascii="Times New Roman" w:hAnsi="Times New Roman"/>
                <w:kern w:val="0"/>
                <w:szCs w:val="21"/>
              </w:rPr>
              <w:t>；b）□；c）□</w:t>
            </w:r>
          </w:p>
          <w:p>
            <w:pPr>
              <w:snapToGrid w:val="0"/>
              <w:jc w:val="center"/>
              <w:rPr>
                <w:rFonts w:ascii="Times New Roman" w:hAnsi="Times New Roman"/>
                <w:kern w:val="0"/>
                <w:szCs w:val="21"/>
              </w:rPr>
            </w:pPr>
            <w:r>
              <w:rPr>
                <w:rFonts w:ascii="Times New Roman" w:hAnsi="Times New Roman"/>
                <w:kern w:val="0"/>
                <w:szCs w:val="21"/>
              </w:rPr>
              <w:t>不达标结论：a）□；b）□</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restart"/>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防治措</w:t>
            </w:r>
          </w:p>
          <w:p>
            <w:pPr>
              <w:snapToGrid w:val="0"/>
              <w:jc w:val="center"/>
              <w:rPr>
                <w:rFonts w:ascii="Times New Roman" w:hAnsi="Times New Roman"/>
                <w:kern w:val="0"/>
                <w:szCs w:val="21"/>
                <w:lang w:eastAsia="en-US"/>
              </w:rPr>
            </w:pPr>
            <w:r>
              <w:rPr>
                <w:rFonts w:ascii="Times New Roman" w:hAnsi="Times New Roman"/>
                <w:kern w:val="0"/>
                <w:szCs w:val="21"/>
                <w:lang w:eastAsia="en-US"/>
              </w:rPr>
              <w:t>施</w:t>
            </w: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防控措施</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土壤环境质量现状保障</w:t>
            </w:r>
            <w:r>
              <w:rPr>
                <w:rFonts w:ascii="Times New Roman" w:hAnsi="Times New Roman" w:cs="Segoe UI Emoji"/>
                <w:kern w:val="0"/>
                <w:szCs w:val="21"/>
              </w:rPr>
              <w:t>☑</w:t>
            </w:r>
            <w:r>
              <w:rPr>
                <w:rFonts w:ascii="Times New Roman" w:hAnsi="Times New Roman"/>
                <w:kern w:val="0"/>
                <w:szCs w:val="21"/>
              </w:rPr>
              <w:t>；源头控制</w:t>
            </w:r>
            <w:r>
              <w:rPr>
                <w:rFonts w:ascii="Times New Roman" w:hAnsi="Times New Roman" w:cs="Segoe UI Emoji"/>
                <w:kern w:val="0"/>
                <w:szCs w:val="21"/>
              </w:rPr>
              <w:t>☑</w:t>
            </w:r>
            <w:r>
              <w:rPr>
                <w:rFonts w:ascii="Times New Roman" w:hAnsi="Times New Roman"/>
                <w:kern w:val="0"/>
                <w:szCs w:val="21"/>
              </w:rPr>
              <w:t>；过程防控</w:t>
            </w:r>
            <w:r>
              <w:rPr>
                <w:rFonts w:ascii="Times New Roman" w:hAnsi="Times New Roman" w:cs="Segoe UI Emoji"/>
                <w:kern w:val="0"/>
                <w:szCs w:val="21"/>
              </w:rPr>
              <w:t>☑</w:t>
            </w:r>
            <w:r>
              <w:rPr>
                <w:rFonts w:ascii="Times New Roman" w:hAnsi="Times New Roman"/>
                <w:kern w:val="0"/>
                <w:szCs w:val="21"/>
              </w:rPr>
              <w:t>；其他（）</w:t>
            </w:r>
          </w:p>
        </w:tc>
        <w:tc>
          <w:tcPr>
            <w:tcW w:w="1119" w:type="dxa"/>
            <w:vAlign w:val="center"/>
          </w:tcPr>
          <w:p>
            <w:pPr>
              <w:snapToGrid w:val="0"/>
              <w:jc w:val="center"/>
              <w:rPr>
                <w:rFonts w:ascii="Times New Roman" w:hAnsi="Times New Roman"/>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rPr>
            </w:pPr>
          </w:p>
        </w:tc>
        <w:tc>
          <w:tcPr>
            <w:tcW w:w="1647" w:type="dxa"/>
            <w:vMerge w:val="restart"/>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跟踪监测</w:t>
            </w:r>
          </w:p>
        </w:tc>
        <w:tc>
          <w:tcPr>
            <w:tcW w:w="2644" w:type="dxa"/>
            <w:gridSpan w:val="2"/>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监测点数</w:t>
            </w:r>
          </w:p>
        </w:tc>
        <w:tc>
          <w:tcPr>
            <w:tcW w:w="1575"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监测指标</w:t>
            </w:r>
          </w:p>
        </w:tc>
        <w:tc>
          <w:tcPr>
            <w:tcW w:w="1413" w:type="dxa"/>
            <w:gridSpan w:val="2"/>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监测频次</w:t>
            </w:r>
          </w:p>
        </w:tc>
        <w:tc>
          <w:tcPr>
            <w:tcW w:w="1119" w:type="dxa"/>
            <w:vMerge w:val="restart"/>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Merge w:val="continue"/>
            <w:vAlign w:val="center"/>
          </w:tcPr>
          <w:p>
            <w:pPr>
              <w:snapToGrid w:val="0"/>
              <w:jc w:val="center"/>
              <w:rPr>
                <w:rFonts w:ascii="Times New Roman" w:hAnsi="Times New Roman"/>
                <w:kern w:val="0"/>
                <w:szCs w:val="21"/>
                <w:lang w:eastAsia="en-US"/>
              </w:rPr>
            </w:pPr>
          </w:p>
        </w:tc>
        <w:tc>
          <w:tcPr>
            <w:tcW w:w="2644" w:type="dxa"/>
            <w:gridSpan w:val="2"/>
            <w:vAlign w:val="center"/>
          </w:tcPr>
          <w:p>
            <w:pPr>
              <w:snapToGrid w:val="0"/>
              <w:jc w:val="center"/>
              <w:rPr>
                <w:rFonts w:ascii="Times New Roman" w:hAnsi="Times New Roman"/>
                <w:kern w:val="0"/>
                <w:szCs w:val="21"/>
              </w:rPr>
            </w:pPr>
            <w:r>
              <w:rPr>
                <w:rFonts w:ascii="Times New Roman" w:hAnsi="Times New Roman"/>
                <w:kern w:val="0"/>
                <w:szCs w:val="21"/>
              </w:rPr>
              <w:t>3</w:t>
            </w:r>
          </w:p>
        </w:tc>
        <w:tc>
          <w:tcPr>
            <w:tcW w:w="1575" w:type="dxa"/>
            <w:vAlign w:val="center"/>
          </w:tcPr>
          <w:p>
            <w:pPr>
              <w:snapToGrid w:val="0"/>
              <w:jc w:val="center"/>
              <w:rPr>
                <w:rFonts w:ascii="Times New Roman" w:hAnsi="Times New Roman"/>
                <w:kern w:val="0"/>
                <w:szCs w:val="21"/>
              </w:rPr>
            </w:pPr>
            <w:r>
              <w:rPr>
                <w:rFonts w:ascii="Times New Roman" w:hAnsi="Times New Roman"/>
                <w:kern w:val="0"/>
                <w:szCs w:val="21"/>
              </w:rPr>
              <w:t>特征因子</w:t>
            </w:r>
          </w:p>
        </w:tc>
        <w:tc>
          <w:tcPr>
            <w:tcW w:w="1413" w:type="dxa"/>
            <w:gridSpan w:val="2"/>
            <w:vAlign w:val="center"/>
          </w:tcPr>
          <w:p>
            <w:pPr>
              <w:snapToGrid w:val="0"/>
              <w:jc w:val="center"/>
              <w:rPr>
                <w:rFonts w:ascii="Times New Roman" w:hAnsi="Times New Roman"/>
                <w:kern w:val="0"/>
                <w:szCs w:val="21"/>
              </w:rPr>
            </w:pPr>
            <w:r>
              <w:rPr>
                <w:rFonts w:ascii="Times New Roman" w:hAnsi="Times New Roman"/>
                <w:kern w:val="0"/>
                <w:szCs w:val="21"/>
              </w:rPr>
              <w:t>每5年1次</w:t>
            </w:r>
          </w:p>
        </w:tc>
        <w:tc>
          <w:tcPr>
            <w:tcW w:w="1119" w:type="dxa"/>
            <w:vMerge w:val="continue"/>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16" w:type="dxa"/>
            <w:vMerge w:val="continue"/>
            <w:vAlign w:val="center"/>
          </w:tcPr>
          <w:p>
            <w:pPr>
              <w:snapToGrid w:val="0"/>
              <w:jc w:val="center"/>
              <w:rPr>
                <w:rFonts w:ascii="Times New Roman" w:hAnsi="Times New Roman"/>
                <w:kern w:val="0"/>
                <w:szCs w:val="21"/>
                <w:lang w:eastAsia="en-US"/>
              </w:rPr>
            </w:pPr>
          </w:p>
        </w:tc>
        <w:tc>
          <w:tcPr>
            <w:tcW w:w="1647" w:type="dxa"/>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信息公开指标</w:t>
            </w:r>
          </w:p>
        </w:tc>
        <w:tc>
          <w:tcPr>
            <w:tcW w:w="5632" w:type="dxa"/>
            <w:gridSpan w:val="5"/>
            <w:vAlign w:val="center"/>
          </w:tcPr>
          <w:p>
            <w:pPr>
              <w:snapToGrid w:val="0"/>
              <w:jc w:val="center"/>
              <w:rPr>
                <w:rFonts w:ascii="Times New Roman" w:hAnsi="Times New Roman"/>
                <w:kern w:val="0"/>
                <w:szCs w:val="21"/>
                <w:lang w:eastAsia="en-US"/>
              </w:rPr>
            </w:pPr>
          </w:p>
        </w:tc>
        <w:tc>
          <w:tcPr>
            <w:tcW w:w="1119" w:type="dxa"/>
            <w:vMerge w:val="continue"/>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63" w:type="dxa"/>
            <w:gridSpan w:val="2"/>
            <w:vAlign w:val="center"/>
          </w:tcPr>
          <w:p>
            <w:pPr>
              <w:snapToGrid w:val="0"/>
              <w:jc w:val="center"/>
              <w:rPr>
                <w:rFonts w:ascii="Times New Roman" w:hAnsi="Times New Roman"/>
                <w:kern w:val="0"/>
                <w:szCs w:val="21"/>
                <w:lang w:eastAsia="en-US"/>
              </w:rPr>
            </w:pPr>
            <w:r>
              <w:rPr>
                <w:rFonts w:ascii="Times New Roman" w:hAnsi="Times New Roman"/>
                <w:kern w:val="0"/>
                <w:szCs w:val="21"/>
                <w:lang w:eastAsia="en-US"/>
              </w:rPr>
              <w:t>评价结论</w:t>
            </w:r>
          </w:p>
        </w:tc>
        <w:tc>
          <w:tcPr>
            <w:tcW w:w="5632" w:type="dxa"/>
            <w:gridSpan w:val="5"/>
            <w:vAlign w:val="center"/>
          </w:tcPr>
          <w:p>
            <w:pPr>
              <w:snapToGrid w:val="0"/>
              <w:jc w:val="center"/>
              <w:rPr>
                <w:rFonts w:ascii="Times New Roman" w:hAnsi="Times New Roman"/>
                <w:kern w:val="0"/>
                <w:szCs w:val="21"/>
              </w:rPr>
            </w:pPr>
            <w:r>
              <w:rPr>
                <w:rFonts w:ascii="Times New Roman" w:hAnsi="Times New Roman"/>
                <w:kern w:val="0"/>
                <w:szCs w:val="21"/>
              </w:rPr>
              <w:t>可行</w:t>
            </w:r>
          </w:p>
        </w:tc>
        <w:tc>
          <w:tcPr>
            <w:tcW w:w="1119" w:type="dxa"/>
            <w:vAlign w:val="center"/>
          </w:tcPr>
          <w:p>
            <w:pPr>
              <w:snapToGrid w:val="0"/>
              <w:jc w:val="center"/>
              <w:rPr>
                <w:rFonts w:ascii="Times New Roman" w:hAnsi="Times New Roman"/>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14" w:type="dxa"/>
            <w:gridSpan w:val="8"/>
            <w:vAlign w:val="center"/>
          </w:tcPr>
          <w:p>
            <w:pPr>
              <w:snapToGrid w:val="0"/>
              <w:jc w:val="center"/>
              <w:rPr>
                <w:rFonts w:ascii="Times New Roman" w:hAnsi="Times New Roman"/>
                <w:kern w:val="0"/>
                <w:szCs w:val="21"/>
              </w:rPr>
            </w:pPr>
            <w:r>
              <w:rPr>
                <w:rFonts w:ascii="Times New Roman" w:hAnsi="Times New Roman"/>
                <w:kern w:val="0"/>
                <w:szCs w:val="21"/>
              </w:rPr>
              <w:t>注 1：“□”为勾选项，可√；“（ ）”为内容填写项；“备注”为其他补充内容。</w:t>
            </w:r>
          </w:p>
          <w:p>
            <w:pPr>
              <w:snapToGrid w:val="0"/>
              <w:jc w:val="center"/>
              <w:rPr>
                <w:rFonts w:ascii="Times New Roman" w:hAnsi="Times New Roman"/>
                <w:kern w:val="0"/>
                <w:szCs w:val="21"/>
              </w:rPr>
            </w:pPr>
            <w:r>
              <w:rPr>
                <w:rFonts w:ascii="Times New Roman" w:hAnsi="Times New Roman"/>
                <w:kern w:val="0"/>
                <w:szCs w:val="21"/>
              </w:rPr>
              <w:t>注 2：需要分别开展土壤环境影响评级工作的，分别填写自查表。</w:t>
            </w:r>
          </w:p>
        </w:tc>
      </w:tr>
    </w:tbl>
    <w:p>
      <w:pPr>
        <w:pStyle w:val="51"/>
        <w:snapToGrid w:val="0"/>
        <w:spacing w:before="120" w:beforeLines="50" w:after="120" w:afterLines="50" w:line="540" w:lineRule="exact"/>
        <w:contextualSpacing/>
        <w:rPr>
          <w:rFonts w:cs="Times New Roman"/>
          <w:bCs w:val="0"/>
          <w:snapToGrid w:val="0"/>
          <w:kern w:val="0"/>
          <w:sz w:val="30"/>
          <w:szCs w:val="30"/>
        </w:rPr>
      </w:pPr>
      <w:bookmarkStart w:id="714" w:name="_Toc5947"/>
      <w:bookmarkStart w:id="715" w:name="_Toc26220"/>
      <w:bookmarkStart w:id="716" w:name="_Toc18722"/>
      <w:r>
        <w:rPr>
          <w:rFonts w:cs="Times New Roman"/>
          <w:bCs w:val="0"/>
          <w:snapToGrid w:val="0"/>
          <w:kern w:val="0"/>
          <w:sz w:val="30"/>
          <w:szCs w:val="30"/>
        </w:rPr>
        <w:t>5.7生态环境影响分析</w:t>
      </w:r>
      <w:bookmarkEnd w:id="714"/>
      <w:bookmarkEnd w:id="715"/>
      <w:bookmarkEnd w:id="716"/>
    </w:p>
    <w:p>
      <w:pPr>
        <w:adjustRightInd w:val="0"/>
        <w:snapToGrid w:val="0"/>
        <w:spacing w:line="540" w:lineRule="exact"/>
        <w:ind w:firstLine="480" w:firstLineChars="200"/>
        <w:rPr>
          <w:rFonts w:ascii="Times New Roman" w:hAnsi="Times New Roman"/>
          <w:sz w:val="24"/>
        </w:rPr>
      </w:pPr>
      <w:bookmarkStart w:id="717" w:name="_Toc314047674"/>
      <w:r>
        <w:rPr>
          <w:rFonts w:ascii="Times New Roman" w:hAnsi="Times New Roman"/>
          <w:sz w:val="24"/>
        </w:rPr>
        <w:t>本项目用地类型数属于设施农用地，该地区土壤有机质低，需增加土壤肥力，进行土壤改良。项目区域植被主要以人工植被和农作物为主，主要植物有沙枣树、刺槐等。</w:t>
      </w:r>
    </w:p>
    <w:p>
      <w:pPr>
        <w:adjustRightInd w:val="0"/>
        <w:snapToGrid w:val="0"/>
        <w:spacing w:line="540" w:lineRule="exact"/>
        <w:rPr>
          <w:rFonts w:hint="eastAsia" w:ascii="Times New Roman" w:hAnsi="Times New Roman" w:eastAsia="宋体"/>
          <w:bCs/>
          <w:sz w:val="24"/>
          <w:lang w:eastAsia="zh-CN"/>
        </w:rPr>
      </w:pPr>
      <w:r>
        <w:rPr>
          <w:rFonts w:ascii="Times New Roman" w:hAnsi="Times New Roman"/>
          <w:sz w:val="24"/>
        </w:rPr>
        <w:t>场界</w:t>
      </w:r>
      <w:r>
        <w:rPr>
          <w:rFonts w:hint="eastAsia" w:ascii="Times New Roman" w:hAnsi="Times New Roman"/>
          <w:sz w:val="24"/>
        </w:rPr>
        <w:t>四周</w:t>
      </w:r>
      <w:r>
        <w:rPr>
          <w:rFonts w:ascii="Times New Roman" w:hAnsi="Times New Roman"/>
          <w:sz w:val="24"/>
        </w:rPr>
        <w:t>增加绿化隔离带，厂区内进行了绿化，绿化用水由项目新鲜水提供</w:t>
      </w:r>
      <w:r>
        <w:rPr>
          <w:rFonts w:hint="eastAsia" w:ascii="Times New Roman" w:hAnsi="Times New Roman"/>
          <w:sz w:val="24"/>
          <w:lang w:eastAsia="zh-CN"/>
        </w:rPr>
        <w:t>‘’</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718" w:name="_Toc30748"/>
      <w:r>
        <w:rPr>
          <w:rFonts w:cs="Times New Roman"/>
          <w:bCs w:val="0"/>
          <w:snapToGrid w:val="0"/>
          <w:kern w:val="0"/>
          <w:sz w:val="28"/>
          <w:szCs w:val="28"/>
        </w:rPr>
        <w:t>5.7.1对植被的影响分析</w:t>
      </w:r>
      <w:bookmarkEnd w:id="717"/>
      <w:bookmarkEnd w:id="718"/>
    </w:p>
    <w:p>
      <w:pPr>
        <w:adjustRightInd w:val="0"/>
        <w:snapToGrid w:val="0"/>
        <w:spacing w:line="540" w:lineRule="exact"/>
        <w:ind w:firstLine="480" w:firstLineChars="200"/>
        <w:rPr>
          <w:rFonts w:ascii="Times New Roman" w:hAnsi="Times New Roman"/>
          <w:sz w:val="24"/>
        </w:rPr>
      </w:pPr>
      <w:r>
        <w:rPr>
          <w:rFonts w:ascii="Times New Roman" w:hAnsi="Times New Roman"/>
          <w:sz w:val="24"/>
        </w:rPr>
        <w:t>绿化对改善空气质量、防治水土流失及吸收温室气体等方面有很大的帮助。</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首先，绿色植物可以在阳光下进行光合作用，吸收二氧化碳，释放氧气。研究表明，植物每生长1吨，可以产生5吨氧。每公顷树林每天可以吸收1吨二氧化碳，产生0.735吨氧气；每公顷草地每天能吸收0.9吨二氧化碳，产生0.6吨氧气。充足而洁净的氧气能让周边居民身心保持健康。</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其次，绿色植物对空气中的灰尘、粉尘有良好的过滤和吸收作用，并能阻挡工作粉尘向空气弥散。据测定，大气通过林带，可使粉尘量减少32%~52%，飘尘量减少30%。</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然后，成片的树木及草地通常可减缓风速30%~40%，提高相对湿度5%~15%，增加土壤含水量10%~20%。据测定，林冠可截留降水20%左右，大大削弱了雨滴的冲击力；地表只要有1cm厚的草皮，就可以把地表径流量减少到裸地的1/4以下，泥沙减少到裸地7%以下。</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项目在选择绿化树木时，应考虑绿化植物的多样性和适宜性，平面绿化与立体绿化相结合，尽可能增加绿化密度，提高生态效益，并保持其自然性，注意绿化的美化作用。将绿化与景观建设相结合，发挥绿化带隔离作用，实行近污染源绿化，形成绿色包被，行道树木绿化考虑防减噪声、净化有害气体。项目建成运营后，进行场内绿化，提高项目区域的植被覆盖水平，有效改善项目所在地及周边的气候，项目区域内的水土流失将明显减少。项目运营期对项目所在地的生态环境有明显的改善作用。</w:t>
      </w:r>
    </w:p>
    <w:p>
      <w:pPr>
        <w:pStyle w:val="43"/>
        <w:spacing w:line="540" w:lineRule="exact"/>
        <w:rPr>
          <w:rFonts w:hint="default" w:ascii="Times New Roman" w:hAnsi="Times New Roman" w:eastAsia="宋体"/>
          <w:lang w:val="en-US" w:eastAsia="zh-CN"/>
        </w:rPr>
      </w:pPr>
      <w:r>
        <w:rPr>
          <w:szCs w:val="20"/>
        </w:rPr>
        <w:t>建设项目</w:t>
      </w:r>
      <w:r>
        <w:rPr>
          <w:rFonts w:hint="eastAsia"/>
          <w:szCs w:val="20"/>
          <w:lang w:eastAsia="zh-CN"/>
        </w:rPr>
        <w:t>生态</w:t>
      </w:r>
      <w:r>
        <w:rPr>
          <w:szCs w:val="20"/>
        </w:rPr>
        <w:t>环境影响评价自查表详见表5.</w:t>
      </w:r>
      <w:r>
        <w:rPr>
          <w:rFonts w:hint="eastAsia"/>
          <w:szCs w:val="20"/>
          <w:lang w:val="en-US" w:eastAsia="zh-CN"/>
        </w:rPr>
        <w:t>7-1。</w:t>
      </w:r>
    </w:p>
    <w:p>
      <w:pPr>
        <w:pStyle w:val="12"/>
        <w:jc w:val="center"/>
        <w:rPr>
          <w:rFonts w:hint="eastAsia" w:ascii="Times New Roman" w:hAnsi="Times New Roman" w:cs="Times New Roman"/>
          <w:b/>
          <w:bCs/>
          <w:color w:val="FF0000"/>
          <w:sz w:val="24"/>
          <w:szCs w:val="24"/>
          <w:highlight w:val="none"/>
          <w:lang w:eastAsia="zh-CN"/>
        </w:rPr>
      </w:pPr>
    </w:p>
    <w:p>
      <w:pPr>
        <w:pStyle w:val="12"/>
        <w:jc w:val="center"/>
        <w:rPr>
          <w:rFonts w:hint="eastAsia" w:ascii="Times New Roman" w:hAnsi="Times New Roman" w:cs="Times New Roman"/>
          <w:b/>
          <w:bCs/>
          <w:color w:val="FF0000"/>
          <w:sz w:val="24"/>
          <w:szCs w:val="24"/>
          <w:highlight w:val="none"/>
          <w:lang w:eastAsia="zh-CN"/>
        </w:rPr>
      </w:pPr>
    </w:p>
    <w:p>
      <w:pPr>
        <w:pStyle w:val="12"/>
        <w:jc w:val="center"/>
        <w:rPr>
          <w:rFonts w:hint="default" w:ascii="Times New Roman" w:hAnsi="Times New Roman" w:cs="Times New Roman"/>
          <w:b/>
          <w:bCs/>
          <w:color w:val="FF0000"/>
          <w:sz w:val="24"/>
          <w:szCs w:val="24"/>
          <w:highlight w:val="none"/>
          <w:vertAlign w:val="baseline"/>
          <w:lang w:eastAsia="zh-CN"/>
        </w:rPr>
      </w:pPr>
      <w:r>
        <w:rPr>
          <w:rFonts w:hint="eastAsia" w:ascii="Times New Roman" w:hAnsi="Times New Roman" w:cs="Times New Roman"/>
          <w:b/>
          <w:bCs/>
          <w:color w:val="FF0000"/>
          <w:sz w:val="24"/>
          <w:szCs w:val="24"/>
          <w:highlight w:val="none"/>
          <w:lang w:eastAsia="zh-CN"/>
        </w:rPr>
        <w:t>表</w:t>
      </w:r>
      <w:r>
        <w:rPr>
          <w:rFonts w:hint="eastAsia" w:ascii="Times New Roman" w:hAnsi="Times New Roman" w:cs="Times New Roman"/>
          <w:b/>
          <w:bCs/>
          <w:color w:val="FF0000"/>
          <w:sz w:val="24"/>
          <w:szCs w:val="24"/>
          <w:highlight w:val="none"/>
          <w:lang w:val="en-US" w:eastAsia="zh-CN"/>
        </w:rPr>
        <w:t>5.7-1  建设项目</w:t>
      </w:r>
      <w:r>
        <w:rPr>
          <w:rFonts w:hint="default" w:ascii="Times New Roman" w:hAnsi="Times New Roman" w:cs="Times New Roman"/>
          <w:b/>
          <w:bCs/>
          <w:color w:val="FF0000"/>
          <w:sz w:val="24"/>
          <w:szCs w:val="24"/>
          <w:highlight w:val="none"/>
          <w:lang w:eastAsia="zh-CN"/>
        </w:rPr>
        <w:t>生态影响评价自查表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0"/>
        <w:gridCol w:w="1635"/>
        <w:gridCol w:w="67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5" w:type="dxa"/>
            <w:gridSpan w:val="2"/>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default" w:ascii="Times New Roman" w:hAnsi="Times New Roman" w:cs="Times New Roman"/>
                <w:color w:val="FF0000"/>
                <w:sz w:val="21"/>
                <w:szCs w:val="21"/>
                <w:vertAlign w:val="baseline"/>
                <w:lang w:eastAsia="zh-CN"/>
              </w:rPr>
              <w:t>工作内容</w:t>
            </w:r>
          </w:p>
        </w:tc>
        <w:tc>
          <w:tcPr>
            <w:tcW w:w="6788"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default" w:ascii="Times New Roman" w:hAnsi="Times New Roman" w:cs="Times New Roman"/>
                <w:color w:val="FF0000"/>
                <w:sz w:val="21"/>
                <w:szCs w:val="21"/>
                <w:vertAlign w:val="baseline"/>
                <w:lang w:eastAsia="zh-CN"/>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restart"/>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生态影响识别</w:t>
            </w: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生态保护目标</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eastAsia="zh-CN"/>
              </w:rPr>
              <w:t>重要物种</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国家公园</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自然保护区</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自然公园</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世界自然遗产</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生态保护红线</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重要生境</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其他具有重要生态功能、对保护生物多样性具有重要意义的区域</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其他</w:t>
            </w:r>
            <w:r>
              <w:rPr>
                <w:rFonts w:hint="eastAsia"/>
                <w:color w:val="FF0000"/>
                <w:sz w:val="21"/>
                <w:szCs w:val="21"/>
                <w:highlight w:val="none"/>
                <w:vertAlign w:val="baseline"/>
                <w:lang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影响方式</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eastAsia="zh-CN"/>
              </w:rPr>
              <w:t>工程占用</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施工活动干扰</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改变环境条件</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其他</w:t>
            </w:r>
            <w:r>
              <w:rPr>
                <w:rFonts w:hint="eastAsia"/>
                <w:color w:val="FF0000"/>
                <w:sz w:val="21"/>
                <w:szCs w:val="21"/>
                <w:highlight w:val="none"/>
                <w:vertAlign w:val="baseline"/>
                <w:lang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870" w:type="dxa"/>
            <w:vMerge w:val="continue"/>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评价因子</w:t>
            </w:r>
          </w:p>
        </w:tc>
        <w:tc>
          <w:tcPr>
            <w:tcW w:w="6788" w:type="dxa"/>
            <w:tcBorders>
              <w:tl2br w:val="nil"/>
              <w:tr2bl w:val="nil"/>
            </w:tcBorders>
            <w:vAlign w:val="center"/>
          </w:tcPr>
          <w:p>
            <w:pPr>
              <w:pStyle w:val="12"/>
              <w:jc w:val="left"/>
              <w:rPr>
                <w:rFonts w:hint="eastAsia"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val="en-US" w:eastAsia="zh-CN"/>
              </w:rPr>
              <w:t>物种</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eastAsia="zh-CN"/>
              </w:rPr>
              <w:t>（</w:t>
            </w:r>
            <w:r>
              <w:rPr>
                <w:rFonts w:hint="eastAsia"/>
                <w:color w:val="FF0000"/>
                <w:sz w:val="21"/>
                <w:szCs w:val="21"/>
                <w:highlight w:val="none"/>
                <w:vertAlign w:val="baseline"/>
                <w:lang w:val="en-US" w:eastAsia="zh-CN"/>
              </w:rPr>
              <w:t xml:space="preserve">         </w:t>
            </w:r>
            <w:r>
              <w:rPr>
                <w:rFonts w:hint="eastAsia"/>
                <w:color w:val="FF0000"/>
                <w:sz w:val="21"/>
                <w:szCs w:val="21"/>
                <w:highlight w:val="none"/>
                <w:vertAlign w:val="baseline"/>
                <w:lang w:eastAsia="zh-CN"/>
              </w:rPr>
              <w:t>）</w:t>
            </w:r>
          </w:p>
          <w:p>
            <w:pPr>
              <w:jc w:val="left"/>
              <w:rPr>
                <w:rFonts w:hint="eastAsia"/>
                <w:color w:val="FF0000"/>
                <w:sz w:val="21"/>
                <w:szCs w:val="21"/>
                <w:lang w:eastAsia="zh-CN"/>
              </w:rPr>
            </w:pPr>
            <w:r>
              <w:rPr>
                <w:rFonts w:hint="eastAsia"/>
                <w:color w:val="FF0000"/>
                <w:sz w:val="21"/>
                <w:szCs w:val="21"/>
                <w:lang w:eastAsia="zh-CN"/>
              </w:rPr>
              <w:t>生境</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eastAsia="zh-CN"/>
              </w:rPr>
              <w:t>（</w:t>
            </w:r>
            <w:r>
              <w:rPr>
                <w:rFonts w:hint="eastAsia"/>
                <w:color w:val="FF0000"/>
                <w:sz w:val="21"/>
                <w:szCs w:val="21"/>
                <w:highlight w:val="none"/>
                <w:vertAlign w:val="baseline"/>
                <w:lang w:val="en-US" w:eastAsia="zh-CN"/>
              </w:rPr>
              <w:t xml:space="preserve">         </w:t>
            </w:r>
            <w:r>
              <w:rPr>
                <w:rFonts w:hint="eastAsia"/>
                <w:color w:val="FF0000"/>
                <w:sz w:val="21"/>
                <w:szCs w:val="21"/>
                <w:highlight w:val="none"/>
                <w:vertAlign w:val="baseline"/>
                <w:lang w:eastAsia="zh-CN"/>
              </w:rPr>
              <w:t>）</w:t>
            </w:r>
          </w:p>
          <w:p>
            <w:pPr>
              <w:pStyle w:val="2"/>
              <w:jc w:val="left"/>
              <w:rPr>
                <w:rFonts w:hint="eastAsia"/>
                <w:color w:val="FF0000"/>
                <w:sz w:val="21"/>
                <w:szCs w:val="21"/>
                <w:lang w:eastAsia="zh-CN"/>
              </w:rPr>
            </w:pPr>
            <w:r>
              <w:rPr>
                <w:rFonts w:hint="eastAsia"/>
                <w:color w:val="FF0000"/>
                <w:sz w:val="21"/>
                <w:szCs w:val="21"/>
                <w:lang w:eastAsia="zh-CN"/>
              </w:rPr>
              <w:t>生物群落</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eastAsia="zh-CN"/>
              </w:rPr>
              <w:t>（</w:t>
            </w:r>
            <w:r>
              <w:rPr>
                <w:rFonts w:hint="eastAsia"/>
                <w:color w:val="FF0000"/>
                <w:sz w:val="21"/>
                <w:szCs w:val="21"/>
                <w:highlight w:val="none"/>
                <w:vertAlign w:val="baseline"/>
                <w:lang w:val="en-US" w:eastAsia="zh-CN"/>
              </w:rPr>
              <w:t xml:space="preserve">         </w:t>
            </w:r>
            <w:r>
              <w:rPr>
                <w:rFonts w:hint="eastAsia"/>
                <w:color w:val="FF0000"/>
                <w:sz w:val="21"/>
                <w:szCs w:val="21"/>
                <w:highlight w:val="none"/>
                <w:vertAlign w:val="baseline"/>
                <w:lang w:eastAsia="zh-CN"/>
              </w:rPr>
              <w:t>）</w:t>
            </w:r>
          </w:p>
          <w:p>
            <w:pPr>
              <w:jc w:val="left"/>
              <w:rPr>
                <w:rFonts w:hint="eastAsia"/>
                <w:color w:val="FF0000"/>
                <w:sz w:val="21"/>
                <w:szCs w:val="21"/>
                <w:lang w:eastAsia="zh-CN"/>
              </w:rPr>
            </w:pPr>
            <w:r>
              <w:rPr>
                <w:rFonts w:hint="eastAsia"/>
                <w:color w:val="FF0000"/>
                <w:sz w:val="21"/>
                <w:szCs w:val="21"/>
                <w:lang w:eastAsia="zh-CN"/>
              </w:rPr>
              <w:t>生态系统</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eastAsia="zh-CN"/>
              </w:rPr>
              <w:t>（</w:t>
            </w:r>
            <w:r>
              <w:rPr>
                <w:rFonts w:hint="eastAsia"/>
                <w:color w:val="FF0000"/>
                <w:sz w:val="21"/>
                <w:szCs w:val="21"/>
                <w:highlight w:val="none"/>
                <w:vertAlign w:val="baseline"/>
                <w:lang w:val="en-US" w:eastAsia="zh-CN"/>
              </w:rPr>
              <w:t xml:space="preserve">         </w:t>
            </w:r>
            <w:r>
              <w:rPr>
                <w:rFonts w:hint="eastAsia"/>
                <w:color w:val="FF0000"/>
                <w:sz w:val="21"/>
                <w:szCs w:val="21"/>
                <w:highlight w:val="none"/>
                <w:vertAlign w:val="baseline"/>
                <w:lang w:eastAsia="zh-CN"/>
              </w:rPr>
              <w:t>）</w:t>
            </w:r>
          </w:p>
          <w:p>
            <w:pPr>
              <w:pStyle w:val="2"/>
              <w:jc w:val="left"/>
              <w:rPr>
                <w:rFonts w:hint="eastAsia"/>
                <w:color w:val="FF0000"/>
                <w:sz w:val="21"/>
                <w:szCs w:val="21"/>
                <w:lang w:eastAsia="zh-CN"/>
              </w:rPr>
            </w:pPr>
            <w:r>
              <w:rPr>
                <w:rFonts w:hint="eastAsia"/>
                <w:color w:val="FF0000"/>
                <w:sz w:val="21"/>
                <w:szCs w:val="21"/>
                <w:lang w:eastAsia="zh-CN"/>
              </w:rPr>
              <w:t>生物多样性</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eastAsia="zh-CN"/>
              </w:rPr>
              <w:t>（</w:t>
            </w:r>
            <w:r>
              <w:rPr>
                <w:rFonts w:hint="eastAsia"/>
                <w:color w:val="FF0000"/>
                <w:sz w:val="21"/>
                <w:szCs w:val="21"/>
                <w:highlight w:val="none"/>
                <w:vertAlign w:val="baseline"/>
                <w:lang w:val="en-US" w:eastAsia="zh-CN"/>
              </w:rPr>
              <w:t xml:space="preserve">         </w:t>
            </w:r>
            <w:r>
              <w:rPr>
                <w:rFonts w:hint="eastAsia"/>
                <w:color w:val="FF0000"/>
                <w:sz w:val="21"/>
                <w:szCs w:val="21"/>
                <w:highlight w:val="none"/>
                <w:vertAlign w:val="baseline"/>
                <w:lang w:eastAsia="zh-CN"/>
              </w:rPr>
              <w:t>）</w:t>
            </w:r>
          </w:p>
          <w:p>
            <w:pPr>
              <w:jc w:val="left"/>
              <w:rPr>
                <w:rFonts w:hint="eastAsia"/>
                <w:color w:val="FF0000"/>
                <w:sz w:val="21"/>
                <w:szCs w:val="21"/>
                <w:lang w:eastAsia="zh-CN"/>
              </w:rPr>
            </w:pPr>
            <w:r>
              <w:rPr>
                <w:rFonts w:hint="eastAsia"/>
                <w:color w:val="FF0000"/>
                <w:sz w:val="21"/>
                <w:szCs w:val="21"/>
                <w:lang w:eastAsia="zh-CN"/>
              </w:rPr>
              <w:t>生态敏感区</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eastAsia="zh-CN"/>
              </w:rPr>
              <w:t>（</w:t>
            </w:r>
            <w:r>
              <w:rPr>
                <w:rFonts w:hint="eastAsia"/>
                <w:color w:val="FF0000"/>
                <w:sz w:val="21"/>
                <w:szCs w:val="21"/>
                <w:highlight w:val="none"/>
                <w:vertAlign w:val="baseline"/>
                <w:lang w:val="en-US" w:eastAsia="zh-CN"/>
              </w:rPr>
              <w:t xml:space="preserve">         </w:t>
            </w:r>
            <w:r>
              <w:rPr>
                <w:rFonts w:hint="eastAsia"/>
                <w:color w:val="FF0000"/>
                <w:sz w:val="21"/>
                <w:szCs w:val="21"/>
                <w:highlight w:val="none"/>
                <w:vertAlign w:val="baseline"/>
                <w:lang w:eastAsia="zh-CN"/>
              </w:rPr>
              <w:t>）</w:t>
            </w:r>
          </w:p>
          <w:p>
            <w:pPr>
              <w:pStyle w:val="2"/>
              <w:jc w:val="left"/>
              <w:rPr>
                <w:rFonts w:hint="eastAsia"/>
                <w:color w:val="FF0000"/>
                <w:sz w:val="21"/>
                <w:szCs w:val="21"/>
                <w:lang w:eastAsia="zh-CN"/>
              </w:rPr>
            </w:pPr>
            <w:r>
              <w:rPr>
                <w:rFonts w:hint="eastAsia"/>
                <w:color w:val="FF0000"/>
                <w:sz w:val="21"/>
                <w:szCs w:val="21"/>
                <w:lang w:eastAsia="zh-CN"/>
              </w:rPr>
              <w:t>自然景观</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eastAsia="zh-CN"/>
              </w:rPr>
              <w:t>（</w:t>
            </w:r>
            <w:r>
              <w:rPr>
                <w:rFonts w:hint="eastAsia"/>
                <w:color w:val="FF0000"/>
                <w:sz w:val="21"/>
                <w:szCs w:val="21"/>
                <w:highlight w:val="none"/>
                <w:vertAlign w:val="baseline"/>
                <w:lang w:val="en-US" w:eastAsia="zh-CN"/>
              </w:rPr>
              <w:t xml:space="preserve">         </w:t>
            </w:r>
            <w:r>
              <w:rPr>
                <w:rFonts w:hint="eastAsia"/>
                <w:color w:val="FF0000"/>
                <w:sz w:val="21"/>
                <w:szCs w:val="21"/>
                <w:highlight w:val="none"/>
                <w:vertAlign w:val="baseline"/>
                <w:lang w:eastAsia="zh-CN"/>
              </w:rPr>
              <w:t>）</w:t>
            </w:r>
          </w:p>
          <w:p>
            <w:pPr>
              <w:jc w:val="left"/>
              <w:rPr>
                <w:rFonts w:hint="eastAsia"/>
                <w:color w:val="FF0000"/>
                <w:sz w:val="21"/>
                <w:szCs w:val="21"/>
                <w:lang w:eastAsia="zh-CN"/>
              </w:rPr>
            </w:pPr>
            <w:r>
              <w:rPr>
                <w:rFonts w:hint="eastAsia"/>
                <w:color w:val="FF0000"/>
                <w:sz w:val="21"/>
                <w:szCs w:val="21"/>
                <w:lang w:eastAsia="zh-CN"/>
              </w:rPr>
              <w:t>自然遗迹</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eastAsia="zh-CN"/>
              </w:rPr>
              <w:t>（</w:t>
            </w:r>
            <w:r>
              <w:rPr>
                <w:rFonts w:hint="eastAsia"/>
                <w:color w:val="FF0000"/>
                <w:sz w:val="21"/>
                <w:szCs w:val="21"/>
                <w:highlight w:val="none"/>
                <w:vertAlign w:val="baseline"/>
                <w:lang w:val="en-US" w:eastAsia="zh-CN"/>
              </w:rPr>
              <w:t xml:space="preserve">         </w:t>
            </w:r>
            <w:r>
              <w:rPr>
                <w:rFonts w:hint="eastAsia"/>
                <w:color w:val="FF0000"/>
                <w:sz w:val="21"/>
                <w:szCs w:val="21"/>
                <w:highlight w:val="none"/>
                <w:vertAlign w:val="baseline"/>
                <w:lang w:eastAsia="zh-CN"/>
              </w:rPr>
              <w:t>）</w:t>
            </w:r>
          </w:p>
          <w:p>
            <w:pPr>
              <w:pStyle w:val="2"/>
              <w:jc w:val="left"/>
              <w:rPr>
                <w:rFonts w:hint="default"/>
                <w:color w:val="FF0000"/>
                <w:lang w:eastAsia="zh-CN"/>
              </w:rPr>
            </w:pPr>
            <w:r>
              <w:rPr>
                <w:rFonts w:hint="eastAsia"/>
                <w:color w:val="FF0000"/>
                <w:sz w:val="21"/>
                <w:szCs w:val="21"/>
                <w:lang w:eastAsia="zh-CN"/>
              </w:rPr>
              <w:t>其他</w:t>
            </w:r>
            <w:r>
              <w:rPr>
                <w:rFonts w:hint="eastAsia"/>
                <w:color w:val="FF0000"/>
                <w:sz w:val="21"/>
                <w:szCs w:val="21"/>
                <w:highlight w:val="none"/>
                <w:vertAlign w:val="baseline"/>
                <w:lang w:eastAsia="zh-CN"/>
              </w:rPr>
              <w:sym w:font="Wingdings" w:char="00FE"/>
            </w:r>
            <w:r>
              <w:rPr>
                <w:rFonts w:hint="eastAsia"/>
                <w:color w:val="FF0000"/>
                <w:sz w:val="21"/>
                <w:szCs w:val="21"/>
                <w:highlight w:val="none"/>
                <w:vertAlign w:val="baseline"/>
                <w:lang w:eastAsia="zh-CN"/>
              </w:rPr>
              <w:t>（</w:t>
            </w:r>
            <w:r>
              <w:rPr>
                <w:rFonts w:hint="eastAsia"/>
                <w:color w:val="FF0000"/>
                <w:sz w:val="21"/>
                <w:szCs w:val="21"/>
                <w:highlight w:val="none"/>
                <w:vertAlign w:val="baseline"/>
                <w:lang w:val="en-US" w:eastAsia="zh-CN"/>
              </w:rPr>
              <w:t xml:space="preserve">         </w:t>
            </w:r>
            <w:r>
              <w:rPr>
                <w:rFonts w:hint="eastAsia"/>
                <w:color w:val="FF0000"/>
                <w:sz w:val="21"/>
                <w:szCs w:val="21"/>
                <w:highlight w:val="none"/>
                <w:vertAlign w:val="baseli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5" w:type="dxa"/>
            <w:gridSpan w:val="2"/>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评价等级</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eastAsia="zh-CN"/>
              </w:rPr>
              <w:t>一级</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二级</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三级</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生态影响简单分析</w:t>
            </w:r>
            <w:r>
              <w:rPr>
                <w:rFonts w:hint="eastAsia"/>
                <w:color w:val="FF0000"/>
                <w:sz w:val="21"/>
                <w:szCs w:val="21"/>
                <w:highlight w:val="none"/>
                <w:vertAlign w:val="baseline"/>
                <w:lang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5" w:type="dxa"/>
            <w:gridSpan w:val="2"/>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评价范围</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eastAsia="zh-CN"/>
              </w:rPr>
              <w:t>路域面积：（</w:t>
            </w:r>
            <w:r>
              <w:rPr>
                <w:rFonts w:hint="eastAsia" w:ascii="Times New Roman" w:hAnsi="Times New Roman" w:cs="Times New Roman"/>
                <w:color w:val="FF0000"/>
                <w:sz w:val="21"/>
                <w:szCs w:val="21"/>
                <w:vertAlign w:val="baseline"/>
                <w:lang w:val="en-US" w:eastAsia="zh-CN"/>
              </w:rPr>
              <w:t>/</w:t>
            </w:r>
            <w:r>
              <w:rPr>
                <w:rFonts w:hint="eastAsia" w:ascii="Times New Roman" w:hAnsi="Times New Roman" w:cs="Times New Roman"/>
                <w:color w:val="FF0000"/>
                <w:sz w:val="21"/>
                <w:szCs w:val="21"/>
                <w:vertAlign w:val="baseline"/>
                <w:lang w:eastAsia="zh-CN"/>
              </w:rPr>
              <w:t>）</w:t>
            </w:r>
            <w:r>
              <w:rPr>
                <w:rFonts w:hint="eastAsia" w:ascii="Times New Roman" w:hAnsi="Times New Roman" w:cs="Times New Roman"/>
                <w:color w:val="FF0000"/>
                <w:sz w:val="21"/>
                <w:szCs w:val="21"/>
                <w:vertAlign w:val="baseline"/>
                <w:lang w:val="en-US" w:eastAsia="zh-CN"/>
              </w:rPr>
              <w:t>km</w:t>
            </w:r>
            <w:r>
              <w:rPr>
                <w:rFonts w:hint="eastAsia" w:ascii="Times New Roman" w:hAnsi="Times New Roman" w:cs="Times New Roman"/>
                <w:color w:val="FF0000"/>
                <w:sz w:val="21"/>
                <w:szCs w:val="21"/>
                <w:vertAlign w:val="superscript"/>
                <w:lang w:val="en-US" w:eastAsia="zh-CN"/>
              </w:rPr>
              <w:t>2</w:t>
            </w:r>
            <w:r>
              <w:rPr>
                <w:rFonts w:hint="eastAsia" w:ascii="Times New Roman" w:hAnsi="Times New Roman" w:cs="Times New Roman"/>
                <w:color w:val="FF0000"/>
                <w:sz w:val="21"/>
                <w:szCs w:val="21"/>
                <w:vertAlign w:val="baseline"/>
                <w:lang w:val="en-US" w:eastAsia="zh-CN"/>
              </w:rPr>
              <w:t xml:space="preserve">    水域面积：（）km</w:t>
            </w:r>
            <w:r>
              <w:rPr>
                <w:rFonts w:hint="eastAsia" w:ascii="Times New Roman" w:hAnsi="Times New Roman" w:cs="Times New Roman"/>
                <w:color w:val="FF0000"/>
                <w:sz w:val="21"/>
                <w:szCs w:val="21"/>
                <w:vertAlign w:val="superscript"/>
                <w:lang w:val="en-US" w:eastAsia="zh-CN"/>
              </w:rPr>
              <w:t>2</w:t>
            </w:r>
            <w:r>
              <w:rPr>
                <w:rFonts w:hint="eastAsia" w:ascii="Times New Roman" w:hAnsi="Times New Roman" w:cs="Times New Roman"/>
                <w:color w:val="FF0000"/>
                <w:sz w:val="21"/>
                <w:szCs w:val="21"/>
                <w:vertAlign w:val="baselin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restart"/>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生态现状调查与评价</w:t>
            </w: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调查方法</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eastAsia="zh-CN"/>
              </w:rPr>
              <w:t>资料收集</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遥感调查</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调查样方、样线</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调查点位、断面</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专家和公众咨询法</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其他</w:t>
            </w:r>
            <w:r>
              <w:rPr>
                <w:rFonts w:hint="eastAsia"/>
                <w:color w:val="FF0000"/>
                <w:sz w:val="21"/>
                <w:szCs w:val="21"/>
                <w:highlight w:val="none"/>
                <w:vertAlign w:val="baseline"/>
                <w:lang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870" w:type="dxa"/>
            <w:vMerge w:val="continue"/>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调查时间</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eastAsia="zh-CN"/>
              </w:rPr>
              <w:t>春季</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夏季</w:t>
            </w:r>
            <w:r>
              <w:rPr>
                <w:rFonts w:hint="eastAsia"/>
                <w:color w:val="FF0000"/>
                <w:sz w:val="21"/>
                <w:szCs w:val="21"/>
                <w:highlight w:val="none"/>
                <w:vertAlign w:val="baseline"/>
                <w:lang w:eastAsia="zh-CN"/>
              </w:rPr>
              <w:sym w:font="Wingdings" w:char="00FE"/>
            </w:r>
            <w:r>
              <w:rPr>
                <w:rFonts w:hint="eastAsia" w:ascii="Times New Roman" w:hAnsi="Times New Roman" w:cs="Times New Roman"/>
                <w:color w:val="FF0000"/>
                <w:sz w:val="21"/>
                <w:szCs w:val="21"/>
                <w:vertAlign w:val="baseline"/>
                <w:lang w:val="en-US" w:eastAsia="zh-CN"/>
              </w:rPr>
              <w:t xml:space="preserve">   秋季</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冬季</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丰水期</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枯水期</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平水期</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所在区域的生态问题</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eastAsia="zh-CN"/>
              </w:rPr>
              <w:t>水土流失</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沙漠化</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盐渍化</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生物入侵</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污染危害</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其他</w:t>
            </w:r>
            <w:r>
              <w:rPr>
                <w:rFonts w:hint="eastAsia"/>
                <w:color w:val="FF0000"/>
                <w:sz w:val="21"/>
                <w:szCs w:val="21"/>
                <w:highlight w:val="none"/>
                <w:vertAlign w:val="baseline"/>
                <w:lang w:eastAsia="zh-CN"/>
              </w:rPr>
              <w:sym w:font="Wingdings" w:char="00FE"/>
            </w:r>
            <w:r>
              <w:rPr>
                <w:rFonts w:hint="eastAsia" w:ascii="Times New Roman" w:hAnsi="Times New Roman" w:cs="Times New Roman"/>
                <w:color w:val="FF0000"/>
                <w:sz w:val="21"/>
                <w:szCs w:val="21"/>
                <w:vertAlign w:val="baselin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评价内容</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val="en-US" w:eastAsia="zh-CN"/>
              </w:rPr>
              <w:t>植被/植物群落</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土地利用</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生态系统</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生物多样性</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重要物种</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生态敏感区</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生物入侵风险</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其他</w:t>
            </w:r>
            <w:r>
              <w:rPr>
                <w:rFonts w:hint="eastAsia"/>
                <w:color w:val="FF0000"/>
                <w:sz w:val="21"/>
                <w:szCs w:val="21"/>
                <w:highlight w:val="none"/>
                <w:vertAlign w:val="baseline"/>
                <w:lang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restart"/>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生态影响预测与评价</w:t>
            </w: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评价方法</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val="en-US" w:eastAsia="zh-CN"/>
              </w:rPr>
              <w:t xml:space="preserve">  定性</w:t>
            </w:r>
            <w:r>
              <w:rPr>
                <w:rFonts w:hint="eastAsia"/>
                <w:color w:val="FF0000"/>
                <w:sz w:val="21"/>
                <w:szCs w:val="21"/>
                <w:highlight w:val="none"/>
                <w:vertAlign w:val="baseline"/>
                <w:lang w:eastAsia="zh-CN"/>
              </w:rPr>
              <w:sym w:font="Wingdings" w:char="00FE"/>
            </w:r>
            <w:r>
              <w:rPr>
                <w:rFonts w:hint="eastAsia" w:ascii="Times New Roman" w:hAnsi="Times New Roman" w:cs="Times New Roman"/>
                <w:color w:val="FF0000"/>
                <w:sz w:val="21"/>
                <w:szCs w:val="21"/>
                <w:vertAlign w:val="baseline"/>
                <w:lang w:val="en-US" w:eastAsia="zh-CN"/>
              </w:rPr>
              <w:t xml:space="preserve">    定性和定量</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870" w:type="dxa"/>
            <w:vMerge w:val="continue"/>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评价内容</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val="en-US" w:eastAsia="zh-CN"/>
              </w:rPr>
              <w:t>植被/植物群落</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土地利用</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生态系统</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生物多样性</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重要物种</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生态敏感区</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其他</w:t>
            </w:r>
            <w:r>
              <w:rPr>
                <w:rFonts w:hint="eastAsia"/>
                <w:color w:val="FF0000"/>
                <w:sz w:val="21"/>
                <w:szCs w:val="21"/>
                <w:highlight w:val="none"/>
                <w:vertAlign w:val="baseline"/>
                <w:lang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restart"/>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生态保护对策措施</w:t>
            </w: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对策措施</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避让</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减缓</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生态修复</w:t>
            </w:r>
            <w:r>
              <w:rPr>
                <w:rFonts w:hint="eastAsia"/>
                <w:color w:val="FF0000"/>
                <w:sz w:val="21"/>
                <w:szCs w:val="21"/>
                <w:highlight w:val="none"/>
                <w:vertAlign w:val="baseline"/>
                <w:lang w:eastAsia="zh-CN"/>
              </w:rPr>
              <w:sym w:font="Wingdings" w:char="00FE"/>
            </w:r>
            <w:r>
              <w:rPr>
                <w:rFonts w:hint="eastAsia" w:ascii="Times New Roman" w:hAnsi="Times New Roman" w:cs="Times New Roman"/>
                <w:color w:val="FF0000"/>
                <w:sz w:val="21"/>
                <w:szCs w:val="21"/>
                <w:vertAlign w:val="baseline"/>
                <w:lang w:val="en-US" w:eastAsia="zh-CN"/>
              </w:rPr>
              <w:t xml:space="preserve">   生态补偿</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可研</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其他</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生态监测计划</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eastAsia="zh-CN"/>
              </w:rPr>
              <w:t>全生长周期</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长期跟踪</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常规</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无</w:t>
            </w:r>
            <w:r>
              <w:rPr>
                <w:rFonts w:hint="eastAsia"/>
                <w:color w:val="FF0000"/>
                <w:sz w:val="21"/>
                <w:szCs w:val="21"/>
                <w:highlight w:val="none"/>
                <w:vertAlign w:val="baseline"/>
                <w:lang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环境管理</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eastAsia="zh-CN"/>
              </w:rPr>
              <w:t>环境监理</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环境影响后评价</w:t>
            </w:r>
            <w:r>
              <w:rPr>
                <w:rFonts w:hint="eastAsia"/>
                <w:color w:val="FF0000"/>
                <w:sz w:val="21"/>
                <w:szCs w:val="21"/>
                <w:highlight w:val="none"/>
                <w:vertAlign w:val="baseline"/>
                <w:lang w:eastAsia="zh-CN"/>
              </w:rPr>
              <w:sym w:font="Wingdings" w:char="00A8"/>
            </w:r>
            <w:r>
              <w:rPr>
                <w:rFonts w:hint="eastAsia" w:ascii="Times New Roman" w:hAnsi="Times New Roman" w:cs="Times New Roman"/>
                <w:color w:val="FF0000"/>
                <w:sz w:val="21"/>
                <w:szCs w:val="21"/>
                <w:vertAlign w:val="baseline"/>
                <w:lang w:val="en-US" w:eastAsia="zh-CN"/>
              </w:rPr>
              <w:t xml:space="preserve">    其他</w:t>
            </w:r>
            <w:r>
              <w:rPr>
                <w:rFonts w:hint="eastAsia"/>
                <w:color w:val="FF0000"/>
                <w:sz w:val="21"/>
                <w:szCs w:val="21"/>
                <w:highlight w:val="none"/>
                <w:vertAlign w:val="baseline"/>
                <w:lang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870"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p>
        </w:tc>
        <w:tc>
          <w:tcPr>
            <w:tcW w:w="1635" w:type="dxa"/>
            <w:tcBorders>
              <w:tl2br w:val="nil"/>
              <w:tr2bl w:val="nil"/>
            </w:tcBorders>
            <w:vAlign w:val="center"/>
          </w:tcPr>
          <w:p>
            <w:pPr>
              <w:pStyle w:val="12"/>
              <w:jc w:val="center"/>
              <w:rPr>
                <w:rFonts w:hint="default" w:ascii="Times New Roman" w:hAnsi="Times New Roman" w:cs="Times New Roman"/>
                <w:color w:val="FF0000"/>
                <w:sz w:val="21"/>
                <w:szCs w:val="21"/>
                <w:vertAlign w:val="baseline"/>
                <w:lang w:eastAsia="zh-CN"/>
              </w:rPr>
            </w:pPr>
            <w:r>
              <w:rPr>
                <w:rFonts w:hint="eastAsia" w:ascii="Times New Roman" w:hAnsi="Times New Roman" w:cs="Times New Roman"/>
                <w:color w:val="FF0000"/>
                <w:sz w:val="21"/>
                <w:szCs w:val="21"/>
                <w:vertAlign w:val="baseline"/>
                <w:lang w:eastAsia="zh-CN"/>
              </w:rPr>
              <w:t>生态影响</w:t>
            </w:r>
          </w:p>
        </w:tc>
        <w:tc>
          <w:tcPr>
            <w:tcW w:w="6788" w:type="dxa"/>
            <w:tcBorders>
              <w:tl2br w:val="nil"/>
              <w:tr2bl w:val="nil"/>
            </w:tcBorders>
            <w:vAlign w:val="center"/>
          </w:tcPr>
          <w:p>
            <w:pPr>
              <w:pStyle w:val="12"/>
              <w:jc w:val="left"/>
              <w:rPr>
                <w:rFonts w:hint="default" w:ascii="Times New Roman" w:hAnsi="Times New Roman" w:cs="Times New Roman"/>
                <w:color w:val="FF0000"/>
                <w:sz w:val="21"/>
                <w:szCs w:val="21"/>
                <w:vertAlign w:val="baseline"/>
                <w:lang w:val="en-US" w:eastAsia="zh-CN"/>
              </w:rPr>
            </w:pPr>
            <w:r>
              <w:rPr>
                <w:rFonts w:hint="eastAsia" w:ascii="Times New Roman" w:hAnsi="Times New Roman" w:cs="Times New Roman"/>
                <w:color w:val="FF0000"/>
                <w:sz w:val="21"/>
                <w:szCs w:val="21"/>
                <w:vertAlign w:val="baseline"/>
                <w:lang w:eastAsia="zh-CN"/>
              </w:rPr>
              <w:t>可行</w:t>
            </w:r>
            <w:r>
              <w:rPr>
                <w:rFonts w:hint="eastAsia"/>
                <w:color w:val="FF0000"/>
                <w:sz w:val="21"/>
                <w:szCs w:val="21"/>
                <w:highlight w:val="none"/>
                <w:vertAlign w:val="baseline"/>
                <w:lang w:eastAsia="zh-CN"/>
              </w:rPr>
              <w:sym w:font="Wingdings" w:char="00FE"/>
            </w:r>
            <w:r>
              <w:rPr>
                <w:rFonts w:hint="eastAsia" w:ascii="Times New Roman" w:hAnsi="Times New Roman" w:cs="Times New Roman"/>
                <w:color w:val="FF0000"/>
                <w:sz w:val="21"/>
                <w:szCs w:val="21"/>
                <w:vertAlign w:val="baseline"/>
                <w:lang w:val="en-US" w:eastAsia="zh-CN"/>
              </w:rPr>
              <w:t xml:space="preserve">     不可行</w:t>
            </w:r>
            <w:r>
              <w:rPr>
                <w:rFonts w:hint="eastAsia"/>
                <w:color w:val="FF0000"/>
                <w:sz w:val="21"/>
                <w:szCs w:val="21"/>
                <w:highlight w:val="none"/>
                <w:vertAlign w:val="baseline"/>
                <w:lang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293" w:type="dxa"/>
            <w:gridSpan w:val="3"/>
            <w:tcBorders>
              <w:tl2br w:val="nil"/>
              <w:tr2bl w:val="nil"/>
            </w:tcBorders>
            <w:vAlign w:val="center"/>
          </w:tcPr>
          <w:p>
            <w:pPr>
              <w:pStyle w:val="12"/>
              <w:jc w:val="both"/>
              <w:rPr>
                <w:rFonts w:hint="default" w:ascii="Times New Roman" w:hAnsi="Times New Roman" w:cs="Times New Roman"/>
                <w:color w:val="FF0000"/>
                <w:sz w:val="21"/>
                <w:szCs w:val="21"/>
                <w:vertAlign w:val="baseline"/>
                <w:lang w:eastAsia="zh-CN"/>
              </w:rPr>
            </w:pPr>
            <w:r>
              <w:rPr>
                <w:rFonts w:hint="eastAsia"/>
                <w:color w:val="FF0000"/>
                <w:sz w:val="21"/>
                <w:szCs w:val="21"/>
                <w:highlight w:val="none"/>
                <w:vertAlign w:val="baseline"/>
                <w:lang w:eastAsia="zh-CN"/>
              </w:rPr>
              <w:t>注：“</w:t>
            </w:r>
            <w:r>
              <w:rPr>
                <w:rFonts w:hint="eastAsia"/>
                <w:color w:val="FF0000"/>
                <w:sz w:val="21"/>
                <w:szCs w:val="21"/>
                <w:highlight w:val="none"/>
                <w:vertAlign w:val="baseline"/>
                <w:lang w:eastAsia="zh-CN"/>
              </w:rPr>
              <w:sym w:font="Wingdings" w:char="00A8"/>
            </w:r>
            <w:r>
              <w:rPr>
                <w:rFonts w:hint="eastAsia"/>
                <w:color w:val="FF0000"/>
                <w:sz w:val="21"/>
                <w:szCs w:val="21"/>
                <w:highlight w:val="none"/>
                <w:vertAlign w:val="baseline"/>
                <w:lang w:eastAsia="zh-CN"/>
              </w:rPr>
              <w:t>”为勾选项，可√：“（）”为内容填写项。</w:t>
            </w:r>
          </w:p>
        </w:tc>
      </w:tr>
    </w:tbl>
    <w:p>
      <w:pPr>
        <w:pStyle w:val="12"/>
        <w:jc w:val="center"/>
        <w:rPr>
          <w:rFonts w:hint="eastAsia" w:ascii="Times New Roman" w:hAnsi="Times New Roman"/>
          <w:lang w:eastAsia="zh-CN"/>
        </w:rPr>
      </w:pPr>
    </w:p>
    <w:p>
      <w:pPr>
        <w:rPr>
          <w:rFonts w:hint="eastAsia" w:ascii="Times New Roman" w:hAnsi="Times New Roman"/>
          <w:lang w:eastAsia="zh-CN"/>
        </w:rPr>
      </w:pPr>
    </w:p>
    <w:p>
      <w:pPr>
        <w:pStyle w:val="2"/>
        <w:rPr>
          <w:rFonts w:hint="eastAsia"/>
          <w:lang w:eastAsia="zh-CN"/>
        </w:rPr>
        <w:sectPr>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p>
    <w:p>
      <w:pPr>
        <w:pStyle w:val="45"/>
        <w:snapToGrid w:val="0"/>
        <w:spacing w:before="240" w:beforeLines="100" w:after="120" w:afterLines="50" w:line="540" w:lineRule="exact"/>
        <w:contextualSpacing/>
        <w:rPr>
          <w:bCs w:val="0"/>
          <w:snapToGrid w:val="0"/>
          <w:kern w:val="0"/>
          <w:sz w:val="32"/>
          <w:szCs w:val="32"/>
        </w:rPr>
      </w:pPr>
      <w:bookmarkStart w:id="719" w:name="_Toc17130"/>
      <w:bookmarkStart w:id="720" w:name="_Toc17879"/>
      <w:r>
        <w:rPr>
          <w:bCs w:val="0"/>
          <w:snapToGrid w:val="0"/>
          <w:kern w:val="0"/>
          <w:sz w:val="32"/>
          <w:szCs w:val="32"/>
        </w:rPr>
        <w:t>6环境保护措施及其技术经济论证</w:t>
      </w:r>
      <w:bookmarkEnd w:id="659"/>
      <w:bookmarkEnd w:id="660"/>
      <w:bookmarkEnd w:id="719"/>
      <w:bookmarkEnd w:id="720"/>
    </w:p>
    <w:p>
      <w:pPr>
        <w:pStyle w:val="68"/>
        <w:spacing w:line="540" w:lineRule="exact"/>
        <w:ind w:firstLine="480"/>
        <w:rPr>
          <w:rFonts w:ascii="Times New Roman" w:hAnsi="Times New Roman" w:eastAsia="宋体"/>
          <w:kern w:val="2"/>
          <w:szCs w:val="32"/>
        </w:rPr>
      </w:pPr>
      <w:r>
        <w:rPr>
          <w:rFonts w:ascii="Times New Roman" w:hAnsi="Times New Roman" w:eastAsia="宋体"/>
          <w:kern w:val="2"/>
          <w:szCs w:val="32"/>
        </w:rPr>
        <w:t>依照“达标排放”、“节能减排”、环境功能区划等要求，对本项目采取的环境保护措施，从经济与技术的可行性角度进行论证，并对可能出现的环境问题提出进一步改进建议。</w:t>
      </w:r>
      <w:bookmarkStart w:id="721" w:name="_Toc335824696"/>
      <w:bookmarkEnd w:id="721"/>
      <w:bookmarkStart w:id="722" w:name="_Toc299369006"/>
      <w:bookmarkEnd w:id="722"/>
      <w:bookmarkStart w:id="723" w:name="_Toc387745702"/>
      <w:bookmarkEnd w:id="723"/>
      <w:bookmarkStart w:id="724" w:name="_Toc332203358"/>
      <w:bookmarkEnd w:id="724"/>
      <w:bookmarkStart w:id="725" w:name="_Toc5450"/>
      <w:bookmarkStart w:id="726" w:name="_Toc6361"/>
      <w:bookmarkStart w:id="727" w:name="_Toc8139"/>
      <w:bookmarkStart w:id="728" w:name="_Toc7379"/>
      <w:bookmarkStart w:id="729" w:name="_Toc1983"/>
      <w:bookmarkStart w:id="730" w:name="_Toc13422"/>
      <w:bookmarkStart w:id="731" w:name="_Toc491610116"/>
      <w:bookmarkStart w:id="732" w:name="_Toc4573"/>
      <w:bookmarkStart w:id="733" w:name="_Toc21033"/>
      <w:bookmarkStart w:id="734" w:name="_Toc32462"/>
      <w:bookmarkStart w:id="735" w:name="_Toc29298"/>
    </w:p>
    <w:p>
      <w:pPr>
        <w:pStyle w:val="68"/>
        <w:spacing w:line="540" w:lineRule="exact"/>
        <w:ind w:firstLine="0" w:firstLineChars="0"/>
        <w:outlineLvl w:val="1"/>
        <w:rPr>
          <w:rFonts w:ascii="Times New Roman" w:hAnsi="Times New Roman" w:eastAsia="宋体"/>
          <w:b/>
          <w:snapToGrid w:val="0"/>
          <w:sz w:val="30"/>
          <w:szCs w:val="30"/>
        </w:rPr>
      </w:pPr>
      <w:bookmarkStart w:id="736" w:name="_Toc22935"/>
      <w:r>
        <w:rPr>
          <w:rFonts w:ascii="Times New Roman" w:hAnsi="Times New Roman" w:eastAsia="宋体"/>
          <w:b/>
          <w:snapToGrid w:val="0"/>
          <w:sz w:val="30"/>
          <w:szCs w:val="30"/>
        </w:rPr>
        <w:t>6.1施工期环境保护措施</w:t>
      </w:r>
      <w:bookmarkEnd w:id="725"/>
      <w:r>
        <w:rPr>
          <w:rFonts w:ascii="Times New Roman" w:hAnsi="Times New Roman" w:eastAsia="宋体"/>
          <w:b/>
          <w:snapToGrid w:val="0"/>
          <w:sz w:val="30"/>
          <w:szCs w:val="30"/>
        </w:rPr>
        <w:t>及其技术经济论证</w:t>
      </w:r>
      <w:bookmarkEnd w:id="726"/>
      <w:bookmarkEnd w:id="727"/>
      <w:bookmarkEnd w:id="736"/>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737" w:name="_Toc484463530"/>
      <w:bookmarkStart w:id="738" w:name="_Toc17341"/>
      <w:bookmarkStart w:id="739" w:name="_Toc21587"/>
      <w:bookmarkStart w:id="740" w:name="_Toc12582"/>
      <w:bookmarkStart w:id="741" w:name="_Toc14360"/>
      <w:bookmarkStart w:id="742" w:name="_Toc491610117"/>
      <w:bookmarkStart w:id="743" w:name="_Toc16573"/>
      <w:bookmarkStart w:id="744" w:name="_Toc11229"/>
      <w:r>
        <w:rPr>
          <w:rFonts w:cs="Times New Roman"/>
          <w:bCs w:val="0"/>
          <w:snapToGrid w:val="0"/>
          <w:kern w:val="0"/>
          <w:sz w:val="28"/>
          <w:szCs w:val="28"/>
        </w:rPr>
        <w:t>6.1.1扬尘污染防治对策</w:t>
      </w:r>
      <w:bookmarkEnd w:id="737"/>
      <w:bookmarkEnd w:id="738"/>
      <w:bookmarkEnd w:id="739"/>
      <w:bookmarkEnd w:id="740"/>
      <w:bookmarkEnd w:id="741"/>
      <w:bookmarkEnd w:id="742"/>
      <w:bookmarkEnd w:id="743"/>
    </w:p>
    <w:p>
      <w:pPr>
        <w:spacing w:line="540" w:lineRule="exact"/>
        <w:ind w:firstLine="480" w:firstLineChars="200"/>
        <w:rPr>
          <w:rFonts w:ascii="Times New Roman" w:hAnsi="Times New Roman"/>
          <w:sz w:val="24"/>
        </w:rPr>
      </w:pPr>
      <w:r>
        <w:rPr>
          <w:rFonts w:ascii="Times New Roman" w:hAnsi="Times New Roman"/>
          <w:sz w:val="24"/>
        </w:rPr>
        <w:t>本项目施工期对大气环境产生的影响主要来自土方挖掘、堆积清运和建筑材料（如水泥、石灰、砂子）等装卸、堆放的扬尘；交通运输、搅拌机等引起的扬尘；施工设备、汽车产生的废气等。施工粉尘的污染程度与风速、大面积开挖造成地表裸露、粉尘粒径、粉尘含湿量等因素有关，其中风速对粉尘的污染影响最大，风速增大，产生的含尘量呈正比或级数增加，粉尘污染范围也相应扩大。大风情况下，施工引起的扬尘飘移较远。为减少施工过程中扬尘产生和对环境的影响，施工方应加强管理，文明施工，同时还须采取以下的防治措施：</w:t>
      </w:r>
    </w:p>
    <w:p>
      <w:pPr>
        <w:spacing w:line="540" w:lineRule="exact"/>
        <w:ind w:firstLine="480" w:firstLineChars="200"/>
        <w:rPr>
          <w:rFonts w:ascii="Times New Roman" w:hAnsi="Times New Roman"/>
          <w:sz w:val="24"/>
        </w:rPr>
      </w:pPr>
      <w:r>
        <w:rPr>
          <w:rFonts w:ascii="Times New Roman" w:hAnsi="Times New Roman"/>
          <w:sz w:val="24"/>
        </w:rPr>
        <w:t>(1)对施工现场进行科学管理，砂石料应统一堆放。</w:t>
      </w:r>
    </w:p>
    <w:p>
      <w:pPr>
        <w:spacing w:line="540" w:lineRule="exact"/>
        <w:ind w:firstLine="480" w:firstLineChars="200"/>
        <w:rPr>
          <w:rFonts w:ascii="Times New Roman" w:hAnsi="Times New Roman"/>
          <w:sz w:val="24"/>
        </w:rPr>
      </w:pPr>
      <w:r>
        <w:rPr>
          <w:rFonts w:ascii="Times New Roman" w:hAnsi="Times New Roman"/>
          <w:sz w:val="24"/>
        </w:rPr>
        <w:t>(2)对作业面和临时土堆应适当地洒水，使其保持一定的湿度，减小起尘量，施工便道应进行夯实硬化处理，减少起尘量，由于施工需要，不能硬化的道路，应采取定期洒水，铺草帘子等措施减少扬尘量。</w:t>
      </w:r>
    </w:p>
    <w:p>
      <w:pPr>
        <w:spacing w:line="540" w:lineRule="exact"/>
        <w:ind w:firstLine="480" w:firstLineChars="200"/>
        <w:rPr>
          <w:rFonts w:ascii="Times New Roman" w:hAnsi="Times New Roman"/>
          <w:sz w:val="24"/>
        </w:rPr>
      </w:pPr>
      <w:r>
        <w:rPr>
          <w:rFonts w:ascii="Times New Roman" w:hAnsi="Times New Roman"/>
          <w:sz w:val="24"/>
        </w:rPr>
        <w:t>(3)谨防运输车辆装载过满，并采取遮盖、密闭措施，减少其沿途抛洒，并及时清扫散落在路面的泥土和灰尘，冲洗轮胎，定时洒水压尘，减少运输过程中的扬尘。散装车辆装运货物的高度不得超过马槽的高度，文明装卸和驾驶，限速驾驶，在装卸点须对散落在车顶、蓬布、马槽外部等处的物料进行清扫。</w:t>
      </w:r>
    </w:p>
    <w:p>
      <w:pPr>
        <w:spacing w:line="540" w:lineRule="exact"/>
        <w:ind w:firstLine="480" w:firstLineChars="200"/>
        <w:rPr>
          <w:rFonts w:ascii="Times New Roman" w:hAnsi="Times New Roman"/>
          <w:sz w:val="24"/>
        </w:rPr>
      </w:pPr>
      <w:r>
        <w:rPr>
          <w:rFonts w:ascii="Times New Roman" w:hAnsi="Times New Roman"/>
          <w:sz w:val="24"/>
        </w:rPr>
        <w:t>(4)施工现场要使用围栏进行遮挡，减少施工扬尘扩散范围。</w:t>
      </w:r>
    </w:p>
    <w:p>
      <w:pPr>
        <w:spacing w:line="540" w:lineRule="exact"/>
        <w:ind w:firstLine="480" w:firstLineChars="200"/>
        <w:rPr>
          <w:rFonts w:ascii="Times New Roman" w:hAnsi="Times New Roman"/>
          <w:sz w:val="24"/>
        </w:rPr>
      </w:pPr>
      <w:r>
        <w:rPr>
          <w:rFonts w:ascii="Times New Roman" w:hAnsi="Times New Roman"/>
          <w:sz w:val="24"/>
        </w:rPr>
        <w:t>(5)风速超过6m/s时应停止施工作业，并对堆放的砂石等建筑材料进行遮盖处理。</w:t>
      </w:r>
    </w:p>
    <w:p>
      <w:pPr>
        <w:spacing w:line="540" w:lineRule="exact"/>
        <w:ind w:firstLine="480" w:firstLineChars="200"/>
        <w:rPr>
          <w:rFonts w:ascii="Times New Roman" w:hAnsi="Times New Roman"/>
          <w:sz w:val="24"/>
        </w:rPr>
      </w:pPr>
      <w:r>
        <w:rPr>
          <w:rFonts w:ascii="Times New Roman" w:hAnsi="Times New Roman"/>
          <w:sz w:val="24"/>
        </w:rPr>
        <w:t>采取以上措施后，将会降低扬尘量50~70%，可有效减少扬尘对周围环境的影响。随着施工过程的结束，这些污染也将随之结束。</w:t>
      </w:r>
      <w:bookmarkStart w:id="745" w:name="_Toc491610118"/>
      <w:bookmarkStart w:id="746" w:name="_Toc7420"/>
      <w:bookmarkStart w:id="747" w:name="_Toc17491"/>
      <w:bookmarkStart w:id="748" w:name="_Toc484463531"/>
      <w:bookmarkStart w:id="749" w:name="_Toc17238"/>
      <w:bookmarkStart w:id="750" w:name="_Toc24105"/>
      <w:bookmarkStart w:id="751" w:name="_Toc23098"/>
    </w:p>
    <w:p>
      <w:pPr>
        <w:spacing w:line="540" w:lineRule="exact"/>
        <w:rPr>
          <w:rFonts w:ascii="Times New Roman" w:hAnsi="Times New Roman"/>
          <w:b/>
          <w:bCs/>
          <w:snapToGrid w:val="0"/>
          <w:kern w:val="0"/>
          <w:sz w:val="28"/>
          <w:szCs w:val="28"/>
        </w:rPr>
      </w:pPr>
      <w:r>
        <w:rPr>
          <w:rFonts w:ascii="Times New Roman" w:hAnsi="Times New Roman"/>
          <w:b/>
          <w:bCs/>
          <w:snapToGrid w:val="0"/>
          <w:kern w:val="0"/>
          <w:sz w:val="28"/>
          <w:szCs w:val="28"/>
        </w:rPr>
        <w:t>6.1.2噪声污染防治对策</w:t>
      </w:r>
      <w:bookmarkEnd w:id="745"/>
      <w:bookmarkEnd w:id="746"/>
      <w:bookmarkEnd w:id="747"/>
      <w:bookmarkEnd w:id="748"/>
      <w:bookmarkEnd w:id="749"/>
      <w:bookmarkEnd w:id="750"/>
      <w:bookmarkEnd w:id="751"/>
    </w:p>
    <w:p>
      <w:pPr>
        <w:spacing w:line="540" w:lineRule="exact"/>
        <w:ind w:firstLine="480" w:firstLineChars="200"/>
        <w:rPr>
          <w:rFonts w:ascii="Times New Roman" w:hAnsi="Times New Roman"/>
          <w:sz w:val="24"/>
        </w:rPr>
      </w:pPr>
      <w:r>
        <w:rPr>
          <w:rFonts w:ascii="Times New Roman" w:hAnsi="Times New Roman"/>
          <w:sz w:val="24"/>
        </w:rPr>
        <w:t>项目施工时涉及的施工机械种类和数目较多，主要有推土机、挖土机、压路机、振捣棒、吊车等建筑施工机械及切、磨、吊、卷等安装机械。不同施工期使用的机械设备不同，产生的噪声强度也不同。</w:t>
      </w:r>
    </w:p>
    <w:p>
      <w:pPr>
        <w:spacing w:line="540" w:lineRule="exact"/>
        <w:ind w:firstLine="480" w:firstLineChars="200"/>
        <w:rPr>
          <w:rFonts w:ascii="Times New Roman" w:hAnsi="Times New Roman"/>
          <w:sz w:val="24"/>
        </w:rPr>
      </w:pPr>
      <w:r>
        <w:rPr>
          <w:rFonts w:ascii="Times New Roman" w:hAnsi="Times New Roman"/>
          <w:sz w:val="24"/>
        </w:rPr>
        <w:t>项目施工期分为土方平整阶段、基础施工阶段、结构制作阶段及室内装潢阶段，各阶段具有其独特的噪声特性。土方平整阶段的噪声源主要有推土机、挖掘机、装载机及各种车辆等，这些声源大部分属于移动声源，没有明显的指向性；基础施工阶段的噪声源基本上是固定声源；结构制作阶段的主要噪声源有振捣器、起重机等，其中包括一些撞击噪声；室内装潢阶段的主要噪声源有起重机、升降机等。</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为了减轻施工期噪声对环境的影响，须采取以下控制措施：</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 1 \* GB2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⑴</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降低施工设备噪声：尽量采用低噪声设备；采用安装排气筒消音器和隔离发动机振动部件的方法降低噪声；对动力机械、设备加强定期检修、养护，保证其正常运行，减少设备在非正常运行时所产生的噪声。</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 2 \* GB2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⑵</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降低人为噪声：按规定操作机械设备，模板、支架装卸过程中，尽量减少碰撞声音；</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 3 \* GB2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⑶</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建立临时声障：对位置相对固定的机械设备，于室内操作的尽量进入操作间，不能进入操作间的，可适当建立单面声障。</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 4 \* GB2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⑷</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减少交通噪声：加强车辆管理，控制汽车鸣笛。</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 5 \* GB2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⑸</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合理布局：将产生噪声较大且固定施工机械设备布置到项目用地的中部。</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采取上述噪声污染防治措施后，项目施工噪声对主要环境保护目标的影响较小。</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752" w:name="_Toc12913"/>
      <w:bookmarkStart w:id="753" w:name="_Toc484463532"/>
      <w:bookmarkStart w:id="754" w:name="_Toc19817"/>
      <w:bookmarkStart w:id="755" w:name="_Toc14958"/>
      <w:bookmarkStart w:id="756" w:name="_Toc13673"/>
      <w:bookmarkStart w:id="757" w:name="_Toc12030"/>
      <w:bookmarkStart w:id="758" w:name="_Toc491610119"/>
      <w:r>
        <w:rPr>
          <w:rFonts w:cs="Times New Roman"/>
          <w:bCs w:val="0"/>
          <w:snapToGrid w:val="0"/>
          <w:kern w:val="0"/>
          <w:sz w:val="28"/>
          <w:szCs w:val="28"/>
        </w:rPr>
        <w:t>6.1.3废水污染防治对策</w:t>
      </w:r>
      <w:bookmarkEnd w:id="752"/>
      <w:bookmarkEnd w:id="753"/>
      <w:bookmarkEnd w:id="754"/>
      <w:bookmarkEnd w:id="755"/>
      <w:bookmarkEnd w:id="756"/>
      <w:bookmarkEnd w:id="757"/>
      <w:bookmarkEnd w:id="758"/>
    </w:p>
    <w:p>
      <w:pPr>
        <w:spacing w:line="540" w:lineRule="exact"/>
        <w:ind w:firstLine="480" w:firstLineChars="200"/>
        <w:rPr>
          <w:rFonts w:ascii="Times New Roman" w:hAnsi="Times New Roman"/>
          <w:sz w:val="24"/>
        </w:rPr>
      </w:pPr>
      <w:r>
        <w:rPr>
          <w:rFonts w:ascii="Times New Roman" w:hAnsi="Times New Roman"/>
          <w:sz w:val="24"/>
        </w:rPr>
        <w:t>施工期废水主要来自工程施工人员的生活污水、砖瓦、土方等建筑物料喷洒水及少量的机械泥浆污水，只含有少量的泥沙等，不含其它杂质。为了减轻废水对项目周边地表水环境的不利影响，须采取以下控制措施：</w:t>
      </w:r>
    </w:p>
    <w:p>
      <w:pPr>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GB3 </w:instrText>
      </w:r>
      <w:r>
        <w:rPr>
          <w:rFonts w:ascii="Times New Roman" w:hAnsi="Times New Roman"/>
          <w:sz w:val="24"/>
        </w:rPr>
        <w:fldChar w:fldCharType="separate"/>
      </w:r>
      <w:r>
        <w:rPr>
          <w:rFonts w:ascii="Times New Roman" w:hAnsi="Times New Roman"/>
          <w:sz w:val="24"/>
        </w:rPr>
        <w:t>①</w:t>
      </w:r>
      <w:r>
        <w:rPr>
          <w:rFonts w:ascii="Times New Roman" w:hAnsi="Times New Roman"/>
          <w:sz w:val="24"/>
        </w:rPr>
        <w:fldChar w:fldCharType="end"/>
      </w:r>
      <w:r>
        <w:rPr>
          <w:rFonts w:ascii="Times New Roman" w:hAnsi="Times New Roman"/>
          <w:sz w:val="24"/>
        </w:rPr>
        <w:t>生活污水：建设单位必须严格加强对施工人员的管理。项目施工时建设单位拟在施工人员集中生活区建设简易旱厕，定期清掏用于周边农田施肥。</w:t>
      </w:r>
    </w:p>
    <w:p>
      <w:pPr>
        <w:spacing w:line="540" w:lineRule="exact"/>
        <w:ind w:firstLine="480" w:firstLineChars="200"/>
        <w:rPr>
          <w:rFonts w:ascii="Times New Roman" w:hAnsi="Times New Roman"/>
          <w:sz w:val="24"/>
        </w:rPr>
      </w:pPr>
      <w:r>
        <w:rPr>
          <w:rFonts w:ascii="Times New Roman" w:hAnsi="Times New Roman"/>
          <w:sz w:val="24"/>
        </w:rPr>
        <w:t>②施工废水：施工期间的砂浆搅拌机用水、砖瓦、土方等建筑物料喷洒水及少量的机械泥浆污水，主要污染因子为SS，施工场地设置临时沉淀池，经沉淀澄清后回用于施工场地，循环利用不外排。</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759" w:name="_Toc484463533"/>
      <w:bookmarkStart w:id="760" w:name="_Toc13903"/>
      <w:bookmarkStart w:id="761" w:name="_Toc11505"/>
      <w:bookmarkStart w:id="762" w:name="_Toc31014"/>
      <w:bookmarkStart w:id="763" w:name="_Toc17232"/>
      <w:bookmarkStart w:id="764" w:name="_Toc1179"/>
      <w:bookmarkStart w:id="765" w:name="_Toc491610120"/>
      <w:r>
        <w:rPr>
          <w:rFonts w:cs="Times New Roman"/>
          <w:bCs w:val="0"/>
          <w:snapToGrid w:val="0"/>
          <w:kern w:val="0"/>
          <w:sz w:val="28"/>
          <w:szCs w:val="28"/>
        </w:rPr>
        <w:t>6.1.4固体废物污染防治对策</w:t>
      </w:r>
      <w:bookmarkEnd w:id="759"/>
      <w:bookmarkEnd w:id="760"/>
      <w:bookmarkEnd w:id="761"/>
      <w:bookmarkEnd w:id="762"/>
      <w:bookmarkEnd w:id="763"/>
      <w:bookmarkEnd w:id="764"/>
      <w:bookmarkEnd w:id="765"/>
    </w:p>
    <w:p>
      <w:pPr>
        <w:spacing w:line="540" w:lineRule="exact"/>
        <w:ind w:firstLine="480" w:firstLineChars="200"/>
        <w:rPr>
          <w:rFonts w:ascii="Times New Roman" w:hAnsi="Times New Roman"/>
          <w:sz w:val="24"/>
        </w:rPr>
      </w:pPr>
      <w:r>
        <w:rPr>
          <w:rFonts w:ascii="Times New Roman" w:hAnsi="Times New Roman"/>
          <w:sz w:val="24"/>
        </w:rPr>
        <w:t>本项目施工期产生的固体废物主要是建筑垃圾和施工人员生活垃圾。建筑垃圾主要来源于开挖土方、建筑施工中的废物（如砂石、石灰、混凝土、废砖等），可采取以下措施减少其对环境的影响：</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 1 \* GB2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⑴</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运送建筑废物的车辆离开施工场地时，要及时清理干净车辆粘带的泥土；</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 2 \* GB2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⑵</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遗留在现场的建筑废物要及时清运或回填；</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 3 \* GB2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⑶</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建筑废物在施工现场的金属要及时回收；</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 4 \* GB2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⑷</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施工期土石工程挖填量应平衡计算，开挖的土石方要定点堆放；</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 5 \* GB2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⑸</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建筑垃圾应运送到政府指定地点，不得随意倾倒。</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 6 \* GB2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⑹</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施工人员的生活垃圾用塑料袋收集后，交由环卫部门处置。</w:t>
      </w:r>
    </w:p>
    <w:p>
      <w:pPr>
        <w:spacing w:line="54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采取上述固体废物处置措施后，项目施工期产生的废物均采取相应的治理措施后，经济可行，且项目施工期对周围环境的影响较小。</w:t>
      </w:r>
    </w:p>
    <w:p>
      <w:pPr>
        <w:pStyle w:val="51"/>
        <w:snapToGrid w:val="0"/>
        <w:spacing w:before="120" w:beforeLines="50" w:after="120" w:afterLines="50" w:line="540" w:lineRule="exact"/>
        <w:contextualSpacing/>
        <w:rPr>
          <w:rFonts w:cs="Times New Roman"/>
          <w:bCs w:val="0"/>
          <w:snapToGrid w:val="0"/>
          <w:kern w:val="0"/>
          <w:sz w:val="30"/>
          <w:szCs w:val="30"/>
        </w:rPr>
      </w:pPr>
      <w:bookmarkStart w:id="766" w:name="_Toc27564"/>
      <w:bookmarkStart w:id="767" w:name="_Toc17816"/>
      <w:r>
        <w:rPr>
          <w:rFonts w:cs="Times New Roman"/>
          <w:bCs w:val="0"/>
          <w:snapToGrid w:val="0"/>
          <w:kern w:val="0"/>
          <w:sz w:val="30"/>
          <w:szCs w:val="30"/>
        </w:rPr>
        <w:t>6.</w:t>
      </w:r>
      <w:bookmarkEnd w:id="728"/>
      <w:bookmarkEnd w:id="729"/>
      <w:bookmarkEnd w:id="730"/>
      <w:bookmarkEnd w:id="731"/>
      <w:bookmarkEnd w:id="732"/>
      <w:bookmarkEnd w:id="733"/>
      <w:bookmarkEnd w:id="734"/>
      <w:bookmarkStart w:id="768" w:name="_Toc12622"/>
      <w:bookmarkStart w:id="769" w:name="_Toc12616"/>
      <w:bookmarkStart w:id="770" w:name="_Toc25129"/>
      <w:bookmarkStart w:id="771" w:name="_Toc24171"/>
      <w:r>
        <w:rPr>
          <w:rFonts w:cs="Times New Roman"/>
          <w:bCs w:val="0"/>
          <w:snapToGrid w:val="0"/>
          <w:kern w:val="0"/>
          <w:sz w:val="30"/>
          <w:szCs w:val="30"/>
        </w:rPr>
        <w:t>2运营期环境保护措施及其技术经济论证</w:t>
      </w:r>
      <w:bookmarkEnd w:id="735"/>
      <w:bookmarkEnd w:id="744"/>
      <w:bookmarkEnd w:id="766"/>
      <w:bookmarkEnd w:id="767"/>
      <w:bookmarkEnd w:id="768"/>
      <w:bookmarkEnd w:id="769"/>
      <w:bookmarkEnd w:id="770"/>
      <w:bookmarkEnd w:id="771"/>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772" w:name="_Toc491610122"/>
      <w:bookmarkStart w:id="773" w:name="_Toc4871"/>
      <w:bookmarkStart w:id="774" w:name="_Toc31617"/>
      <w:bookmarkStart w:id="775" w:name="_Toc7027"/>
      <w:bookmarkStart w:id="776" w:name="_Toc12813"/>
      <w:bookmarkStart w:id="777" w:name="_Toc17250"/>
      <w:bookmarkStart w:id="778" w:name="_Toc484463535"/>
      <w:bookmarkStart w:id="779" w:name="_Toc225148398"/>
      <w:r>
        <w:rPr>
          <w:rFonts w:cs="Times New Roman"/>
          <w:bCs w:val="0"/>
          <w:snapToGrid w:val="0"/>
          <w:kern w:val="0"/>
          <w:sz w:val="28"/>
          <w:szCs w:val="28"/>
        </w:rPr>
        <w:t>6.2.1大气污染防治措施评述</w:t>
      </w:r>
      <w:bookmarkEnd w:id="772"/>
      <w:bookmarkEnd w:id="773"/>
      <w:bookmarkEnd w:id="774"/>
      <w:bookmarkEnd w:id="775"/>
      <w:bookmarkEnd w:id="776"/>
      <w:bookmarkEnd w:id="777"/>
      <w:bookmarkEnd w:id="778"/>
    </w:p>
    <w:p>
      <w:pPr>
        <w:pStyle w:val="6"/>
        <w:snapToGrid w:val="0"/>
        <w:spacing w:before="120" w:after="120" w:line="540" w:lineRule="exact"/>
        <w:contextualSpacing/>
        <w:rPr>
          <w:rFonts w:ascii="Times New Roman" w:hAnsi="Times New Roman" w:eastAsia="宋体"/>
          <w:bCs w:val="0"/>
          <w:sz w:val="24"/>
        </w:rPr>
      </w:pPr>
      <w:bookmarkStart w:id="780" w:name="_Toc491610123"/>
      <w:bookmarkStart w:id="781" w:name="_Toc484463536"/>
      <w:bookmarkStart w:id="782" w:name="_Toc24645"/>
      <w:bookmarkStart w:id="783" w:name="_Toc1336"/>
      <w:r>
        <w:rPr>
          <w:rFonts w:ascii="Times New Roman" w:hAnsi="Times New Roman" w:eastAsia="宋体"/>
          <w:bCs w:val="0"/>
          <w:sz w:val="24"/>
        </w:rPr>
        <w:t>6.2.1.1基本原则</w:t>
      </w:r>
      <w:bookmarkEnd w:id="779"/>
      <w:bookmarkEnd w:id="780"/>
      <w:bookmarkEnd w:id="781"/>
      <w:bookmarkEnd w:id="782"/>
      <w:bookmarkEnd w:id="783"/>
    </w:p>
    <w:p>
      <w:pPr>
        <w:pStyle w:val="68"/>
        <w:spacing w:line="540" w:lineRule="exact"/>
        <w:ind w:firstLine="480"/>
        <w:rPr>
          <w:rFonts w:ascii="Times New Roman" w:hAnsi="Times New Roman" w:eastAsia="宋体"/>
          <w:szCs w:val="32"/>
        </w:rPr>
      </w:pPr>
      <w:r>
        <w:rPr>
          <w:rFonts w:ascii="Times New Roman" w:hAnsi="Times New Roman" w:eastAsia="宋体"/>
          <w:szCs w:val="32"/>
        </w:rPr>
        <w:t>环境空气污染防治首先要通过治理措施的优化，使本项目向外环境排放的大气污染物满足国家和地方的排放标准，并使其通过大气输送与扩散后满足环境质量标准的要求。其次，尽可能地考虑到环境标准的逐步严格，在经济合理的条件下，采取使本项目排放的大气污染物对环境影响程度尽可能小的预防和治理措施。</w:t>
      </w:r>
    </w:p>
    <w:p>
      <w:pPr>
        <w:pStyle w:val="6"/>
        <w:snapToGrid w:val="0"/>
        <w:spacing w:before="120" w:after="120" w:line="540" w:lineRule="exact"/>
        <w:contextualSpacing/>
        <w:rPr>
          <w:rFonts w:ascii="Times New Roman" w:hAnsi="Times New Roman" w:eastAsia="宋体"/>
          <w:bCs w:val="0"/>
          <w:sz w:val="24"/>
        </w:rPr>
      </w:pPr>
      <w:bookmarkStart w:id="784" w:name="_Toc387745704"/>
      <w:bookmarkStart w:id="785" w:name="_Toc491610124"/>
      <w:bookmarkStart w:id="786" w:name="_Toc25471"/>
      <w:bookmarkStart w:id="787" w:name="_Toc21092"/>
      <w:bookmarkStart w:id="788" w:name="_Toc484463537"/>
      <w:r>
        <w:rPr>
          <w:rFonts w:ascii="Times New Roman" w:hAnsi="Times New Roman" w:eastAsia="宋体"/>
          <w:bCs w:val="0"/>
          <w:sz w:val="24"/>
        </w:rPr>
        <w:t>6.2.1.2治理措施评述</w:t>
      </w:r>
      <w:bookmarkEnd w:id="784"/>
      <w:bookmarkEnd w:id="785"/>
      <w:bookmarkEnd w:id="786"/>
      <w:bookmarkEnd w:id="787"/>
      <w:bookmarkEnd w:id="788"/>
    </w:p>
    <w:p>
      <w:pPr>
        <w:pStyle w:val="68"/>
        <w:spacing w:line="540" w:lineRule="exact"/>
        <w:ind w:firstLine="480"/>
        <w:rPr>
          <w:rFonts w:ascii="Times New Roman" w:hAnsi="Times New Roman" w:eastAsia="宋体"/>
          <w:szCs w:val="24"/>
        </w:rPr>
      </w:pPr>
      <w:r>
        <w:rPr>
          <w:rFonts w:ascii="Times New Roman" w:hAnsi="Times New Roman" w:eastAsia="宋体"/>
          <w:szCs w:val="32"/>
        </w:rPr>
        <w:fldChar w:fldCharType="begin"/>
      </w:r>
      <w:r>
        <w:rPr>
          <w:rFonts w:ascii="Times New Roman" w:hAnsi="Times New Roman" w:eastAsia="宋体"/>
          <w:szCs w:val="32"/>
        </w:rPr>
        <w:instrText xml:space="preserve"> = 1 \* GB2 \* MERGEFORMAT </w:instrText>
      </w:r>
      <w:r>
        <w:rPr>
          <w:rFonts w:ascii="Times New Roman" w:hAnsi="Times New Roman" w:eastAsia="宋体"/>
          <w:szCs w:val="32"/>
        </w:rPr>
        <w:fldChar w:fldCharType="separate"/>
      </w:r>
      <w:r>
        <w:rPr>
          <w:rFonts w:ascii="Times New Roman" w:hAnsi="Times New Roman" w:eastAsia="宋体"/>
        </w:rPr>
        <w:t>⑴</w:t>
      </w:r>
      <w:r>
        <w:rPr>
          <w:rFonts w:ascii="Times New Roman" w:hAnsi="Times New Roman" w:eastAsia="宋体"/>
          <w:szCs w:val="32"/>
        </w:rPr>
        <w:fldChar w:fldCharType="end"/>
      </w:r>
      <w:r>
        <w:rPr>
          <w:rFonts w:ascii="Times New Roman" w:hAnsi="Times New Roman" w:eastAsia="宋体"/>
          <w:szCs w:val="24"/>
        </w:rPr>
        <w:t>恶臭污染物</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本项目恶臭主要来源于</w:t>
      </w:r>
      <w:r>
        <w:rPr>
          <w:rFonts w:ascii="Times New Roman" w:hAnsi="Times New Roman"/>
          <w:sz w:val="24"/>
        </w:rPr>
        <w:t>牛棚、</w:t>
      </w:r>
      <w:r>
        <w:rPr>
          <w:rFonts w:hint="eastAsia" w:ascii="Times New Roman" w:hAnsi="Times New Roman"/>
          <w:sz w:val="24"/>
        </w:rPr>
        <w:t>积粪场</w:t>
      </w:r>
      <w:r>
        <w:rPr>
          <w:rFonts w:ascii="Times New Roman" w:hAnsi="Times New Roman"/>
          <w:bCs/>
          <w:sz w:val="24"/>
        </w:rPr>
        <w:t>，污染物为NH</w:t>
      </w:r>
      <w:r>
        <w:rPr>
          <w:rFonts w:ascii="Times New Roman" w:hAnsi="Times New Roman"/>
          <w:bCs/>
          <w:sz w:val="24"/>
          <w:vertAlign w:val="subscript"/>
        </w:rPr>
        <w:t>3</w:t>
      </w:r>
      <w:r>
        <w:rPr>
          <w:rFonts w:ascii="Times New Roman" w:hAnsi="Times New Roman"/>
          <w:bCs/>
          <w:sz w:val="24"/>
        </w:rPr>
        <w:t>和H</w:t>
      </w:r>
      <w:r>
        <w:rPr>
          <w:rFonts w:ascii="Times New Roman" w:hAnsi="Times New Roman"/>
          <w:bCs/>
          <w:sz w:val="24"/>
          <w:vertAlign w:val="subscript"/>
        </w:rPr>
        <w:t>2</w:t>
      </w:r>
      <w:r>
        <w:rPr>
          <w:rFonts w:ascii="Times New Roman" w:hAnsi="Times New Roman"/>
          <w:bCs/>
          <w:sz w:val="24"/>
        </w:rPr>
        <w:t>S等恶臭气体，项目的恶臭污染源较分散，集中处理困难，最有效的控制方法是预防为主，在恶臭产生的源头就地处理，本次评价主要提出如下防治措施：</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①加强恶臭污染源管理</w:t>
      </w:r>
    </w:p>
    <w:p>
      <w:pPr>
        <w:numPr>
          <w:ilvl w:val="0"/>
          <w:numId w:val="4"/>
        </w:numPr>
        <w:adjustRightInd w:val="0"/>
        <w:snapToGrid w:val="0"/>
        <w:spacing w:line="540" w:lineRule="exact"/>
        <w:ind w:firstLine="480" w:firstLineChars="200"/>
        <w:rPr>
          <w:rFonts w:ascii="Times New Roman" w:hAnsi="Times New Roman"/>
          <w:sz w:val="24"/>
        </w:rPr>
      </w:pPr>
      <w:r>
        <w:rPr>
          <w:rFonts w:ascii="Times New Roman" w:hAnsi="Times New Roman"/>
          <w:sz w:val="24"/>
        </w:rPr>
        <w:t>在牛粪干湿分离、</w:t>
      </w:r>
      <w:r>
        <w:rPr>
          <w:rFonts w:hint="eastAsia" w:ascii="Times New Roman" w:hAnsi="Times New Roman"/>
          <w:sz w:val="24"/>
          <w:lang w:eastAsia="zh-CN"/>
        </w:rPr>
        <w:t>积粪场</w:t>
      </w:r>
      <w:r>
        <w:rPr>
          <w:rFonts w:ascii="Times New Roman" w:hAnsi="Times New Roman"/>
          <w:sz w:val="24"/>
        </w:rPr>
        <w:t>等加入对粪污进行降解除臭的特定微生物菌种，从源头减缓恶臭。</w:t>
      </w:r>
    </w:p>
    <w:p>
      <w:pPr>
        <w:numPr>
          <w:ilvl w:val="0"/>
          <w:numId w:val="4"/>
        </w:num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建设单位应及时对牛棚的牛粪进行清理，采用干清粪方式；牛棚内须加强通风，及时清理粪便，减少恶臭污染。</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C、对</w:t>
      </w:r>
      <w:r>
        <w:rPr>
          <w:rFonts w:hint="eastAsia" w:ascii="Times New Roman" w:hAnsi="Times New Roman"/>
          <w:bCs/>
          <w:sz w:val="24"/>
          <w:lang w:eastAsia="zh-CN"/>
        </w:rPr>
        <w:t>积粪场</w:t>
      </w:r>
      <w:r>
        <w:rPr>
          <w:rFonts w:ascii="Times New Roman" w:hAnsi="Times New Roman"/>
          <w:bCs/>
          <w:sz w:val="24"/>
        </w:rPr>
        <w:t>的牛粪贮存和水肥综合处理设施加强过程控制和清运管理，减少牛粪堆存，以减轻臭味对区域环境的影响。</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D、为防止蚊蝇孳生，应根据蚊蝇生活习性，采用人工、机械配合喷药的方法预防蚊蝇孳生。</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E、加强牛棚与饲料堆放地的灭鼠工作，预防疾病的传播。</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②强化牛棚的消毒措施</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A全部牛棚必须配备消毒设备。</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B大门进出口设有车辆清洗消毒设施。</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C病畜隔离间必须设车轮、鞋靴消毒池。</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fldChar w:fldCharType="begin"/>
      </w:r>
      <w:r>
        <w:rPr>
          <w:rFonts w:ascii="Times New Roman" w:hAnsi="Times New Roman"/>
          <w:bCs/>
          <w:sz w:val="24"/>
        </w:rPr>
        <w:instrText xml:space="preserve"> = 3 \* GB3 \* MERGEFORMAT </w:instrText>
      </w:r>
      <w:r>
        <w:rPr>
          <w:rFonts w:ascii="Times New Roman" w:hAnsi="Times New Roman"/>
          <w:bCs/>
          <w:sz w:val="24"/>
        </w:rPr>
        <w:fldChar w:fldCharType="separate"/>
      </w:r>
      <w:r>
        <w:rPr>
          <w:rFonts w:ascii="Times New Roman" w:hAnsi="Times New Roman"/>
          <w:bCs/>
          <w:sz w:val="24"/>
        </w:rPr>
        <w:t>③</w:t>
      </w:r>
      <w:r>
        <w:rPr>
          <w:rFonts w:ascii="Times New Roman" w:hAnsi="Times New Roman"/>
          <w:bCs/>
          <w:sz w:val="24"/>
        </w:rPr>
        <w:fldChar w:fldCharType="end"/>
      </w:r>
      <w:r>
        <w:rPr>
          <w:rFonts w:ascii="Times New Roman" w:hAnsi="Times New Roman"/>
          <w:bCs/>
          <w:sz w:val="24"/>
        </w:rPr>
        <w:t>科学的设计日粮，提高饲料利用率</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牛采食饲料后，饲料在消化道内消化过程中（尤其是后段肠道），因微生物腐败分解而产生臭气；同时没有消化吸收部分在体外被微生物降解。因此，提高日粮的消化率、减少干物质（特别是蛋白质）排出量，既减少肠道臭气的产生，又可减少粪便排出后的臭气的产生，这是减少恶臭来源的有效措施。</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采用经氨基酸平衡的低蛋白日粮：用合成氨基酸取代日粮中完整蛋白质可有效减少排泄中的氮。在低蛋白日粮中补充氨基酸可使氮的排出量减少3.2%～62%，当日粮粗蛋白降低至10g/kg体重时，氨态氮在排泄物中的含量降低9%。</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fldChar w:fldCharType="begin"/>
      </w:r>
      <w:r>
        <w:rPr>
          <w:rFonts w:ascii="Times New Roman" w:hAnsi="Times New Roman"/>
          <w:bCs/>
          <w:sz w:val="24"/>
        </w:rPr>
        <w:instrText xml:space="preserve"> = 4 \* GB3 \* MERGEFORMAT </w:instrText>
      </w:r>
      <w:r>
        <w:rPr>
          <w:rFonts w:ascii="Times New Roman" w:hAnsi="Times New Roman"/>
          <w:bCs/>
          <w:sz w:val="24"/>
        </w:rPr>
        <w:fldChar w:fldCharType="separate"/>
      </w:r>
      <w:r>
        <w:rPr>
          <w:rFonts w:ascii="Times New Roman" w:hAnsi="Times New Roman"/>
          <w:bCs/>
          <w:sz w:val="24"/>
        </w:rPr>
        <w:t>④</w:t>
      </w:r>
      <w:r>
        <w:rPr>
          <w:rFonts w:ascii="Times New Roman" w:hAnsi="Times New Roman"/>
          <w:bCs/>
          <w:sz w:val="24"/>
        </w:rPr>
        <w:fldChar w:fldCharType="end"/>
      </w:r>
      <w:r>
        <w:rPr>
          <w:rFonts w:ascii="Times New Roman" w:hAnsi="Times New Roman"/>
          <w:bCs/>
          <w:sz w:val="24"/>
        </w:rPr>
        <w:t>加强绿化</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A、本项目在厂界均设置绿化隔离带。鉴于养殖行业的特殊性，在树种选择上，不仅要考虑美化效果，还必须考虑在除臭、防火、吸尘、杀菌等方面的作用。建议选用白杨树、沙枣树、国槐等本地乡土树种。</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B、在办公区、职工生活区设置绿化带，场内空地和公路边尽量植树及种植花草形成多层防护层，以最大限度地防止场区牲畜粪便臭味对周围敏感保护目标居民的影响。在防护距离内，使绿化覆盖率达到100%，组成一道绿色防护屏障，以减少无组织排放对周围环境的影响。</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fldChar w:fldCharType="begin"/>
      </w:r>
      <w:r>
        <w:rPr>
          <w:rFonts w:ascii="Times New Roman" w:hAnsi="Times New Roman"/>
          <w:bCs/>
          <w:sz w:val="24"/>
        </w:rPr>
        <w:instrText xml:space="preserve"> = 5 \* GB3 \* MERGEFORMAT </w:instrText>
      </w:r>
      <w:r>
        <w:rPr>
          <w:rFonts w:ascii="Times New Roman" w:hAnsi="Times New Roman"/>
          <w:bCs/>
          <w:sz w:val="24"/>
        </w:rPr>
        <w:fldChar w:fldCharType="separate"/>
      </w:r>
      <w:r>
        <w:rPr>
          <w:rFonts w:ascii="Times New Roman" w:hAnsi="Times New Roman"/>
          <w:bCs/>
          <w:sz w:val="24"/>
        </w:rPr>
        <w:t>⑤</w:t>
      </w:r>
      <w:r>
        <w:rPr>
          <w:rFonts w:ascii="Times New Roman" w:hAnsi="Times New Roman"/>
          <w:bCs/>
          <w:sz w:val="24"/>
        </w:rPr>
        <w:fldChar w:fldCharType="end"/>
      </w:r>
      <w:r>
        <w:rPr>
          <w:rFonts w:ascii="Times New Roman" w:hAnsi="Times New Roman"/>
          <w:bCs/>
          <w:sz w:val="24"/>
        </w:rPr>
        <w:t>合理布局</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将易产生恶臭的建构筑物设置在下风向或侧风向，生产区和办公区分开，并设置防护林带，以减小恶臭对办公生活区的影响。</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fldChar w:fldCharType="begin"/>
      </w:r>
      <w:r>
        <w:rPr>
          <w:rFonts w:ascii="Times New Roman" w:hAnsi="Times New Roman"/>
          <w:bCs/>
          <w:sz w:val="24"/>
        </w:rPr>
        <w:instrText xml:space="preserve"> = 6 \* GB3 \* MERGEFORMAT </w:instrText>
      </w:r>
      <w:r>
        <w:rPr>
          <w:rFonts w:ascii="Times New Roman" w:hAnsi="Times New Roman"/>
          <w:bCs/>
          <w:sz w:val="24"/>
        </w:rPr>
        <w:fldChar w:fldCharType="separate"/>
      </w:r>
      <w:r>
        <w:rPr>
          <w:rFonts w:ascii="Times New Roman" w:hAnsi="Times New Roman"/>
          <w:bCs/>
          <w:sz w:val="24"/>
        </w:rPr>
        <w:t>⑥</w:t>
      </w:r>
      <w:r>
        <w:rPr>
          <w:rFonts w:ascii="Times New Roman" w:hAnsi="Times New Roman"/>
          <w:bCs/>
          <w:sz w:val="24"/>
        </w:rPr>
        <w:fldChar w:fldCharType="end"/>
      </w:r>
      <w:r>
        <w:rPr>
          <w:rFonts w:ascii="Times New Roman" w:hAnsi="Times New Roman"/>
          <w:bCs/>
          <w:sz w:val="24"/>
        </w:rPr>
        <w:t>安全管理</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在项目建成正常运行后，对职工要进行事故处置培训；对设定的各种监控仪器要定期维护，使其正常运行，确保对恶臭的监测、控制、防治作用落实到位。</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综上所述，本项目采取以上措施后，恶臭场界浓度可以达标，防治措施可行。</w:t>
      </w:r>
    </w:p>
    <w:p>
      <w:pPr>
        <w:pStyle w:val="2"/>
        <w:adjustRightInd w:val="0"/>
        <w:spacing w:line="540" w:lineRule="exact"/>
        <w:ind w:firstLine="480" w:firstLineChars="200"/>
        <w:jc w:val="both"/>
        <w:rPr>
          <w:rFonts w:ascii="Times New Roman" w:hAnsi="Times New Roman"/>
          <w:sz w:val="24"/>
        </w:rPr>
      </w:pPr>
      <w:r>
        <w:rPr>
          <w:rFonts w:ascii="Times New Roman" w:hAnsi="Times New Roman"/>
          <w:bCs/>
          <w:sz w:val="24"/>
        </w:rPr>
        <w:t>通过采取上述措施，可有效降低恶臭对周围环境的影响。</w:t>
      </w:r>
    </w:p>
    <w:p>
      <w:pPr>
        <w:adjustRightInd w:val="0"/>
        <w:snapToGrid w:val="0"/>
        <w:spacing w:line="540" w:lineRule="exact"/>
        <w:ind w:firstLine="480" w:firstLineChars="200"/>
        <w:rPr>
          <w:rFonts w:ascii="Times New Roman" w:hAnsi="Times New Roman"/>
          <w:bCs/>
          <w:sz w:val="24"/>
        </w:rPr>
      </w:pPr>
      <w:r>
        <w:rPr>
          <w:rFonts w:ascii="Times New Roman" w:hAnsi="Times New Roman"/>
          <w:bCs/>
          <w:sz w:val="24"/>
        </w:rPr>
        <w:t>综上所述，本项目采取的废气防治措施合可行。</w:t>
      </w:r>
    </w:p>
    <w:p>
      <w:pPr>
        <w:pStyle w:val="51"/>
        <w:snapToGrid w:val="0"/>
        <w:spacing w:before="120" w:beforeLines="50" w:after="120" w:afterLines="50" w:line="540" w:lineRule="exact"/>
        <w:contextualSpacing/>
        <w:rPr>
          <w:rFonts w:cs="Times New Roman"/>
          <w:bCs w:val="0"/>
          <w:snapToGrid w:val="0"/>
          <w:kern w:val="0"/>
        </w:rPr>
      </w:pPr>
      <w:bookmarkStart w:id="789" w:name="_Toc16205"/>
      <w:bookmarkStart w:id="790" w:name="_Toc19612"/>
      <w:bookmarkStart w:id="791" w:name="_Toc27091"/>
      <w:bookmarkStart w:id="792" w:name="_Toc5338"/>
      <w:r>
        <w:rPr>
          <w:rFonts w:cs="Times New Roman"/>
          <w:bCs w:val="0"/>
          <w:snapToGrid w:val="0"/>
          <w:kern w:val="0"/>
        </w:rPr>
        <w:t>6.2.2地表水污染防治措施评述</w:t>
      </w:r>
      <w:bookmarkEnd w:id="789"/>
      <w:bookmarkEnd w:id="790"/>
      <w:bookmarkEnd w:id="791"/>
    </w:p>
    <w:p>
      <w:pPr>
        <w:adjustRightInd w:val="0"/>
        <w:snapToGrid w:val="0"/>
        <w:spacing w:line="540" w:lineRule="exact"/>
        <w:ind w:firstLine="480" w:firstLineChars="200"/>
        <w:rPr>
          <w:rFonts w:ascii="Times New Roman" w:hAnsi="Times New Roman"/>
          <w:sz w:val="24"/>
          <w:lang w:val="zh-CN"/>
        </w:rPr>
      </w:pPr>
      <w:r>
        <w:rPr>
          <w:rFonts w:ascii="Times New Roman" w:hAnsi="Times New Roman"/>
          <w:sz w:val="24"/>
          <w:lang w:val="zh-CN"/>
        </w:rPr>
        <w:t>本项目废水主要为生活废水</w:t>
      </w:r>
      <w:r>
        <w:rPr>
          <w:rFonts w:ascii="Times New Roman" w:hAnsi="Times New Roman"/>
          <w:sz w:val="24"/>
        </w:rPr>
        <w:t>，</w:t>
      </w:r>
      <w:r>
        <w:rPr>
          <w:rFonts w:hint="eastAsia" w:ascii="Times New Roman" w:hAnsi="Times New Roman"/>
          <w:sz w:val="24"/>
          <w:lang w:val="zh-CN"/>
        </w:rPr>
        <w:t>职工生活污水主要为员工盥洗废水，用于厂区的洒水降尘；厂区建有卫生旱厕，用于员工生活卫生，旱厕定期由附近农户清掏还田。</w:t>
      </w:r>
    </w:p>
    <w:p>
      <w:pPr>
        <w:pStyle w:val="6"/>
        <w:snapToGrid w:val="0"/>
        <w:spacing w:before="120" w:after="120" w:line="540" w:lineRule="exact"/>
        <w:contextualSpacing/>
        <w:rPr>
          <w:rFonts w:ascii="Times New Roman" w:hAnsi="Times New Roman" w:eastAsia="宋体"/>
          <w:bCs w:val="0"/>
          <w:sz w:val="24"/>
        </w:rPr>
      </w:pPr>
      <w:r>
        <w:rPr>
          <w:rFonts w:ascii="Times New Roman" w:hAnsi="Times New Roman" w:eastAsia="宋体"/>
          <w:bCs w:val="0"/>
          <w:sz w:val="24"/>
        </w:rPr>
        <w:t>6.2.2.1废水处理方案</w:t>
      </w:r>
    </w:p>
    <w:p>
      <w:pPr>
        <w:pStyle w:val="11"/>
        <w:spacing w:before="36" w:line="540" w:lineRule="exact"/>
        <w:ind w:right="237" w:firstLine="480" w:firstLineChars="200"/>
        <w:rPr>
          <w:rFonts w:ascii="Times New Roman" w:hAnsi="Times New Roman"/>
          <w:sz w:val="24"/>
          <w:lang w:val="zh-CN"/>
        </w:rPr>
      </w:pPr>
      <w:r>
        <w:rPr>
          <w:rFonts w:hint="eastAsia" w:ascii="Times New Roman" w:hAnsi="Times New Roman"/>
          <w:sz w:val="24"/>
          <w:lang w:val="zh-CN"/>
        </w:rPr>
        <w:t>本项目无生产废水产生，主要为职工生活废水。</w:t>
      </w:r>
      <w:r>
        <w:rPr>
          <w:rFonts w:ascii="Times New Roman" w:hAnsi="Times New Roman"/>
          <w:sz w:val="24"/>
          <w:lang w:val="zh-CN"/>
        </w:rPr>
        <w:t>项目劳动定员</w:t>
      </w:r>
      <w:r>
        <w:rPr>
          <w:rFonts w:hint="eastAsia" w:ascii="Times New Roman" w:hAnsi="Times New Roman"/>
          <w:sz w:val="24"/>
        </w:rPr>
        <w:t>7</w:t>
      </w:r>
      <w:r>
        <w:rPr>
          <w:rFonts w:ascii="Times New Roman" w:hAnsi="Times New Roman"/>
          <w:sz w:val="24"/>
          <w:lang w:val="zh-CN"/>
        </w:rPr>
        <w:t>人，生活用水按</w:t>
      </w:r>
      <w:r>
        <w:rPr>
          <w:rFonts w:hint="eastAsia" w:ascii="Times New Roman" w:hAnsi="Times New Roman"/>
          <w:sz w:val="24"/>
          <w:lang w:val="en-US" w:eastAsia="zh-CN"/>
        </w:rPr>
        <w:t>10</w:t>
      </w:r>
      <w:r>
        <w:rPr>
          <w:rFonts w:ascii="Times New Roman" w:hAnsi="Times New Roman"/>
          <w:sz w:val="24"/>
          <w:lang w:val="zh-CN"/>
        </w:rPr>
        <w:t>0L/人d计，则生活用水量为</w:t>
      </w:r>
      <w:r>
        <w:rPr>
          <w:rFonts w:hint="eastAsia" w:ascii="Times New Roman" w:hAnsi="Times New Roman"/>
          <w:sz w:val="24"/>
          <w:lang w:val="en-US" w:eastAsia="zh-CN"/>
        </w:rPr>
        <w:t>255.5</w:t>
      </w:r>
      <w:r>
        <w:rPr>
          <w:rFonts w:ascii="Times New Roman" w:hAnsi="Times New Roman"/>
          <w:sz w:val="24"/>
          <w:lang w:val="zh-CN"/>
        </w:rPr>
        <w:t>m</w:t>
      </w:r>
      <w:r>
        <w:rPr>
          <w:rFonts w:ascii="Times New Roman" w:hAnsi="Times New Roman"/>
          <w:sz w:val="24"/>
          <w:vertAlign w:val="superscript"/>
          <w:lang w:val="zh-CN"/>
        </w:rPr>
        <w:t>3</w:t>
      </w:r>
      <w:r>
        <w:rPr>
          <w:rFonts w:ascii="Times New Roman" w:hAnsi="Times New Roman"/>
          <w:sz w:val="24"/>
          <w:lang w:val="zh-CN"/>
        </w:rPr>
        <w:t>/a。</w:t>
      </w:r>
      <w:r>
        <w:rPr>
          <w:rFonts w:hint="eastAsia" w:ascii="Times New Roman" w:hAnsi="Times New Roman"/>
          <w:sz w:val="24"/>
          <w:lang w:val="zh-CN"/>
        </w:rPr>
        <w:t>职工生活污水主要为员工盥洗废水，用于厂区的洒水降尘；厂区建有卫生旱厕，用于员工生活卫生，旱厕定期由附近农户清掏还田。</w:t>
      </w:r>
    </w:p>
    <w:p>
      <w:pPr>
        <w:pStyle w:val="51"/>
        <w:snapToGrid w:val="0"/>
        <w:spacing w:before="120" w:beforeLines="50" w:after="120" w:afterLines="50" w:line="540" w:lineRule="exact"/>
        <w:contextualSpacing/>
        <w:rPr>
          <w:rFonts w:cs="Times New Roman"/>
          <w:b w:val="0"/>
          <w:snapToGrid w:val="0"/>
          <w:kern w:val="0"/>
        </w:rPr>
      </w:pPr>
      <w:bookmarkStart w:id="793" w:name="_Toc31619"/>
      <w:bookmarkStart w:id="794" w:name="_Toc9908"/>
      <w:r>
        <w:rPr>
          <w:rFonts w:cs="Times New Roman"/>
          <w:bCs w:val="0"/>
          <w:snapToGrid w:val="0"/>
          <w:kern w:val="0"/>
        </w:rPr>
        <w:t>6.2.3地下水污染防治措施评述</w:t>
      </w:r>
      <w:bookmarkEnd w:id="792"/>
      <w:bookmarkEnd w:id="793"/>
      <w:bookmarkEnd w:id="794"/>
    </w:p>
    <w:p>
      <w:pPr>
        <w:pStyle w:val="23"/>
        <w:adjustRightInd w:val="0"/>
        <w:snapToGrid w:val="0"/>
        <w:spacing w:after="0" w:line="540" w:lineRule="exact"/>
        <w:ind w:left="0" w:leftChars="0" w:firstLine="480" w:firstLineChars="200"/>
        <w:rPr>
          <w:rFonts w:ascii="Times New Roman" w:hAnsi="Times New Roman"/>
          <w:sz w:val="24"/>
          <w:szCs w:val="24"/>
        </w:rPr>
      </w:pPr>
      <w:bookmarkStart w:id="795" w:name="_Toc29200"/>
      <w:bookmarkStart w:id="796" w:name="_Toc15248"/>
      <w:bookmarkStart w:id="797" w:name="_Toc22609"/>
      <w:r>
        <w:rPr>
          <w:rFonts w:ascii="Times New Roman" w:hAnsi="Times New Roman"/>
          <w:sz w:val="24"/>
          <w:szCs w:val="24"/>
        </w:rPr>
        <w:t>本项目对地下水潜在的污染因素有COD、氨氮等污染物质。</w:t>
      </w:r>
      <w:bookmarkEnd w:id="795"/>
      <w:bookmarkEnd w:id="796"/>
    </w:p>
    <w:p>
      <w:pPr>
        <w:pStyle w:val="6"/>
        <w:snapToGrid w:val="0"/>
        <w:spacing w:before="120" w:after="120" w:line="540" w:lineRule="exact"/>
        <w:contextualSpacing/>
        <w:rPr>
          <w:rFonts w:ascii="Times New Roman" w:hAnsi="Times New Roman" w:eastAsia="宋体"/>
          <w:bCs w:val="0"/>
          <w:sz w:val="24"/>
        </w:rPr>
      </w:pPr>
      <w:r>
        <w:rPr>
          <w:rFonts w:ascii="Times New Roman" w:hAnsi="Times New Roman" w:eastAsia="宋体"/>
          <w:bCs w:val="0"/>
          <w:sz w:val="24"/>
        </w:rPr>
        <w:t>6.2.3.1总体原则</w:t>
      </w:r>
    </w:p>
    <w:p>
      <w:pPr>
        <w:pStyle w:val="23"/>
        <w:adjustRightInd w:val="0"/>
        <w:snapToGrid w:val="0"/>
        <w:spacing w:after="0" w:line="540" w:lineRule="exact"/>
        <w:ind w:left="0" w:leftChars="0" w:firstLine="480" w:firstLineChars="200"/>
        <w:rPr>
          <w:rFonts w:ascii="Times New Roman" w:hAnsi="Times New Roman"/>
          <w:sz w:val="24"/>
          <w:szCs w:val="24"/>
        </w:rPr>
      </w:pPr>
      <w:r>
        <w:rPr>
          <w:rFonts w:ascii="Times New Roman" w:hAnsi="Times New Roman"/>
          <w:sz w:val="24"/>
          <w:szCs w:val="24"/>
        </w:rPr>
        <w:t>本项目为</w:t>
      </w:r>
      <w:r>
        <w:rPr>
          <w:rFonts w:hint="eastAsia" w:ascii="Times New Roman" w:hAnsi="Times New Roman"/>
          <w:sz w:val="24"/>
          <w:szCs w:val="24"/>
        </w:rPr>
        <w:t>肉</w:t>
      </w:r>
      <w:r>
        <w:rPr>
          <w:rFonts w:ascii="Times New Roman" w:hAnsi="Times New Roman"/>
          <w:sz w:val="24"/>
          <w:szCs w:val="24"/>
        </w:rPr>
        <w:t>牛养殖，根据项目特点和当地的实际情况，按照“源头控制、分区防治、污染监控、应急响应”的地下水污染防治总体原则，本项目将从污染物的产生、入渗、扩散等采取全方位的控制措施。</w:t>
      </w:r>
    </w:p>
    <w:p>
      <w:pPr>
        <w:pStyle w:val="6"/>
        <w:snapToGrid w:val="0"/>
        <w:spacing w:before="120" w:after="120" w:line="540" w:lineRule="exact"/>
        <w:contextualSpacing/>
        <w:rPr>
          <w:rFonts w:ascii="Times New Roman" w:hAnsi="Times New Roman" w:eastAsia="宋体"/>
          <w:bCs w:val="0"/>
          <w:sz w:val="24"/>
        </w:rPr>
      </w:pPr>
      <w:r>
        <w:rPr>
          <w:rFonts w:ascii="Times New Roman" w:hAnsi="Times New Roman" w:eastAsia="宋体"/>
          <w:bCs w:val="0"/>
          <w:sz w:val="24"/>
        </w:rPr>
        <w:t>6.2.3.2源头控制措施</w:t>
      </w:r>
    </w:p>
    <w:p>
      <w:pPr>
        <w:pStyle w:val="23"/>
        <w:adjustRightInd w:val="0"/>
        <w:snapToGrid w:val="0"/>
        <w:spacing w:after="0" w:line="540" w:lineRule="exact"/>
        <w:ind w:left="0" w:leftChars="0" w:firstLine="480" w:firstLineChars="200"/>
        <w:rPr>
          <w:rFonts w:ascii="Times New Roman" w:hAnsi="Times New Roman"/>
          <w:sz w:val="24"/>
          <w:szCs w:val="24"/>
        </w:rPr>
      </w:pPr>
      <w:r>
        <w:rPr>
          <w:rFonts w:ascii="Times New Roman" w:hAnsi="Times New Roman"/>
          <w:sz w:val="24"/>
          <w:szCs w:val="24"/>
        </w:rPr>
        <w:t>本项目选择先进、成熟、可靠的工艺技术，并对产生的废物进行合理的综合利用和治理，尽可能从源头上减少污染物排放；严格按照国家相关规范要求，对工艺、管道、设备及处理构筑物采取相应的措施，以防止和降低污染物的跑、冒、滴、漏，将污染物泄漏的环境风险事故降到最低程度。</w:t>
      </w:r>
    </w:p>
    <w:p>
      <w:pPr>
        <w:pStyle w:val="6"/>
        <w:snapToGrid w:val="0"/>
        <w:spacing w:before="120" w:after="120" w:line="540" w:lineRule="exact"/>
        <w:contextualSpacing/>
        <w:rPr>
          <w:rFonts w:ascii="Times New Roman" w:hAnsi="Times New Roman" w:eastAsia="宋体"/>
          <w:bCs w:val="0"/>
          <w:sz w:val="24"/>
        </w:rPr>
      </w:pPr>
      <w:r>
        <w:rPr>
          <w:rFonts w:ascii="Times New Roman" w:hAnsi="Times New Roman" w:eastAsia="宋体"/>
          <w:bCs w:val="0"/>
          <w:sz w:val="24"/>
        </w:rPr>
        <w:t>6.2.3.3分区防治措施</w:t>
      </w:r>
    </w:p>
    <w:p>
      <w:pPr>
        <w:pStyle w:val="23"/>
        <w:adjustRightInd w:val="0"/>
        <w:snapToGrid w:val="0"/>
        <w:spacing w:after="0" w:line="540" w:lineRule="exact"/>
        <w:ind w:left="0" w:leftChars="0" w:firstLine="480" w:firstLineChars="200"/>
        <w:rPr>
          <w:rFonts w:ascii="Times New Roman" w:hAnsi="Times New Roman"/>
          <w:sz w:val="24"/>
          <w:szCs w:val="24"/>
        </w:rPr>
      </w:pPr>
      <w:r>
        <w:rPr>
          <w:rFonts w:ascii="Times New Roman" w:hAnsi="Times New Roman"/>
          <w:sz w:val="24"/>
          <w:szCs w:val="24"/>
        </w:rPr>
        <w:t>对项目可能泄漏污染物的污染区地面进行防渗设计，及时地将泄漏、渗漏的污染物进行收集处理，以有效防止洒落地面的污染物渗入地下。</w:t>
      </w:r>
    </w:p>
    <w:p>
      <w:pPr>
        <w:pStyle w:val="23"/>
        <w:adjustRightInd w:val="0"/>
        <w:snapToGrid w:val="0"/>
        <w:spacing w:after="0" w:line="540" w:lineRule="exact"/>
        <w:ind w:left="0" w:leftChars="0" w:firstLine="480" w:firstLineChars="200"/>
        <w:rPr>
          <w:rFonts w:ascii="Times New Roman" w:hAnsi="Times New Roman"/>
          <w:sz w:val="24"/>
          <w:szCs w:val="24"/>
        </w:rPr>
      </w:pPr>
      <w:r>
        <w:rPr>
          <w:rFonts w:ascii="Times New Roman" w:hAnsi="Times New Roman"/>
          <w:sz w:val="24"/>
          <w:szCs w:val="24"/>
        </w:rPr>
        <w:t>根据本项目可能泄漏至地面区域的污染物性质和生产单元的构筑方式，本项目危险废物暂存间、</w:t>
      </w:r>
      <w:r>
        <w:rPr>
          <w:rFonts w:hint="eastAsia" w:ascii="Times New Roman" w:hAnsi="Times New Roman"/>
          <w:sz w:val="24"/>
          <w:szCs w:val="24"/>
          <w:lang w:eastAsia="zh-CN"/>
        </w:rPr>
        <w:t>积粪场</w:t>
      </w:r>
      <w:r>
        <w:rPr>
          <w:rFonts w:ascii="Times New Roman" w:hAnsi="Times New Roman"/>
          <w:sz w:val="24"/>
          <w:szCs w:val="24"/>
        </w:rPr>
        <w:t>等均为重点防治区；</w:t>
      </w:r>
      <w:r>
        <w:rPr>
          <w:rFonts w:hint="eastAsia" w:ascii="Times New Roman" w:hAnsi="Times New Roman"/>
          <w:sz w:val="24"/>
          <w:szCs w:val="24"/>
          <w:lang w:eastAsia="zh-CN"/>
        </w:rPr>
        <w:t>牛棚、</w:t>
      </w:r>
      <w:r>
        <w:rPr>
          <w:rFonts w:ascii="Times New Roman" w:hAnsi="Times New Roman"/>
          <w:sz w:val="24"/>
          <w:szCs w:val="24"/>
        </w:rPr>
        <w:t>青贮池为一般污染防治区</w:t>
      </w:r>
      <w:r>
        <w:rPr>
          <w:rFonts w:hint="eastAsia" w:ascii="Times New Roman" w:hAnsi="Times New Roman"/>
          <w:sz w:val="24"/>
          <w:szCs w:val="24"/>
          <w:lang w:eastAsia="zh-CN"/>
        </w:rPr>
        <w:t>，其余场区为简单防渗区</w:t>
      </w:r>
      <w:r>
        <w:rPr>
          <w:rFonts w:ascii="Times New Roman" w:hAnsi="Times New Roman"/>
          <w:sz w:val="24"/>
          <w:szCs w:val="24"/>
        </w:rPr>
        <w:t>。</w:t>
      </w:r>
    </w:p>
    <w:p>
      <w:pPr>
        <w:pStyle w:val="23"/>
        <w:adjustRightInd w:val="0"/>
        <w:snapToGrid w:val="0"/>
        <w:spacing w:after="0" w:line="540" w:lineRule="exact"/>
        <w:ind w:left="0" w:leftChars="0" w:firstLine="480" w:firstLineChars="200"/>
        <w:rPr>
          <w:rFonts w:ascii="Times New Roman" w:hAnsi="Times New Roman"/>
          <w:sz w:val="24"/>
          <w:szCs w:val="24"/>
        </w:rPr>
      </w:pPr>
      <w:r>
        <w:rPr>
          <w:rFonts w:ascii="Times New Roman" w:hAnsi="Times New Roman"/>
          <w:sz w:val="24"/>
          <w:szCs w:val="24"/>
        </w:rPr>
        <w:t>根据厂址区天然包气带防污性能、污染控制难易程度以及特征污染物类型，将厂址区划分为重点防渗区、一般防渗区和简单防渗区，</w:t>
      </w:r>
      <w:r>
        <w:rPr>
          <w:rFonts w:ascii="Times New Roman" w:hAnsi="Times New Roman"/>
          <w:sz w:val="24"/>
          <w:szCs w:val="24"/>
          <w:highlight w:val="none"/>
        </w:rPr>
        <w:t>全厂分区防渗图见</w:t>
      </w:r>
      <w:r>
        <w:rPr>
          <w:rFonts w:hint="eastAsia" w:ascii="Times New Roman" w:hAnsi="Times New Roman"/>
          <w:sz w:val="24"/>
          <w:szCs w:val="24"/>
          <w:highlight w:val="none"/>
        </w:rPr>
        <w:t>图6</w:t>
      </w:r>
      <w:r>
        <w:rPr>
          <w:rFonts w:ascii="Times New Roman" w:hAnsi="Times New Roman"/>
          <w:sz w:val="24"/>
          <w:szCs w:val="24"/>
          <w:highlight w:val="none"/>
        </w:rPr>
        <w:t>.2-</w:t>
      </w:r>
      <w:r>
        <w:rPr>
          <w:rFonts w:hint="eastAsia" w:ascii="Times New Roman" w:hAnsi="Times New Roman"/>
          <w:sz w:val="24"/>
          <w:szCs w:val="24"/>
          <w:highlight w:val="none"/>
        </w:rPr>
        <w:t>1，污</w:t>
      </w:r>
      <w:r>
        <w:rPr>
          <w:rFonts w:hint="eastAsia" w:ascii="Times New Roman" w:hAnsi="Times New Roman"/>
          <w:sz w:val="24"/>
          <w:szCs w:val="24"/>
        </w:rPr>
        <w:t>染防治分区划分及防渗要求见表6</w:t>
      </w:r>
      <w:r>
        <w:rPr>
          <w:rFonts w:ascii="Times New Roman" w:hAnsi="Times New Roman"/>
          <w:sz w:val="24"/>
          <w:szCs w:val="24"/>
        </w:rPr>
        <w:t>.2-2。</w:t>
      </w:r>
    </w:p>
    <w:p>
      <w:pPr>
        <w:pStyle w:val="23"/>
        <w:adjustRightInd w:val="0"/>
        <w:snapToGrid w:val="0"/>
        <w:spacing w:after="0"/>
        <w:ind w:left="0" w:leftChars="0"/>
        <w:jc w:val="center"/>
        <w:rPr>
          <w:rFonts w:ascii="Times New Roman" w:hAnsi="Times New Roman"/>
          <w:b/>
          <w:sz w:val="24"/>
        </w:rPr>
      </w:pPr>
      <w:r>
        <w:rPr>
          <w:rFonts w:ascii="Times New Roman" w:hAnsi="Times New Roman"/>
          <w:b/>
          <w:sz w:val="24"/>
        </w:rPr>
        <w:t xml:space="preserve">表6.2-2   </w:t>
      </w:r>
      <w:r>
        <w:rPr>
          <w:rFonts w:hint="eastAsia" w:ascii="Times New Roman" w:hAnsi="Times New Roman" w:cs="宋体"/>
          <w:b/>
          <w:sz w:val="24"/>
        </w:rPr>
        <w:t>污染防治分区划分及防渗要求</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57"/>
        <w:gridCol w:w="1427"/>
        <w:gridCol w:w="2824"/>
        <w:gridCol w:w="34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81" w:type="dxa"/>
            <w:vAlign w:val="center"/>
          </w:tcPr>
          <w:p>
            <w:pPr>
              <w:adjustRightInd w:val="0"/>
              <w:snapToGrid w:val="0"/>
              <w:jc w:val="center"/>
              <w:rPr>
                <w:rFonts w:ascii="Times New Roman" w:hAnsi="Times New Roman"/>
                <w:bCs/>
                <w:szCs w:val="21"/>
              </w:rPr>
            </w:pPr>
            <w:r>
              <w:rPr>
                <w:rFonts w:ascii="Times New Roman" w:hAnsi="Times New Roman"/>
                <w:bCs/>
                <w:szCs w:val="21"/>
              </w:rPr>
              <w:t>污染防治区</w:t>
            </w:r>
          </w:p>
        </w:tc>
        <w:tc>
          <w:tcPr>
            <w:tcW w:w="1452" w:type="dxa"/>
            <w:vAlign w:val="center"/>
          </w:tcPr>
          <w:p>
            <w:pPr>
              <w:adjustRightInd w:val="0"/>
              <w:snapToGrid w:val="0"/>
              <w:jc w:val="center"/>
              <w:rPr>
                <w:rFonts w:ascii="Times New Roman" w:hAnsi="Times New Roman"/>
                <w:bCs/>
                <w:szCs w:val="21"/>
              </w:rPr>
            </w:pPr>
            <w:r>
              <w:rPr>
                <w:rFonts w:ascii="Times New Roman" w:hAnsi="Times New Roman"/>
                <w:bCs/>
                <w:szCs w:val="21"/>
              </w:rPr>
              <w:t>功能单元</w:t>
            </w:r>
          </w:p>
        </w:tc>
        <w:tc>
          <w:tcPr>
            <w:tcW w:w="2878" w:type="dxa"/>
            <w:vAlign w:val="center"/>
          </w:tcPr>
          <w:p>
            <w:pPr>
              <w:adjustRightInd w:val="0"/>
              <w:snapToGrid w:val="0"/>
              <w:jc w:val="center"/>
              <w:rPr>
                <w:rFonts w:ascii="Times New Roman" w:hAnsi="Times New Roman"/>
                <w:bCs/>
                <w:szCs w:val="21"/>
              </w:rPr>
            </w:pPr>
            <w:r>
              <w:rPr>
                <w:rFonts w:ascii="Times New Roman" w:hAnsi="Times New Roman"/>
                <w:bCs/>
                <w:szCs w:val="21"/>
              </w:rPr>
              <w:t>防渗要求</w:t>
            </w:r>
          </w:p>
        </w:tc>
        <w:tc>
          <w:tcPr>
            <w:tcW w:w="3531" w:type="dxa"/>
            <w:vAlign w:val="center"/>
          </w:tcPr>
          <w:p>
            <w:pPr>
              <w:adjustRightInd w:val="0"/>
              <w:snapToGrid w:val="0"/>
              <w:jc w:val="center"/>
              <w:rPr>
                <w:rFonts w:ascii="Times New Roman" w:hAnsi="Times New Roman"/>
                <w:bCs/>
                <w:szCs w:val="21"/>
              </w:rPr>
            </w:pPr>
            <w:r>
              <w:rPr>
                <w:rFonts w:ascii="Times New Roman" w:hAnsi="Times New Roman"/>
                <w:bCs/>
                <w:szCs w:val="21"/>
              </w:rPr>
              <w:t>建议防渗方案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6" w:hRule="atLeast"/>
          <w:jc w:val="center"/>
        </w:trPr>
        <w:tc>
          <w:tcPr>
            <w:tcW w:w="1381" w:type="dxa"/>
            <w:vMerge w:val="restart"/>
            <w:vAlign w:val="center"/>
          </w:tcPr>
          <w:p>
            <w:pPr>
              <w:adjustRightInd w:val="0"/>
              <w:snapToGrid w:val="0"/>
              <w:jc w:val="center"/>
              <w:rPr>
                <w:rFonts w:ascii="Times New Roman" w:hAnsi="Times New Roman"/>
                <w:bCs/>
                <w:szCs w:val="21"/>
              </w:rPr>
            </w:pPr>
            <w:r>
              <w:rPr>
                <w:rFonts w:ascii="Times New Roman" w:hAnsi="Times New Roman"/>
                <w:bCs/>
                <w:szCs w:val="21"/>
              </w:rPr>
              <w:t>重点防渗区</w:t>
            </w:r>
          </w:p>
        </w:tc>
        <w:tc>
          <w:tcPr>
            <w:tcW w:w="1452" w:type="dxa"/>
            <w:vAlign w:val="center"/>
          </w:tcPr>
          <w:p>
            <w:pPr>
              <w:adjustRightInd w:val="0"/>
              <w:snapToGrid w:val="0"/>
              <w:rPr>
                <w:rFonts w:ascii="Times New Roman" w:hAnsi="Times New Roman"/>
                <w:szCs w:val="21"/>
              </w:rPr>
            </w:pPr>
            <w:r>
              <w:rPr>
                <w:rFonts w:ascii="Times New Roman" w:hAnsi="Times New Roman"/>
                <w:szCs w:val="21"/>
              </w:rPr>
              <w:t>危险废物暂存间</w:t>
            </w:r>
          </w:p>
        </w:tc>
        <w:tc>
          <w:tcPr>
            <w:tcW w:w="2878" w:type="dxa"/>
            <w:vAlign w:val="center"/>
          </w:tcPr>
          <w:p>
            <w:pPr>
              <w:adjustRightInd w:val="0"/>
              <w:snapToGrid w:val="0"/>
              <w:ind w:firstLine="420" w:firstLineChars="200"/>
              <w:rPr>
                <w:rFonts w:ascii="Times New Roman" w:hAnsi="Times New Roman"/>
                <w:szCs w:val="21"/>
              </w:rPr>
            </w:pPr>
            <w:r>
              <w:rPr>
                <w:rFonts w:ascii="Times New Roman" w:hAnsi="Times New Roman"/>
                <w:szCs w:val="21"/>
              </w:rPr>
              <w:t>防渗性能需满足《危险废物贮存污染控制标准》（GB18597-2001）要求，基础必须防渗，防渗层为至少1m后粘土层（渗透系数≤1.0×10</w:t>
            </w:r>
            <w:r>
              <w:rPr>
                <w:rFonts w:ascii="Times New Roman" w:hAnsi="Times New Roman"/>
                <w:szCs w:val="21"/>
                <w:vertAlign w:val="superscript"/>
              </w:rPr>
              <w:t>-7</w:t>
            </w:r>
            <w:r>
              <w:rPr>
                <w:rFonts w:ascii="Times New Roman" w:hAnsi="Times New Roman"/>
                <w:szCs w:val="21"/>
              </w:rPr>
              <w:t>cm/s），或2mm厚高密度聚乙烯，或至少2mm厚的其它人工材料，渗透系数1.0×10</w:t>
            </w:r>
            <w:r>
              <w:rPr>
                <w:rFonts w:ascii="Times New Roman" w:hAnsi="Times New Roman"/>
                <w:szCs w:val="21"/>
                <w:vertAlign w:val="superscript"/>
              </w:rPr>
              <w:t>-10</w:t>
            </w:r>
            <w:r>
              <w:rPr>
                <w:rFonts w:ascii="Times New Roman" w:hAnsi="Times New Roman"/>
                <w:szCs w:val="21"/>
              </w:rPr>
              <w:t>cm/s</w:t>
            </w:r>
          </w:p>
        </w:tc>
        <w:tc>
          <w:tcPr>
            <w:tcW w:w="3531" w:type="dxa"/>
            <w:vMerge w:val="restart"/>
            <w:vAlign w:val="center"/>
          </w:tcPr>
          <w:p>
            <w:pPr>
              <w:adjustRightInd w:val="0"/>
              <w:snapToGrid w:val="0"/>
              <w:ind w:firstLine="420" w:firstLineChars="200"/>
              <w:jc w:val="center"/>
              <w:rPr>
                <w:rFonts w:ascii="Times New Roman" w:hAnsi="Times New Roman"/>
                <w:szCs w:val="21"/>
              </w:rPr>
            </w:pPr>
            <w:r>
              <w:rPr>
                <w:rFonts w:ascii="Times New Roman" w:hAnsi="Times New Roman"/>
                <w:szCs w:val="21"/>
              </w:rPr>
              <w:t>可采用不低于C30强度等级的混凝土结构，抗渗等级不低于P8，污水沟的内表面涂刷水泥基渗透结晶型防水涂料；或者采用在混凝土内掺加水泥基渗透结晶型防水剂，结构厚度不小于300mm；也可采用HDPE防渗膜与混凝土结构结合的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2" w:hRule="atLeast"/>
          <w:jc w:val="center"/>
        </w:trPr>
        <w:tc>
          <w:tcPr>
            <w:tcW w:w="1381" w:type="dxa"/>
            <w:vMerge w:val="continue"/>
            <w:vAlign w:val="center"/>
          </w:tcPr>
          <w:p>
            <w:pPr>
              <w:adjustRightInd w:val="0"/>
              <w:snapToGrid w:val="0"/>
              <w:jc w:val="center"/>
              <w:rPr>
                <w:rFonts w:ascii="Times New Roman" w:hAnsi="Times New Roman"/>
                <w:szCs w:val="21"/>
              </w:rPr>
            </w:pPr>
          </w:p>
        </w:tc>
        <w:tc>
          <w:tcPr>
            <w:tcW w:w="1452" w:type="dxa"/>
            <w:vAlign w:val="center"/>
          </w:tcPr>
          <w:p>
            <w:pPr>
              <w:adjustRightInd w:val="0"/>
              <w:snapToGrid w:val="0"/>
              <w:ind w:firstLine="210" w:firstLineChars="100"/>
              <w:rPr>
                <w:rFonts w:ascii="Times New Roman" w:hAnsi="Times New Roman"/>
                <w:szCs w:val="21"/>
              </w:rPr>
            </w:pPr>
            <w:r>
              <w:rPr>
                <w:rFonts w:hint="eastAsia" w:ascii="Times New Roman" w:hAnsi="Times New Roman"/>
                <w:szCs w:val="21"/>
              </w:rPr>
              <w:t>积粪场</w:t>
            </w:r>
          </w:p>
        </w:tc>
        <w:tc>
          <w:tcPr>
            <w:tcW w:w="2878" w:type="dxa"/>
            <w:vAlign w:val="center"/>
          </w:tcPr>
          <w:p>
            <w:pPr>
              <w:adjustRightInd w:val="0"/>
              <w:snapToGrid w:val="0"/>
              <w:ind w:firstLine="420" w:firstLineChars="200"/>
              <w:rPr>
                <w:rFonts w:ascii="Times New Roman" w:hAnsi="Times New Roman"/>
                <w:szCs w:val="21"/>
              </w:rPr>
            </w:pPr>
            <w:r>
              <w:rPr>
                <w:rFonts w:ascii="Times New Roman" w:hAnsi="Times New Roman"/>
                <w:szCs w:val="21"/>
              </w:rPr>
              <w:t>地面及渗滤液导流槽采取硬化防渗处理，防渗层的性能不低于6.0m厚渗透系数为1.0×10</w:t>
            </w:r>
            <w:r>
              <w:rPr>
                <w:rFonts w:ascii="Times New Roman" w:hAnsi="Times New Roman"/>
                <w:szCs w:val="21"/>
                <w:vertAlign w:val="superscript"/>
              </w:rPr>
              <w:t>-7</w:t>
            </w:r>
            <w:r>
              <w:rPr>
                <w:rFonts w:ascii="Times New Roman" w:hAnsi="Times New Roman"/>
                <w:szCs w:val="21"/>
              </w:rPr>
              <w:t>cm/s的黏土层</w:t>
            </w:r>
          </w:p>
        </w:tc>
        <w:tc>
          <w:tcPr>
            <w:tcW w:w="3531" w:type="dxa"/>
            <w:vMerge w:val="continue"/>
            <w:vAlign w:val="center"/>
          </w:tcPr>
          <w:p>
            <w:pPr>
              <w:adjustRightInd w:val="0"/>
              <w:snapToGrid w:val="0"/>
              <w:ind w:firstLine="420" w:firstLineChars="20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81" w:type="dxa"/>
            <w:vAlign w:val="center"/>
          </w:tcPr>
          <w:p>
            <w:pPr>
              <w:adjustRightInd w:val="0"/>
              <w:snapToGrid w:val="0"/>
              <w:jc w:val="center"/>
              <w:rPr>
                <w:rFonts w:ascii="Times New Roman" w:hAnsi="Times New Roman"/>
                <w:bCs/>
                <w:szCs w:val="21"/>
              </w:rPr>
            </w:pPr>
            <w:r>
              <w:rPr>
                <w:rFonts w:ascii="Times New Roman" w:hAnsi="Times New Roman"/>
                <w:bCs/>
                <w:szCs w:val="21"/>
              </w:rPr>
              <w:t>一般防渗区</w:t>
            </w:r>
          </w:p>
        </w:tc>
        <w:tc>
          <w:tcPr>
            <w:tcW w:w="1452" w:type="dxa"/>
            <w:vAlign w:val="center"/>
          </w:tcPr>
          <w:p>
            <w:pPr>
              <w:adjustRightInd w:val="0"/>
              <w:snapToGrid w:val="0"/>
              <w:jc w:val="center"/>
              <w:rPr>
                <w:rFonts w:hint="eastAsia" w:ascii="Times New Roman" w:hAnsi="Times New Roman" w:eastAsia="宋体"/>
                <w:szCs w:val="21"/>
                <w:lang w:eastAsia="zh-CN"/>
              </w:rPr>
            </w:pPr>
            <w:r>
              <w:rPr>
                <w:rFonts w:ascii="Times New Roman" w:hAnsi="Times New Roman"/>
                <w:szCs w:val="21"/>
              </w:rPr>
              <w:t>牛</w:t>
            </w:r>
            <w:r>
              <w:rPr>
                <w:rFonts w:hint="eastAsia" w:ascii="Times New Roman" w:hAnsi="Times New Roman"/>
                <w:szCs w:val="21"/>
              </w:rPr>
              <w:t>棚</w:t>
            </w:r>
            <w:r>
              <w:rPr>
                <w:rFonts w:ascii="Times New Roman" w:hAnsi="Times New Roman"/>
                <w:szCs w:val="21"/>
              </w:rPr>
              <w:t>、</w:t>
            </w:r>
            <w:r>
              <w:rPr>
                <w:rFonts w:hint="eastAsia" w:ascii="Times New Roman" w:hAnsi="Times New Roman"/>
                <w:szCs w:val="21"/>
                <w:lang w:eastAsia="zh-CN"/>
              </w:rPr>
              <w:t>青储池</w:t>
            </w:r>
          </w:p>
        </w:tc>
        <w:tc>
          <w:tcPr>
            <w:tcW w:w="2878" w:type="dxa"/>
            <w:vAlign w:val="center"/>
          </w:tcPr>
          <w:p>
            <w:pPr>
              <w:adjustRightInd w:val="0"/>
              <w:snapToGrid w:val="0"/>
              <w:ind w:firstLine="420" w:firstLineChars="200"/>
              <w:rPr>
                <w:rFonts w:ascii="Times New Roman" w:hAnsi="Times New Roman"/>
                <w:szCs w:val="21"/>
              </w:rPr>
            </w:pPr>
            <w:r>
              <w:rPr>
                <w:rFonts w:ascii="Times New Roman" w:hAnsi="Times New Roman"/>
                <w:szCs w:val="21"/>
              </w:rPr>
              <w:t>防渗层的防渗性能不低于1.5m厚渗透系数为1.0×10</w:t>
            </w:r>
            <w:r>
              <w:rPr>
                <w:rFonts w:ascii="Times New Roman" w:hAnsi="Times New Roman"/>
                <w:szCs w:val="21"/>
                <w:vertAlign w:val="superscript"/>
              </w:rPr>
              <w:t>-7</w:t>
            </w:r>
            <w:r>
              <w:rPr>
                <w:rFonts w:ascii="Times New Roman" w:hAnsi="Times New Roman"/>
                <w:szCs w:val="21"/>
              </w:rPr>
              <w:t>cm/s的黏土层的防渗性能</w:t>
            </w:r>
          </w:p>
        </w:tc>
        <w:tc>
          <w:tcPr>
            <w:tcW w:w="3531" w:type="dxa"/>
            <w:vAlign w:val="center"/>
          </w:tcPr>
          <w:p>
            <w:pPr>
              <w:adjustRightInd w:val="0"/>
              <w:snapToGrid w:val="0"/>
              <w:ind w:firstLine="420" w:firstLineChars="200"/>
              <w:jc w:val="center"/>
              <w:rPr>
                <w:rFonts w:ascii="Times New Roman" w:hAnsi="Times New Roman"/>
                <w:szCs w:val="21"/>
              </w:rPr>
            </w:pPr>
            <w:r>
              <w:rPr>
                <w:rFonts w:ascii="Times New Roman" w:hAnsi="Times New Roman"/>
                <w:szCs w:val="21"/>
              </w:rPr>
              <w:t>牛</w:t>
            </w:r>
            <w:r>
              <w:rPr>
                <w:rFonts w:hint="eastAsia" w:ascii="Times New Roman" w:hAnsi="Times New Roman"/>
                <w:szCs w:val="21"/>
              </w:rPr>
              <w:t>棚</w:t>
            </w:r>
            <w:r>
              <w:rPr>
                <w:rFonts w:ascii="Times New Roman" w:hAnsi="Times New Roman"/>
                <w:szCs w:val="21"/>
              </w:rPr>
              <w:t>内采用混凝土硬化地面防渗措施，牛舍地面硬化时应设计有一定的坡度及导流沟渠和装置等，运动场采用粘土硬化防渗措施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81" w:type="dxa"/>
            <w:vAlign w:val="center"/>
          </w:tcPr>
          <w:p>
            <w:pPr>
              <w:adjustRightInd w:val="0"/>
              <w:snapToGrid w:val="0"/>
              <w:jc w:val="center"/>
              <w:rPr>
                <w:rFonts w:ascii="Times New Roman" w:hAnsi="Times New Roman"/>
                <w:bCs/>
                <w:szCs w:val="21"/>
              </w:rPr>
            </w:pPr>
            <w:r>
              <w:rPr>
                <w:rFonts w:ascii="Times New Roman" w:hAnsi="Times New Roman"/>
                <w:bCs/>
                <w:szCs w:val="21"/>
              </w:rPr>
              <w:t>简单防渗区</w:t>
            </w:r>
          </w:p>
        </w:tc>
        <w:tc>
          <w:tcPr>
            <w:tcW w:w="1452" w:type="dxa"/>
            <w:vAlign w:val="center"/>
          </w:tcPr>
          <w:p>
            <w:pPr>
              <w:adjustRightInd w:val="0"/>
              <w:snapToGrid w:val="0"/>
              <w:jc w:val="center"/>
              <w:rPr>
                <w:rFonts w:hint="eastAsia" w:ascii="Times New Roman" w:hAnsi="Times New Roman" w:eastAsia="宋体"/>
                <w:szCs w:val="21"/>
                <w:lang w:eastAsia="zh-CN"/>
              </w:rPr>
            </w:pPr>
            <w:r>
              <w:rPr>
                <w:rFonts w:ascii="Times New Roman" w:hAnsi="Times New Roman"/>
                <w:bCs/>
                <w:szCs w:val="21"/>
              </w:rPr>
              <w:t>生活区、搅拌站、草料棚、厂区道路</w:t>
            </w:r>
            <w:r>
              <w:rPr>
                <w:rFonts w:hint="eastAsia" w:ascii="Times New Roman" w:hAnsi="Times New Roman"/>
                <w:bCs/>
                <w:szCs w:val="21"/>
                <w:lang w:eastAsia="zh-CN"/>
              </w:rPr>
              <w:t>等</w:t>
            </w:r>
          </w:p>
        </w:tc>
        <w:tc>
          <w:tcPr>
            <w:tcW w:w="2878" w:type="dxa"/>
            <w:vAlign w:val="center"/>
          </w:tcPr>
          <w:p>
            <w:pPr>
              <w:adjustRightInd w:val="0"/>
              <w:snapToGrid w:val="0"/>
              <w:ind w:firstLine="420" w:firstLineChars="200"/>
              <w:jc w:val="center"/>
              <w:rPr>
                <w:rFonts w:ascii="Times New Roman" w:hAnsi="Times New Roman"/>
                <w:szCs w:val="21"/>
              </w:rPr>
            </w:pPr>
            <w:r>
              <w:rPr>
                <w:rFonts w:hint="eastAsia" w:ascii="Times New Roman" w:hAnsi="Times New Roman"/>
                <w:szCs w:val="21"/>
              </w:rPr>
              <w:t>/</w:t>
            </w:r>
          </w:p>
        </w:tc>
        <w:tc>
          <w:tcPr>
            <w:tcW w:w="3531" w:type="dxa"/>
            <w:vAlign w:val="center"/>
          </w:tcPr>
          <w:p>
            <w:pPr>
              <w:adjustRightInd w:val="0"/>
              <w:snapToGrid w:val="0"/>
              <w:ind w:firstLine="420" w:firstLineChars="200"/>
              <w:jc w:val="center"/>
              <w:rPr>
                <w:rFonts w:ascii="Times New Roman" w:hAnsi="Times New Roman"/>
                <w:szCs w:val="21"/>
              </w:rPr>
            </w:pPr>
            <w:r>
              <w:rPr>
                <w:rFonts w:ascii="Times New Roman" w:hAnsi="Times New Roman"/>
                <w:szCs w:val="21"/>
              </w:rPr>
              <w:t>一般地面硬化</w:t>
            </w:r>
          </w:p>
        </w:tc>
      </w:tr>
    </w:tbl>
    <w:p>
      <w:pPr>
        <w:keepNext/>
        <w:keepLines/>
        <w:pageBreakBefore w:val="0"/>
        <w:widowControl w:val="0"/>
        <w:kinsoku/>
        <w:wordWrap/>
        <w:overflowPunct/>
        <w:topLinePunct w:val="0"/>
        <w:autoSpaceDE/>
        <w:autoSpaceDN/>
        <w:bidi w:val="0"/>
        <w:adjustRightInd/>
        <w:snapToGrid w:val="0"/>
        <w:spacing w:before="0" w:after="0" w:line="240" w:lineRule="auto"/>
        <w:contextualSpacing/>
        <w:jc w:val="left"/>
        <w:textAlignment w:val="auto"/>
        <w:outlineLvl w:val="9"/>
        <w:rPr>
          <w:rFonts w:hint="eastAsia" w:ascii="Times New Roman" w:hAnsi="Times New Roman" w:eastAsia="宋体"/>
          <w:bCs w:val="0"/>
          <w:sz w:val="24"/>
          <w:lang w:eastAsia="zh-CN"/>
        </w:rPr>
      </w:pPr>
    </w:p>
    <w:p>
      <w:pPr>
        <w:pStyle w:val="7"/>
        <w:ind w:left="0" w:leftChars="0" w:firstLine="0" w:firstLineChars="0"/>
        <w:jc w:val="center"/>
        <w:rPr>
          <w:rFonts w:hint="default"/>
          <w:lang w:val="en-US" w:eastAsia="zh-CN"/>
        </w:rPr>
      </w:pPr>
      <w:r>
        <w:rPr>
          <w:rFonts w:hint="default" w:ascii="Times New Roman" w:hAnsi="Times New Roman" w:eastAsia="宋体" w:cs="Times New Roman"/>
          <w:b/>
          <w:bCs w:val="0"/>
          <w:lang w:eastAsia="zh-CN"/>
        </w:rPr>
        <w:drawing>
          <wp:inline distT="0" distB="0" distL="114300" distR="114300">
            <wp:extent cx="8050530" cy="5693410"/>
            <wp:effectExtent l="0" t="0" r="2540" b="7620"/>
            <wp:docPr id="45" name="图片 45" descr="2490ccccd902c3bbf6b6948ddb5a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490ccccd902c3bbf6b6948ddb5a096"/>
                    <pic:cNvPicPr>
                      <a:picLocks noChangeAspect="1"/>
                    </pic:cNvPicPr>
                  </pic:nvPicPr>
                  <pic:blipFill>
                    <a:blip r:embed="rId52"/>
                    <a:stretch>
                      <a:fillRect/>
                    </a:stretch>
                  </pic:blipFill>
                  <pic:spPr>
                    <a:xfrm rot="5400000">
                      <a:off x="0" y="0"/>
                      <a:ext cx="8050530" cy="5693410"/>
                    </a:xfrm>
                    <a:prstGeom prst="rect">
                      <a:avLst/>
                    </a:prstGeom>
                  </pic:spPr>
                </pic:pic>
              </a:graphicData>
            </a:graphic>
          </wp:inline>
        </w:drawing>
      </w:r>
      <w:r>
        <w:rPr>
          <w:rFonts w:hint="default" w:ascii="Times New Roman" w:hAnsi="Times New Roman" w:eastAsia="宋体" w:cs="Times New Roman"/>
          <w:b/>
          <w:bCs w:val="0"/>
          <w:lang w:eastAsia="zh-CN"/>
        </w:rPr>
        <w:t>图</w:t>
      </w:r>
      <w:r>
        <w:rPr>
          <w:rFonts w:hint="default" w:ascii="Times New Roman" w:hAnsi="Times New Roman" w:eastAsia="宋体" w:cs="Times New Roman"/>
          <w:b/>
          <w:bCs w:val="0"/>
          <w:lang w:val="en-US" w:eastAsia="zh-CN"/>
        </w:rPr>
        <w:t>6.2-1厂区分区防渗图</w:t>
      </w:r>
    </w:p>
    <w:p>
      <w:pPr>
        <w:pStyle w:val="6"/>
        <w:snapToGrid w:val="0"/>
        <w:spacing w:before="120" w:after="120" w:line="540" w:lineRule="exact"/>
        <w:contextualSpacing/>
        <w:jc w:val="left"/>
        <w:rPr>
          <w:rFonts w:ascii="Times New Roman" w:hAnsi="Times New Roman" w:eastAsia="宋体"/>
          <w:bCs w:val="0"/>
          <w:sz w:val="24"/>
          <w:highlight w:val="red"/>
        </w:rPr>
      </w:pPr>
      <w:r>
        <w:rPr>
          <w:rFonts w:ascii="Times New Roman" w:hAnsi="Times New Roman" w:eastAsia="宋体"/>
          <w:bCs w:val="0"/>
          <w:sz w:val="24"/>
        </w:rPr>
        <w:t>6.2.3.4地下水污染监控措施</w:t>
      </w:r>
    </w:p>
    <w:p>
      <w:pPr>
        <w:pStyle w:val="2"/>
        <w:adjustRightInd w:val="0"/>
        <w:spacing w:line="540" w:lineRule="exact"/>
        <w:ind w:firstLine="480" w:firstLineChars="200"/>
        <w:jc w:val="both"/>
        <w:rPr>
          <w:rFonts w:ascii="Times New Roman" w:hAnsi="Times New Roman"/>
          <w:sz w:val="24"/>
          <w:lang w:val="zh-CN"/>
        </w:rPr>
      </w:pPr>
      <w:r>
        <w:rPr>
          <w:rFonts w:ascii="Times New Roman" w:hAnsi="Times New Roman"/>
          <w:sz w:val="24"/>
          <w:lang w:val="zh-CN"/>
        </w:rPr>
        <w:t>根据《环境影响评价技术导则</w:t>
      </w:r>
      <w:r>
        <w:rPr>
          <w:rFonts w:ascii="Times New Roman" w:hAnsi="Times New Roman"/>
          <w:sz w:val="24"/>
        </w:rPr>
        <w:t xml:space="preserve"> </w:t>
      </w:r>
      <w:r>
        <w:rPr>
          <w:rFonts w:ascii="Times New Roman" w:hAnsi="Times New Roman"/>
          <w:sz w:val="24"/>
          <w:lang w:val="zh-CN"/>
        </w:rPr>
        <w:t>地下水环境》（HJ610-2016）</w:t>
      </w:r>
      <w:r>
        <w:rPr>
          <w:rFonts w:ascii="Times New Roman" w:hAnsi="Times New Roman"/>
          <w:color w:val="FF0000"/>
          <w:sz w:val="24"/>
          <w:lang w:val="zh-CN"/>
        </w:rPr>
        <w:t>及《地下水环境监测技术规范》(HJ/T164-20</w:t>
      </w:r>
      <w:r>
        <w:rPr>
          <w:rFonts w:hint="eastAsia" w:ascii="Times New Roman" w:hAnsi="Times New Roman"/>
          <w:color w:val="FF0000"/>
          <w:sz w:val="24"/>
          <w:lang w:val="en-US" w:eastAsia="zh-CN"/>
        </w:rPr>
        <w:t>20</w:t>
      </w:r>
      <w:r>
        <w:rPr>
          <w:rFonts w:ascii="Times New Roman" w:hAnsi="Times New Roman"/>
          <w:color w:val="FF0000"/>
          <w:sz w:val="24"/>
          <w:lang w:val="zh-CN"/>
        </w:rPr>
        <w:t>)等规定，</w:t>
      </w:r>
      <w:r>
        <w:rPr>
          <w:rFonts w:ascii="Times New Roman" w:hAnsi="Times New Roman"/>
          <w:sz w:val="24"/>
          <w:lang w:val="zh-CN"/>
        </w:rPr>
        <w:t>项目建成后应对地下水环境进行长期动态监测。本项目在厂区下游布设地下水监测井1眼，监测项目为：</w:t>
      </w:r>
      <w:r>
        <w:rPr>
          <w:rFonts w:ascii="Times New Roman" w:hAnsi="Times New Roman"/>
          <w:sz w:val="24"/>
        </w:rPr>
        <w:t>PH、氨氮、硝酸盐、亚硝酸盐氮、挥发性酚类、氰化物、砷、汞、六价铬、总硬度、铅、氟化物、镉、铁、锰、溶解性总固体、高锰酸盐指数、硫酸盐、氯化物、总大肠菌群、细菌总数</w:t>
      </w:r>
      <w:r>
        <w:rPr>
          <w:rFonts w:hint="eastAsia" w:ascii="Times New Roman" w:hAnsi="Times New Roman"/>
          <w:sz w:val="24"/>
        </w:rPr>
        <w:t>以及K</w:t>
      </w:r>
      <w:r>
        <w:rPr>
          <w:rFonts w:hint="eastAsia" w:ascii="Times New Roman" w:hAnsi="Times New Roman"/>
          <w:sz w:val="24"/>
          <w:vertAlign w:val="superscript"/>
        </w:rPr>
        <w:t>+</w:t>
      </w:r>
      <w:r>
        <w:rPr>
          <w:rFonts w:hint="eastAsia" w:ascii="Times New Roman" w:hAnsi="Times New Roman"/>
          <w:sz w:val="24"/>
        </w:rPr>
        <w:t>、Ca</w:t>
      </w:r>
      <w:r>
        <w:rPr>
          <w:rFonts w:hint="eastAsia" w:ascii="Times New Roman" w:hAnsi="Times New Roman"/>
          <w:sz w:val="24"/>
          <w:vertAlign w:val="superscript"/>
        </w:rPr>
        <w:t>2+</w:t>
      </w:r>
      <w:r>
        <w:rPr>
          <w:rFonts w:hint="eastAsia" w:ascii="Times New Roman" w:hAnsi="Times New Roman"/>
          <w:sz w:val="24"/>
        </w:rPr>
        <w:t>、Na</w:t>
      </w:r>
      <w:r>
        <w:rPr>
          <w:rFonts w:hint="eastAsia" w:ascii="Times New Roman" w:hAnsi="Times New Roman"/>
          <w:sz w:val="24"/>
          <w:vertAlign w:val="superscript"/>
        </w:rPr>
        <w:t>+</w:t>
      </w:r>
      <w:r>
        <w:rPr>
          <w:rFonts w:hint="eastAsia" w:ascii="Times New Roman" w:hAnsi="Times New Roman"/>
          <w:sz w:val="24"/>
        </w:rPr>
        <w:t>、Mg</w:t>
      </w:r>
      <w:r>
        <w:rPr>
          <w:rFonts w:hint="eastAsia" w:ascii="Times New Roman" w:hAnsi="Times New Roman"/>
          <w:sz w:val="24"/>
          <w:vertAlign w:val="superscript"/>
        </w:rPr>
        <w:t>2+</w:t>
      </w:r>
      <w:r>
        <w:rPr>
          <w:rFonts w:hint="eastAsia" w:ascii="Times New Roman" w:hAnsi="Times New Roman"/>
          <w:sz w:val="24"/>
        </w:rPr>
        <w:t>、CO</w:t>
      </w:r>
      <w:r>
        <w:rPr>
          <w:rFonts w:hint="eastAsia" w:ascii="Times New Roman" w:hAnsi="Times New Roman"/>
          <w:sz w:val="24"/>
          <w:vertAlign w:val="subscript"/>
        </w:rPr>
        <w:t>3</w:t>
      </w:r>
      <w:r>
        <w:rPr>
          <w:rFonts w:hint="eastAsia" w:ascii="Times New Roman" w:hAnsi="Times New Roman"/>
          <w:sz w:val="24"/>
          <w:vertAlign w:val="superscript"/>
        </w:rPr>
        <w:t>2-</w:t>
      </w:r>
      <w:r>
        <w:rPr>
          <w:rFonts w:hint="eastAsia" w:ascii="Times New Roman" w:hAnsi="Times New Roman"/>
          <w:sz w:val="24"/>
        </w:rPr>
        <w:t>、HCO</w:t>
      </w:r>
      <w:r>
        <w:rPr>
          <w:rFonts w:hint="eastAsia" w:ascii="Times New Roman" w:hAnsi="Times New Roman"/>
          <w:sz w:val="24"/>
          <w:vertAlign w:val="subscript"/>
        </w:rPr>
        <w:t>3</w:t>
      </w:r>
      <w:r>
        <w:rPr>
          <w:rFonts w:hint="eastAsia" w:ascii="Times New Roman" w:hAnsi="Times New Roman"/>
          <w:sz w:val="24"/>
          <w:vertAlign w:val="superscript"/>
        </w:rPr>
        <w:t>-</w:t>
      </w:r>
      <w:r>
        <w:rPr>
          <w:rFonts w:hint="eastAsia" w:ascii="Times New Roman" w:hAnsi="Times New Roman"/>
          <w:sz w:val="24"/>
        </w:rPr>
        <w:t>、Cl</w:t>
      </w:r>
      <w:r>
        <w:rPr>
          <w:rFonts w:hint="eastAsia" w:ascii="Times New Roman" w:hAnsi="Times New Roman"/>
          <w:sz w:val="24"/>
          <w:vertAlign w:val="superscript"/>
        </w:rPr>
        <w:t>-</w:t>
      </w:r>
      <w:r>
        <w:rPr>
          <w:rFonts w:hint="eastAsia" w:ascii="Times New Roman" w:hAnsi="Times New Roman"/>
          <w:sz w:val="24"/>
        </w:rPr>
        <w:t>、SO</w:t>
      </w:r>
      <w:r>
        <w:rPr>
          <w:rFonts w:hint="eastAsia" w:ascii="Times New Roman" w:hAnsi="Times New Roman"/>
          <w:sz w:val="24"/>
          <w:vertAlign w:val="subscript"/>
        </w:rPr>
        <w:t>4</w:t>
      </w:r>
      <w:r>
        <w:rPr>
          <w:rFonts w:hint="eastAsia" w:ascii="Times New Roman" w:hAnsi="Times New Roman"/>
          <w:sz w:val="24"/>
          <w:vertAlign w:val="superscript"/>
        </w:rPr>
        <w:t>2-</w:t>
      </w:r>
      <w:r>
        <w:rPr>
          <w:rFonts w:ascii="Times New Roman" w:hAnsi="Times New Roman"/>
          <w:sz w:val="24"/>
          <w:lang w:val="zh-CN"/>
        </w:rPr>
        <w:t>，井深见水，将地下水跟踪监测结果定期进行公布。</w:t>
      </w:r>
    </w:p>
    <w:p>
      <w:pPr>
        <w:pStyle w:val="23"/>
        <w:adjustRightInd w:val="0"/>
        <w:snapToGrid w:val="0"/>
        <w:spacing w:after="0" w:line="540" w:lineRule="exact"/>
        <w:ind w:left="0" w:leftChars="0" w:firstLine="480" w:firstLineChars="200"/>
        <w:rPr>
          <w:rFonts w:ascii="Times New Roman" w:hAnsi="Times New Roman"/>
          <w:sz w:val="24"/>
          <w:szCs w:val="24"/>
        </w:rPr>
      </w:pPr>
      <w:r>
        <w:rPr>
          <w:rFonts w:ascii="Times New Roman" w:hAnsi="Times New Roman"/>
          <w:sz w:val="24"/>
          <w:szCs w:val="24"/>
        </w:rPr>
        <w:t>综上，在采取全面的防渗措施之后，项目可有效的防止粪污下渗造成地下水污染的问题。</w:t>
      </w:r>
    </w:p>
    <w:p>
      <w:pPr>
        <w:pStyle w:val="51"/>
        <w:snapToGrid w:val="0"/>
        <w:spacing w:before="120" w:beforeLines="50" w:after="120" w:afterLines="50" w:line="540" w:lineRule="exact"/>
        <w:contextualSpacing/>
        <w:rPr>
          <w:rFonts w:cs="Times New Roman"/>
          <w:bCs w:val="0"/>
          <w:snapToGrid w:val="0"/>
          <w:kern w:val="0"/>
        </w:rPr>
      </w:pPr>
      <w:bookmarkStart w:id="798" w:name="_Toc18965"/>
      <w:bookmarkStart w:id="799" w:name="_Toc6759"/>
      <w:r>
        <w:rPr>
          <w:rFonts w:cs="Times New Roman"/>
          <w:bCs w:val="0"/>
          <w:snapToGrid w:val="0"/>
          <w:kern w:val="0"/>
        </w:rPr>
        <w:t>6.2.4噪声污染防治措施评述</w:t>
      </w:r>
      <w:bookmarkEnd w:id="797"/>
      <w:bookmarkEnd w:id="798"/>
      <w:bookmarkEnd w:id="799"/>
    </w:p>
    <w:p>
      <w:pPr>
        <w:pStyle w:val="68"/>
        <w:spacing w:line="540" w:lineRule="exact"/>
        <w:ind w:firstLine="480"/>
        <w:rPr>
          <w:rFonts w:ascii="Times New Roman" w:hAnsi="Times New Roman" w:eastAsia="宋体"/>
          <w:szCs w:val="24"/>
        </w:rPr>
      </w:pPr>
      <w:r>
        <w:rPr>
          <w:rFonts w:ascii="Times New Roman" w:hAnsi="Times New Roman" w:eastAsia="宋体"/>
          <w:kern w:val="2"/>
          <w:szCs w:val="22"/>
        </w:rPr>
        <w:t>本项目噪声主要来自TMR搅拌站内饲料配料混合设备、粉碎机、锅炉、水泵及牛群活动叫声等。</w:t>
      </w:r>
      <w:r>
        <w:rPr>
          <w:rFonts w:ascii="Times New Roman" w:hAnsi="Times New Roman" w:eastAsia="宋体"/>
          <w:szCs w:val="24"/>
        </w:rPr>
        <w:t>针对不同噪声源采用隔声、消声、合理布局等治理措施。</w:t>
      </w:r>
    </w:p>
    <w:p>
      <w:pPr>
        <w:pStyle w:val="68"/>
        <w:spacing w:line="540" w:lineRule="exact"/>
        <w:ind w:firstLine="480"/>
        <w:rPr>
          <w:rFonts w:ascii="Times New Roman" w:hAnsi="Times New Roman" w:eastAsia="宋体"/>
          <w:szCs w:val="24"/>
        </w:rPr>
      </w:pPr>
      <w:r>
        <w:rPr>
          <w:rFonts w:ascii="Times New Roman" w:hAnsi="Times New Roman" w:eastAsia="宋体"/>
          <w:szCs w:val="24"/>
        </w:rPr>
        <w:fldChar w:fldCharType="begin"/>
      </w:r>
      <w:r>
        <w:rPr>
          <w:rFonts w:ascii="Times New Roman" w:hAnsi="Times New Roman" w:eastAsia="宋体"/>
          <w:szCs w:val="24"/>
        </w:rPr>
        <w:instrText xml:space="preserve"> = 1 \* GB2 \* MERGEFORMAT </w:instrText>
      </w:r>
      <w:r>
        <w:rPr>
          <w:rFonts w:ascii="Times New Roman" w:hAnsi="Times New Roman" w:eastAsia="宋体"/>
          <w:szCs w:val="24"/>
        </w:rPr>
        <w:fldChar w:fldCharType="separate"/>
      </w:r>
      <w:r>
        <w:rPr>
          <w:rFonts w:ascii="Times New Roman" w:hAnsi="Times New Roman" w:eastAsia="宋体"/>
        </w:rPr>
        <w:t>⑴</w:t>
      </w:r>
      <w:r>
        <w:rPr>
          <w:rFonts w:ascii="Times New Roman" w:hAnsi="Times New Roman" w:eastAsia="宋体"/>
          <w:szCs w:val="24"/>
        </w:rPr>
        <w:fldChar w:fldCharType="end"/>
      </w:r>
      <w:r>
        <w:rPr>
          <w:rFonts w:ascii="Times New Roman" w:hAnsi="Times New Roman" w:eastAsia="宋体"/>
          <w:szCs w:val="24"/>
        </w:rPr>
        <w:t>重视设备选型</w:t>
      </w:r>
    </w:p>
    <w:p>
      <w:pPr>
        <w:pStyle w:val="68"/>
        <w:spacing w:line="540" w:lineRule="exact"/>
        <w:ind w:firstLine="480"/>
        <w:rPr>
          <w:rFonts w:ascii="Times New Roman" w:hAnsi="Times New Roman" w:eastAsia="宋体"/>
          <w:szCs w:val="24"/>
        </w:rPr>
      </w:pPr>
      <w:r>
        <w:rPr>
          <w:rFonts w:ascii="Times New Roman" w:hAnsi="Times New Roman" w:eastAsia="宋体"/>
          <w:szCs w:val="24"/>
        </w:rPr>
        <w:t>最大程度地选用加工精度高，运行噪声低，配备减振、降噪的设施的生产装置及设备。采用大型基础来减少粉碎机的振动噪声。安装减振材料，减小振动。</w:t>
      </w:r>
    </w:p>
    <w:p>
      <w:pPr>
        <w:pStyle w:val="68"/>
        <w:spacing w:line="540" w:lineRule="exact"/>
        <w:ind w:firstLine="480"/>
        <w:rPr>
          <w:rFonts w:ascii="Times New Roman" w:hAnsi="Times New Roman" w:eastAsia="宋体"/>
          <w:szCs w:val="24"/>
        </w:rPr>
      </w:pPr>
      <w:r>
        <w:rPr>
          <w:rFonts w:ascii="Times New Roman" w:hAnsi="Times New Roman" w:eastAsia="宋体"/>
          <w:szCs w:val="24"/>
        </w:rPr>
        <w:fldChar w:fldCharType="begin"/>
      </w:r>
      <w:r>
        <w:rPr>
          <w:rFonts w:ascii="Times New Roman" w:hAnsi="Times New Roman" w:eastAsia="宋体"/>
          <w:szCs w:val="24"/>
        </w:rPr>
        <w:instrText xml:space="preserve"> = 2 \* GB2 \* MERGEFORMAT </w:instrText>
      </w:r>
      <w:r>
        <w:rPr>
          <w:rFonts w:ascii="Times New Roman" w:hAnsi="Times New Roman" w:eastAsia="宋体"/>
          <w:szCs w:val="24"/>
        </w:rPr>
        <w:fldChar w:fldCharType="separate"/>
      </w:r>
      <w:r>
        <w:rPr>
          <w:rFonts w:ascii="Times New Roman" w:hAnsi="Times New Roman" w:eastAsia="宋体"/>
        </w:rPr>
        <w:t>⑵</w:t>
      </w:r>
      <w:r>
        <w:rPr>
          <w:rFonts w:ascii="Times New Roman" w:hAnsi="Times New Roman" w:eastAsia="宋体"/>
          <w:szCs w:val="24"/>
        </w:rPr>
        <w:fldChar w:fldCharType="end"/>
      </w:r>
      <w:r>
        <w:rPr>
          <w:rFonts w:ascii="Times New Roman" w:hAnsi="Times New Roman" w:eastAsia="宋体"/>
          <w:szCs w:val="24"/>
        </w:rPr>
        <w:t>重视总图布置</w:t>
      </w:r>
    </w:p>
    <w:p>
      <w:pPr>
        <w:pStyle w:val="68"/>
        <w:spacing w:line="540" w:lineRule="exact"/>
        <w:ind w:firstLine="480"/>
        <w:rPr>
          <w:rFonts w:ascii="Times New Roman" w:hAnsi="Times New Roman" w:eastAsia="宋体"/>
          <w:szCs w:val="24"/>
        </w:rPr>
      </w:pPr>
      <w:r>
        <w:rPr>
          <w:rFonts w:ascii="Times New Roman" w:hAnsi="Times New Roman" w:eastAsia="宋体"/>
          <w:szCs w:val="24"/>
        </w:rPr>
        <w:t>将高噪声设备布置在厂房之内，可利用建筑物、构筑物形成噪声屏障，阻碍噪声传播。对噪声设备，在设计时应考虑建筑隔声效果。如对风机类、泵类设备等均安装在室内，采用厂房隔声布置，以减轻噪声对室外环境的影响。</w:t>
      </w:r>
    </w:p>
    <w:p>
      <w:pPr>
        <w:pStyle w:val="68"/>
        <w:spacing w:line="540" w:lineRule="exact"/>
        <w:ind w:firstLine="480"/>
        <w:rPr>
          <w:rFonts w:ascii="Times New Roman" w:hAnsi="Times New Roman" w:eastAsia="宋体"/>
          <w:szCs w:val="24"/>
        </w:rPr>
      </w:pPr>
      <w:r>
        <w:rPr>
          <w:rFonts w:ascii="Times New Roman" w:hAnsi="Times New Roman" w:eastAsia="宋体"/>
          <w:szCs w:val="24"/>
        </w:rPr>
        <w:fldChar w:fldCharType="begin"/>
      </w:r>
      <w:r>
        <w:rPr>
          <w:rFonts w:ascii="Times New Roman" w:hAnsi="Times New Roman" w:eastAsia="宋体"/>
          <w:szCs w:val="24"/>
        </w:rPr>
        <w:instrText xml:space="preserve"> = 3 \* GB2 \* MERGEFORMAT </w:instrText>
      </w:r>
      <w:r>
        <w:rPr>
          <w:rFonts w:ascii="Times New Roman" w:hAnsi="Times New Roman" w:eastAsia="宋体"/>
          <w:szCs w:val="24"/>
        </w:rPr>
        <w:fldChar w:fldCharType="separate"/>
      </w:r>
      <w:r>
        <w:rPr>
          <w:rFonts w:ascii="Times New Roman" w:hAnsi="Times New Roman" w:eastAsia="宋体"/>
        </w:rPr>
        <w:t>⑶</w:t>
      </w:r>
      <w:r>
        <w:rPr>
          <w:rFonts w:ascii="Times New Roman" w:hAnsi="Times New Roman" w:eastAsia="宋体"/>
          <w:szCs w:val="24"/>
        </w:rPr>
        <w:fldChar w:fldCharType="end"/>
      </w:r>
      <w:r>
        <w:rPr>
          <w:rFonts w:ascii="Times New Roman" w:hAnsi="Times New Roman" w:eastAsia="宋体"/>
          <w:szCs w:val="24"/>
        </w:rPr>
        <w:t>采取隔声、吸声措施</w:t>
      </w:r>
    </w:p>
    <w:p>
      <w:pPr>
        <w:pStyle w:val="68"/>
        <w:spacing w:line="540" w:lineRule="exact"/>
        <w:ind w:firstLine="480"/>
        <w:rPr>
          <w:rFonts w:ascii="Times New Roman" w:hAnsi="Times New Roman" w:eastAsia="宋体"/>
          <w:szCs w:val="24"/>
        </w:rPr>
      </w:pPr>
      <w:r>
        <w:rPr>
          <w:rFonts w:ascii="Times New Roman" w:hAnsi="Times New Roman" w:eastAsia="宋体"/>
          <w:szCs w:val="24"/>
        </w:rPr>
        <w:t>在项目厂区道路两侧种植绿化带，厂内空地种植花草，以进一步削减噪声。</w:t>
      </w:r>
    </w:p>
    <w:p>
      <w:pPr>
        <w:pStyle w:val="68"/>
        <w:spacing w:line="540" w:lineRule="exact"/>
        <w:ind w:firstLine="480"/>
        <w:rPr>
          <w:rFonts w:ascii="Times New Roman" w:hAnsi="Times New Roman" w:eastAsia="宋体"/>
          <w:szCs w:val="24"/>
        </w:rPr>
      </w:pPr>
      <w:r>
        <w:rPr>
          <w:rFonts w:ascii="Times New Roman" w:hAnsi="Times New Roman" w:eastAsia="宋体"/>
          <w:szCs w:val="24"/>
        </w:rPr>
        <w:fldChar w:fldCharType="begin"/>
      </w:r>
      <w:r>
        <w:rPr>
          <w:rFonts w:ascii="Times New Roman" w:hAnsi="Times New Roman" w:eastAsia="宋体"/>
          <w:szCs w:val="24"/>
        </w:rPr>
        <w:instrText xml:space="preserve"> = 4 \* GB2 \* MERGEFORMAT </w:instrText>
      </w:r>
      <w:r>
        <w:rPr>
          <w:rFonts w:ascii="Times New Roman" w:hAnsi="Times New Roman" w:eastAsia="宋体"/>
          <w:szCs w:val="24"/>
        </w:rPr>
        <w:fldChar w:fldCharType="separate"/>
      </w:r>
      <w:r>
        <w:rPr>
          <w:rFonts w:ascii="Times New Roman" w:hAnsi="Times New Roman" w:eastAsia="宋体"/>
        </w:rPr>
        <w:t>⑷</w:t>
      </w:r>
      <w:r>
        <w:rPr>
          <w:rFonts w:ascii="Times New Roman" w:hAnsi="Times New Roman" w:eastAsia="宋体"/>
          <w:szCs w:val="24"/>
        </w:rPr>
        <w:fldChar w:fldCharType="end"/>
      </w:r>
      <w:r>
        <w:rPr>
          <w:rFonts w:ascii="Times New Roman" w:hAnsi="Times New Roman" w:eastAsia="宋体"/>
          <w:szCs w:val="24"/>
        </w:rPr>
        <w:t>风机噪声控制</w:t>
      </w:r>
    </w:p>
    <w:p>
      <w:pPr>
        <w:pStyle w:val="68"/>
        <w:spacing w:line="540" w:lineRule="exact"/>
        <w:ind w:firstLine="480"/>
        <w:rPr>
          <w:rFonts w:ascii="Times New Roman" w:hAnsi="Times New Roman" w:eastAsia="宋体"/>
          <w:szCs w:val="24"/>
        </w:rPr>
      </w:pPr>
      <w:r>
        <w:rPr>
          <w:rFonts w:ascii="Times New Roman" w:hAnsi="Times New Roman" w:eastAsia="宋体"/>
          <w:szCs w:val="24"/>
        </w:rPr>
        <w:t>可以安装消声器、加装隔声罩、内嵌式安装，或设置风机房。</w:t>
      </w:r>
    </w:p>
    <w:p>
      <w:pPr>
        <w:pStyle w:val="68"/>
        <w:spacing w:line="540" w:lineRule="exact"/>
        <w:ind w:firstLine="480"/>
        <w:rPr>
          <w:rFonts w:ascii="Times New Roman" w:hAnsi="Times New Roman" w:eastAsia="宋体"/>
          <w:szCs w:val="24"/>
        </w:rPr>
      </w:pPr>
      <w:r>
        <w:rPr>
          <w:rFonts w:ascii="Times New Roman" w:hAnsi="Times New Roman" w:eastAsia="宋体"/>
          <w:szCs w:val="24"/>
        </w:rPr>
        <w:t>风机在运转时产生的噪声主要有空气动力性噪声（即气流噪声）、机械噪声等，其中强度最高、影响最大的则是空气动力性噪声，尤其进出气口产生的噪声最严重。通过在进气口安装阻抗复合消声器和对进排气管道作阻尼减振措施，这样对整体设备可降噪15~20dB（A）以上，使风机声源值由90dB(A)降至70dB(A)。</w:t>
      </w:r>
    </w:p>
    <w:p>
      <w:pPr>
        <w:pStyle w:val="68"/>
        <w:spacing w:line="540" w:lineRule="exact"/>
        <w:ind w:firstLine="480"/>
        <w:rPr>
          <w:rFonts w:ascii="Times New Roman" w:hAnsi="Times New Roman" w:eastAsia="宋体"/>
          <w:szCs w:val="24"/>
        </w:rPr>
      </w:pPr>
      <w:r>
        <w:rPr>
          <w:rFonts w:ascii="Times New Roman" w:hAnsi="Times New Roman" w:eastAsia="宋体"/>
          <w:szCs w:val="24"/>
        </w:rPr>
        <w:t>泵类噪声以冷却风扇产生的空气动力噪声最强，远远超过电磁噪声和机械噪声之和，电动机的噪声频带比较宽，以低中频为主。一般用内衬有吸声材料的电动机隔声罩和泵基减振垫，将电动机全部罩上的隔声设施，还有将泵置于地平面以下，以降低声源强度。</w:t>
      </w:r>
    </w:p>
    <w:p>
      <w:pPr>
        <w:pStyle w:val="68"/>
        <w:spacing w:line="540" w:lineRule="exact"/>
        <w:ind w:firstLine="480"/>
        <w:rPr>
          <w:rFonts w:ascii="Times New Roman" w:hAnsi="Times New Roman" w:eastAsia="宋体"/>
          <w:szCs w:val="24"/>
        </w:rPr>
      </w:pPr>
      <w:r>
        <w:rPr>
          <w:rFonts w:ascii="Times New Roman" w:hAnsi="Times New Roman" w:eastAsia="宋体"/>
          <w:szCs w:val="24"/>
        </w:rPr>
        <w:fldChar w:fldCharType="begin"/>
      </w:r>
      <w:r>
        <w:rPr>
          <w:rFonts w:ascii="Times New Roman" w:hAnsi="Times New Roman" w:eastAsia="宋体"/>
          <w:szCs w:val="24"/>
        </w:rPr>
        <w:instrText xml:space="preserve"> = 5 \* GB2 \* MERGEFORMAT </w:instrText>
      </w:r>
      <w:r>
        <w:rPr>
          <w:rFonts w:ascii="Times New Roman" w:hAnsi="Times New Roman" w:eastAsia="宋体"/>
          <w:szCs w:val="24"/>
        </w:rPr>
        <w:fldChar w:fldCharType="separate"/>
      </w:r>
      <w:r>
        <w:rPr>
          <w:rFonts w:ascii="Times New Roman" w:hAnsi="Times New Roman" w:eastAsia="宋体"/>
        </w:rPr>
        <w:t>⑸</w:t>
      </w:r>
      <w:r>
        <w:rPr>
          <w:rFonts w:ascii="Times New Roman" w:hAnsi="Times New Roman" w:eastAsia="宋体"/>
          <w:szCs w:val="24"/>
        </w:rPr>
        <w:fldChar w:fldCharType="end"/>
      </w:r>
      <w:r>
        <w:rPr>
          <w:rFonts w:ascii="Times New Roman" w:hAnsi="Times New Roman" w:eastAsia="宋体"/>
          <w:szCs w:val="24"/>
        </w:rPr>
        <w:t>从管理角度，加强以下几个方面工作，以减少项目噪声排放对周边声环境的影响</w:t>
      </w:r>
    </w:p>
    <w:p>
      <w:pPr>
        <w:pStyle w:val="68"/>
        <w:spacing w:line="540" w:lineRule="exact"/>
        <w:ind w:firstLine="480"/>
        <w:rPr>
          <w:rFonts w:ascii="Times New Roman" w:hAnsi="Times New Roman" w:eastAsia="宋体"/>
          <w:szCs w:val="24"/>
        </w:rPr>
      </w:pPr>
      <w:r>
        <w:rPr>
          <w:rFonts w:ascii="Times New Roman" w:hAnsi="Times New Roman" w:eastAsia="宋体"/>
          <w:szCs w:val="24"/>
        </w:rPr>
        <w:t>①提高工艺自动控制水平，减少工人直接接触高噪声设备时间。</w:t>
      </w:r>
    </w:p>
    <w:p>
      <w:pPr>
        <w:pStyle w:val="68"/>
        <w:spacing w:line="540" w:lineRule="exact"/>
        <w:ind w:firstLine="480"/>
        <w:rPr>
          <w:rFonts w:ascii="Times New Roman" w:hAnsi="Times New Roman" w:eastAsia="宋体"/>
          <w:szCs w:val="24"/>
        </w:rPr>
      </w:pPr>
      <w:r>
        <w:rPr>
          <w:rFonts w:ascii="Times New Roman" w:hAnsi="Times New Roman" w:eastAsia="宋体"/>
          <w:szCs w:val="24"/>
        </w:rPr>
        <w:t>②建立设备定期维护、保养制度，防止设备故障形成的非正常生产噪声。</w:t>
      </w:r>
    </w:p>
    <w:p>
      <w:pPr>
        <w:pStyle w:val="68"/>
        <w:spacing w:line="540" w:lineRule="exact"/>
        <w:ind w:firstLine="480"/>
        <w:rPr>
          <w:rFonts w:ascii="Times New Roman" w:hAnsi="Times New Roman" w:eastAsia="宋体"/>
          <w:szCs w:val="24"/>
        </w:rPr>
      </w:pPr>
      <w:r>
        <w:rPr>
          <w:rFonts w:ascii="Times New Roman" w:hAnsi="Times New Roman" w:eastAsia="宋体"/>
          <w:szCs w:val="24"/>
        </w:rPr>
        <w:t>③加强职工环保意识教育，提倡文明生产，防止人为噪声。</w:t>
      </w:r>
    </w:p>
    <w:p>
      <w:pPr>
        <w:pStyle w:val="68"/>
        <w:spacing w:line="540" w:lineRule="exact"/>
        <w:ind w:firstLine="480"/>
        <w:rPr>
          <w:rFonts w:ascii="Times New Roman" w:hAnsi="Times New Roman" w:eastAsia="宋体"/>
          <w:szCs w:val="24"/>
        </w:rPr>
      </w:pPr>
      <w:r>
        <w:rPr>
          <w:rFonts w:ascii="Times New Roman" w:hAnsi="Times New Roman" w:eastAsia="宋体"/>
          <w:szCs w:val="24"/>
        </w:rPr>
        <w:fldChar w:fldCharType="begin"/>
      </w:r>
      <w:r>
        <w:rPr>
          <w:rFonts w:ascii="Times New Roman" w:hAnsi="Times New Roman" w:eastAsia="宋体"/>
          <w:szCs w:val="24"/>
        </w:rPr>
        <w:instrText xml:space="preserve"> = 6 \* GB2 \* MERGEFORMAT </w:instrText>
      </w:r>
      <w:r>
        <w:rPr>
          <w:rFonts w:ascii="Times New Roman" w:hAnsi="Times New Roman" w:eastAsia="宋体"/>
          <w:szCs w:val="24"/>
        </w:rPr>
        <w:fldChar w:fldCharType="separate"/>
      </w:r>
      <w:r>
        <w:rPr>
          <w:rFonts w:ascii="Times New Roman" w:hAnsi="Times New Roman" w:eastAsia="宋体"/>
        </w:rPr>
        <w:t>⑹</w:t>
      </w:r>
      <w:r>
        <w:rPr>
          <w:rFonts w:ascii="Times New Roman" w:hAnsi="Times New Roman" w:eastAsia="宋体"/>
          <w:szCs w:val="24"/>
        </w:rPr>
        <w:fldChar w:fldCharType="end"/>
      </w:r>
      <w:r>
        <w:rPr>
          <w:rFonts w:ascii="Times New Roman" w:hAnsi="Times New Roman" w:eastAsia="宋体"/>
          <w:szCs w:val="24"/>
        </w:rPr>
        <w:t>流动声源管理：对于流动声源，单独控制声源技术难度甚大，可行的措施是强化行驶管理制度。要求驾驶员加强环保意识，减少鸣笛次数。同时加强厂区内道路维护保养，减少汽车磨擦噪声。</w:t>
      </w:r>
    </w:p>
    <w:p>
      <w:pPr>
        <w:pStyle w:val="68"/>
        <w:spacing w:line="540" w:lineRule="exact"/>
        <w:ind w:firstLine="480"/>
        <w:rPr>
          <w:rFonts w:ascii="Times New Roman" w:hAnsi="Times New Roman" w:eastAsia="宋体"/>
          <w:szCs w:val="24"/>
        </w:rPr>
      </w:pPr>
      <w:r>
        <w:rPr>
          <w:rFonts w:ascii="Times New Roman" w:hAnsi="Times New Roman" w:eastAsia="宋体"/>
          <w:szCs w:val="24"/>
        </w:rPr>
        <w:t>采取有效的减振降噪措施后，主要生产设备噪声源衰减至</w:t>
      </w:r>
      <w:r>
        <w:rPr>
          <w:rFonts w:hint="eastAsia" w:ascii="Times New Roman" w:hAnsi="Times New Roman" w:eastAsia="宋体"/>
          <w:szCs w:val="24"/>
        </w:rPr>
        <w:t>各</w:t>
      </w:r>
      <w:r>
        <w:rPr>
          <w:rFonts w:ascii="Times New Roman" w:hAnsi="Times New Roman" w:eastAsia="宋体"/>
          <w:szCs w:val="24"/>
        </w:rPr>
        <w:t>厂界外1m的噪声贡献值均可以满足《工业企业厂界环境噪声排放标准》（GB12348-2008）2类区排放限值要求。</w:t>
      </w:r>
    </w:p>
    <w:p>
      <w:pPr>
        <w:pStyle w:val="68"/>
        <w:spacing w:line="540" w:lineRule="exact"/>
        <w:ind w:firstLine="480"/>
        <w:rPr>
          <w:rFonts w:ascii="Times New Roman" w:hAnsi="Times New Roman" w:eastAsia="宋体"/>
          <w:szCs w:val="24"/>
        </w:rPr>
      </w:pPr>
      <w:r>
        <w:rPr>
          <w:rFonts w:ascii="Times New Roman" w:hAnsi="Times New Roman" w:eastAsia="宋体"/>
          <w:szCs w:val="24"/>
        </w:rPr>
        <w:t>综上所述，本项目采取的噪声防治措施合理可行。</w:t>
      </w:r>
    </w:p>
    <w:p>
      <w:pPr>
        <w:pStyle w:val="51"/>
        <w:snapToGrid w:val="0"/>
        <w:spacing w:before="120" w:beforeLines="50" w:after="120" w:afterLines="50" w:line="540" w:lineRule="exact"/>
        <w:contextualSpacing/>
        <w:rPr>
          <w:rFonts w:cs="Times New Roman"/>
          <w:bCs w:val="0"/>
          <w:snapToGrid w:val="0"/>
          <w:kern w:val="0"/>
        </w:rPr>
      </w:pPr>
      <w:bookmarkStart w:id="800" w:name="_Toc27457"/>
      <w:bookmarkStart w:id="801" w:name="_Toc3911"/>
      <w:bookmarkStart w:id="802" w:name="_Toc23403"/>
      <w:r>
        <w:rPr>
          <w:rFonts w:cs="Times New Roman"/>
          <w:bCs w:val="0"/>
          <w:snapToGrid w:val="0"/>
          <w:kern w:val="0"/>
        </w:rPr>
        <w:t>6.2.5固体废物污染防治措施评述</w:t>
      </w:r>
      <w:bookmarkEnd w:id="800"/>
      <w:bookmarkEnd w:id="801"/>
      <w:bookmarkEnd w:id="802"/>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本项目运营后，固体废物主要有牛粪、病死牛尸体、少量医疗废物及生活垃圾。</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(1)牛粪</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fldChar w:fldCharType="begin"/>
      </w:r>
      <w:r>
        <w:rPr>
          <w:rFonts w:ascii="Times New Roman" w:hAnsi="Times New Roman"/>
          <w:sz w:val="24"/>
          <w:szCs w:val="22"/>
        </w:rPr>
        <w:instrText xml:space="preserve"> = 1 \* GB3 \* MERGEFORMAT </w:instrText>
      </w:r>
      <w:r>
        <w:rPr>
          <w:rFonts w:ascii="Times New Roman" w:hAnsi="Times New Roman"/>
          <w:sz w:val="24"/>
          <w:szCs w:val="22"/>
        </w:rPr>
        <w:fldChar w:fldCharType="separate"/>
      </w:r>
      <w:r>
        <w:rPr>
          <w:rFonts w:ascii="Times New Roman" w:hAnsi="Times New Roman"/>
        </w:rPr>
        <w:t>①</w:t>
      </w:r>
      <w:r>
        <w:rPr>
          <w:rFonts w:ascii="Times New Roman" w:hAnsi="Times New Roman"/>
          <w:sz w:val="24"/>
          <w:szCs w:val="22"/>
        </w:rPr>
        <w:fldChar w:fldCharType="end"/>
      </w:r>
      <w:r>
        <w:rPr>
          <w:rFonts w:ascii="Times New Roman" w:hAnsi="Times New Roman"/>
          <w:sz w:val="24"/>
          <w:szCs w:val="22"/>
        </w:rPr>
        <w:t>牛粪处理措施</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本项目采取干法清粪工艺，</w:t>
      </w:r>
      <w:r>
        <w:rPr>
          <w:rFonts w:ascii="Times New Roman" w:hAnsi="Times New Roman"/>
          <w:sz w:val="24"/>
          <w:lang w:val="zh-CN"/>
        </w:rPr>
        <w:t>根据《排污许可证申请与核发技术规范畜禽养殖行业》各类污染物产生量中</w:t>
      </w:r>
      <w:r>
        <w:rPr>
          <w:rFonts w:hint="eastAsia" w:ascii="Times New Roman" w:hAnsi="Times New Roman"/>
          <w:sz w:val="24"/>
          <w:lang w:val="zh-CN"/>
        </w:rPr>
        <w:t>肉牛</w:t>
      </w:r>
      <w:r>
        <w:rPr>
          <w:rFonts w:ascii="Times New Roman" w:hAnsi="Times New Roman"/>
          <w:sz w:val="24"/>
          <w:lang w:val="zh-CN"/>
        </w:rPr>
        <w:t>，牛粪</w:t>
      </w:r>
      <w:r>
        <w:rPr>
          <w:rFonts w:hint="eastAsia" w:ascii="Times New Roman" w:hAnsi="Times New Roman"/>
          <w:sz w:val="24"/>
          <w:lang w:val="zh-CN"/>
        </w:rPr>
        <w:t>产生</w:t>
      </w:r>
      <w:r>
        <w:rPr>
          <w:rFonts w:ascii="Times New Roman" w:hAnsi="Times New Roman"/>
          <w:sz w:val="24"/>
          <w:lang w:val="zh-CN"/>
        </w:rPr>
        <w:t>量为</w:t>
      </w:r>
      <w:r>
        <w:rPr>
          <w:rFonts w:hint="eastAsia" w:ascii="Times New Roman" w:hAnsi="Times New Roman"/>
          <w:sz w:val="24"/>
        </w:rPr>
        <w:t>10.88</w:t>
      </w:r>
      <w:r>
        <w:rPr>
          <w:rFonts w:ascii="Times New Roman" w:hAnsi="Times New Roman"/>
          <w:sz w:val="24"/>
          <w:lang w:val="zh-CN"/>
        </w:rPr>
        <w:t>kg/头·d。本项目牛粪总产生量约为</w:t>
      </w:r>
      <w:r>
        <w:rPr>
          <w:rFonts w:hint="eastAsia" w:ascii="Times New Roman" w:hAnsi="Times New Roman"/>
          <w:sz w:val="24"/>
        </w:rPr>
        <w:t>3971.2t/a</w:t>
      </w:r>
      <w:r>
        <w:rPr>
          <w:rFonts w:ascii="Times New Roman" w:hAnsi="Times New Roman"/>
          <w:sz w:val="24"/>
          <w:szCs w:val="22"/>
        </w:rPr>
        <w:t>。</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color w:val="FF0000"/>
          <w:sz w:val="24"/>
          <w:szCs w:val="22"/>
        </w:rPr>
        <w:t>项目</w:t>
      </w:r>
      <w:r>
        <w:rPr>
          <w:rFonts w:hint="eastAsia" w:ascii="Times New Roman" w:hAnsi="Times New Roman"/>
          <w:color w:val="FF0000"/>
          <w:sz w:val="24"/>
          <w:szCs w:val="22"/>
          <w:lang w:eastAsia="zh-CN"/>
        </w:rPr>
        <w:t>牛棚</w:t>
      </w:r>
      <w:r>
        <w:rPr>
          <w:rFonts w:ascii="Times New Roman" w:hAnsi="Times New Roman"/>
          <w:color w:val="FF0000"/>
          <w:sz w:val="24"/>
          <w:szCs w:val="22"/>
        </w:rPr>
        <w:t>每天产生的粪便及时清出，清理的牛粪于</w:t>
      </w:r>
      <w:r>
        <w:rPr>
          <w:rFonts w:hint="eastAsia" w:ascii="Times New Roman" w:hAnsi="Times New Roman"/>
          <w:color w:val="FF0000"/>
          <w:sz w:val="24"/>
          <w:szCs w:val="22"/>
          <w:lang w:eastAsia="zh-CN"/>
        </w:rPr>
        <w:t>积粪场</w:t>
      </w:r>
      <w:r>
        <w:rPr>
          <w:rFonts w:hint="eastAsia" w:ascii="Times New Roman" w:hAnsi="Times New Roman"/>
          <w:color w:val="FF0000"/>
          <w:sz w:val="24"/>
          <w:lang w:val="zh-CN"/>
        </w:rPr>
        <w:t>集中堆放</w:t>
      </w:r>
      <w:r>
        <w:rPr>
          <w:rFonts w:ascii="Times New Roman" w:hAnsi="Times New Roman"/>
          <w:color w:val="FF0000"/>
          <w:sz w:val="24"/>
          <w:lang w:val="zh-CN"/>
        </w:rPr>
        <w:t>，</w:t>
      </w:r>
      <w:r>
        <w:rPr>
          <w:rFonts w:hint="eastAsia" w:ascii="Times New Roman" w:hAnsi="Times New Roman"/>
          <w:color w:val="FF0000"/>
          <w:sz w:val="24"/>
          <w:lang w:val="zh-CN"/>
        </w:rPr>
        <w:t>由隆德县腾发牧草专业合作社定期运走统一处理。</w:t>
      </w:r>
    </w:p>
    <w:p>
      <w:pPr>
        <w:pStyle w:val="2"/>
        <w:adjustRightIn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GB3 \* MERGEFORMAT </w:instrText>
      </w:r>
      <w:r>
        <w:rPr>
          <w:rFonts w:ascii="Times New Roman" w:hAnsi="Times New Roman"/>
          <w:sz w:val="24"/>
        </w:rPr>
        <w:fldChar w:fldCharType="separate"/>
      </w:r>
      <w:r>
        <w:rPr>
          <w:rFonts w:ascii="Times New Roman" w:hAnsi="Times New Roman"/>
          <w:sz w:val="24"/>
        </w:rPr>
        <w:t>②</w:t>
      </w:r>
      <w:r>
        <w:rPr>
          <w:rFonts w:ascii="Times New Roman" w:hAnsi="Times New Roman"/>
          <w:sz w:val="24"/>
        </w:rPr>
        <w:fldChar w:fldCharType="end"/>
      </w:r>
      <w:r>
        <w:rPr>
          <w:rFonts w:ascii="Times New Roman" w:hAnsi="Times New Roman"/>
          <w:sz w:val="24"/>
        </w:rPr>
        <w:t>处理、处置方法可行性分析</w:t>
      </w:r>
    </w:p>
    <w:p>
      <w:pPr>
        <w:pStyle w:val="2"/>
        <w:adjustRightInd w:val="0"/>
        <w:spacing w:line="540" w:lineRule="exact"/>
        <w:ind w:firstLine="480" w:firstLineChars="200"/>
        <w:jc w:val="distribute"/>
        <w:rPr>
          <w:rFonts w:ascii="Times New Roman" w:hAnsi="Times New Roman"/>
          <w:sz w:val="24"/>
        </w:rPr>
      </w:pPr>
      <w:r>
        <w:rPr>
          <w:rFonts w:ascii="Times New Roman" w:hAnsi="Times New Roman"/>
          <w:sz w:val="24"/>
        </w:rPr>
        <w:t>本项目采用干清粪工艺，符合《畜禽养殖业污染治理工程技术规范》（HJ497-2009）中6.1.1.1</w:t>
      </w:r>
      <w:r>
        <w:rPr>
          <w:rFonts w:hint="eastAsia" w:ascii="Times New Roman" w:hAnsi="Times New Roman"/>
          <w:sz w:val="24"/>
        </w:rPr>
        <w:t>“</w:t>
      </w:r>
      <w:r>
        <w:rPr>
          <w:rFonts w:ascii="Times New Roman" w:hAnsi="Times New Roman"/>
          <w:sz w:val="24"/>
        </w:rPr>
        <w:t>新建、改建、扩建的畜禽养殖场宜采用干清粪工艺</w:t>
      </w:r>
      <w:r>
        <w:rPr>
          <w:rFonts w:hint="eastAsia" w:ascii="Times New Roman" w:hAnsi="Times New Roman"/>
          <w:sz w:val="24"/>
        </w:rPr>
        <w:t>”</w:t>
      </w:r>
      <w:r>
        <w:rPr>
          <w:rFonts w:ascii="Times New Roman" w:hAnsi="Times New Roman"/>
          <w:sz w:val="24"/>
        </w:rPr>
        <w:t>的要求。</w:t>
      </w:r>
    </w:p>
    <w:p>
      <w:pPr>
        <w:pStyle w:val="2"/>
        <w:tabs>
          <w:tab w:val="left" w:pos="851"/>
          <w:tab w:val="clear" w:pos="4153"/>
          <w:tab w:val="clear" w:pos="8306"/>
        </w:tabs>
        <w:adjustRightInd w:val="0"/>
        <w:spacing w:line="540" w:lineRule="exact"/>
        <w:ind w:firstLine="480" w:firstLineChars="200"/>
        <w:jc w:val="both"/>
        <w:rPr>
          <w:rFonts w:ascii="Times New Roman" w:hAnsi="Times New Roman"/>
          <w:sz w:val="24"/>
        </w:rPr>
      </w:pPr>
      <w:r>
        <w:rPr>
          <w:rFonts w:ascii="Times New Roman" w:hAnsi="Times New Roman"/>
          <w:sz w:val="24"/>
        </w:rPr>
        <w:t>《畜禽养殖业污染防治技术政策》（环发[2010]151号）中明确，“①鼓励发展专业化集中式畜禽养殖废弃物无害化处理模式，实现畜禽养殖废弃物的社会化集中处理与规模化利用。鼓励畜禽养殖废弃物的能源化利用和肥料化利用。”本项目牛粪</w:t>
      </w:r>
      <w:r>
        <w:rPr>
          <w:rFonts w:hint="eastAsia" w:ascii="Times New Roman" w:hAnsi="Times New Roman"/>
          <w:sz w:val="24"/>
          <w:lang w:val="zh-CN"/>
        </w:rPr>
        <w:t>集中堆放</w:t>
      </w:r>
      <w:r>
        <w:rPr>
          <w:rFonts w:ascii="Times New Roman" w:hAnsi="Times New Roman"/>
          <w:sz w:val="24"/>
          <w:lang w:val="zh-CN"/>
        </w:rPr>
        <w:t>，</w:t>
      </w:r>
      <w:r>
        <w:rPr>
          <w:rFonts w:hint="eastAsia" w:ascii="Times New Roman" w:hAnsi="Times New Roman"/>
          <w:sz w:val="24"/>
          <w:lang w:eastAsia="zh-CN"/>
        </w:rPr>
        <w:t>定期由隆德县腾发牧草专业合作社运走处理后还田</w:t>
      </w:r>
      <w:r>
        <w:rPr>
          <w:rFonts w:ascii="Times New Roman" w:hAnsi="Times New Roman"/>
          <w:sz w:val="24"/>
          <w:szCs w:val="22"/>
        </w:rPr>
        <w:t>。</w:t>
      </w:r>
      <w:r>
        <w:rPr>
          <w:rFonts w:ascii="Times New Roman" w:hAnsi="Times New Roman"/>
          <w:sz w:val="24"/>
        </w:rPr>
        <w:t>本项目固体废物采取的措施符合</w:t>
      </w:r>
      <w:r>
        <w:rPr>
          <w:rFonts w:hint="eastAsia" w:ascii="Times New Roman" w:hAnsi="Times New Roman"/>
          <w:sz w:val="24"/>
        </w:rPr>
        <w:t>《畜禽养殖业污染防治技术政策》(环发[2010]151号)中“①鼓励发展专业化集中式畜禽养殖废弃物无害化处理模式，实现畜禽养殖废弃物的社会化集中处理与规模化利用。</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综上，根据现行规范、政策等相关要求，本项目的处理、处置方法均能够满足要求。</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③</w:t>
      </w:r>
      <w:r>
        <w:rPr>
          <w:rFonts w:hint="eastAsia" w:ascii="Times New Roman" w:hAnsi="Times New Roman"/>
          <w:sz w:val="24"/>
        </w:rPr>
        <w:t>积粪场</w:t>
      </w:r>
      <w:r>
        <w:rPr>
          <w:rFonts w:ascii="Times New Roman" w:hAnsi="Times New Roman"/>
          <w:sz w:val="24"/>
        </w:rPr>
        <w:t>主要污染防治措施：</w:t>
      </w:r>
    </w:p>
    <w:p>
      <w:pPr>
        <w:pStyle w:val="2"/>
        <w:adjustRightInd w:val="0"/>
        <w:spacing w:line="540" w:lineRule="exact"/>
        <w:ind w:firstLine="480" w:firstLineChars="200"/>
        <w:rPr>
          <w:rFonts w:ascii="Times New Roman" w:hAnsi="Times New Roman"/>
          <w:sz w:val="24"/>
        </w:rPr>
      </w:pPr>
      <w:r>
        <w:rPr>
          <w:rFonts w:hint="eastAsia" w:ascii="Times New Roman" w:hAnsi="Times New Roman"/>
          <w:sz w:val="24"/>
        </w:rPr>
        <w:t>积粪场</w:t>
      </w:r>
      <w:r>
        <w:rPr>
          <w:rFonts w:ascii="Times New Roman" w:hAnsi="Times New Roman"/>
          <w:sz w:val="24"/>
        </w:rPr>
        <w:t>应进行专业设计，</w:t>
      </w:r>
      <w:r>
        <w:rPr>
          <w:rFonts w:hint="eastAsia" w:ascii="Times New Roman" w:hAnsi="Times New Roman"/>
          <w:sz w:val="24"/>
        </w:rPr>
        <w:t>积粪场</w:t>
      </w:r>
      <w:r>
        <w:rPr>
          <w:rFonts w:ascii="Times New Roman" w:hAnsi="Times New Roman"/>
          <w:sz w:val="24"/>
        </w:rPr>
        <w:t>地进行防渗、防冲刷等措施。</w:t>
      </w:r>
      <w:r>
        <w:rPr>
          <w:rFonts w:hint="eastAsia" w:ascii="Times New Roman" w:hAnsi="Times New Roman"/>
          <w:sz w:val="24"/>
        </w:rPr>
        <w:t>积粪场</w:t>
      </w:r>
      <w:r>
        <w:rPr>
          <w:rFonts w:ascii="Times New Roman" w:hAnsi="Times New Roman"/>
          <w:sz w:val="24"/>
        </w:rPr>
        <w:t>地面做硬化处理，地面采取抗渗混凝土结构，铺设1.5mmHDPE防渗膜，渗透系数≤1.0×10</w:t>
      </w:r>
      <w:r>
        <w:rPr>
          <w:rFonts w:ascii="Times New Roman" w:hAnsi="Times New Roman"/>
          <w:sz w:val="24"/>
          <w:vertAlign w:val="superscript"/>
        </w:rPr>
        <w:t>-7</w:t>
      </w:r>
      <w:r>
        <w:rPr>
          <w:rFonts w:ascii="Times New Roman" w:hAnsi="Times New Roman"/>
          <w:sz w:val="24"/>
        </w:rPr>
        <w:t>cm/s。</w:t>
      </w:r>
      <w:r>
        <w:rPr>
          <w:rFonts w:hint="eastAsia" w:ascii="Times New Roman" w:hAnsi="Times New Roman"/>
          <w:sz w:val="24"/>
        </w:rPr>
        <w:t>积粪场</w:t>
      </w:r>
      <w:r>
        <w:rPr>
          <w:rFonts w:ascii="Times New Roman" w:hAnsi="Times New Roman"/>
          <w:sz w:val="24"/>
        </w:rPr>
        <w:t>建设防雨彩钢顶棚，四周设置导流槽，同时</w:t>
      </w:r>
      <w:r>
        <w:rPr>
          <w:rFonts w:hint="eastAsia" w:ascii="Times New Roman" w:hAnsi="Times New Roman"/>
          <w:sz w:val="24"/>
          <w:lang w:eastAsia="zh-CN"/>
        </w:rPr>
        <w:t>积粪场</w:t>
      </w:r>
      <w:r>
        <w:rPr>
          <w:rFonts w:ascii="Times New Roman" w:hAnsi="Times New Roman"/>
          <w:sz w:val="24"/>
        </w:rPr>
        <w:t>周围设置100cm挡雨墙及雨水导排系统，防止雨水进入</w:t>
      </w:r>
      <w:r>
        <w:rPr>
          <w:rFonts w:hint="eastAsia" w:ascii="Times New Roman" w:hAnsi="Times New Roman"/>
          <w:sz w:val="24"/>
        </w:rPr>
        <w:t>积粪场</w:t>
      </w:r>
      <w:r>
        <w:rPr>
          <w:rFonts w:ascii="Times New Roman" w:hAnsi="Times New Roman"/>
          <w:sz w:val="24"/>
        </w:rPr>
        <w:t>。</w:t>
      </w:r>
    </w:p>
    <w:p>
      <w:pPr>
        <w:pStyle w:val="2"/>
        <w:adjustRightInd w:val="0"/>
        <w:spacing w:line="540" w:lineRule="exact"/>
        <w:ind w:firstLine="480" w:firstLineChars="200"/>
        <w:rPr>
          <w:rFonts w:hint="eastAsia" w:ascii="Times New Roman" w:hAnsi="Times New Roman" w:eastAsia="宋体"/>
          <w:sz w:val="24"/>
          <w:lang w:eastAsia="zh-CN"/>
        </w:rPr>
      </w:pPr>
      <w:r>
        <w:rPr>
          <w:rFonts w:hint="eastAsia" w:ascii="Times New Roman" w:hAnsi="Times New Roman"/>
          <w:sz w:val="24"/>
          <w:lang w:eastAsia="zh-CN"/>
        </w:rPr>
        <w:t>积粪场</w:t>
      </w:r>
      <w:r>
        <w:rPr>
          <w:rFonts w:ascii="Times New Roman" w:hAnsi="Times New Roman"/>
          <w:sz w:val="24"/>
        </w:rPr>
        <w:t>与场区之间设隔离带和挡风墙，以减小恶臭气体的影响。加强对牛粪便收集储运的管理。在运输过程中，必须采取防渗、防流失措施，并对运输车辆</w:t>
      </w:r>
      <w:r>
        <w:rPr>
          <w:rFonts w:hint="eastAsia" w:ascii="Times New Roman" w:hAnsi="Times New Roman"/>
          <w:sz w:val="24"/>
          <w:lang w:eastAsia="zh-CN"/>
        </w:rPr>
        <w:t>加强管控。</w:t>
      </w:r>
    </w:p>
    <w:p>
      <w:pPr>
        <w:pStyle w:val="2"/>
        <w:numPr>
          <w:ilvl w:val="0"/>
          <w:numId w:val="5"/>
        </w:numPr>
        <w:tabs>
          <w:tab w:val="clear" w:pos="4153"/>
          <w:tab w:val="clear" w:pos="8306"/>
        </w:tabs>
        <w:adjustRightInd w:val="0"/>
        <w:spacing w:line="540" w:lineRule="exact"/>
        <w:ind w:firstLine="480" w:firstLineChars="200"/>
        <w:jc w:val="both"/>
        <w:rPr>
          <w:rFonts w:ascii="Times New Roman" w:hAnsi="Times New Roman"/>
          <w:sz w:val="24"/>
          <w:szCs w:val="22"/>
        </w:rPr>
      </w:pPr>
      <w:bookmarkStart w:id="803" w:name="_Toc23911"/>
      <w:r>
        <w:rPr>
          <w:rFonts w:ascii="Times New Roman" w:hAnsi="Times New Roman"/>
          <w:sz w:val="24"/>
          <w:szCs w:val="22"/>
        </w:rPr>
        <w:t>病死牛尸体</w:t>
      </w:r>
      <w:r>
        <w:rPr>
          <w:rFonts w:hint="eastAsia" w:ascii="Times New Roman" w:hAnsi="Times New Roman"/>
          <w:sz w:val="24"/>
          <w:szCs w:val="22"/>
          <w:lang w:eastAsia="zh-CN"/>
        </w:rPr>
        <w:t>及胎盘</w:t>
      </w:r>
    </w:p>
    <w:p>
      <w:pPr>
        <w:pStyle w:val="2"/>
        <w:adjustRightInd w:val="0"/>
        <w:spacing w:line="540" w:lineRule="exact"/>
        <w:ind w:firstLine="480" w:firstLineChars="200"/>
        <w:jc w:val="both"/>
        <w:rPr>
          <w:rFonts w:hint="eastAsia" w:ascii="Times New Roman" w:hAnsi="Times New Roman" w:eastAsia="宋体"/>
          <w:sz w:val="24"/>
          <w:szCs w:val="22"/>
          <w:highlight w:val="red"/>
          <w:lang w:eastAsia="zh-CN"/>
        </w:rPr>
      </w:pPr>
      <w:r>
        <w:rPr>
          <w:rFonts w:ascii="Times New Roman" w:hAnsi="Times New Roman"/>
          <w:sz w:val="24"/>
          <w:szCs w:val="22"/>
        </w:rPr>
        <w:t>本项目根据现已运行的</w:t>
      </w:r>
      <w:r>
        <w:rPr>
          <w:rFonts w:hint="eastAsia" w:ascii="Times New Roman" w:hAnsi="Times New Roman"/>
          <w:sz w:val="24"/>
          <w:szCs w:val="22"/>
          <w:lang w:eastAsia="zh-CN"/>
        </w:rPr>
        <w:t>基础母牛</w:t>
      </w:r>
      <w:r>
        <w:rPr>
          <w:rFonts w:ascii="Times New Roman" w:hAnsi="Times New Roman"/>
          <w:sz w:val="24"/>
          <w:szCs w:val="22"/>
        </w:rPr>
        <w:t>养殖场估算</w:t>
      </w:r>
      <w:r>
        <w:rPr>
          <w:rFonts w:hint="eastAsia" w:ascii="Times New Roman" w:hAnsi="Times New Roman"/>
          <w:sz w:val="24"/>
          <w:szCs w:val="22"/>
          <w:lang w:eastAsia="zh-CN"/>
        </w:rPr>
        <w:t>胎盘</w:t>
      </w:r>
      <w:r>
        <w:rPr>
          <w:rFonts w:ascii="Times New Roman" w:hAnsi="Times New Roman"/>
          <w:sz w:val="24"/>
          <w:szCs w:val="22"/>
        </w:rPr>
        <w:t>产生情况，病死尸体</w:t>
      </w:r>
      <w:r>
        <w:rPr>
          <w:rFonts w:hint="eastAsia" w:ascii="Times New Roman" w:hAnsi="Times New Roman"/>
          <w:sz w:val="24"/>
          <w:szCs w:val="22"/>
          <w:lang w:eastAsia="zh-CN"/>
        </w:rPr>
        <w:t>不做估算，胎盘</w:t>
      </w:r>
      <w:r>
        <w:rPr>
          <w:rFonts w:hint="eastAsia" w:ascii="Times New Roman" w:hAnsi="Times New Roman"/>
          <w:sz w:val="24"/>
          <w:szCs w:val="22"/>
          <w:lang w:val="en-US" w:eastAsia="zh-CN"/>
        </w:rPr>
        <w:t>2</w:t>
      </w:r>
      <w:r>
        <w:rPr>
          <w:rFonts w:ascii="Times New Roman" w:hAnsi="Times New Roman"/>
          <w:sz w:val="24"/>
          <w:szCs w:val="22"/>
        </w:rPr>
        <w:t>t/a。本项目病死牛尸体</w:t>
      </w:r>
      <w:r>
        <w:rPr>
          <w:rFonts w:hint="eastAsia" w:ascii="Times New Roman" w:hAnsi="Times New Roman"/>
          <w:sz w:val="24"/>
          <w:szCs w:val="22"/>
          <w:lang w:eastAsia="zh-CN"/>
        </w:rPr>
        <w:t>及胎盘</w:t>
      </w:r>
      <w:r>
        <w:rPr>
          <w:rFonts w:hint="eastAsia" w:ascii="Times New Roman" w:hAnsi="Times New Roman"/>
          <w:sz w:val="24"/>
        </w:rPr>
        <w:t>由隆德县神林畜牧兽医站监督运送到隆德县定点无害化处理场所焚烧</w:t>
      </w:r>
      <w:r>
        <w:rPr>
          <w:rFonts w:hint="eastAsia" w:ascii="Times New Roman" w:hAnsi="Times New Roman"/>
          <w:sz w:val="24"/>
          <w:lang w:eastAsia="zh-CN"/>
        </w:rPr>
        <w:t>。</w:t>
      </w:r>
    </w:p>
    <w:p>
      <w:pPr>
        <w:pStyle w:val="2"/>
        <w:adjustRightInd w:val="0"/>
        <w:spacing w:line="540" w:lineRule="exact"/>
        <w:ind w:left="420" w:leftChars="200"/>
        <w:jc w:val="both"/>
        <w:rPr>
          <w:rFonts w:ascii="Times New Roman" w:hAnsi="Times New Roman"/>
          <w:sz w:val="24"/>
          <w:szCs w:val="22"/>
        </w:rPr>
      </w:pPr>
      <w:r>
        <w:rPr>
          <w:rFonts w:ascii="Times New Roman" w:hAnsi="Times New Roman"/>
          <w:sz w:val="24"/>
          <w:szCs w:val="22"/>
        </w:rPr>
        <w:t>(</w:t>
      </w:r>
      <w:r>
        <w:rPr>
          <w:rFonts w:hint="eastAsia" w:ascii="Times New Roman" w:hAnsi="Times New Roman"/>
          <w:sz w:val="24"/>
          <w:szCs w:val="22"/>
        </w:rPr>
        <w:t>3</w:t>
      </w:r>
      <w:r>
        <w:rPr>
          <w:rFonts w:ascii="Times New Roman" w:hAnsi="Times New Roman"/>
          <w:sz w:val="24"/>
          <w:szCs w:val="22"/>
        </w:rPr>
        <w:t>)</w:t>
      </w:r>
      <w:r>
        <w:rPr>
          <w:rFonts w:hint="eastAsia" w:ascii="Times New Roman" w:hAnsi="Times New Roman"/>
          <w:sz w:val="24"/>
          <w:szCs w:val="22"/>
        </w:rPr>
        <w:t>除</w:t>
      </w:r>
      <w:r>
        <w:rPr>
          <w:rFonts w:ascii="Times New Roman" w:hAnsi="Times New Roman"/>
          <w:sz w:val="24"/>
          <w:szCs w:val="22"/>
        </w:rPr>
        <w:t>尘灰</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本项目玉米秸秆、苜蓿、稻草等饲草料在加工过程会产生一定量的粉尘，本项目</w:t>
      </w:r>
      <w:r>
        <w:rPr>
          <w:rFonts w:hint="eastAsia" w:ascii="Times New Roman" w:hAnsi="Times New Roman"/>
          <w:sz w:val="24"/>
          <w:szCs w:val="22"/>
          <w:lang w:eastAsia="zh-CN"/>
        </w:rPr>
        <w:t>设备自带设施</w:t>
      </w:r>
      <w:r>
        <w:rPr>
          <w:rFonts w:ascii="Times New Roman" w:hAnsi="Times New Roman"/>
          <w:sz w:val="24"/>
          <w:szCs w:val="22"/>
        </w:rPr>
        <w:t>（除尘效率为9</w:t>
      </w:r>
      <w:r>
        <w:rPr>
          <w:rFonts w:hint="eastAsia" w:ascii="Times New Roman" w:hAnsi="Times New Roman"/>
          <w:sz w:val="24"/>
          <w:szCs w:val="22"/>
        </w:rPr>
        <w:t>8</w:t>
      </w:r>
      <w:r>
        <w:rPr>
          <w:rFonts w:ascii="Times New Roman" w:hAnsi="Times New Roman"/>
          <w:sz w:val="24"/>
          <w:szCs w:val="22"/>
        </w:rPr>
        <w:t>%），除尘器收集下来的粉尘量为</w:t>
      </w:r>
      <w:r>
        <w:rPr>
          <w:rFonts w:hint="eastAsia" w:ascii="Times New Roman" w:hAnsi="Times New Roman"/>
          <w:sz w:val="24"/>
          <w:szCs w:val="22"/>
          <w:lang w:eastAsia="zh-CN"/>
        </w:rPr>
        <w:t>0.0</w:t>
      </w:r>
      <w:r>
        <w:rPr>
          <w:rFonts w:hint="eastAsia" w:ascii="Times New Roman" w:hAnsi="Times New Roman"/>
          <w:sz w:val="24"/>
          <w:szCs w:val="22"/>
          <w:lang w:val="en-US" w:eastAsia="zh-CN"/>
        </w:rPr>
        <w:t>749</w:t>
      </w:r>
      <w:r>
        <w:rPr>
          <w:rFonts w:ascii="Times New Roman" w:hAnsi="Times New Roman"/>
          <w:sz w:val="24"/>
          <w:szCs w:val="22"/>
        </w:rPr>
        <w:t>t/a，可全部重新混入原料中加工成饲料，综合利用。</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w:t>
      </w:r>
      <w:r>
        <w:rPr>
          <w:rFonts w:hint="eastAsia" w:ascii="Times New Roman" w:hAnsi="Times New Roman"/>
          <w:sz w:val="24"/>
          <w:szCs w:val="22"/>
        </w:rPr>
        <w:t>4</w:t>
      </w:r>
      <w:r>
        <w:rPr>
          <w:rFonts w:ascii="Times New Roman" w:hAnsi="Times New Roman"/>
          <w:sz w:val="24"/>
          <w:szCs w:val="22"/>
        </w:rPr>
        <w:t>)医疗废物</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项目产生的医疗废物主要为废一次性注射器以及废弃的药品等，根据建设单位提供的资料及类比同类养殖场就诊规模，项目建成后，在防治</w:t>
      </w:r>
      <w:r>
        <w:rPr>
          <w:rFonts w:hint="eastAsia" w:ascii="Times New Roman" w:hAnsi="Times New Roman"/>
          <w:sz w:val="24"/>
          <w:szCs w:val="22"/>
        </w:rPr>
        <w:t>肉</w:t>
      </w:r>
      <w:r>
        <w:rPr>
          <w:rFonts w:ascii="Times New Roman" w:hAnsi="Times New Roman"/>
          <w:sz w:val="24"/>
          <w:szCs w:val="22"/>
        </w:rPr>
        <w:t>牛传染病医治过程中产生的医疗废物约为</w:t>
      </w:r>
      <w:r>
        <w:rPr>
          <w:rFonts w:hint="eastAsia" w:ascii="Times New Roman" w:hAnsi="Times New Roman"/>
          <w:sz w:val="24"/>
          <w:szCs w:val="22"/>
        </w:rPr>
        <w:t>0.7</w:t>
      </w:r>
      <w:r>
        <w:rPr>
          <w:rFonts w:ascii="Times New Roman" w:hAnsi="Times New Roman"/>
          <w:sz w:val="24"/>
          <w:szCs w:val="22"/>
        </w:rPr>
        <w:t>t/a。这部分医疗废物属于《国家危险废物名录》（2016年8月1日实施，废物类别为HW01，废物代码为900-001-01）所规定的危险废物。医疗废物集中收集后委托有危废处理资质的单位集中处理。</w:t>
      </w:r>
    </w:p>
    <w:p>
      <w:pPr>
        <w:pStyle w:val="2"/>
        <w:adjustRightInd w:val="0"/>
        <w:spacing w:line="540" w:lineRule="exact"/>
        <w:ind w:firstLine="480" w:firstLineChars="200"/>
        <w:rPr>
          <w:rFonts w:ascii="Times New Roman" w:hAnsi="Times New Roman"/>
          <w:bCs/>
          <w:sz w:val="24"/>
        </w:rPr>
      </w:pPr>
      <w:r>
        <w:rPr>
          <w:rFonts w:ascii="Times New Roman" w:hAnsi="Times New Roman"/>
          <w:bCs/>
          <w:sz w:val="24"/>
        </w:rPr>
        <w:t>医疗废物贮存场所分析</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本项目在场区</w:t>
      </w:r>
      <w:r>
        <w:rPr>
          <w:rFonts w:hint="eastAsia" w:ascii="Times New Roman" w:hAnsi="Times New Roman"/>
          <w:sz w:val="24"/>
        </w:rPr>
        <w:t>北部消毒室</w:t>
      </w:r>
      <w:r>
        <w:rPr>
          <w:rFonts w:ascii="Times New Roman" w:hAnsi="Times New Roman"/>
          <w:sz w:val="24"/>
        </w:rPr>
        <w:t>旁边建设一座占地面积</w:t>
      </w:r>
      <w:r>
        <w:rPr>
          <w:rFonts w:hint="eastAsia" w:ascii="Times New Roman" w:hAnsi="Times New Roman"/>
          <w:sz w:val="24"/>
        </w:rPr>
        <w:t>10</w:t>
      </w:r>
      <w:r>
        <w:rPr>
          <w:rFonts w:ascii="Times New Roman" w:hAnsi="Times New Roman"/>
          <w:sz w:val="24"/>
        </w:rPr>
        <w:t>m</w:t>
      </w:r>
      <w:r>
        <w:rPr>
          <w:rFonts w:ascii="Times New Roman" w:hAnsi="Times New Roman"/>
          <w:sz w:val="24"/>
          <w:vertAlign w:val="superscript"/>
        </w:rPr>
        <w:t>2</w:t>
      </w:r>
      <w:r>
        <w:rPr>
          <w:rFonts w:ascii="Times New Roman" w:hAnsi="Times New Roman"/>
          <w:sz w:val="24"/>
        </w:rPr>
        <w:t>的危险废物暂存间，贮存项目场区医疗废物。</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危险废物暂存间相关要求：</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项目建设单位拟建的医疗废物废物暂存间必须按照《危险废物贮存污染控制标准》（GB18597-2001）及2013年修改单的要求执行；危废处置过程必须按照国家《危险废物转移联单管理办法》（1999年10月1日）执行。</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该贮存间的设计、施工和管理必须进行危险废物的储存必须按照《危险废物贮存污染控制标准》（GB18597-2001）及2013年修改单的要求执行，相关要求为：</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①在常温常压下不水解、不挥发的固体危险废物可在贮存设施内分别堆放。危险废物贮存设施都必须按GB15562.2的规定设置警示标志。</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②堆放危险废物的高度应根据地面承载能力确定。应建在易燃、易爆等危险品仓库、高压输电线路防护区域以外。</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③应位于居民中心区常年最大风频的下风向。设施底部必须高于地下水最高水位。</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④门地面与裙脚要用坚固、防渗的材料建造，材料必须与危险废物相容。设施底部必须高于地下水最高水位。基础必须防渗，铺设2.0mmHDPE防渗膜，渗透系数≤1.0×10</w:t>
      </w:r>
      <w:r>
        <w:rPr>
          <w:rFonts w:ascii="Times New Roman" w:hAnsi="Times New Roman"/>
          <w:sz w:val="24"/>
          <w:vertAlign w:val="superscript"/>
        </w:rPr>
        <w:t>-10</w:t>
      </w:r>
      <w:r>
        <w:rPr>
          <w:rFonts w:ascii="Times New Roman" w:hAnsi="Times New Roman"/>
          <w:sz w:val="24"/>
        </w:rPr>
        <w:t>cm/s。应建造径流疏导系统，保证25a一遇的暴雨不会流到危险废物堆里。</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⑤危险废物贮存设施周围应设置围墙或其他防护栅栏。危险废物贮存设施应配备通讯设备、照明设施、安全防护服装及工具，并设有应急防护设施。</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⑥危险废物贮存设施内清理出来的废渣，一律按危险废物处理。</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⑦按国家污染源管理要求对危险废物贮存设施进行监测。</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⑧建设单位必须做好危险废物的记录，记录上须注明危险废物的名称、来源、数量、特性和包装容器的类别、入库日期、存放库位、废物出库日期及接收单位名称。且记录和货单在危险废物回收后应继续保留三年。</w:t>
      </w:r>
    </w:p>
    <w:p>
      <w:pPr>
        <w:pStyle w:val="2"/>
        <w:adjustRightInd w:val="0"/>
        <w:spacing w:line="540" w:lineRule="exact"/>
        <w:ind w:firstLine="480" w:firstLineChars="200"/>
        <w:rPr>
          <w:rFonts w:ascii="Times New Roman" w:hAnsi="Times New Roman"/>
          <w:sz w:val="24"/>
        </w:rPr>
      </w:pPr>
      <w:r>
        <w:rPr>
          <w:rFonts w:ascii="Times New Roman" w:hAnsi="Times New Roman"/>
          <w:sz w:val="24"/>
        </w:rPr>
        <w:t>⑨必须定期对所贮存的容器设施进行检查，发现破损，应及时采取措施清理更换。拟建项目在生产过程中产生的固体废物，按“资源化、减量化、无害化”的原则，根据其性质按类别进行回收或综合利用、场外铺路、外委处置等，最终实现无固体废物直接排入环境的目标。</w:t>
      </w:r>
    </w:p>
    <w:p>
      <w:pPr>
        <w:pStyle w:val="2"/>
        <w:adjustRightInd w:val="0"/>
        <w:spacing w:line="540" w:lineRule="exact"/>
        <w:ind w:firstLine="480" w:firstLineChars="200"/>
        <w:rPr>
          <w:rFonts w:ascii="Times New Roman" w:hAnsi="Times New Roman" w:cs="仿宋_GB2312"/>
          <w:bCs/>
          <w:sz w:val="24"/>
        </w:rPr>
      </w:pPr>
      <w:r>
        <w:rPr>
          <w:rFonts w:hint="eastAsia" w:ascii="Times New Roman" w:hAnsi="Times New Roman" w:cs="仿宋_GB2312"/>
          <w:sz w:val="24"/>
        </w:rPr>
        <w:t>通过以上措施后，项目产生的本项目固体废物均得到妥善处置。因此本项目</w:t>
      </w:r>
      <w:r>
        <w:rPr>
          <w:rFonts w:hint="eastAsia" w:ascii="Times New Roman" w:hAnsi="Times New Roman" w:cs="仿宋_GB2312"/>
          <w:sz w:val="24"/>
          <w:lang w:eastAsia="zh-CN"/>
        </w:rPr>
        <w:t>固体废物</w:t>
      </w:r>
      <w:r>
        <w:rPr>
          <w:rFonts w:hint="eastAsia" w:ascii="Times New Roman" w:hAnsi="Times New Roman" w:cs="仿宋_GB2312"/>
          <w:sz w:val="24"/>
        </w:rPr>
        <w:t>采取的污染防治措施是可行的。</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(6)生活垃圾</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本项目劳动定员</w:t>
      </w:r>
      <w:r>
        <w:rPr>
          <w:rFonts w:hint="eastAsia" w:ascii="Times New Roman" w:hAnsi="Times New Roman"/>
          <w:sz w:val="24"/>
          <w:szCs w:val="22"/>
        </w:rPr>
        <w:t>7</w:t>
      </w:r>
      <w:r>
        <w:rPr>
          <w:rFonts w:ascii="Times New Roman" w:hAnsi="Times New Roman"/>
          <w:sz w:val="24"/>
          <w:szCs w:val="22"/>
        </w:rPr>
        <w:t>人，人均生活垃圾产生量按照0.5kg/d计算，则生活垃圾的产生量为</w:t>
      </w:r>
      <w:r>
        <w:rPr>
          <w:rFonts w:hint="eastAsia" w:ascii="Times New Roman" w:hAnsi="Times New Roman"/>
          <w:sz w:val="24"/>
          <w:szCs w:val="22"/>
        </w:rPr>
        <w:t>1.278</w:t>
      </w:r>
      <w:r>
        <w:rPr>
          <w:rFonts w:ascii="Times New Roman" w:hAnsi="Times New Roman"/>
          <w:sz w:val="24"/>
          <w:szCs w:val="22"/>
        </w:rPr>
        <w:t>t/a，设垃圾收集设施，收集后送至生活垃圾填埋场处理。</w:t>
      </w:r>
    </w:p>
    <w:p>
      <w:pPr>
        <w:pStyle w:val="51"/>
        <w:snapToGrid w:val="0"/>
        <w:spacing w:before="120" w:beforeLines="50" w:after="120" w:afterLines="50" w:line="540" w:lineRule="exact"/>
        <w:contextualSpacing/>
        <w:rPr>
          <w:rFonts w:cs="Times New Roman"/>
          <w:bCs w:val="0"/>
          <w:snapToGrid w:val="0"/>
          <w:kern w:val="0"/>
        </w:rPr>
      </w:pPr>
      <w:bookmarkStart w:id="804" w:name="_Toc32490"/>
      <w:bookmarkStart w:id="805" w:name="_Toc22646"/>
      <w:r>
        <w:rPr>
          <w:rFonts w:cs="Times New Roman"/>
          <w:bCs w:val="0"/>
          <w:snapToGrid w:val="0"/>
          <w:kern w:val="0"/>
        </w:rPr>
        <w:t>6.2.6其他污染防治措施评述</w:t>
      </w:r>
      <w:bookmarkEnd w:id="803"/>
      <w:bookmarkEnd w:id="804"/>
      <w:bookmarkEnd w:id="805"/>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rPr>
        <w:t>⑴</w:t>
      </w:r>
      <w:r>
        <w:rPr>
          <w:rFonts w:ascii="Times New Roman" w:hAnsi="Times New Roman"/>
          <w:sz w:val="24"/>
        </w:rPr>
        <w:fldChar w:fldCharType="end"/>
      </w:r>
      <w:r>
        <w:rPr>
          <w:rFonts w:ascii="Times New Roman" w:hAnsi="Times New Roman"/>
          <w:sz w:val="24"/>
        </w:rPr>
        <w:t>饲料和饲养管理</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本项目通过合理配方，提高蛋白质及其它营养物质的吸收效率，减少了氮的排放量和粪的产生量。食物中由于添加了微生物制剂等物质，也减少了污染物的排放和恶臭气体的产生。</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rPr>
        <w:t>⑵</w:t>
      </w:r>
      <w:r>
        <w:rPr>
          <w:rFonts w:ascii="Times New Roman" w:hAnsi="Times New Roman"/>
          <w:sz w:val="24"/>
        </w:rPr>
        <w:fldChar w:fldCharType="end"/>
      </w:r>
      <w:r>
        <w:rPr>
          <w:rFonts w:ascii="Times New Roman" w:hAnsi="Times New Roman"/>
          <w:sz w:val="24"/>
        </w:rPr>
        <w:t>发生</w:t>
      </w:r>
      <w:r>
        <w:rPr>
          <w:rFonts w:hint="eastAsia" w:ascii="Times New Roman" w:hAnsi="Times New Roman"/>
          <w:sz w:val="24"/>
          <w:lang w:eastAsia="zh-CN"/>
        </w:rPr>
        <w:t>动物</w:t>
      </w:r>
      <w:r>
        <w:rPr>
          <w:rFonts w:ascii="Times New Roman" w:hAnsi="Times New Roman"/>
          <w:sz w:val="24"/>
        </w:rPr>
        <w:t>疫情时的紧急防制措施</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①应立即组成防疫小组，尽快做出确切诊断，并在第一时间迅速向有关上级部门（区兽医卫生监督所）报告疫情。</w:t>
      </w:r>
    </w:p>
    <w:p>
      <w:pPr>
        <w:pStyle w:val="2"/>
        <w:ind w:firstLine="480" w:firstLineChars="200"/>
        <w:rPr>
          <w:rFonts w:hint="default"/>
          <w:lang w:val="en-US" w:eastAsia="zh-CN"/>
        </w:rPr>
      </w:pPr>
      <w:r>
        <w:rPr>
          <w:rFonts w:ascii="Times New Roman" w:hAnsi="Times New Roman" w:eastAsia="宋体" w:cs="Times New Roman"/>
          <w:kern w:val="2"/>
          <w:sz w:val="24"/>
          <w:szCs w:val="24"/>
          <w:lang w:val="en-US" w:eastAsia="zh-CN" w:bidi="ar-SA"/>
        </w:rPr>
        <w:t>②</w:t>
      </w:r>
      <w:r>
        <w:rPr>
          <w:rFonts w:hint="eastAsia" w:ascii="Times New Roman" w:hAnsi="Times New Roman" w:eastAsia="宋体" w:cs="Times New Roman"/>
          <w:kern w:val="2"/>
          <w:sz w:val="24"/>
          <w:szCs w:val="24"/>
          <w:lang w:val="en-US" w:eastAsia="zh-CN" w:bidi="ar-SA"/>
        </w:rPr>
        <w:t>迅速</w:t>
      </w:r>
      <w:r>
        <w:rPr>
          <w:rFonts w:hint="eastAsia" w:ascii="Times New Roman" w:hAnsi="Times New Roman" w:cs="Times New Roman"/>
          <w:kern w:val="2"/>
          <w:sz w:val="24"/>
          <w:szCs w:val="24"/>
          <w:lang w:val="en-US" w:eastAsia="zh-CN" w:bidi="ar-SA"/>
        </w:rPr>
        <w:t>隔离病至病牛隔离室，并进行密切观察，对病牛状况做详细记录；</w:t>
      </w:r>
    </w:p>
    <w:p>
      <w:pPr>
        <w:adjustRightInd w:val="0"/>
        <w:snapToGrid w:val="0"/>
        <w:spacing w:line="540" w:lineRule="exact"/>
        <w:ind w:firstLine="480" w:firstLineChars="200"/>
        <w:rPr>
          <w:lang w:val="en-US" w:eastAsia="zh-CN"/>
        </w:rPr>
      </w:pPr>
      <w:r>
        <w:rPr>
          <w:rFonts w:ascii="Times New Roman" w:hAnsi="Times New Roman"/>
          <w:sz w:val="24"/>
        </w:rPr>
        <w:t>③</w:t>
      </w:r>
      <w:r>
        <w:rPr>
          <w:rFonts w:hint="eastAsia" w:ascii="Times New Roman" w:hAnsi="Times New Roman" w:cs="Times New Roman"/>
          <w:kern w:val="2"/>
          <w:sz w:val="24"/>
          <w:szCs w:val="24"/>
          <w:lang w:val="en-US" w:eastAsia="zh-CN" w:bidi="ar-SA"/>
        </w:rPr>
        <w:t>对病牛所在的牛舍进行重点消毒，同时对其他牛舍和全厂区进行全面消毒；</w:t>
      </w:r>
    </w:p>
    <w:p>
      <w:pPr>
        <w:adjustRightInd w:val="0"/>
        <w:snapToGrid w:val="0"/>
        <w:spacing w:line="540" w:lineRule="exact"/>
        <w:ind w:firstLine="480" w:firstLineChars="200"/>
        <w:rPr>
          <w:rFonts w:hint="eastAsia"/>
          <w:lang w:val="en-US" w:eastAsia="zh-CN"/>
        </w:rPr>
      </w:pPr>
      <w:r>
        <w:rPr>
          <w:rFonts w:ascii="Times New Roman" w:hAnsi="Times New Roman"/>
          <w:sz w:val="24"/>
        </w:rPr>
        <w:t>④</w:t>
      </w:r>
      <w:r>
        <w:rPr>
          <w:rFonts w:hint="eastAsia" w:ascii="Times New Roman" w:hAnsi="Times New Roman"/>
          <w:sz w:val="24"/>
          <w:lang w:eastAsia="zh-CN"/>
        </w:rPr>
        <w:t>对病牛所在牛舍进行隔离，同时加强检疫和观察该牛舍其他肉牛健康状况</w:t>
      </w:r>
    </w:p>
    <w:p>
      <w:pPr>
        <w:adjustRightInd w:val="0"/>
        <w:snapToGrid w:val="0"/>
        <w:spacing w:line="540" w:lineRule="exact"/>
        <w:ind w:firstLine="480" w:firstLineChars="200"/>
        <w:rPr>
          <w:rFonts w:ascii="Times New Roman" w:hAnsi="Times New Roman"/>
          <w:sz w:val="24"/>
          <w:lang w:val="en-US" w:eastAsia="zh-CN"/>
        </w:rPr>
      </w:pPr>
      <w:r>
        <w:rPr>
          <w:rFonts w:ascii="Times New Roman" w:hAnsi="Times New Roman"/>
          <w:sz w:val="24"/>
          <w:lang w:val="en-US" w:eastAsia="zh-CN"/>
        </w:rPr>
        <w:fldChar w:fldCharType="begin"/>
      </w:r>
      <w:r>
        <w:rPr>
          <w:rFonts w:ascii="Times New Roman" w:hAnsi="Times New Roman"/>
          <w:sz w:val="24"/>
          <w:lang w:val="en-US" w:eastAsia="zh-CN"/>
        </w:rPr>
        <w:instrText xml:space="preserve"> = 5 \* GB3 \* MERGEFORMAT </w:instrText>
      </w:r>
      <w:r>
        <w:rPr>
          <w:rFonts w:ascii="Times New Roman" w:hAnsi="Times New Roman"/>
          <w:sz w:val="24"/>
          <w:lang w:val="en-US" w:eastAsia="zh-CN"/>
        </w:rPr>
        <w:fldChar w:fldCharType="separate"/>
      </w:r>
      <w:r>
        <w:rPr>
          <w:rFonts w:ascii="Times New Roman" w:hAnsi="Times New Roman"/>
          <w:sz w:val="24"/>
        </w:rPr>
        <w:t>⑤</w:t>
      </w:r>
      <w:r>
        <w:rPr>
          <w:rFonts w:ascii="Times New Roman" w:hAnsi="Times New Roman"/>
          <w:sz w:val="24"/>
          <w:lang w:val="en-US" w:eastAsia="zh-CN"/>
        </w:rPr>
        <w:fldChar w:fldCharType="end"/>
      </w:r>
      <w:r>
        <w:rPr>
          <w:rFonts w:hint="eastAsia" w:ascii="Times New Roman" w:hAnsi="Times New Roman"/>
          <w:sz w:val="24"/>
          <w:lang w:val="en-US" w:eastAsia="zh-CN"/>
        </w:rPr>
        <w:t>在封锁期间，禁止染疫、疑似染疫和易感染的动物、动物产品流出疫区，禁止非疫区的易感染动物进入疫区，并根据扑灭动物疫病的需要对出入疫区的人员、运输工具及有关物品采取消毒和其他限制性措施。</w:t>
      </w:r>
    </w:p>
    <w:p>
      <w:pPr>
        <w:adjustRightInd w:val="0"/>
        <w:snapToGrid w:val="0"/>
        <w:spacing w:line="540" w:lineRule="exact"/>
        <w:ind w:firstLine="480" w:firstLineChars="200"/>
        <w:rPr>
          <w:rFonts w:ascii="Times New Roman" w:hAnsi="Times New Roman"/>
          <w:sz w:val="24"/>
        </w:rPr>
      </w:pPr>
      <w:r>
        <w:rPr>
          <w:rFonts w:ascii="Times New Roman" w:hAnsi="Times New Roman"/>
          <w:sz w:val="24"/>
          <w:lang w:val="en-US" w:eastAsia="zh-CN"/>
        </w:rPr>
        <w:fldChar w:fldCharType="begin"/>
      </w:r>
      <w:r>
        <w:rPr>
          <w:rFonts w:ascii="Times New Roman" w:hAnsi="Times New Roman"/>
          <w:sz w:val="24"/>
          <w:lang w:val="en-US" w:eastAsia="zh-CN"/>
        </w:rPr>
        <w:instrText xml:space="preserve"> = 6 \* GB3 \* MERGEFORMAT </w:instrText>
      </w:r>
      <w:r>
        <w:rPr>
          <w:rFonts w:ascii="Times New Roman" w:hAnsi="Times New Roman"/>
          <w:sz w:val="24"/>
          <w:lang w:val="en-US" w:eastAsia="zh-CN"/>
        </w:rPr>
        <w:fldChar w:fldCharType="separate"/>
      </w:r>
      <w:r>
        <w:rPr>
          <w:rFonts w:ascii="Times New Roman" w:hAnsi="Times New Roman"/>
          <w:sz w:val="24"/>
          <w:lang w:val="en-US" w:eastAsia="zh-CN"/>
        </w:rPr>
        <w:t>⑥</w:t>
      </w:r>
      <w:r>
        <w:rPr>
          <w:rFonts w:ascii="Times New Roman" w:hAnsi="Times New Roman"/>
          <w:sz w:val="24"/>
          <w:lang w:val="en-US" w:eastAsia="zh-CN"/>
        </w:rPr>
        <w:fldChar w:fldCharType="end"/>
      </w:r>
      <w:r>
        <w:rPr>
          <w:rFonts w:ascii="Times New Roman" w:hAnsi="Times New Roman"/>
          <w:sz w:val="24"/>
        </w:rPr>
        <w:t>解除封锁的条件是在最后一头病牛痊愈，或隔离后两个潜伏期内牛群再无新病例出现，经过全面大消毒，报上级主管部门批准，方可解除封锁。</w:t>
      </w:r>
    </w:p>
    <w:p>
      <w:pPr>
        <w:pStyle w:val="45"/>
        <w:snapToGrid w:val="0"/>
        <w:spacing w:before="240" w:beforeLines="100" w:after="120" w:afterLines="50" w:line="540" w:lineRule="exact"/>
        <w:contextualSpacing/>
        <w:rPr>
          <w:bCs w:val="0"/>
          <w:snapToGrid w:val="0"/>
          <w:kern w:val="0"/>
          <w:sz w:val="32"/>
          <w:szCs w:val="32"/>
        </w:rPr>
      </w:pPr>
      <w:bookmarkStart w:id="806" w:name="_Toc5538"/>
      <w:bookmarkStart w:id="807" w:name="_Toc32711"/>
      <w:bookmarkStart w:id="808" w:name="_Toc19115"/>
      <w:bookmarkStart w:id="809" w:name="_Toc8612"/>
      <w:bookmarkStart w:id="810" w:name="_Toc7124"/>
      <w:bookmarkStart w:id="811" w:name="_Toc28664"/>
      <w:bookmarkStart w:id="812" w:name="_Toc19290"/>
      <w:r>
        <w:rPr>
          <w:rFonts w:hint="eastAsia"/>
          <w:bCs w:val="0"/>
          <w:snapToGrid w:val="0"/>
          <w:kern w:val="0"/>
          <w:sz w:val="32"/>
          <w:szCs w:val="32"/>
        </w:rPr>
        <w:t>7</w:t>
      </w:r>
      <w:r>
        <w:rPr>
          <w:bCs w:val="0"/>
          <w:snapToGrid w:val="0"/>
          <w:kern w:val="0"/>
          <w:sz w:val="32"/>
          <w:szCs w:val="32"/>
        </w:rPr>
        <w:t>环境风险分析</w:t>
      </w:r>
      <w:bookmarkEnd w:id="806"/>
      <w:bookmarkEnd w:id="807"/>
      <w:bookmarkEnd w:id="808"/>
      <w:bookmarkEnd w:id="809"/>
    </w:p>
    <w:p>
      <w:pPr>
        <w:pStyle w:val="51"/>
        <w:snapToGrid w:val="0"/>
        <w:spacing w:before="120" w:beforeLines="50" w:after="120" w:afterLines="50" w:line="540" w:lineRule="exact"/>
        <w:contextualSpacing/>
        <w:rPr>
          <w:rFonts w:cs="Times New Roman"/>
          <w:bCs w:val="0"/>
          <w:snapToGrid w:val="0"/>
          <w:kern w:val="0"/>
          <w:sz w:val="30"/>
          <w:szCs w:val="30"/>
        </w:rPr>
      </w:pPr>
      <w:bookmarkStart w:id="813" w:name="_Toc10978"/>
      <w:bookmarkStart w:id="814" w:name="_Toc18207"/>
      <w:bookmarkStart w:id="815" w:name="_Toc1472"/>
      <w:r>
        <w:rPr>
          <w:rFonts w:hint="eastAsia" w:cs="Times New Roman"/>
          <w:bCs w:val="0"/>
          <w:snapToGrid w:val="0"/>
          <w:kern w:val="0"/>
          <w:sz w:val="30"/>
          <w:szCs w:val="30"/>
        </w:rPr>
        <w:t>7.</w:t>
      </w:r>
      <w:r>
        <w:rPr>
          <w:rFonts w:cs="Times New Roman"/>
          <w:bCs w:val="0"/>
          <w:snapToGrid w:val="0"/>
          <w:kern w:val="0"/>
          <w:sz w:val="30"/>
          <w:szCs w:val="30"/>
        </w:rPr>
        <w:t>1环境风险评价依据</w:t>
      </w:r>
      <w:bookmarkEnd w:id="813"/>
      <w:bookmarkEnd w:id="814"/>
      <w:bookmarkEnd w:id="815"/>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816" w:name="_Toc5303"/>
      <w:bookmarkStart w:id="817" w:name="_Toc20004"/>
      <w:bookmarkStart w:id="818" w:name="_Toc1991"/>
      <w:r>
        <w:rPr>
          <w:rFonts w:hint="eastAsia" w:cs="Times New Roman"/>
          <w:bCs w:val="0"/>
          <w:snapToGrid w:val="0"/>
          <w:kern w:val="0"/>
          <w:sz w:val="28"/>
          <w:szCs w:val="28"/>
        </w:rPr>
        <w:t>7</w:t>
      </w:r>
      <w:r>
        <w:rPr>
          <w:rFonts w:cs="Times New Roman"/>
          <w:bCs w:val="0"/>
          <w:snapToGrid w:val="0"/>
          <w:kern w:val="0"/>
          <w:sz w:val="28"/>
          <w:szCs w:val="28"/>
        </w:rPr>
        <w:t>.1.1风险调查</w:t>
      </w:r>
      <w:bookmarkEnd w:id="816"/>
      <w:bookmarkEnd w:id="817"/>
      <w:bookmarkEnd w:id="818"/>
    </w:p>
    <w:p>
      <w:pPr>
        <w:pStyle w:val="13"/>
        <w:adjustRightInd w:val="0"/>
        <w:snapToGrid w:val="0"/>
        <w:spacing w:line="540" w:lineRule="exact"/>
        <w:ind w:firstLine="480"/>
        <w:rPr>
          <w:rFonts w:ascii="Times New Roman" w:hAnsi="Times New Roman"/>
          <w:kern w:val="24"/>
          <w:sz w:val="24"/>
        </w:rPr>
      </w:pPr>
      <w:r>
        <w:rPr>
          <w:rFonts w:ascii="Times New Roman" w:hAnsi="Times New Roman"/>
          <w:kern w:val="24"/>
          <w:sz w:val="24"/>
        </w:rPr>
        <w:t>本项目为</w:t>
      </w:r>
      <w:r>
        <w:rPr>
          <w:rFonts w:hint="eastAsia" w:ascii="Times New Roman" w:hAnsi="Times New Roman"/>
          <w:kern w:val="24"/>
          <w:sz w:val="24"/>
        </w:rPr>
        <w:t>基础母牛</w:t>
      </w:r>
      <w:r>
        <w:rPr>
          <w:rFonts w:ascii="Times New Roman" w:hAnsi="Times New Roman"/>
          <w:kern w:val="24"/>
          <w:sz w:val="24"/>
        </w:rPr>
        <w:t>养殖项目，生产过程中使用的原辅材料主要有青贮、饲料、除臭剂，消毒剂等</w:t>
      </w:r>
      <w:r>
        <w:rPr>
          <w:rFonts w:hint="eastAsia" w:ascii="Times New Roman" w:hAnsi="Times New Roman"/>
          <w:kern w:val="24"/>
          <w:sz w:val="24"/>
        </w:rPr>
        <w:t>最终产品为年育成犊牛</w:t>
      </w:r>
      <w:r>
        <w:rPr>
          <w:rFonts w:ascii="Times New Roman" w:hAnsi="Times New Roman"/>
          <w:kern w:val="24"/>
          <w:sz w:val="24"/>
        </w:rPr>
        <w:t>、淘汰牛等。根据本项目特点，在运营过程中发生可能造成环境风险的因素主要有以下三方面：</w:t>
      </w:r>
    </w:p>
    <w:p>
      <w:pPr>
        <w:pStyle w:val="13"/>
        <w:adjustRightInd w:val="0"/>
        <w:snapToGrid w:val="0"/>
        <w:spacing w:line="540" w:lineRule="exact"/>
        <w:ind w:firstLine="480"/>
        <w:rPr>
          <w:rFonts w:ascii="Times New Roman" w:hAnsi="Times New Roman"/>
          <w:kern w:val="24"/>
          <w:sz w:val="24"/>
        </w:rPr>
      </w:pPr>
      <w:r>
        <w:rPr>
          <w:rFonts w:ascii="Times New Roman" w:hAnsi="Times New Roman"/>
          <w:kern w:val="24"/>
          <w:sz w:val="24"/>
        </w:rPr>
        <w:fldChar w:fldCharType="begin"/>
      </w:r>
      <w:r>
        <w:rPr>
          <w:rFonts w:ascii="Times New Roman" w:hAnsi="Times New Roman"/>
          <w:kern w:val="24"/>
          <w:sz w:val="24"/>
        </w:rPr>
        <w:instrText xml:space="preserve"> = 1 \* GB2 \* MERGEFORMAT </w:instrText>
      </w:r>
      <w:r>
        <w:rPr>
          <w:rFonts w:ascii="Times New Roman" w:hAnsi="Times New Roman"/>
          <w:kern w:val="24"/>
          <w:sz w:val="24"/>
        </w:rPr>
        <w:fldChar w:fldCharType="separate"/>
      </w:r>
      <w:r>
        <w:rPr>
          <w:rFonts w:ascii="Times New Roman" w:hAnsi="Times New Roman"/>
          <w:kern w:val="24"/>
          <w:sz w:val="24"/>
        </w:rPr>
        <w:t>⑴</w:t>
      </w:r>
      <w:r>
        <w:rPr>
          <w:rFonts w:ascii="Times New Roman" w:hAnsi="Times New Roman"/>
          <w:kern w:val="24"/>
          <w:sz w:val="24"/>
        </w:rPr>
        <w:fldChar w:fldCharType="end"/>
      </w:r>
      <w:r>
        <w:rPr>
          <w:rFonts w:ascii="Times New Roman" w:hAnsi="Times New Roman"/>
          <w:kern w:val="24"/>
          <w:sz w:val="24"/>
        </w:rPr>
        <w:t>养殖过程中，产生的粪污如果处理不当，渗入地下，对区域地下水环境造成污染隐患，具有一定的环境风险。</w:t>
      </w:r>
    </w:p>
    <w:p>
      <w:pPr>
        <w:pStyle w:val="13"/>
        <w:adjustRightInd w:val="0"/>
        <w:snapToGrid w:val="0"/>
        <w:spacing w:line="540" w:lineRule="exact"/>
        <w:ind w:firstLine="480"/>
        <w:rPr>
          <w:rFonts w:ascii="Times New Roman" w:hAnsi="Times New Roman"/>
          <w:kern w:val="24"/>
          <w:sz w:val="24"/>
        </w:rPr>
      </w:pPr>
      <w:r>
        <w:rPr>
          <w:rFonts w:ascii="Times New Roman" w:hAnsi="Times New Roman"/>
          <w:kern w:val="24"/>
          <w:sz w:val="24"/>
        </w:rPr>
        <w:fldChar w:fldCharType="begin"/>
      </w:r>
      <w:r>
        <w:rPr>
          <w:rFonts w:ascii="Times New Roman" w:hAnsi="Times New Roman"/>
          <w:kern w:val="24"/>
          <w:sz w:val="24"/>
        </w:rPr>
        <w:instrText xml:space="preserve"> = 2 \* GB2 \* MERGEFORMAT </w:instrText>
      </w:r>
      <w:r>
        <w:rPr>
          <w:rFonts w:ascii="Times New Roman" w:hAnsi="Times New Roman"/>
          <w:kern w:val="24"/>
          <w:sz w:val="24"/>
        </w:rPr>
        <w:fldChar w:fldCharType="separate"/>
      </w:r>
      <w:r>
        <w:rPr>
          <w:rFonts w:ascii="Times New Roman" w:hAnsi="Times New Roman"/>
          <w:kern w:val="24"/>
          <w:sz w:val="24"/>
        </w:rPr>
        <w:t>⑵</w:t>
      </w:r>
      <w:r>
        <w:rPr>
          <w:rFonts w:ascii="Times New Roman" w:hAnsi="Times New Roman"/>
          <w:kern w:val="24"/>
          <w:sz w:val="24"/>
        </w:rPr>
        <w:fldChar w:fldCharType="end"/>
      </w:r>
      <w:r>
        <w:rPr>
          <w:rFonts w:ascii="Times New Roman" w:hAnsi="Times New Roman"/>
          <w:kern w:val="24"/>
          <w:sz w:val="24"/>
        </w:rPr>
        <w:t>养殖场发生疫情，养殖场如果管理不善，会诱发传染性疾病，如口蹄疫、炭疽等，且传播很快，若不及时、合理地处理，将会疫情蔓延，感染牛群及人类，危害人体健康。</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819" w:name="_Toc21085"/>
      <w:r>
        <w:rPr>
          <w:rFonts w:hint="eastAsia" w:cs="Times New Roman"/>
          <w:bCs w:val="0"/>
          <w:snapToGrid w:val="0"/>
          <w:kern w:val="0"/>
          <w:sz w:val="28"/>
          <w:szCs w:val="28"/>
        </w:rPr>
        <w:t>7.</w:t>
      </w:r>
      <w:r>
        <w:rPr>
          <w:rFonts w:cs="Times New Roman"/>
          <w:bCs w:val="0"/>
          <w:snapToGrid w:val="0"/>
          <w:kern w:val="0"/>
          <w:sz w:val="28"/>
          <w:szCs w:val="28"/>
        </w:rPr>
        <w:t>1.2环境风险潜势初判</w:t>
      </w:r>
      <w:bookmarkEnd w:id="819"/>
    </w:p>
    <w:p>
      <w:pPr>
        <w:tabs>
          <w:tab w:val="left" w:pos="3320"/>
        </w:tabs>
        <w:overflowPunct w:val="0"/>
        <w:adjustRightInd w:val="0"/>
        <w:snapToGrid w:val="0"/>
        <w:spacing w:line="540" w:lineRule="exact"/>
        <w:ind w:firstLine="480" w:firstLineChars="200"/>
        <w:rPr>
          <w:rFonts w:ascii="Times New Roman" w:hAnsi="Times New Roman"/>
          <w:snapToGrid w:val="0"/>
          <w:kern w:val="0"/>
          <w:sz w:val="24"/>
        </w:rPr>
      </w:pPr>
      <w:r>
        <w:rPr>
          <w:rFonts w:hint="eastAsia" w:ascii="Times New Roman" w:hAnsi="Times New Roman"/>
          <w:snapToGrid w:val="0"/>
          <w:kern w:val="0"/>
          <w:sz w:val="24"/>
        </w:rPr>
        <w:t>风险潜势的判断 根据《建设项目环境风险评价技术导则》（HJ/T169－2018）附录 C，</w:t>
      </w:r>
      <w:r>
        <w:rPr>
          <w:rFonts w:ascii="Times New Roman" w:hAnsi="Times New Roman"/>
          <w:snapToGrid w:val="0"/>
          <w:kern w:val="0"/>
          <w:sz w:val="24"/>
        </w:rPr>
        <w:t>危险物质及工艺系统危险性（P）的分级，由危险物质数量与临界量比值（Q），与行业及生产工艺（M）确定。</w:t>
      </w:r>
    </w:p>
    <w:p>
      <w:pPr>
        <w:tabs>
          <w:tab w:val="left" w:pos="3320"/>
        </w:tabs>
        <w:overflowPunct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（1）危险物质数量与临界量比值（Q）</w:t>
      </w:r>
    </w:p>
    <w:p>
      <w:pPr>
        <w:tabs>
          <w:tab w:val="left" w:pos="3320"/>
        </w:tabs>
        <w:overflowPunct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Q为项目所涉及的每种危险物质在厂界内的最大存在总量与其在附录B中对应临界量的比值。当存在多种危险物质时，按照下式进行计算：</w:t>
      </w:r>
    </w:p>
    <w:p>
      <w:pPr>
        <w:tabs>
          <w:tab w:val="left" w:pos="3320"/>
        </w:tabs>
        <w:overflowPunct w:val="0"/>
        <w:adjustRightInd w:val="0"/>
        <w:snapToGrid w:val="0"/>
        <w:spacing w:line="540" w:lineRule="exact"/>
        <w:jc w:val="center"/>
        <w:rPr>
          <w:rFonts w:ascii="Times New Roman" w:hAnsi="Times New Roman"/>
          <w:snapToGrid w:val="0"/>
          <w:kern w:val="0"/>
          <w:sz w:val="24"/>
        </w:rPr>
      </w:pPr>
      <w:r>
        <w:rPr>
          <w:rFonts w:ascii="Times New Roman" w:hAnsi="Times New Roman"/>
          <w:snapToGrid w:val="0"/>
          <w:kern w:val="0"/>
          <w:sz w:val="24"/>
        </w:rPr>
        <w:t>Q=q</w:t>
      </w:r>
      <w:r>
        <w:rPr>
          <w:rFonts w:ascii="Times New Roman" w:hAnsi="Times New Roman"/>
          <w:snapToGrid w:val="0"/>
          <w:kern w:val="0"/>
          <w:sz w:val="24"/>
          <w:vertAlign w:val="subscript"/>
        </w:rPr>
        <w:t>1</w:t>
      </w:r>
      <w:r>
        <w:rPr>
          <w:rFonts w:ascii="Times New Roman" w:hAnsi="Times New Roman"/>
          <w:snapToGrid w:val="0"/>
          <w:kern w:val="0"/>
          <w:sz w:val="24"/>
        </w:rPr>
        <w:t>/Q</w:t>
      </w:r>
      <w:r>
        <w:rPr>
          <w:rFonts w:ascii="Times New Roman" w:hAnsi="Times New Roman"/>
          <w:snapToGrid w:val="0"/>
          <w:kern w:val="0"/>
          <w:sz w:val="24"/>
          <w:vertAlign w:val="subscript"/>
        </w:rPr>
        <w:t>1</w:t>
      </w:r>
      <w:r>
        <w:rPr>
          <w:rFonts w:ascii="Times New Roman" w:hAnsi="Times New Roman"/>
          <w:snapToGrid w:val="0"/>
          <w:kern w:val="0"/>
          <w:sz w:val="24"/>
        </w:rPr>
        <w:t>+q</w:t>
      </w:r>
      <w:r>
        <w:rPr>
          <w:rFonts w:ascii="Times New Roman" w:hAnsi="Times New Roman"/>
          <w:snapToGrid w:val="0"/>
          <w:kern w:val="0"/>
          <w:sz w:val="24"/>
          <w:vertAlign w:val="subscript"/>
        </w:rPr>
        <w:t>2</w:t>
      </w:r>
      <w:r>
        <w:rPr>
          <w:rFonts w:ascii="Times New Roman" w:hAnsi="Times New Roman"/>
          <w:snapToGrid w:val="0"/>
          <w:kern w:val="0"/>
          <w:sz w:val="24"/>
        </w:rPr>
        <w:t>/Q</w:t>
      </w:r>
      <w:r>
        <w:rPr>
          <w:rFonts w:ascii="Times New Roman" w:hAnsi="Times New Roman"/>
          <w:snapToGrid w:val="0"/>
          <w:kern w:val="0"/>
          <w:sz w:val="24"/>
          <w:vertAlign w:val="subscript"/>
        </w:rPr>
        <w:t>2</w:t>
      </w:r>
      <w:r>
        <w:rPr>
          <w:rFonts w:ascii="Times New Roman" w:hAnsi="Times New Roman"/>
          <w:snapToGrid w:val="0"/>
          <w:kern w:val="0"/>
          <w:sz w:val="24"/>
        </w:rPr>
        <w:t>+…q</w:t>
      </w:r>
      <w:r>
        <w:rPr>
          <w:rFonts w:ascii="Times New Roman" w:hAnsi="Times New Roman"/>
          <w:snapToGrid w:val="0"/>
          <w:kern w:val="0"/>
          <w:sz w:val="24"/>
          <w:vertAlign w:val="subscript"/>
        </w:rPr>
        <w:t>n</w:t>
      </w:r>
      <w:r>
        <w:rPr>
          <w:rFonts w:ascii="Times New Roman" w:hAnsi="Times New Roman"/>
          <w:snapToGrid w:val="0"/>
          <w:kern w:val="0"/>
          <w:sz w:val="24"/>
        </w:rPr>
        <w:t>/Q</w:t>
      </w:r>
      <w:r>
        <w:rPr>
          <w:rFonts w:ascii="Times New Roman" w:hAnsi="Times New Roman"/>
          <w:snapToGrid w:val="0"/>
          <w:kern w:val="0"/>
          <w:sz w:val="24"/>
          <w:vertAlign w:val="subscript"/>
        </w:rPr>
        <w:t>n</w:t>
      </w:r>
    </w:p>
    <w:p>
      <w:pPr>
        <w:tabs>
          <w:tab w:val="left" w:pos="3320"/>
        </w:tabs>
        <w:overflowPunct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式中：q</w:t>
      </w:r>
      <w:r>
        <w:rPr>
          <w:rFonts w:ascii="Times New Roman" w:hAnsi="Times New Roman"/>
          <w:snapToGrid w:val="0"/>
          <w:kern w:val="0"/>
          <w:sz w:val="24"/>
          <w:vertAlign w:val="subscript"/>
        </w:rPr>
        <w:t>1</w:t>
      </w:r>
      <w:r>
        <w:rPr>
          <w:rFonts w:ascii="Times New Roman" w:hAnsi="Times New Roman"/>
          <w:snapToGrid w:val="0"/>
          <w:kern w:val="0"/>
          <w:sz w:val="24"/>
        </w:rPr>
        <w:t>，q</w:t>
      </w:r>
      <w:r>
        <w:rPr>
          <w:rFonts w:ascii="Times New Roman" w:hAnsi="Times New Roman"/>
          <w:snapToGrid w:val="0"/>
          <w:kern w:val="0"/>
          <w:sz w:val="24"/>
          <w:vertAlign w:val="subscript"/>
        </w:rPr>
        <w:t>2</w:t>
      </w:r>
      <w:r>
        <w:rPr>
          <w:rFonts w:ascii="Times New Roman" w:hAnsi="Times New Roman"/>
          <w:snapToGrid w:val="0"/>
          <w:kern w:val="0"/>
          <w:sz w:val="24"/>
        </w:rPr>
        <w:t>，…，q</w:t>
      </w:r>
      <w:r>
        <w:rPr>
          <w:rFonts w:ascii="Times New Roman" w:hAnsi="Times New Roman"/>
          <w:snapToGrid w:val="0"/>
          <w:kern w:val="0"/>
          <w:sz w:val="24"/>
          <w:vertAlign w:val="subscript"/>
        </w:rPr>
        <w:t>n</w:t>
      </w:r>
      <w:r>
        <w:rPr>
          <w:rFonts w:ascii="Times New Roman" w:hAnsi="Times New Roman"/>
          <w:snapToGrid w:val="0"/>
          <w:kern w:val="0"/>
          <w:sz w:val="24"/>
        </w:rPr>
        <w:t>——每种危险物质的最大存在量，t；</w:t>
      </w:r>
    </w:p>
    <w:p>
      <w:pPr>
        <w:tabs>
          <w:tab w:val="left" w:pos="3320"/>
        </w:tabs>
        <w:overflowPunct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 xml:space="preserve">      Q</w:t>
      </w:r>
      <w:r>
        <w:rPr>
          <w:rFonts w:ascii="Times New Roman" w:hAnsi="Times New Roman"/>
          <w:snapToGrid w:val="0"/>
          <w:kern w:val="0"/>
          <w:sz w:val="24"/>
          <w:vertAlign w:val="subscript"/>
        </w:rPr>
        <w:t>1</w:t>
      </w:r>
      <w:r>
        <w:rPr>
          <w:rFonts w:ascii="Times New Roman" w:hAnsi="Times New Roman"/>
          <w:snapToGrid w:val="0"/>
          <w:kern w:val="0"/>
          <w:sz w:val="24"/>
        </w:rPr>
        <w:t>，Q</w:t>
      </w:r>
      <w:r>
        <w:rPr>
          <w:rFonts w:ascii="Times New Roman" w:hAnsi="Times New Roman"/>
          <w:snapToGrid w:val="0"/>
          <w:kern w:val="0"/>
          <w:sz w:val="24"/>
          <w:vertAlign w:val="subscript"/>
        </w:rPr>
        <w:t>1</w:t>
      </w:r>
      <w:r>
        <w:rPr>
          <w:rFonts w:ascii="Times New Roman" w:hAnsi="Times New Roman"/>
          <w:snapToGrid w:val="0"/>
          <w:kern w:val="0"/>
          <w:sz w:val="24"/>
        </w:rPr>
        <w:t>，…，Q</w:t>
      </w:r>
      <w:r>
        <w:rPr>
          <w:rFonts w:ascii="Times New Roman" w:hAnsi="Times New Roman"/>
          <w:snapToGrid w:val="0"/>
          <w:kern w:val="0"/>
          <w:sz w:val="24"/>
          <w:vertAlign w:val="subscript"/>
        </w:rPr>
        <w:t>n</w:t>
      </w:r>
      <w:r>
        <w:rPr>
          <w:rFonts w:ascii="Times New Roman" w:hAnsi="Times New Roman"/>
          <w:snapToGrid w:val="0"/>
          <w:kern w:val="0"/>
          <w:sz w:val="24"/>
        </w:rPr>
        <w:t>——每种危险物质的临界量，t。</w:t>
      </w:r>
    </w:p>
    <w:p>
      <w:pPr>
        <w:tabs>
          <w:tab w:val="left" w:pos="3320"/>
        </w:tabs>
        <w:overflowPunct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 xml:space="preserve">      当Q＜1时，该项目环境风险潜势为Ⅰ。</w:t>
      </w:r>
    </w:p>
    <w:p>
      <w:pPr>
        <w:tabs>
          <w:tab w:val="left" w:pos="3320"/>
        </w:tabs>
        <w:overflowPunct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 xml:space="preserve">      当Q≥1时，将Q值划分为：</w:t>
      </w:r>
    </w:p>
    <w:p>
      <w:pPr>
        <w:tabs>
          <w:tab w:val="left" w:pos="3320"/>
        </w:tabs>
        <w:overflowPunct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①1≤Q＜10；</w:t>
      </w:r>
    </w:p>
    <w:p>
      <w:pPr>
        <w:tabs>
          <w:tab w:val="left" w:pos="3320"/>
        </w:tabs>
        <w:overflowPunct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②10≤Q＜100；</w:t>
      </w:r>
    </w:p>
    <w:p>
      <w:pPr>
        <w:tabs>
          <w:tab w:val="left" w:pos="3320"/>
        </w:tabs>
        <w:overflowPunct w:val="0"/>
        <w:adjustRightInd w:val="0"/>
        <w:snapToGrid w:val="0"/>
        <w:spacing w:line="540" w:lineRule="exact"/>
        <w:ind w:firstLine="480" w:firstLineChars="200"/>
        <w:rPr>
          <w:rFonts w:ascii="Times New Roman" w:hAnsi="Times New Roman"/>
          <w:snapToGrid w:val="0"/>
          <w:kern w:val="0"/>
          <w:sz w:val="24"/>
        </w:rPr>
      </w:pPr>
      <w:r>
        <w:rPr>
          <w:rFonts w:ascii="Times New Roman" w:hAnsi="Times New Roman"/>
          <w:snapToGrid w:val="0"/>
          <w:kern w:val="0"/>
          <w:sz w:val="24"/>
        </w:rPr>
        <w:t>③Q≥100；</w:t>
      </w:r>
    </w:p>
    <w:p>
      <w:pPr>
        <w:pStyle w:val="13"/>
        <w:snapToGrid w:val="0"/>
        <w:spacing w:line="540" w:lineRule="exact"/>
        <w:ind w:firstLine="480"/>
        <w:rPr>
          <w:rFonts w:ascii="Times New Roman" w:hAnsi="Times New Roman"/>
          <w:kern w:val="24"/>
          <w:sz w:val="24"/>
        </w:rPr>
      </w:pPr>
      <w:r>
        <w:rPr>
          <w:rFonts w:ascii="Times New Roman" w:hAnsi="Times New Roman"/>
          <w:kern w:val="24"/>
          <w:sz w:val="24"/>
        </w:rPr>
        <w:t>本项目为</w:t>
      </w:r>
      <w:r>
        <w:rPr>
          <w:rFonts w:hint="eastAsia" w:ascii="Times New Roman" w:hAnsi="Times New Roman"/>
          <w:kern w:val="24"/>
          <w:sz w:val="24"/>
        </w:rPr>
        <w:t>肉牛</w:t>
      </w:r>
      <w:r>
        <w:rPr>
          <w:rFonts w:ascii="Times New Roman" w:hAnsi="Times New Roman"/>
          <w:kern w:val="24"/>
          <w:sz w:val="24"/>
        </w:rPr>
        <w:t>养殖建设项目，不涉及有毒有害和易燃易爆物质，不存在《建设项目环境风险评价技术导则》（HJ169-2018）附录B中重点关注的危险物质。本项目Q＜1，环境风险潜势为Ⅰ。综上分析，本项目Q＜1，环境风险潜势为Ⅰ。</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820" w:name="_Toc26942"/>
      <w:r>
        <w:rPr>
          <w:rFonts w:hint="eastAsia" w:cs="Times New Roman"/>
          <w:bCs w:val="0"/>
          <w:snapToGrid w:val="0"/>
          <w:kern w:val="0"/>
          <w:sz w:val="28"/>
          <w:szCs w:val="28"/>
        </w:rPr>
        <w:t>7</w:t>
      </w:r>
      <w:r>
        <w:rPr>
          <w:rFonts w:cs="Times New Roman"/>
          <w:bCs w:val="0"/>
          <w:snapToGrid w:val="0"/>
          <w:kern w:val="0"/>
          <w:sz w:val="28"/>
          <w:szCs w:val="28"/>
        </w:rPr>
        <w:t>.1.3评价工作等级</w:t>
      </w:r>
      <w:bookmarkEnd w:id="820"/>
    </w:p>
    <w:p>
      <w:pPr>
        <w:adjustRightInd w:val="0"/>
        <w:snapToGrid w:val="0"/>
        <w:spacing w:line="540" w:lineRule="exact"/>
        <w:ind w:firstLine="480" w:firstLineChars="200"/>
        <w:rPr>
          <w:rFonts w:ascii="Times New Roman" w:hAnsi="Times New Roman"/>
          <w:snapToGrid w:val="0"/>
          <w:sz w:val="24"/>
        </w:rPr>
      </w:pPr>
      <w:r>
        <w:rPr>
          <w:rFonts w:ascii="Times New Roman" w:hAnsi="Times New Roman"/>
          <w:snapToGrid w:val="0"/>
          <w:sz w:val="24"/>
        </w:rPr>
        <w:t>项目环境风险潜势为I，按照下表确定评价工作等级。</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表</w:t>
      </w:r>
      <w:r>
        <w:rPr>
          <w:rFonts w:hint="eastAsia" w:ascii="Times New Roman" w:hAnsi="Times New Roman"/>
          <w:sz w:val="24"/>
        </w:rPr>
        <w:t>7.1-1</w:t>
      </w:r>
      <w:r>
        <w:rPr>
          <w:rFonts w:ascii="Times New Roman" w:hAnsi="Times New Roman"/>
          <w:sz w:val="24"/>
        </w:rPr>
        <w:t xml:space="preserve">      </w:t>
      </w:r>
      <w:r>
        <w:rPr>
          <w:rFonts w:ascii="Times New Roman" w:hAnsi="Times New Roman"/>
        </w:rPr>
        <w:t xml:space="preserve">                    </w:t>
      </w:r>
      <w:r>
        <w:rPr>
          <w:rFonts w:ascii="Times New Roman" w:hAnsi="Times New Roman"/>
          <w:sz w:val="24"/>
        </w:rPr>
        <w:t>评价工作等级划分表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37"/>
        <w:gridCol w:w="1810"/>
        <w:gridCol w:w="1809"/>
        <w:gridCol w:w="1599"/>
        <w:gridCol w:w="16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54" w:type="dxa"/>
            <w:vAlign w:val="center"/>
          </w:tcPr>
          <w:p>
            <w:pPr>
              <w:pStyle w:val="49"/>
              <w:adjustRightInd w:val="0"/>
              <w:snapToGrid w:val="0"/>
              <w:spacing w:line="240" w:lineRule="auto"/>
              <w:ind w:firstLine="0" w:firstLineChars="0"/>
              <w:jc w:val="center"/>
              <w:rPr>
                <w:rFonts w:ascii="Times New Roman" w:hAnsi="Times New Roman" w:eastAsia="宋体"/>
                <w:b/>
                <w:bCs/>
                <w:sz w:val="21"/>
                <w:szCs w:val="21"/>
              </w:rPr>
            </w:pPr>
            <w:r>
              <w:rPr>
                <w:rFonts w:ascii="Times New Roman" w:hAnsi="Times New Roman" w:eastAsia="宋体"/>
                <w:b/>
                <w:bCs/>
                <w:sz w:val="21"/>
                <w:szCs w:val="21"/>
              </w:rPr>
              <w:t>风险潜势</w:t>
            </w:r>
          </w:p>
        </w:tc>
        <w:tc>
          <w:tcPr>
            <w:tcW w:w="1742" w:type="dxa"/>
            <w:vAlign w:val="center"/>
          </w:tcPr>
          <w:p>
            <w:pPr>
              <w:pStyle w:val="49"/>
              <w:adjustRightInd w:val="0"/>
              <w:snapToGrid w:val="0"/>
              <w:spacing w:line="240" w:lineRule="auto"/>
              <w:ind w:firstLine="0" w:firstLineChars="0"/>
              <w:jc w:val="center"/>
              <w:rPr>
                <w:rFonts w:ascii="Times New Roman" w:hAnsi="Times New Roman" w:eastAsia="宋体"/>
                <w:b/>
                <w:bCs/>
                <w:sz w:val="21"/>
                <w:szCs w:val="21"/>
              </w:rPr>
            </w:pPr>
            <w:r>
              <w:rPr>
                <w:rFonts w:ascii="Times New Roman" w:hAnsi="Times New Roman" w:eastAsia="宋体"/>
                <w:b/>
                <w:bCs/>
                <w:sz w:val="21"/>
                <w:szCs w:val="21"/>
              </w:rPr>
              <w:t>Ⅳ、Ⅳ</w:t>
            </w:r>
            <w:r>
              <w:rPr>
                <w:rFonts w:ascii="Times New Roman" w:hAnsi="Times New Roman" w:eastAsia="宋体"/>
                <w:b/>
                <w:bCs/>
                <w:sz w:val="21"/>
                <w:szCs w:val="21"/>
                <w:vertAlign w:val="superscript"/>
              </w:rPr>
              <w:t>+</w:t>
            </w:r>
          </w:p>
        </w:tc>
        <w:tc>
          <w:tcPr>
            <w:tcW w:w="1741" w:type="dxa"/>
            <w:vAlign w:val="center"/>
          </w:tcPr>
          <w:p>
            <w:pPr>
              <w:pStyle w:val="49"/>
              <w:adjustRightInd w:val="0"/>
              <w:snapToGrid w:val="0"/>
              <w:spacing w:line="240" w:lineRule="auto"/>
              <w:ind w:firstLine="0" w:firstLineChars="0"/>
              <w:jc w:val="center"/>
              <w:rPr>
                <w:rFonts w:ascii="Times New Roman" w:hAnsi="Times New Roman" w:eastAsia="宋体"/>
                <w:b/>
                <w:bCs/>
                <w:sz w:val="21"/>
                <w:szCs w:val="21"/>
              </w:rPr>
            </w:pPr>
            <w:r>
              <w:rPr>
                <w:rFonts w:ascii="Times New Roman" w:hAnsi="Times New Roman" w:eastAsia="宋体"/>
                <w:b/>
                <w:bCs/>
                <w:sz w:val="21"/>
                <w:szCs w:val="21"/>
              </w:rPr>
              <w:t>Ⅲ</w:t>
            </w:r>
          </w:p>
        </w:tc>
        <w:tc>
          <w:tcPr>
            <w:tcW w:w="1539" w:type="dxa"/>
            <w:vAlign w:val="center"/>
          </w:tcPr>
          <w:p>
            <w:pPr>
              <w:pStyle w:val="49"/>
              <w:adjustRightInd w:val="0"/>
              <w:snapToGrid w:val="0"/>
              <w:spacing w:line="240" w:lineRule="auto"/>
              <w:ind w:firstLine="0" w:firstLineChars="0"/>
              <w:jc w:val="center"/>
              <w:rPr>
                <w:rFonts w:ascii="Times New Roman" w:hAnsi="Times New Roman" w:eastAsia="宋体"/>
                <w:b/>
                <w:bCs/>
                <w:sz w:val="21"/>
                <w:szCs w:val="21"/>
              </w:rPr>
            </w:pPr>
            <w:r>
              <w:rPr>
                <w:rFonts w:ascii="Times New Roman" w:hAnsi="Times New Roman" w:eastAsia="宋体"/>
                <w:b/>
                <w:bCs/>
                <w:sz w:val="21"/>
                <w:szCs w:val="21"/>
              </w:rPr>
              <w:t>Ⅱ</w:t>
            </w:r>
          </w:p>
        </w:tc>
        <w:tc>
          <w:tcPr>
            <w:tcW w:w="1555" w:type="dxa"/>
            <w:vAlign w:val="center"/>
          </w:tcPr>
          <w:p>
            <w:pPr>
              <w:pStyle w:val="49"/>
              <w:adjustRightInd w:val="0"/>
              <w:snapToGrid w:val="0"/>
              <w:spacing w:line="240" w:lineRule="auto"/>
              <w:ind w:firstLine="0" w:firstLineChars="0"/>
              <w:jc w:val="center"/>
              <w:rPr>
                <w:rFonts w:ascii="Times New Roman" w:hAnsi="Times New Roman" w:eastAsia="宋体"/>
                <w:b/>
                <w:bCs/>
                <w:sz w:val="21"/>
                <w:szCs w:val="21"/>
              </w:rPr>
            </w:pPr>
            <w:r>
              <w:rPr>
                <w:rFonts w:ascii="Times New Roman" w:hAnsi="Times New Roman" w:eastAsia="宋体"/>
                <w:b/>
                <w:bCs/>
                <w:sz w:val="21"/>
                <w:szCs w:val="21"/>
              </w:rPr>
              <w:t>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54" w:type="dxa"/>
            <w:vAlign w:val="center"/>
          </w:tcPr>
          <w:p>
            <w:pPr>
              <w:pStyle w:val="49"/>
              <w:adjustRightInd w:val="0"/>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评价工作等级</w:t>
            </w:r>
          </w:p>
        </w:tc>
        <w:tc>
          <w:tcPr>
            <w:tcW w:w="1742" w:type="dxa"/>
            <w:vAlign w:val="center"/>
          </w:tcPr>
          <w:p>
            <w:pPr>
              <w:pStyle w:val="49"/>
              <w:adjustRightInd w:val="0"/>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一</w:t>
            </w:r>
          </w:p>
        </w:tc>
        <w:tc>
          <w:tcPr>
            <w:tcW w:w="1741" w:type="dxa"/>
            <w:vAlign w:val="center"/>
          </w:tcPr>
          <w:p>
            <w:pPr>
              <w:pStyle w:val="49"/>
              <w:adjustRightInd w:val="0"/>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二</w:t>
            </w:r>
          </w:p>
        </w:tc>
        <w:tc>
          <w:tcPr>
            <w:tcW w:w="1539" w:type="dxa"/>
            <w:vAlign w:val="center"/>
          </w:tcPr>
          <w:p>
            <w:pPr>
              <w:pStyle w:val="49"/>
              <w:adjustRightInd w:val="0"/>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三</w:t>
            </w:r>
          </w:p>
        </w:tc>
        <w:tc>
          <w:tcPr>
            <w:tcW w:w="1555" w:type="dxa"/>
            <w:vAlign w:val="center"/>
          </w:tcPr>
          <w:p>
            <w:pPr>
              <w:pStyle w:val="49"/>
              <w:adjustRightInd w:val="0"/>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简单分析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54" w:type="dxa"/>
            <w:vAlign w:val="center"/>
          </w:tcPr>
          <w:p>
            <w:pPr>
              <w:pStyle w:val="49"/>
              <w:adjustRightInd w:val="0"/>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本项目</w:t>
            </w:r>
          </w:p>
        </w:tc>
        <w:tc>
          <w:tcPr>
            <w:tcW w:w="6577" w:type="dxa"/>
            <w:gridSpan w:val="4"/>
            <w:vAlign w:val="center"/>
          </w:tcPr>
          <w:p>
            <w:pPr>
              <w:pStyle w:val="49"/>
              <w:adjustRightInd w:val="0"/>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简单分析</w:t>
            </w:r>
          </w:p>
        </w:tc>
      </w:tr>
    </w:tbl>
    <w:p>
      <w:pPr>
        <w:pStyle w:val="51"/>
        <w:snapToGrid w:val="0"/>
        <w:spacing w:before="120" w:beforeLines="50" w:after="120" w:afterLines="50" w:line="540" w:lineRule="exact"/>
        <w:contextualSpacing/>
        <w:rPr>
          <w:rFonts w:cs="Times New Roman"/>
          <w:bCs w:val="0"/>
          <w:snapToGrid w:val="0"/>
          <w:kern w:val="0"/>
          <w:sz w:val="30"/>
          <w:szCs w:val="30"/>
        </w:rPr>
      </w:pPr>
      <w:bookmarkStart w:id="821" w:name="_Toc25485"/>
      <w:bookmarkStart w:id="822" w:name="_Toc12639"/>
      <w:bookmarkStart w:id="823" w:name="_Toc6133"/>
      <w:r>
        <w:rPr>
          <w:rFonts w:hint="eastAsia" w:cs="Times New Roman"/>
          <w:bCs w:val="0"/>
          <w:snapToGrid w:val="0"/>
          <w:kern w:val="0"/>
          <w:sz w:val="30"/>
          <w:szCs w:val="30"/>
        </w:rPr>
        <w:t>7</w:t>
      </w:r>
      <w:r>
        <w:rPr>
          <w:rFonts w:cs="Times New Roman"/>
          <w:bCs w:val="0"/>
          <w:snapToGrid w:val="0"/>
          <w:kern w:val="0"/>
          <w:sz w:val="30"/>
          <w:szCs w:val="30"/>
        </w:rPr>
        <w:t>.2环境敏感目标调查</w:t>
      </w:r>
      <w:bookmarkEnd w:id="821"/>
      <w:bookmarkEnd w:id="822"/>
    </w:p>
    <w:p>
      <w:pPr>
        <w:pStyle w:val="2"/>
        <w:adjustRightInd w:val="0"/>
        <w:spacing w:line="540" w:lineRule="exact"/>
        <w:ind w:firstLine="480" w:firstLineChars="200"/>
        <w:jc w:val="both"/>
        <w:rPr>
          <w:rFonts w:ascii="Times New Roman" w:hAnsi="Times New Roman"/>
          <w:snapToGrid w:val="0"/>
          <w:kern w:val="0"/>
          <w:sz w:val="24"/>
        </w:rPr>
      </w:pPr>
      <w:r>
        <w:rPr>
          <w:rFonts w:hint="eastAsia" w:ascii="Times New Roman" w:hAnsi="Times New Roman"/>
          <w:snapToGrid w:val="0"/>
          <w:kern w:val="0"/>
          <w:sz w:val="24"/>
        </w:rPr>
        <w:t>本项目位于</w:t>
      </w:r>
      <w:r>
        <w:rPr>
          <w:rFonts w:hint="eastAsia" w:ascii="Times New Roman" w:hAnsi="Times New Roman"/>
          <w:sz w:val="24"/>
          <w:lang w:val="sq-AL"/>
        </w:rPr>
        <w:t>固原市隆德县神林乡神林村</w:t>
      </w:r>
      <w:r>
        <w:rPr>
          <w:rFonts w:ascii="Times New Roman" w:hAnsi="Times New Roman"/>
          <w:snapToGrid w:val="0"/>
          <w:kern w:val="0"/>
          <w:sz w:val="24"/>
        </w:rPr>
        <w:t>，结合前文确定的各环境要素评价范围及现场踏勘情况，本次评价</w:t>
      </w:r>
      <w:r>
        <w:rPr>
          <w:rFonts w:hint="eastAsia" w:ascii="Times New Roman" w:hAnsi="Times New Roman"/>
          <w:snapToGrid w:val="0"/>
          <w:kern w:val="0"/>
          <w:sz w:val="24"/>
        </w:rPr>
        <w:t>不</w:t>
      </w:r>
      <w:r>
        <w:rPr>
          <w:rFonts w:ascii="Times New Roman" w:hAnsi="Times New Roman"/>
          <w:snapToGrid w:val="0"/>
          <w:kern w:val="0"/>
          <w:sz w:val="24"/>
        </w:rPr>
        <w:t>涉及的环境敏感目标。</w:t>
      </w:r>
    </w:p>
    <w:p>
      <w:pPr>
        <w:pStyle w:val="51"/>
        <w:snapToGrid w:val="0"/>
        <w:spacing w:before="120" w:beforeLines="50" w:after="120" w:afterLines="50" w:line="540" w:lineRule="exact"/>
        <w:contextualSpacing/>
        <w:rPr>
          <w:rFonts w:cs="Times New Roman"/>
          <w:bCs w:val="0"/>
          <w:snapToGrid w:val="0"/>
          <w:kern w:val="0"/>
          <w:sz w:val="30"/>
          <w:szCs w:val="30"/>
        </w:rPr>
      </w:pPr>
      <w:bookmarkStart w:id="824" w:name="_Toc8355"/>
      <w:bookmarkStart w:id="825" w:name="_Toc1559"/>
      <w:r>
        <w:rPr>
          <w:rFonts w:hint="eastAsia" w:cs="Times New Roman"/>
          <w:bCs w:val="0"/>
          <w:snapToGrid w:val="0"/>
          <w:kern w:val="0"/>
          <w:sz w:val="30"/>
          <w:szCs w:val="30"/>
        </w:rPr>
        <w:t>7</w:t>
      </w:r>
      <w:r>
        <w:rPr>
          <w:rFonts w:cs="Times New Roman"/>
          <w:bCs w:val="0"/>
          <w:snapToGrid w:val="0"/>
          <w:kern w:val="0"/>
          <w:sz w:val="30"/>
          <w:szCs w:val="30"/>
        </w:rPr>
        <w:t>.3环境风险识别</w:t>
      </w:r>
      <w:bookmarkEnd w:id="823"/>
      <w:bookmarkEnd w:id="824"/>
      <w:bookmarkEnd w:id="825"/>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826" w:name="_Toc32143"/>
      <w:r>
        <w:rPr>
          <w:rFonts w:hint="eastAsia" w:cs="Times New Roman"/>
          <w:bCs w:val="0"/>
          <w:snapToGrid w:val="0"/>
          <w:kern w:val="0"/>
          <w:sz w:val="28"/>
          <w:szCs w:val="28"/>
        </w:rPr>
        <w:t>7</w:t>
      </w:r>
      <w:r>
        <w:rPr>
          <w:rFonts w:cs="Times New Roman"/>
          <w:bCs w:val="0"/>
          <w:snapToGrid w:val="0"/>
          <w:kern w:val="0"/>
          <w:sz w:val="28"/>
          <w:szCs w:val="28"/>
        </w:rPr>
        <w:t>.3.1物质风险识别</w:t>
      </w:r>
      <w:bookmarkEnd w:id="826"/>
    </w:p>
    <w:p>
      <w:pPr>
        <w:pStyle w:val="67"/>
        <w:adjustRightInd w:val="0"/>
        <w:snapToGrid w:val="0"/>
        <w:spacing w:line="540" w:lineRule="exact"/>
        <w:ind w:firstLine="480"/>
        <w:rPr>
          <w:rFonts w:ascii="Times New Roman" w:hAnsi="Times New Roman" w:eastAsia="宋体"/>
          <w:sz w:val="24"/>
          <w:szCs w:val="32"/>
        </w:rPr>
      </w:pPr>
      <w:r>
        <w:rPr>
          <w:rFonts w:ascii="Times New Roman" w:hAnsi="Times New Roman" w:eastAsia="宋体"/>
          <w:sz w:val="24"/>
          <w:lang w:val="zh-CN"/>
        </w:rPr>
        <w:t>物质风险识别范围：主要原材料及辅助材料、燃料、中间产品、最终产品以及生产过程排放的“三废”污染物等。本项目生产过程中</w:t>
      </w:r>
      <w:r>
        <w:rPr>
          <w:rFonts w:hint="eastAsia" w:ascii="Times New Roman" w:hAnsi="Times New Roman" w:eastAsia="宋体"/>
          <w:sz w:val="24"/>
          <w:lang w:val="zh-CN"/>
        </w:rPr>
        <w:t>不</w:t>
      </w:r>
      <w:r>
        <w:rPr>
          <w:rFonts w:ascii="Times New Roman" w:hAnsi="Times New Roman" w:eastAsia="宋体"/>
          <w:sz w:val="24"/>
          <w:lang w:val="zh-CN"/>
        </w:rPr>
        <w:t>涉及风险物质</w:t>
      </w:r>
      <w:r>
        <w:rPr>
          <w:rFonts w:hint="eastAsia" w:ascii="Times New Roman" w:hAnsi="Times New Roman" w:eastAsia="宋体"/>
          <w:sz w:val="24"/>
          <w:lang w:val="zh-CN"/>
        </w:rPr>
        <w:t>。</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827" w:name="_Toc879"/>
      <w:r>
        <w:rPr>
          <w:rFonts w:hint="eastAsia" w:cs="Times New Roman"/>
          <w:bCs w:val="0"/>
          <w:snapToGrid w:val="0"/>
          <w:kern w:val="0"/>
          <w:sz w:val="28"/>
          <w:szCs w:val="28"/>
        </w:rPr>
        <w:t>7</w:t>
      </w:r>
      <w:r>
        <w:rPr>
          <w:rFonts w:cs="Times New Roman"/>
          <w:bCs w:val="0"/>
          <w:snapToGrid w:val="0"/>
          <w:kern w:val="0"/>
          <w:sz w:val="28"/>
          <w:szCs w:val="28"/>
        </w:rPr>
        <w:t>.3.2生产过程潜在危险性识别</w:t>
      </w:r>
      <w:bookmarkEnd w:id="827"/>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根据本项目特点，在运营过程中发生可能造成环境风险的因素主要有以下方面：</w:t>
      </w:r>
    </w:p>
    <w:p>
      <w:pPr>
        <w:adjustRightInd w:val="0"/>
        <w:snapToGrid w:val="0"/>
        <w:spacing w:line="540" w:lineRule="exact"/>
        <w:ind w:firstLine="480" w:firstLineChars="200"/>
        <w:rPr>
          <w:rFonts w:ascii="Times New Roman" w:hAnsi="Times New Roman"/>
          <w:kern w:val="24"/>
          <w:sz w:val="24"/>
        </w:rPr>
      </w:pPr>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kern w:val="24"/>
          <w:sz w:val="24"/>
        </w:rPr>
        <w:t>生产系统风险分析</w:t>
      </w:r>
    </w:p>
    <w:p>
      <w:pPr>
        <w:adjustRightInd w:val="0"/>
        <w:snapToGrid w:val="0"/>
        <w:spacing w:line="540" w:lineRule="exact"/>
        <w:ind w:firstLine="480" w:firstLineChars="200"/>
        <w:rPr>
          <w:rFonts w:ascii="Times New Roman" w:hAnsi="Times New Roman"/>
          <w:sz w:val="24"/>
        </w:rPr>
      </w:pPr>
      <w:bookmarkStart w:id="828" w:name="_Toc13260"/>
      <w:bookmarkStart w:id="829" w:name="_Toc4640"/>
      <w:bookmarkStart w:id="830" w:name="_Toc29888"/>
      <w:bookmarkStart w:id="831" w:name="_Toc31264"/>
      <w:bookmarkStart w:id="832" w:name="_Toc495219692"/>
      <w:r>
        <w:rPr>
          <w:rFonts w:ascii="Times New Roman" w:hAnsi="Times New Roman"/>
          <w:kern w:val="24"/>
          <w:sz w:val="24"/>
        </w:rPr>
        <w:t>项目</w:t>
      </w:r>
      <w:r>
        <w:rPr>
          <w:rFonts w:hint="eastAsia" w:ascii="Times New Roman" w:hAnsi="Times New Roman"/>
          <w:kern w:val="24"/>
          <w:sz w:val="24"/>
        </w:rPr>
        <w:t>草料棚</w:t>
      </w:r>
      <w:r>
        <w:rPr>
          <w:rFonts w:ascii="Times New Roman" w:hAnsi="Times New Roman"/>
          <w:kern w:val="24"/>
          <w:sz w:val="24"/>
        </w:rPr>
        <w:t>引起火灾、爆炸，造成厂区及其周边的人员伤亡；对环境空气造成污染以及CO扩散造成人员中毒，具有一定的环境风险。</w:t>
      </w:r>
    </w:p>
    <w:p>
      <w:pPr>
        <w:pStyle w:val="43"/>
        <w:spacing w:line="540" w:lineRule="exact"/>
        <w:rPr>
          <w:kern w:val="24"/>
        </w:rPr>
      </w:pPr>
      <w:r>
        <w:fldChar w:fldCharType="begin"/>
      </w:r>
      <w:r>
        <w:instrText xml:space="preserve"> = 2 \* GB2 \* MERGEFORMAT </w:instrText>
      </w:r>
      <w:r>
        <w:fldChar w:fldCharType="separate"/>
      </w:r>
      <w:r>
        <w:t>⑵</w:t>
      </w:r>
      <w:r>
        <w:fldChar w:fldCharType="end"/>
      </w:r>
      <w:r>
        <w:rPr>
          <w:kern w:val="24"/>
        </w:rPr>
        <w:t>环保工程风险分析</w:t>
      </w:r>
    </w:p>
    <w:p>
      <w:pPr>
        <w:pStyle w:val="43"/>
        <w:spacing w:line="540" w:lineRule="exact"/>
        <w:rPr>
          <w:kern w:val="24"/>
        </w:rPr>
      </w:pPr>
      <w:r>
        <w:rPr>
          <w:kern w:val="24"/>
        </w:rPr>
        <w:t>项目各类池体、粪污收集管道防渗设施发生故障，废水</w:t>
      </w:r>
      <w:r>
        <w:t>渗入地下</w:t>
      </w:r>
      <w:r>
        <w:rPr>
          <w:rFonts w:hint="eastAsia"/>
        </w:rPr>
        <w:t>，对区域地下水环 境造成污染隐患，具有一定的环境风险。</w:t>
      </w:r>
    </w:p>
    <w:bookmarkEnd w:id="828"/>
    <w:bookmarkEnd w:id="829"/>
    <w:bookmarkEnd w:id="830"/>
    <w:bookmarkEnd w:id="831"/>
    <w:bookmarkEnd w:id="832"/>
    <w:p>
      <w:pPr>
        <w:pStyle w:val="51"/>
        <w:snapToGrid w:val="0"/>
        <w:spacing w:before="120" w:beforeLines="50" w:after="120" w:afterLines="50" w:line="540" w:lineRule="exact"/>
        <w:contextualSpacing/>
        <w:rPr>
          <w:rFonts w:cs="Times New Roman"/>
          <w:bCs w:val="0"/>
          <w:snapToGrid w:val="0"/>
          <w:kern w:val="0"/>
          <w:sz w:val="30"/>
          <w:szCs w:val="30"/>
        </w:rPr>
      </w:pPr>
      <w:bookmarkStart w:id="833" w:name="_Toc25059"/>
      <w:bookmarkStart w:id="834" w:name="_Toc31983"/>
      <w:bookmarkStart w:id="835" w:name="_Toc17306"/>
      <w:bookmarkStart w:id="836" w:name="_Toc495219693"/>
      <w:bookmarkStart w:id="837" w:name="_Toc14500"/>
      <w:bookmarkStart w:id="838" w:name="_Toc24795"/>
      <w:bookmarkStart w:id="839" w:name="_Toc16806"/>
      <w:bookmarkStart w:id="840" w:name="_Toc28526"/>
      <w:r>
        <w:rPr>
          <w:rFonts w:hint="eastAsia" w:cs="Times New Roman"/>
          <w:bCs w:val="0"/>
          <w:snapToGrid w:val="0"/>
          <w:kern w:val="0"/>
          <w:sz w:val="30"/>
          <w:szCs w:val="30"/>
        </w:rPr>
        <w:t>7</w:t>
      </w:r>
      <w:r>
        <w:rPr>
          <w:rFonts w:cs="Times New Roman"/>
          <w:bCs w:val="0"/>
          <w:snapToGrid w:val="0"/>
          <w:kern w:val="0"/>
          <w:sz w:val="30"/>
          <w:szCs w:val="30"/>
        </w:rPr>
        <w:t>.5环境风险防范措施</w:t>
      </w:r>
      <w:bookmarkEnd w:id="833"/>
      <w:bookmarkEnd w:id="834"/>
      <w:bookmarkEnd w:id="835"/>
      <w:bookmarkEnd w:id="836"/>
      <w:bookmarkEnd w:id="837"/>
      <w:r>
        <w:rPr>
          <w:rFonts w:cs="Times New Roman"/>
          <w:bCs w:val="0"/>
          <w:snapToGrid w:val="0"/>
          <w:kern w:val="0"/>
          <w:sz w:val="30"/>
          <w:szCs w:val="30"/>
        </w:rPr>
        <w:t>及应急要求</w:t>
      </w:r>
      <w:bookmarkEnd w:id="838"/>
      <w:bookmarkEnd w:id="839"/>
      <w:bookmarkEnd w:id="840"/>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841" w:name="_Toc31914"/>
      <w:r>
        <w:rPr>
          <w:rFonts w:hint="eastAsia" w:cs="Times New Roman"/>
          <w:bCs w:val="0"/>
          <w:snapToGrid w:val="0"/>
          <w:kern w:val="0"/>
          <w:sz w:val="28"/>
          <w:szCs w:val="28"/>
        </w:rPr>
        <w:t>7</w:t>
      </w:r>
      <w:r>
        <w:rPr>
          <w:rFonts w:cs="Times New Roman"/>
          <w:bCs w:val="0"/>
          <w:snapToGrid w:val="0"/>
          <w:kern w:val="0"/>
          <w:sz w:val="28"/>
          <w:szCs w:val="28"/>
        </w:rPr>
        <w:t>.5.</w:t>
      </w:r>
      <w:r>
        <w:rPr>
          <w:rFonts w:hint="eastAsia" w:cs="Times New Roman"/>
          <w:bCs w:val="0"/>
          <w:snapToGrid w:val="0"/>
          <w:kern w:val="0"/>
          <w:sz w:val="28"/>
          <w:szCs w:val="28"/>
        </w:rPr>
        <w:t>1</w:t>
      </w:r>
      <w:r>
        <w:rPr>
          <w:rFonts w:cs="Times New Roman"/>
          <w:bCs w:val="0"/>
          <w:snapToGrid w:val="0"/>
          <w:kern w:val="0"/>
          <w:sz w:val="28"/>
          <w:szCs w:val="28"/>
        </w:rPr>
        <w:t>粪污发生泄漏的风险防范措施</w:t>
      </w:r>
      <w:bookmarkEnd w:id="841"/>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w:t>
      </w:r>
      <w:r>
        <w:rPr>
          <w:rFonts w:hint="eastAsia" w:ascii="Times New Roman" w:hAnsi="Times New Roman"/>
          <w:sz w:val="24"/>
          <w:lang w:eastAsia="zh-CN"/>
        </w:rPr>
        <w:t>积粪场非正常工况下泄漏</w:t>
      </w:r>
      <w:r>
        <w:rPr>
          <w:rFonts w:ascii="Times New Roman" w:hAnsi="Times New Roman"/>
          <w:sz w:val="24"/>
        </w:rPr>
        <w:t>，会对厂区地下水造成污染。因此需采取以下防范措施：</w:t>
      </w:r>
    </w:p>
    <w:p>
      <w:pPr>
        <w:pStyle w:val="2"/>
        <w:adjustRightInd w:val="0"/>
        <w:spacing w:line="540" w:lineRule="exact"/>
        <w:ind w:firstLine="480" w:firstLineChars="200"/>
        <w:jc w:val="both"/>
        <w:rPr>
          <w:rFonts w:ascii="Times New Roman" w:hAnsi="Times New Roman"/>
          <w:sz w:val="24"/>
        </w:rPr>
      </w:pPr>
      <w:r>
        <w:rPr>
          <w:rFonts w:hint="eastAsia" w:ascii="Times New Roman" w:hAnsi="Times New Roman"/>
          <w:sz w:val="24"/>
        </w:rPr>
        <w:t>（1）</w:t>
      </w:r>
      <w:r>
        <w:rPr>
          <w:rFonts w:ascii="Times New Roman" w:hAnsi="Times New Roman"/>
          <w:sz w:val="24"/>
        </w:rPr>
        <w:t>厂区设立专门的安环部门及主管人员，制定相应的环保制度，对厂区环保设施进行专门的管理，防止发生泄漏等突发环境事件。</w:t>
      </w:r>
    </w:p>
    <w:p>
      <w:pPr>
        <w:pStyle w:val="2"/>
        <w:adjustRightInd w:val="0"/>
        <w:spacing w:line="540" w:lineRule="exact"/>
        <w:ind w:firstLine="480" w:firstLineChars="200"/>
        <w:jc w:val="both"/>
        <w:rPr>
          <w:rFonts w:ascii="Times New Roman" w:hAnsi="Times New Roman"/>
          <w:sz w:val="24"/>
        </w:rPr>
      </w:pPr>
      <w:r>
        <w:rPr>
          <w:rFonts w:hint="eastAsia" w:ascii="Times New Roman" w:hAnsi="Times New Roman"/>
          <w:sz w:val="24"/>
        </w:rPr>
        <w:t>（2）</w:t>
      </w:r>
      <w:r>
        <w:rPr>
          <w:rFonts w:hint="eastAsia" w:ascii="Times New Roman" w:hAnsi="Times New Roman"/>
          <w:sz w:val="24"/>
          <w:lang w:eastAsia="zh-CN"/>
        </w:rPr>
        <w:t>积粪场</w:t>
      </w:r>
      <w:r>
        <w:rPr>
          <w:rFonts w:ascii="Times New Roman" w:hAnsi="Times New Roman"/>
          <w:sz w:val="24"/>
        </w:rPr>
        <w:t>设置防雨顶棚，周围设置围墙，地面进行防渗处理。</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842" w:name="_Toc31507"/>
      <w:r>
        <w:rPr>
          <w:rFonts w:hint="eastAsia" w:cs="Times New Roman"/>
          <w:bCs w:val="0"/>
          <w:snapToGrid w:val="0"/>
          <w:kern w:val="0"/>
          <w:sz w:val="28"/>
          <w:szCs w:val="28"/>
        </w:rPr>
        <w:t>7</w:t>
      </w:r>
      <w:r>
        <w:rPr>
          <w:rFonts w:cs="Times New Roman"/>
          <w:bCs w:val="0"/>
          <w:snapToGrid w:val="0"/>
          <w:kern w:val="0"/>
          <w:sz w:val="28"/>
          <w:szCs w:val="28"/>
        </w:rPr>
        <w:t>.5.</w:t>
      </w:r>
      <w:r>
        <w:rPr>
          <w:rFonts w:hint="eastAsia" w:cs="Times New Roman"/>
          <w:bCs w:val="0"/>
          <w:snapToGrid w:val="0"/>
          <w:kern w:val="0"/>
          <w:sz w:val="28"/>
          <w:szCs w:val="28"/>
        </w:rPr>
        <w:t>2</w:t>
      </w:r>
      <w:r>
        <w:rPr>
          <w:rFonts w:cs="Times New Roman"/>
          <w:bCs w:val="0"/>
          <w:snapToGrid w:val="0"/>
          <w:kern w:val="0"/>
          <w:sz w:val="28"/>
          <w:szCs w:val="28"/>
        </w:rPr>
        <w:t>养殖场发生疫情的风险防范措施</w:t>
      </w:r>
      <w:bookmarkEnd w:id="842"/>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动物疫病防治工作关系食品安全和公共卫生安全，关系社会和谐稳定。在牧场生产中应坚持“防病重于治病”的方针，防止牛群疫病的发生，特别是传染病、代谢病，使牛群更好地发挥生长性能，提高养牛的经济效益。</w:t>
      </w:r>
    </w:p>
    <w:p>
      <w:pPr>
        <w:adjustRightInd w:val="0"/>
        <w:snapToGrid w:val="0"/>
        <w:spacing w:line="540" w:lineRule="exact"/>
        <w:ind w:firstLine="481" w:firstLineChars="200"/>
        <w:rPr>
          <w:rFonts w:ascii="Times New Roman" w:hAnsi="Times New Roman"/>
          <w:b/>
          <w:bCs/>
          <w:sz w:val="24"/>
          <w:szCs w:val="32"/>
        </w:rPr>
      </w:pPr>
      <w:r>
        <w:rPr>
          <w:rFonts w:ascii="Times New Roman" w:hAnsi="Times New Roman"/>
          <w:b/>
          <w:bCs/>
          <w:sz w:val="24"/>
          <w:szCs w:val="32"/>
        </w:rPr>
        <w:t>1、加强检疫</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⑴</w:t>
      </w:r>
      <w:r>
        <w:rPr>
          <w:rFonts w:hint="eastAsia" w:ascii="Times New Roman" w:hAnsi="Times New Roman"/>
          <w:sz w:val="24"/>
          <w:szCs w:val="32"/>
        </w:rPr>
        <w:t>基础母牛</w:t>
      </w:r>
      <w:r>
        <w:rPr>
          <w:rFonts w:ascii="Times New Roman" w:hAnsi="Times New Roman"/>
          <w:sz w:val="24"/>
          <w:szCs w:val="32"/>
        </w:rPr>
        <w:t>购买及检验</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购买的</w:t>
      </w:r>
      <w:r>
        <w:rPr>
          <w:rFonts w:hint="eastAsia" w:ascii="Times New Roman" w:hAnsi="Times New Roman"/>
          <w:sz w:val="24"/>
          <w:szCs w:val="32"/>
        </w:rPr>
        <w:t>基础母牛</w:t>
      </w:r>
      <w:r>
        <w:rPr>
          <w:rFonts w:ascii="Times New Roman" w:hAnsi="Times New Roman"/>
          <w:sz w:val="24"/>
          <w:szCs w:val="32"/>
        </w:rPr>
        <w:t>必须取得官方的检疫证和非疫区证明，防止口蹄疫、</w:t>
      </w:r>
      <w:r>
        <w:rPr>
          <w:rFonts w:hint="eastAsia" w:ascii="Times New Roman" w:hAnsi="Times New Roman"/>
          <w:sz w:val="24"/>
          <w:szCs w:val="32"/>
        </w:rPr>
        <w:t>肉牛</w:t>
      </w:r>
      <w:r>
        <w:rPr>
          <w:rFonts w:ascii="Times New Roman" w:hAnsi="Times New Roman"/>
          <w:sz w:val="24"/>
          <w:szCs w:val="32"/>
        </w:rPr>
        <w:t>结核病及其它传染病传播。</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⑵同步检疫</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对</w:t>
      </w:r>
      <w:r>
        <w:rPr>
          <w:rFonts w:hint="eastAsia" w:ascii="Times New Roman" w:hAnsi="Times New Roman"/>
          <w:sz w:val="24"/>
          <w:szCs w:val="32"/>
        </w:rPr>
        <w:t>养牛</w:t>
      </w:r>
      <w:r>
        <w:rPr>
          <w:rFonts w:ascii="Times New Roman" w:hAnsi="Times New Roman"/>
          <w:sz w:val="24"/>
          <w:szCs w:val="32"/>
        </w:rPr>
        <w:t>厂常见传染病、我国已扑灭的疾病和外来病制定疫病监控方案；与当地畜牧兽医行政管理部门建立定期的疫病监督抽查报告制度。</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每次免疫和检疫结果要有完整的记录，检疫与检测报告妥善保管。</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⑶操作人员体检</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定期进行从业人员的体检。从业人员上岗必须穿戴规定的服饰并做到定期清洗和消毒。加强从业人员的职业卫生教育，严格操作的规章制度，从而减少人为的影响产品卫生的因素。</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⑷应急措施</w:t>
      </w:r>
    </w:p>
    <w:p>
      <w:pPr>
        <w:adjustRightInd w:val="0"/>
        <w:snapToGrid w:val="0"/>
        <w:spacing w:line="540" w:lineRule="exact"/>
        <w:ind w:firstLine="480" w:firstLineChars="200"/>
        <w:rPr>
          <w:rFonts w:ascii="Times New Roman" w:hAnsi="Times New Roman"/>
          <w:sz w:val="24"/>
          <w:szCs w:val="32"/>
        </w:rPr>
      </w:pPr>
      <w:r>
        <w:rPr>
          <w:rFonts w:hint="eastAsia" w:ascii="Times New Roman" w:hAnsi="Times New Roman"/>
          <w:sz w:val="24"/>
          <w:szCs w:val="32"/>
          <w:lang w:eastAsia="zh-CN"/>
        </w:rPr>
        <w:t>建设隔离圈，调入牛实行隔离管擦制度。</w:t>
      </w:r>
      <w:r>
        <w:rPr>
          <w:rFonts w:ascii="Times New Roman" w:hAnsi="Times New Roman"/>
          <w:sz w:val="24"/>
          <w:szCs w:val="32"/>
        </w:rPr>
        <w:t>经检验不合</w:t>
      </w:r>
      <w:r>
        <w:rPr>
          <w:rFonts w:ascii="Times New Roman" w:hAnsi="Times New Roman"/>
          <w:sz w:val="24"/>
          <w:szCs w:val="32"/>
          <w:highlight w:val="none"/>
        </w:rPr>
        <w:t>格的</w:t>
      </w:r>
      <w:r>
        <w:rPr>
          <w:rFonts w:hint="eastAsia" w:ascii="Times New Roman" w:hAnsi="Times New Roman"/>
          <w:sz w:val="24"/>
          <w:szCs w:val="32"/>
          <w:highlight w:val="none"/>
          <w:lang w:eastAsia="zh-CN"/>
        </w:rPr>
        <w:t>基础母</w:t>
      </w:r>
      <w:r>
        <w:rPr>
          <w:rFonts w:hint="eastAsia" w:ascii="Times New Roman" w:hAnsi="Times New Roman"/>
          <w:sz w:val="24"/>
          <w:szCs w:val="32"/>
          <w:highlight w:val="none"/>
        </w:rPr>
        <w:t>牛</w:t>
      </w:r>
      <w:r>
        <w:rPr>
          <w:rFonts w:ascii="Times New Roman" w:hAnsi="Times New Roman"/>
          <w:sz w:val="24"/>
          <w:szCs w:val="32"/>
          <w:highlight w:val="none"/>
        </w:rPr>
        <w:t>应遵循《</w:t>
      </w:r>
      <w:r>
        <w:rPr>
          <w:rFonts w:ascii="Times New Roman" w:hAnsi="Times New Roman"/>
          <w:sz w:val="24"/>
          <w:szCs w:val="32"/>
        </w:rPr>
        <w:t>畜禽养殖业污染防治技术规范》（HJ/T81-2001）进行处理。检疫时如发现传染病传播，立即将其隔离，装袋，按有关规定进行处理。本项目病死牛均按照该规则进行安全处置，如果养殖场发生疫情，应立即对养殖场进行</w:t>
      </w:r>
      <w:r>
        <w:rPr>
          <w:rFonts w:hint="eastAsia" w:ascii="Times New Roman" w:hAnsi="Times New Roman"/>
          <w:sz w:val="24"/>
          <w:szCs w:val="32"/>
          <w:lang w:eastAsia="zh-CN"/>
        </w:rPr>
        <w:t>封锁</w:t>
      </w:r>
      <w:r>
        <w:rPr>
          <w:rFonts w:ascii="Times New Roman" w:hAnsi="Times New Roman"/>
          <w:sz w:val="24"/>
          <w:szCs w:val="32"/>
        </w:rPr>
        <w:t>，并采取消毒措施，同时对染病牛只</w:t>
      </w:r>
      <w:r>
        <w:rPr>
          <w:rFonts w:hint="eastAsia" w:ascii="Times New Roman" w:hAnsi="Times New Roman"/>
          <w:sz w:val="24"/>
          <w:szCs w:val="32"/>
        </w:rPr>
        <w:t>送当地有资质单位无害化处理</w:t>
      </w:r>
      <w:r>
        <w:rPr>
          <w:rFonts w:ascii="Times New Roman" w:hAnsi="Times New Roman"/>
          <w:sz w:val="24"/>
          <w:szCs w:val="32"/>
        </w:rPr>
        <w:t>，并同步报告相关部门，以便采取进一步的措施，防治疫情的扩散。</w:t>
      </w:r>
    </w:p>
    <w:p>
      <w:pPr>
        <w:adjustRightInd w:val="0"/>
        <w:snapToGrid w:val="0"/>
        <w:spacing w:line="540" w:lineRule="exact"/>
        <w:ind w:firstLine="481" w:firstLineChars="200"/>
        <w:rPr>
          <w:rFonts w:ascii="Times New Roman" w:hAnsi="Times New Roman"/>
          <w:b/>
          <w:bCs/>
          <w:sz w:val="24"/>
          <w:szCs w:val="32"/>
        </w:rPr>
      </w:pPr>
      <w:r>
        <w:rPr>
          <w:rFonts w:ascii="Times New Roman" w:hAnsi="Times New Roman"/>
          <w:b/>
          <w:bCs/>
          <w:sz w:val="24"/>
          <w:szCs w:val="32"/>
        </w:rPr>
        <w:t>2、免疫接种</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按要求进行免疫接种，预防疫病发生。</w:t>
      </w:r>
    </w:p>
    <w:p>
      <w:pPr>
        <w:adjustRightInd w:val="0"/>
        <w:snapToGrid w:val="0"/>
        <w:spacing w:line="540" w:lineRule="exact"/>
        <w:ind w:firstLine="481" w:firstLineChars="200"/>
        <w:rPr>
          <w:rFonts w:ascii="Times New Roman" w:hAnsi="Times New Roman"/>
          <w:b/>
          <w:bCs/>
          <w:sz w:val="24"/>
          <w:szCs w:val="32"/>
        </w:rPr>
      </w:pPr>
      <w:r>
        <w:rPr>
          <w:rFonts w:ascii="Times New Roman" w:hAnsi="Times New Roman"/>
          <w:b/>
          <w:bCs/>
          <w:sz w:val="24"/>
          <w:szCs w:val="32"/>
        </w:rPr>
        <w:t>3、疫病预防</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⑴牛场应将生产区与生活区分开。生产区门口应设置消毒池和消毒室（内设紫外线灯等消毒设施），消毒池内应常年保持2%～4%氢氧化钠溶液等消毒药。</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⑵严格控制非生产人员进入生产区，必须进入时应更换工作服及鞋帽，经消毒室消毒后才能进入。</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⑶饲养人员每年应至少进行一次体格检查，如发现患有危害人、牛的传染病者，应及时调离，以防传染。</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⑷及时清扫牛棚，经常保持牛棚、牛体的清洁，牛棚还应保持平整、干燥、无污物(如砖块、石头、炉渣、废弃塑料袋等)。牛栏大小设计要合理，牛床设计尽量考虑牛卧床时的舒适，牛床应铺上垫草，沙子，锯末等材料以保持松软，坚硬的牛床易损伤乳房，引起感染。</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⑸每年春、秋季各检查和整蹄一次，对患有肢蹄病的牛要及时治疗。蹄病高发季节，应每周用5%硫酸铜溶液喷洒蹄部2次，以减少蹄病的发生，对蹄病高发牛群要关注整个牛群状况。</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⑹定期检测各类饲料成分，经常检查、调整、平衡</w:t>
      </w:r>
      <w:r>
        <w:rPr>
          <w:rFonts w:hint="eastAsia" w:ascii="Times New Roman" w:hAnsi="Times New Roman"/>
          <w:sz w:val="24"/>
          <w:szCs w:val="32"/>
        </w:rPr>
        <w:t>肉牛</w:t>
      </w:r>
      <w:r>
        <w:rPr>
          <w:rFonts w:ascii="Times New Roman" w:hAnsi="Times New Roman"/>
          <w:sz w:val="24"/>
          <w:szCs w:val="32"/>
        </w:rPr>
        <w:t>日粮的营养，特别是蹄病发生率达15%以上时。</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⑺</w:t>
      </w:r>
      <w:r>
        <w:rPr>
          <w:rFonts w:hint="eastAsia" w:ascii="Times New Roman" w:hAnsi="Times New Roman"/>
          <w:sz w:val="24"/>
          <w:szCs w:val="32"/>
          <w:lang w:eastAsia="zh-CN"/>
        </w:rPr>
        <w:t>积粪场</w:t>
      </w:r>
      <w:r>
        <w:rPr>
          <w:rFonts w:ascii="Times New Roman" w:hAnsi="Times New Roman"/>
          <w:sz w:val="24"/>
          <w:szCs w:val="32"/>
        </w:rPr>
        <w:t>夏季时易滋生蚊虫，在场区安装灭蚊灯，防止蚊虫叮咬造成疾病的传播。</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⑻健全检验、检疫制度，强化检验、检疫手段，场部设技术科、实验室，配备兽医，加强对疾病的预防和医治。</w:t>
      </w:r>
    </w:p>
    <w:p>
      <w:pPr>
        <w:adjustRightInd w:val="0"/>
        <w:snapToGrid w:val="0"/>
        <w:spacing w:line="540" w:lineRule="exact"/>
        <w:ind w:firstLine="481" w:firstLineChars="200"/>
        <w:rPr>
          <w:rFonts w:ascii="Times New Roman" w:hAnsi="Times New Roman"/>
          <w:b/>
          <w:bCs/>
          <w:sz w:val="24"/>
          <w:szCs w:val="32"/>
        </w:rPr>
      </w:pPr>
      <w:r>
        <w:rPr>
          <w:rFonts w:ascii="Times New Roman" w:hAnsi="Times New Roman"/>
          <w:b/>
          <w:bCs/>
          <w:sz w:val="24"/>
          <w:szCs w:val="32"/>
        </w:rPr>
        <w:t>4、疫病的扑灭</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在养殖厂发生疫病或怀疑发生疫病时根据《中华人民共和国动物防疫法》及时采取措施、及时诊断、及时报告。如发现传染疫情，对牛群实施严格的隔离、扑杀措施并追踪调查病牛的亲代和子代，对牛群实施清群和净化措施。对患有传染性疾病的牛</w:t>
      </w:r>
      <w:r>
        <w:rPr>
          <w:rFonts w:hint="eastAsia" w:ascii="Times New Roman" w:hAnsi="Times New Roman"/>
          <w:sz w:val="24"/>
          <w:szCs w:val="32"/>
        </w:rPr>
        <w:t>只</w:t>
      </w:r>
      <w:r>
        <w:rPr>
          <w:rFonts w:ascii="Times New Roman" w:hAnsi="Times New Roman"/>
          <w:sz w:val="24"/>
          <w:szCs w:val="32"/>
        </w:rPr>
        <w:t>，应及时隔离并尽快确诊，同时对病牛的分泌物、粪便、剩余饲料、褥草及剖析的病变部分等焚烧深埋无害化处理。</w:t>
      </w:r>
    </w:p>
    <w:p>
      <w:pPr>
        <w:adjustRightInd w:val="0"/>
        <w:snapToGrid w:val="0"/>
        <w:spacing w:line="540" w:lineRule="exact"/>
        <w:ind w:firstLine="481" w:firstLineChars="200"/>
        <w:rPr>
          <w:rFonts w:ascii="Times New Roman" w:hAnsi="Times New Roman"/>
          <w:b/>
          <w:bCs/>
          <w:sz w:val="24"/>
          <w:szCs w:val="32"/>
        </w:rPr>
      </w:pPr>
      <w:r>
        <w:rPr>
          <w:rFonts w:ascii="Times New Roman" w:hAnsi="Times New Roman"/>
          <w:b/>
          <w:bCs/>
          <w:sz w:val="24"/>
          <w:szCs w:val="32"/>
        </w:rPr>
        <w:t>5、建立并保存</w:t>
      </w:r>
      <w:r>
        <w:rPr>
          <w:rFonts w:hint="eastAsia" w:ascii="Times New Roman" w:hAnsi="Times New Roman"/>
          <w:b/>
          <w:bCs/>
          <w:sz w:val="24"/>
          <w:szCs w:val="32"/>
        </w:rPr>
        <w:t>基础母牛</w:t>
      </w:r>
      <w:r>
        <w:rPr>
          <w:rFonts w:ascii="Times New Roman" w:hAnsi="Times New Roman"/>
          <w:b/>
          <w:bCs/>
          <w:sz w:val="24"/>
          <w:szCs w:val="32"/>
        </w:rPr>
        <w:t>用药档案</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免疫与检疫时仔细看清各种生物制剂的名称、批号、有效期、免疫单位、剂量等，以防影响免疫效期。严格把握允许使用药物、慎用药物和禁用药物的规定。</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企业建立完善的防治防疫体系并按照疫病防治措施严格执行，可保证疫病风险降低在可接受的范围之内。</w:t>
      </w:r>
    </w:p>
    <w:p>
      <w:pPr>
        <w:adjustRightInd w:val="0"/>
        <w:snapToGrid w:val="0"/>
        <w:spacing w:line="540" w:lineRule="exact"/>
        <w:ind w:firstLine="481" w:firstLineChars="200"/>
        <w:rPr>
          <w:rFonts w:ascii="Times New Roman" w:hAnsi="Times New Roman"/>
          <w:b/>
          <w:bCs/>
          <w:sz w:val="24"/>
          <w:szCs w:val="32"/>
        </w:rPr>
      </w:pPr>
      <w:r>
        <w:rPr>
          <w:rFonts w:ascii="Times New Roman" w:hAnsi="Times New Roman"/>
          <w:b/>
          <w:bCs/>
          <w:sz w:val="24"/>
          <w:szCs w:val="32"/>
        </w:rPr>
        <w:t>6、发生疫情时的紧急防制措施</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⑴应立即组成防疫小组，尽快做出确切诊断，并在第一时间迅速向有关上级部门（区</w:t>
      </w:r>
      <w:r>
        <w:rPr>
          <w:rFonts w:hint="eastAsia" w:ascii="Times New Roman" w:hAnsi="Times New Roman"/>
          <w:sz w:val="24"/>
          <w:szCs w:val="32"/>
          <w:lang w:eastAsia="zh-CN"/>
        </w:rPr>
        <w:t>、市、县动物</w:t>
      </w:r>
      <w:r>
        <w:rPr>
          <w:rFonts w:ascii="Times New Roman" w:hAnsi="Times New Roman"/>
          <w:sz w:val="24"/>
          <w:szCs w:val="32"/>
        </w:rPr>
        <w:t>卫生监督所、动物疾病预防控制中心和兽医行政主管部门）报告疫情。</w:t>
      </w:r>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⑵迅速隔离病牛，对危害较重的传染病应及时划区封锁，建立封锁带，出入人员和车辆要严格消毒，同时严格消毒污染环境。解除封锁的条件是在最后一头病牛痊愈或安全处置后两个潜伏期内再无新病例出现，经过全面大消毒，报上级主管部门批准，方可解除封锁。</w:t>
      </w:r>
    </w:p>
    <w:p>
      <w:pPr>
        <w:adjustRightInd w:val="0"/>
        <w:snapToGrid w:val="0"/>
        <w:spacing w:line="540" w:lineRule="exact"/>
        <w:ind w:firstLine="480" w:firstLineChars="200"/>
        <w:rPr>
          <w:rFonts w:ascii="Times New Roman" w:hAnsi="Times New Roman"/>
          <w:color w:val="FF0000"/>
          <w:sz w:val="24"/>
          <w:szCs w:val="32"/>
        </w:rPr>
      </w:pPr>
      <w:r>
        <w:rPr>
          <w:rFonts w:ascii="Times New Roman" w:hAnsi="Times New Roman"/>
          <w:sz w:val="24"/>
          <w:szCs w:val="32"/>
        </w:rPr>
        <w:t>⑶对病牛及封锁区内的牛只实行合理的综合防制措施，</w:t>
      </w:r>
      <w:r>
        <w:rPr>
          <w:rFonts w:ascii="Times New Roman" w:hAnsi="Times New Roman"/>
          <w:color w:val="FF0000"/>
          <w:sz w:val="24"/>
          <w:szCs w:val="32"/>
        </w:rPr>
        <w:t>包括疫苗的紧急接种、</w:t>
      </w:r>
      <w:r>
        <w:rPr>
          <w:rFonts w:hint="eastAsia" w:ascii="Times New Roman" w:hAnsi="Times New Roman"/>
          <w:color w:val="FF0000"/>
          <w:sz w:val="24"/>
          <w:szCs w:val="32"/>
          <w:lang w:eastAsia="zh-CN"/>
        </w:rPr>
        <w:t>隔离观察、检测、消毒、扑杀无害化处理</w:t>
      </w:r>
      <w:r>
        <w:rPr>
          <w:rFonts w:ascii="Times New Roman" w:hAnsi="Times New Roman"/>
          <w:color w:val="FF0000"/>
          <w:sz w:val="24"/>
          <w:szCs w:val="32"/>
        </w:rPr>
        <w:t>等。</w:t>
      </w:r>
    </w:p>
    <w:p>
      <w:pPr>
        <w:adjustRightInd w:val="0"/>
        <w:snapToGrid w:val="0"/>
        <w:spacing w:line="540" w:lineRule="exact"/>
        <w:ind w:firstLine="480" w:firstLineChars="200"/>
        <w:rPr>
          <w:rFonts w:ascii="Times New Roman" w:hAnsi="Times New Roman"/>
          <w:color w:val="FF0000"/>
          <w:sz w:val="24"/>
          <w:szCs w:val="32"/>
        </w:rPr>
      </w:pPr>
      <w:r>
        <w:rPr>
          <w:rFonts w:ascii="Times New Roman" w:hAnsi="Times New Roman"/>
          <w:sz w:val="24"/>
          <w:szCs w:val="32"/>
        </w:rPr>
        <w:t>⑷病死牛尸体要严格按照防疫条例进行处置。同时根据《畜禽养殖业污染治理工程技术规范》（HJ497-2009）和《畜禽养殖业污染防治技术规范》（HJ/T81-2001）中的有关规定，病死禽尸体要及时处理，严禁随意丢弃、严禁出售或作为饲料再利用</w:t>
      </w:r>
      <w:r>
        <w:rPr>
          <w:rFonts w:ascii="Times New Roman" w:hAnsi="Times New Roman"/>
          <w:color w:val="FF0000"/>
          <w:sz w:val="24"/>
          <w:szCs w:val="32"/>
        </w:rPr>
        <w:t>，应</w:t>
      </w:r>
      <w:r>
        <w:rPr>
          <w:rFonts w:hint="eastAsia" w:ascii="Times New Roman" w:hAnsi="Times New Roman"/>
          <w:color w:val="FF0000"/>
          <w:sz w:val="24"/>
          <w:szCs w:val="32"/>
          <w:lang w:eastAsia="zh-CN"/>
        </w:rPr>
        <w:t>无害化</w:t>
      </w:r>
      <w:r>
        <w:rPr>
          <w:rFonts w:ascii="Times New Roman" w:hAnsi="Times New Roman"/>
          <w:color w:val="FF0000"/>
          <w:sz w:val="24"/>
          <w:szCs w:val="32"/>
        </w:rPr>
        <w:t>处理。</w:t>
      </w:r>
    </w:p>
    <w:p>
      <w:pPr>
        <w:adjustRightInd w:val="0"/>
        <w:snapToGrid w:val="0"/>
        <w:spacing w:line="540" w:lineRule="exact"/>
        <w:ind w:firstLine="480" w:firstLineChars="200"/>
        <w:rPr>
          <w:rFonts w:ascii="Times New Roman" w:hAnsi="Times New Roman"/>
          <w:sz w:val="24"/>
        </w:rPr>
      </w:pPr>
      <w:r>
        <w:rPr>
          <w:rFonts w:ascii="Times New Roman" w:hAnsi="Times New Roman"/>
          <w:sz w:val="24"/>
          <w:szCs w:val="32"/>
        </w:rPr>
        <w:t>⑸出</w:t>
      </w:r>
      <w:r>
        <w:rPr>
          <w:rFonts w:ascii="Times New Roman" w:hAnsi="Times New Roman"/>
          <w:color w:val="FF0000"/>
          <w:sz w:val="24"/>
          <w:szCs w:val="32"/>
        </w:rPr>
        <w:t>现重大疫情时必须严格执行《重大动物疫情应急条例》中相关规定</w:t>
      </w:r>
      <w:r>
        <w:rPr>
          <w:rFonts w:hint="eastAsia" w:ascii="Times New Roman" w:hAnsi="Times New Roman"/>
          <w:color w:val="FF0000"/>
          <w:sz w:val="24"/>
          <w:szCs w:val="32"/>
          <w:lang w:eastAsia="zh-CN"/>
        </w:rPr>
        <w:t>，配合业务部门科学快速处置疫情</w:t>
      </w:r>
      <w:r>
        <w:rPr>
          <w:rFonts w:ascii="Times New Roman" w:hAnsi="Times New Roman"/>
          <w:color w:val="FF0000"/>
          <w:sz w:val="24"/>
          <w:szCs w:val="32"/>
        </w:rPr>
        <w:t>。</w:t>
      </w:r>
    </w:p>
    <w:p>
      <w:pPr>
        <w:pStyle w:val="51"/>
        <w:snapToGrid w:val="0"/>
        <w:spacing w:before="120" w:beforeLines="50" w:after="120" w:afterLines="50" w:line="540" w:lineRule="exact"/>
        <w:contextualSpacing/>
        <w:rPr>
          <w:rFonts w:cs="Times New Roman"/>
          <w:bCs w:val="0"/>
          <w:snapToGrid w:val="0"/>
          <w:kern w:val="0"/>
          <w:sz w:val="30"/>
          <w:szCs w:val="30"/>
        </w:rPr>
      </w:pPr>
      <w:bookmarkStart w:id="843" w:name="_Toc22325"/>
      <w:bookmarkStart w:id="844" w:name="_Toc10046"/>
      <w:bookmarkStart w:id="845" w:name="_Toc495219694"/>
      <w:bookmarkStart w:id="846" w:name="_Toc23948"/>
      <w:bookmarkStart w:id="847" w:name="_Toc13316"/>
      <w:bookmarkStart w:id="848" w:name="_Toc30932"/>
      <w:bookmarkStart w:id="849" w:name="_Toc44"/>
      <w:bookmarkStart w:id="850" w:name="_Toc19012"/>
      <w:r>
        <w:rPr>
          <w:rFonts w:hint="eastAsia" w:cs="Times New Roman"/>
          <w:bCs w:val="0"/>
          <w:snapToGrid w:val="0"/>
          <w:kern w:val="0"/>
          <w:sz w:val="30"/>
          <w:szCs w:val="30"/>
        </w:rPr>
        <w:t>7</w:t>
      </w:r>
      <w:r>
        <w:rPr>
          <w:rFonts w:cs="Times New Roman"/>
          <w:bCs w:val="0"/>
          <w:snapToGrid w:val="0"/>
          <w:kern w:val="0"/>
          <w:sz w:val="30"/>
          <w:szCs w:val="30"/>
        </w:rPr>
        <w:t>.6风险事故应急预案</w:t>
      </w:r>
      <w:bookmarkEnd w:id="843"/>
      <w:bookmarkEnd w:id="844"/>
      <w:bookmarkEnd w:id="845"/>
      <w:bookmarkEnd w:id="846"/>
      <w:bookmarkEnd w:id="847"/>
      <w:bookmarkEnd w:id="848"/>
      <w:bookmarkEnd w:id="849"/>
      <w:bookmarkEnd w:id="850"/>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为保证风险事故的应急工作能及时有序地开展，本环评要求项目建设单位制定风险应急预案。通过预案的编制，建立反应灵敏，运转有效的应对突发事故的指挥系统和处置体系，力求预案贴近实际，可操作性强，一旦突发风险事故，能按本预案协同联动，果断处置，将损失降至最低。</w:t>
      </w:r>
    </w:p>
    <w:p>
      <w:pPr>
        <w:adjustRightInd w:val="0"/>
        <w:snapToGrid w:val="0"/>
        <w:spacing w:line="540" w:lineRule="exact"/>
        <w:ind w:firstLine="480" w:firstLineChars="200"/>
        <w:rPr>
          <w:rFonts w:ascii="Times New Roman" w:hAnsi="Times New Roman"/>
          <w:bCs/>
          <w:szCs w:val="22"/>
        </w:rPr>
      </w:pPr>
      <w:r>
        <w:rPr>
          <w:rFonts w:ascii="Times New Roman" w:hAnsi="Times New Roman"/>
          <w:sz w:val="24"/>
          <w:szCs w:val="32"/>
        </w:rPr>
        <w:t>应急预案应包括表</w:t>
      </w:r>
      <w:r>
        <w:rPr>
          <w:rFonts w:hint="eastAsia" w:ascii="Times New Roman" w:hAnsi="Times New Roman"/>
          <w:sz w:val="24"/>
          <w:szCs w:val="32"/>
        </w:rPr>
        <w:t>7.6-1</w:t>
      </w:r>
      <w:r>
        <w:rPr>
          <w:rFonts w:ascii="Times New Roman" w:hAnsi="Times New Roman"/>
          <w:sz w:val="24"/>
          <w:szCs w:val="32"/>
        </w:rPr>
        <w:t>的内容</w:t>
      </w:r>
    </w:p>
    <w:p>
      <w:pPr>
        <w:adjustRightInd w:val="0"/>
        <w:snapToGrid w:val="0"/>
        <w:jc w:val="center"/>
        <w:rPr>
          <w:rFonts w:ascii="Times New Roman" w:hAnsi="Times New Roman"/>
          <w:b/>
          <w:bCs/>
          <w:szCs w:val="22"/>
        </w:rPr>
      </w:pPr>
      <w:r>
        <w:rPr>
          <w:rFonts w:ascii="Times New Roman" w:hAnsi="Times New Roman"/>
          <w:b/>
          <w:bCs/>
          <w:sz w:val="24"/>
          <w:szCs w:val="28"/>
        </w:rPr>
        <w:t>表</w:t>
      </w:r>
      <w:r>
        <w:rPr>
          <w:rFonts w:hint="eastAsia" w:ascii="Times New Roman" w:hAnsi="Times New Roman"/>
          <w:b/>
          <w:bCs/>
          <w:sz w:val="24"/>
          <w:szCs w:val="28"/>
        </w:rPr>
        <w:t>7.6-1</w:t>
      </w:r>
      <w:r>
        <w:rPr>
          <w:rFonts w:ascii="Times New Roman" w:hAnsi="Times New Roman"/>
          <w:b/>
          <w:bCs/>
          <w:sz w:val="24"/>
          <w:szCs w:val="28"/>
        </w:rPr>
        <w:t xml:space="preserve">                    环境风险应急预案内容一览表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6"/>
        <w:gridCol w:w="2154"/>
        <w:gridCol w:w="62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80" w:type="dxa"/>
            <w:vAlign w:val="center"/>
          </w:tcPr>
          <w:p>
            <w:pPr>
              <w:adjustRightInd w:val="0"/>
              <w:snapToGrid w:val="0"/>
              <w:jc w:val="center"/>
              <w:outlineLvl w:val="4"/>
              <w:rPr>
                <w:rFonts w:ascii="Times New Roman" w:hAnsi="Times New Roman"/>
                <w:b/>
                <w:bCs/>
                <w:iCs/>
                <w:kern w:val="0"/>
                <w:szCs w:val="21"/>
              </w:rPr>
            </w:pPr>
            <w:r>
              <w:rPr>
                <w:rFonts w:ascii="Times New Roman" w:hAnsi="Times New Roman"/>
                <w:b/>
                <w:bCs/>
                <w:iCs/>
                <w:kern w:val="0"/>
                <w:szCs w:val="21"/>
              </w:rPr>
              <w:t>序号</w:t>
            </w:r>
          </w:p>
        </w:tc>
        <w:tc>
          <w:tcPr>
            <w:tcW w:w="2073" w:type="dxa"/>
            <w:vAlign w:val="center"/>
          </w:tcPr>
          <w:p>
            <w:pPr>
              <w:adjustRightInd w:val="0"/>
              <w:snapToGrid w:val="0"/>
              <w:jc w:val="center"/>
              <w:outlineLvl w:val="4"/>
              <w:rPr>
                <w:rFonts w:ascii="Times New Roman" w:hAnsi="Times New Roman"/>
                <w:b/>
                <w:bCs/>
                <w:iCs/>
                <w:kern w:val="0"/>
                <w:szCs w:val="21"/>
              </w:rPr>
            </w:pPr>
            <w:r>
              <w:rPr>
                <w:rFonts w:ascii="Times New Roman" w:hAnsi="Times New Roman"/>
                <w:b/>
                <w:bCs/>
                <w:iCs/>
                <w:kern w:val="0"/>
                <w:szCs w:val="21"/>
              </w:rPr>
              <w:t>项目</w:t>
            </w:r>
          </w:p>
        </w:tc>
        <w:tc>
          <w:tcPr>
            <w:tcW w:w="5978" w:type="dxa"/>
            <w:vAlign w:val="center"/>
          </w:tcPr>
          <w:p>
            <w:pPr>
              <w:adjustRightInd w:val="0"/>
              <w:snapToGrid w:val="0"/>
              <w:jc w:val="center"/>
              <w:outlineLvl w:val="4"/>
              <w:rPr>
                <w:rFonts w:ascii="Times New Roman" w:hAnsi="Times New Roman"/>
                <w:b/>
                <w:bCs/>
                <w:iCs/>
                <w:kern w:val="0"/>
                <w:szCs w:val="21"/>
              </w:rPr>
            </w:pPr>
            <w:r>
              <w:rPr>
                <w:rFonts w:ascii="Times New Roman" w:hAnsi="Times New Roman"/>
                <w:b/>
                <w:bCs/>
                <w:iCs/>
                <w:kern w:val="0"/>
                <w:szCs w:val="21"/>
              </w:rPr>
              <w:t>内容及要求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680"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1</w:t>
            </w:r>
          </w:p>
        </w:tc>
        <w:tc>
          <w:tcPr>
            <w:tcW w:w="2073"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应急计划区</w:t>
            </w:r>
          </w:p>
        </w:tc>
        <w:tc>
          <w:tcPr>
            <w:tcW w:w="5978"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危险目标：厂区废水收集管线、各类池体、发酵罐、油库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0"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2</w:t>
            </w:r>
          </w:p>
        </w:tc>
        <w:tc>
          <w:tcPr>
            <w:tcW w:w="2073"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应急组织机构、人员</w:t>
            </w:r>
          </w:p>
        </w:tc>
        <w:tc>
          <w:tcPr>
            <w:tcW w:w="5978"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应急组织机构、人员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680"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3</w:t>
            </w:r>
          </w:p>
        </w:tc>
        <w:tc>
          <w:tcPr>
            <w:tcW w:w="2073"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预案分级响应条件</w:t>
            </w:r>
          </w:p>
        </w:tc>
        <w:tc>
          <w:tcPr>
            <w:tcW w:w="5978"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规定预案的级别及分级相应程序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680"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4</w:t>
            </w:r>
          </w:p>
        </w:tc>
        <w:tc>
          <w:tcPr>
            <w:tcW w:w="2073"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应急救援保障</w:t>
            </w:r>
          </w:p>
        </w:tc>
        <w:tc>
          <w:tcPr>
            <w:tcW w:w="5978"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应急设施、设备与器材等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5</w:t>
            </w:r>
          </w:p>
        </w:tc>
        <w:tc>
          <w:tcPr>
            <w:tcW w:w="2073"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报警、通讯联络方式</w:t>
            </w:r>
          </w:p>
        </w:tc>
        <w:tc>
          <w:tcPr>
            <w:tcW w:w="5978"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规定应急状态下的报警通讯方式，通知方式和交通保障、管制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6</w:t>
            </w:r>
          </w:p>
        </w:tc>
        <w:tc>
          <w:tcPr>
            <w:tcW w:w="2073"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应急环境监测、抢险、救援及控制措施</w:t>
            </w:r>
          </w:p>
        </w:tc>
        <w:tc>
          <w:tcPr>
            <w:tcW w:w="5978"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由专业队伍负责对事故现场进行侦查监测，对事故性质、参数与后果进行评估，为指挥部门提供决策依据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7</w:t>
            </w:r>
          </w:p>
        </w:tc>
        <w:tc>
          <w:tcPr>
            <w:tcW w:w="2073"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应急检测、防护措施、清除措施和器材</w:t>
            </w:r>
          </w:p>
        </w:tc>
        <w:tc>
          <w:tcPr>
            <w:tcW w:w="5978"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事故现场、邻近区域、控制防火区域、控制和清除污染措施及相应设备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8</w:t>
            </w:r>
          </w:p>
        </w:tc>
        <w:tc>
          <w:tcPr>
            <w:tcW w:w="2073"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人员紧急撤离、疏散、撤离组织计划</w:t>
            </w:r>
          </w:p>
        </w:tc>
        <w:tc>
          <w:tcPr>
            <w:tcW w:w="5978"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撤离组织计划及救护，医疗救护与公众健康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9</w:t>
            </w:r>
          </w:p>
        </w:tc>
        <w:tc>
          <w:tcPr>
            <w:tcW w:w="2073"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事故应急救援关闭程序与恢复措施</w:t>
            </w:r>
          </w:p>
        </w:tc>
        <w:tc>
          <w:tcPr>
            <w:tcW w:w="5978"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规定应急状态终止程序；事故现场善后处理，恢复措施；邻近区域解除事故警戒及善后恢复措施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10</w:t>
            </w:r>
          </w:p>
        </w:tc>
        <w:tc>
          <w:tcPr>
            <w:tcW w:w="2073"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应急培训计划</w:t>
            </w:r>
          </w:p>
        </w:tc>
        <w:tc>
          <w:tcPr>
            <w:tcW w:w="5978"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应急计划制定后，平时安排人员培训与演练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11</w:t>
            </w:r>
          </w:p>
        </w:tc>
        <w:tc>
          <w:tcPr>
            <w:tcW w:w="2073"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公众教育和信息</w:t>
            </w:r>
          </w:p>
        </w:tc>
        <w:tc>
          <w:tcPr>
            <w:tcW w:w="5978" w:type="dxa"/>
            <w:vAlign w:val="center"/>
          </w:tcPr>
          <w:p>
            <w:pPr>
              <w:adjustRightInd w:val="0"/>
              <w:snapToGrid w:val="0"/>
              <w:jc w:val="center"/>
              <w:outlineLvl w:val="4"/>
              <w:rPr>
                <w:rFonts w:ascii="Times New Roman" w:hAnsi="Times New Roman"/>
                <w:bCs/>
                <w:iCs/>
                <w:kern w:val="0"/>
                <w:szCs w:val="21"/>
              </w:rPr>
            </w:pPr>
            <w:r>
              <w:rPr>
                <w:rFonts w:ascii="Times New Roman" w:hAnsi="Times New Roman"/>
                <w:bCs/>
                <w:iCs/>
                <w:kern w:val="0"/>
                <w:szCs w:val="21"/>
              </w:rPr>
              <w:t>对场地邻近地区开展公众教育、培训和发布有关信息</w:t>
            </w:r>
          </w:p>
        </w:tc>
      </w:tr>
    </w:tbl>
    <w:p>
      <w:pPr>
        <w:pStyle w:val="51"/>
        <w:snapToGrid w:val="0"/>
        <w:spacing w:before="120" w:beforeLines="50" w:after="120" w:afterLines="50" w:line="540" w:lineRule="exact"/>
        <w:contextualSpacing/>
        <w:rPr>
          <w:rFonts w:cs="Times New Roman"/>
          <w:bCs w:val="0"/>
          <w:snapToGrid w:val="0"/>
          <w:kern w:val="0"/>
          <w:sz w:val="30"/>
          <w:szCs w:val="30"/>
        </w:rPr>
      </w:pPr>
      <w:bookmarkStart w:id="851" w:name="_Toc23070"/>
      <w:bookmarkStart w:id="852" w:name="_Toc21420"/>
      <w:bookmarkStart w:id="853" w:name="_Toc495219695"/>
      <w:bookmarkStart w:id="854" w:name="_Toc29317"/>
      <w:bookmarkStart w:id="855" w:name="_Toc1480"/>
      <w:bookmarkStart w:id="856" w:name="_Toc27577"/>
      <w:bookmarkStart w:id="857" w:name="_Toc12390"/>
      <w:bookmarkStart w:id="858" w:name="_Toc981"/>
      <w:r>
        <w:rPr>
          <w:rFonts w:hint="eastAsia" w:cs="Times New Roman"/>
          <w:bCs w:val="0"/>
          <w:snapToGrid w:val="0"/>
          <w:kern w:val="0"/>
          <w:sz w:val="30"/>
          <w:szCs w:val="30"/>
        </w:rPr>
        <w:t>7</w:t>
      </w:r>
      <w:r>
        <w:rPr>
          <w:rFonts w:cs="Times New Roman"/>
          <w:bCs w:val="0"/>
          <w:snapToGrid w:val="0"/>
          <w:kern w:val="0"/>
          <w:sz w:val="30"/>
          <w:szCs w:val="30"/>
        </w:rPr>
        <w:t>.7风险评价</w:t>
      </w:r>
      <w:bookmarkEnd w:id="851"/>
      <w:bookmarkEnd w:id="852"/>
      <w:bookmarkEnd w:id="853"/>
      <w:bookmarkEnd w:id="854"/>
      <w:bookmarkEnd w:id="855"/>
      <w:r>
        <w:rPr>
          <w:rFonts w:cs="Times New Roman"/>
          <w:bCs w:val="0"/>
          <w:snapToGrid w:val="0"/>
          <w:kern w:val="0"/>
          <w:sz w:val="30"/>
          <w:szCs w:val="30"/>
        </w:rPr>
        <w:t>小结</w:t>
      </w:r>
      <w:bookmarkEnd w:id="856"/>
      <w:bookmarkEnd w:id="857"/>
      <w:bookmarkEnd w:id="858"/>
    </w:p>
    <w:p>
      <w:pPr>
        <w:adjustRightInd w:val="0"/>
        <w:snapToGrid w:val="0"/>
        <w:spacing w:line="540" w:lineRule="exact"/>
        <w:ind w:firstLine="480" w:firstLineChars="200"/>
        <w:rPr>
          <w:rFonts w:ascii="Times New Roman" w:hAnsi="Times New Roman"/>
          <w:sz w:val="24"/>
          <w:szCs w:val="32"/>
        </w:rPr>
      </w:pPr>
      <w:r>
        <w:rPr>
          <w:rFonts w:ascii="Times New Roman" w:hAnsi="Times New Roman"/>
          <w:sz w:val="24"/>
          <w:szCs w:val="32"/>
        </w:rPr>
        <w:t>建设单位应按照本环评报告的要求落实各项风险防范措施，并纳入“三同时”验收管理，将项目可能产生的环境风险降到最低。在具体落实本环评报告提出的事故应急防范措施后，可以使风险事故对环境的危害得到有效控制，环境风险程度一般，事故风险可以控制在可接受的范围内。因此本建设项目符合风险防范措施的相关要求。建设项目环境风险简单分析内容见表</w:t>
      </w:r>
      <w:r>
        <w:rPr>
          <w:rFonts w:hint="eastAsia" w:ascii="Times New Roman" w:hAnsi="Times New Roman"/>
          <w:sz w:val="24"/>
          <w:szCs w:val="32"/>
        </w:rPr>
        <w:t>7.7-1</w:t>
      </w:r>
      <w:r>
        <w:rPr>
          <w:rFonts w:ascii="Times New Roman" w:hAnsi="Times New Roman"/>
          <w:sz w:val="24"/>
          <w:szCs w:val="32"/>
        </w:rPr>
        <w:t>。</w:t>
      </w:r>
    </w:p>
    <w:p>
      <w:pPr>
        <w:adjustRightInd w:val="0"/>
        <w:snapToGrid w:val="0"/>
        <w:jc w:val="center"/>
        <w:rPr>
          <w:rFonts w:ascii="Times New Roman" w:hAnsi="Times New Roman"/>
          <w:bCs/>
          <w:szCs w:val="22"/>
        </w:rPr>
      </w:pPr>
      <w:r>
        <w:rPr>
          <w:rFonts w:hint="default" w:ascii="Times New Roman" w:hAnsi="Times New Roman" w:cs="Times New Roman"/>
          <w:b/>
          <w:sz w:val="24"/>
        </w:rPr>
        <w:t>表7.7-1    建设项目环境风险简单分析内容</w:t>
      </w:r>
      <w:r>
        <w:rPr>
          <w:rFonts w:hint="eastAsia" w:ascii="宋体" w:hAnsi="宋体" w:cs="宋体"/>
          <w:b/>
          <w:sz w:val="24"/>
        </w:rPr>
        <w:t>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0"/>
        <w:gridCol w:w="1467"/>
        <w:gridCol w:w="1496"/>
        <w:gridCol w:w="742"/>
        <w:gridCol w:w="1032"/>
        <w:gridCol w:w="576"/>
        <w:gridCol w:w="784"/>
        <w:gridCol w:w="131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0" w:type="dxa"/>
            <w:vAlign w:val="center"/>
          </w:tcPr>
          <w:p>
            <w:pPr>
              <w:adjustRightInd w:val="0"/>
              <w:snapToGrid w:val="0"/>
              <w:jc w:val="center"/>
              <w:rPr>
                <w:rFonts w:ascii="Times New Roman" w:hAnsi="Times New Roman"/>
                <w:b/>
                <w:bCs/>
                <w:color w:val="000000"/>
                <w:sz w:val="21"/>
                <w:szCs w:val="21"/>
              </w:rPr>
            </w:pPr>
            <w:r>
              <w:rPr>
                <w:rFonts w:ascii="Times New Roman" w:hAnsi="Times New Roman"/>
                <w:b/>
                <w:bCs/>
                <w:color w:val="000000"/>
                <w:sz w:val="21"/>
                <w:szCs w:val="21"/>
              </w:rPr>
              <w:t>建设项目名称</w:t>
            </w:r>
          </w:p>
        </w:tc>
        <w:tc>
          <w:tcPr>
            <w:tcW w:w="7411" w:type="dxa"/>
            <w:gridSpan w:val="7"/>
            <w:vAlign w:val="center"/>
          </w:tcPr>
          <w:p>
            <w:pPr>
              <w:adjustRightInd w:val="0"/>
              <w:snapToGrid w:val="0"/>
              <w:jc w:val="center"/>
              <w:rPr>
                <w:rFonts w:ascii="Times New Roman" w:hAnsi="Times New Roman"/>
                <w:b/>
                <w:bCs/>
                <w:color w:val="000000"/>
                <w:sz w:val="21"/>
                <w:szCs w:val="21"/>
              </w:rPr>
            </w:pPr>
            <w:r>
              <w:rPr>
                <w:rFonts w:hint="eastAsia" w:ascii="Times New Roman" w:hAnsi="Times New Roman"/>
                <w:b/>
                <w:bCs/>
                <w:color w:val="000000"/>
                <w:sz w:val="21"/>
                <w:szCs w:val="21"/>
              </w:rPr>
              <w:t>宁夏腾发农业科技有限公司千头基础母牛养殖场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0" w:type="dxa"/>
            <w:vAlign w:val="center"/>
          </w:tcPr>
          <w:p>
            <w:pPr>
              <w:adjustRightInd w:val="0"/>
              <w:snapToGrid w:val="0"/>
              <w:jc w:val="center"/>
              <w:rPr>
                <w:rFonts w:ascii="Times New Roman" w:hAnsi="Times New Roman"/>
                <w:b/>
                <w:bCs/>
                <w:color w:val="000000"/>
                <w:sz w:val="21"/>
                <w:szCs w:val="21"/>
              </w:rPr>
            </w:pPr>
            <w:r>
              <w:rPr>
                <w:rFonts w:ascii="Times New Roman" w:hAnsi="Times New Roman"/>
                <w:b/>
                <w:bCs/>
                <w:color w:val="000000"/>
                <w:sz w:val="21"/>
                <w:szCs w:val="21"/>
              </w:rPr>
              <w:t>建设地点</w:t>
            </w:r>
          </w:p>
        </w:tc>
        <w:tc>
          <w:tcPr>
            <w:tcW w:w="1467" w:type="dxa"/>
            <w:vAlign w:val="center"/>
          </w:tcPr>
          <w:p>
            <w:pPr>
              <w:adjustRightInd w:val="0"/>
              <w:snapToGrid w:val="0"/>
              <w:jc w:val="center"/>
              <w:rPr>
                <w:rFonts w:ascii="Times New Roman" w:hAnsi="Times New Roman"/>
                <w:b/>
                <w:bCs/>
                <w:color w:val="000000"/>
                <w:sz w:val="21"/>
                <w:szCs w:val="21"/>
              </w:rPr>
            </w:pPr>
            <w:r>
              <w:rPr>
                <w:rFonts w:ascii="Times New Roman" w:hAnsi="Times New Roman"/>
                <w:b/>
                <w:bCs/>
                <w:color w:val="000000"/>
                <w:sz w:val="21"/>
                <w:szCs w:val="21"/>
              </w:rPr>
              <w:t>（宁夏）省</w:t>
            </w:r>
          </w:p>
        </w:tc>
        <w:tc>
          <w:tcPr>
            <w:tcW w:w="1496" w:type="dxa"/>
            <w:tcBorders>
              <w:right w:val="single" w:color="auto" w:sz="8" w:space="0"/>
            </w:tcBorders>
            <w:vAlign w:val="center"/>
          </w:tcPr>
          <w:p>
            <w:pPr>
              <w:adjustRightInd w:val="0"/>
              <w:snapToGrid w:val="0"/>
              <w:jc w:val="center"/>
              <w:rPr>
                <w:rFonts w:ascii="Times New Roman" w:hAnsi="Times New Roman"/>
                <w:b/>
                <w:bCs/>
                <w:color w:val="000000"/>
                <w:sz w:val="21"/>
                <w:szCs w:val="21"/>
              </w:rPr>
            </w:pPr>
            <w:r>
              <w:rPr>
                <w:rFonts w:ascii="Times New Roman" w:hAnsi="Times New Roman"/>
                <w:b/>
                <w:bCs/>
                <w:color w:val="000000"/>
                <w:sz w:val="21"/>
                <w:szCs w:val="21"/>
              </w:rPr>
              <w:t>（</w:t>
            </w:r>
            <w:r>
              <w:rPr>
                <w:rFonts w:hint="eastAsia" w:ascii="Times New Roman" w:hAnsi="Times New Roman"/>
                <w:b/>
                <w:bCs/>
                <w:color w:val="000000"/>
                <w:sz w:val="21"/>
                <w:szCs w:val="21"/>
              </w:rPr>
              <w:t>固原市</w:t>
            </w:r>
            <w:r>
              <w:rPr>
                <w:rFonts w:ascii="Times New Roman" w:hAnsi="Times New Roman"/>
                <w:b/>
                <w:bCs/>
                <w:color w:val="000000"/>
                <w:sz w:val="21"/>
                <w:szCs w:val="21"/>
              </w:rPr>
              <w:t>）市</w:t>
            </w:r>
          </w:p>
        </w:tc>
        <w:tc>
          <w:tcPr>
            <w:tcW w:w="1774" w:type="dxa"/>
            <w:gridSpan w:val="2"/>
            <w:tcBorders>
              <w:left w:val="single" w:color="auto" w:sz="8" w:space="0"/>
            </w:tcBorders>
            <w:vAlign w:val="center"/>
          </w:tcPr>
          <w:p>
            <w:pPr>
              <w:adjustRightInd w:val="0"/>
              <w:snapToGrid w:val="0"/>
              <w:jc w:val="center"/>
              <w:rPr>
                <w:rFonts w:ascii="Times New Roman" w:hAnsi="Times New Roman"/>
                <w:b/>
                <w:bCs/>
                <w:color w:val="000000"/>
                <w:sz w:val="21"/>
                <w:szCs w:val="21"/>
              </w:rPr>
            </w:pPr>
            <w:r>
              <w:rPr>
                <w:rFonts w:ascii="Times New Roman" w:hAnsi="Times New Roman"/>
                <w:b/>
                <w:bCs/>
                <w:color w:val="000000"/>
                <w:sz w:val="21"/>
                <w:szCs w:val="21"/>
              </w:rPr>
              <w:t>（</w:t>
            </w:r>
            <w:r>
              <w:rPr>
                <w:rFonts w:hint="eastAsia" w:ascii="Times New Roman" w:hAnsi="Times New Roman"/>
                <w:b/>
                <w:bCs/>
                <w:color w:val="000000"/>
                <w:sz w:val="21"/>
                <w:szCs w:val="21"/>
              </w:rPr>
              <w:t>隆德县</w:t>
            </w:r>
            <w:r>
              <w:rPr>
                <w:rFonts w:ascii="Times New Roman" w:hAnsi="Times New Roman"/>
                <w:b/>
                <w:bCs/>
                <w:color w:val="000000"/>
                <w:sz w:val="21"/>
                <w:szCs w:val="21"/>
              </w:rPr>
              <w:t>）</w:t>
            </w:r>
            <w:r>
              <w:rPr>
                <w:rFonts w:hint="eastAsia" w:ascii="Times New Roman" w:hAnsi="Times New Roman"/>
                <w:b/>
                <w:bCs/>
                <w:color w:val="000000"/>
                <w:sz w:val="21"/>
                <w:szCs w:val="21"/>
              </w:rPr>
              <w:t>县</w:t>
            </w:r>
          </w:p>
        </w:tc>
        <w:tc>
          <w:tcPr>
            <w:tcW w:w="1360" w:type="dxa"/>
            <w:gridSpan w:val="2"/>
            <w:tcBorders>
              <w:left w:val="single" w:color="auto" w:sz="8" w:space="0"/>
            </w:tcBorders>
            <w:vAlign w:val="center"/>
          </w:tcPr>
          <w:p>
            <w:pPr>
              <w:adjustRightInd w:val="0"/>
              <w:snapToGrid w:val="0"/>
              <w:ind w:left="422" w:hanging="421" w:hangingChars="200"/>
              <w:rPr>
                <w:rFonts w:ascii="Times New Roman" w:hAnsi="Times New Roman"/>
                <w:b/>
                <w:bCs/>
                <w:color w:val="000000"/>
                <w:sz w:val="21"/>
                <w:szCs w:val="21"/>
              </w:rPr>
            </w:pPr>
            <w:r>
              <w:rPr>
                <w:rFonts w:ascii="Times New Roman" w:hAnsi="Times New Roman"/>
                <w:b/>
                <w:bCs/>
                <w:color w:val="000000"/>
                <w:sz w:val="21"/>
                <w:szCs w:val="21"/>
              </w:rPr>
              <w:t>（</w:t>
            </w:r>
            <w:r>
              <w:rPr>
                <w:rFonts w:hint="eastAsia" w:ascii="Times New Roman" w:hAnsi="Times New Roman"/>
                <w:b/>
                <w:bCs/>
                <w:color w:val="000000"/>
                <w:sz w:val="21"/>
                <w:szCs w:val="21"/>
              </w:rPr>
              <w:t>神林乡）乡</w:t>
            </w:r>
          </w:p>
        </w:tc>
        <w:tc>
          <w:tcPr>
            <w:tcW w:w="1314" w:type="dxa"/>
            <w:tcBorders>
              <w:left w:val="single" w:color="auto" w:sz="8" w:space="0"/>
            </w:tcBorders>
            <w:vAlign w:val="center"/>
          </w:tcPr>
          <w:p>
            <w:pPr>
              <w:adjustRightInd w:val="0"/>
              <w:snapToGrid w:val="0"/>
              <w:jc w:val="center"/>
              <w:rPr>
                <w:rFonts w:ascii="Times New Roman" w:hAnsi="Times New Roman"/>
                <w:b/>
                <w:bCs/>
                <w:color w:val="000000"/>
                <w:sz w:val="21"/>
                <w:szCs w:val="21"/>
              </w:rPr>
            </w:pPr>
            <w:r>
              <w:rPr>
                <w:rFonts w:ascii="Times New Roman" w:hAnsi="Times New Roman"/>
                <w:b/>
                <w:bCs/>
                <w:color w:val="000000"/>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0" w:type="dxa"/>
            <w:vAlign w:val="center"/>
          </w:tcPr>
          <w:p>
            <w:pPr>
              <w:adjustRightInd w:val="0"/>
              <w:snapToGrid w:val="0"/>
              <w:jc w:val="center"/>
              <w:rPr>
                <w:rFonts w:ascii="Times New Roman" w:hAnsi="Times New Roman"/>
                <w:color w:val="000000"/>
                <w:sz w:val="21"/>
                <w:szCs w:val="21"/>
              </w:rPr>
            </w:pPr>
            <w:r>
              <w:rPr>
                <w:rFonts w:ascii="Times New Roman" w:hAnsi="Times New Roman"/>
                <w:color w:val="000000"/>
                <w:sz w:val="21"/>
                <w:szCs w:val="21"/>
              </w:rPr>
              <w:t>地理坐标</w:t>
            </w:r>
          </w:p>
        </w:tc>
        <w:tc>
          <w:tcPr>
            <w:tcW w:w="1467" w:type="dxa"/>
            <w:tcBorders>
              <w:right w:val="single" w:color="auto" w:sz="8" w:space="0"/>
            </w:tcBorders>
            <w:vAlign w:val="center"/>
          </w:tcPr>
          <w:p>
            <w:pPr>
              <w:adjustRightInd w:val="0"/>
              <w:snapToGrid w:val="0"/>
              <w:jc w:val="center"/>
              <w:rPr>
                <w:rFonts w:ascii="Times New Roman" w:hAnsi="Times New Roman"/>
                <w:color w:val="000000"/>
                <w:sz w:val="21"/>
                <w:szCs w:val="21"/>
              </w:rPr>
            </w:pPr>
            <w:r>
              <w:rPr>
                <w:rFonts w:ascii="Times New Roman" w:hAnsi="Times New Roman"/>
                <w:color w:val="000000"/>
                <w:sz w:val="21"/>
                <w:szCs w:val="21"/>
              </w:rPr>
              <w:t>经度</w:t>
            </w:r>
          </w:p>
        </w:tc>
        <w:tc>
          <w:tcPr>
            <w:tcW w:w="2238" w:type="dxa"/>
            <w:gridSpan w:val="2"/>
            <w:tcBorders>
              <w:left w:val="single" w:color="auto" w:sz="8" w:space="0"/>
              <w:right w:val="single" w:color="auto" w:sz="8" w:space="0"/>
            </w:tcBorders>
            <w:vAlign w:val="center"/>
          </w:tcPr>
          <w:p>
            <w:pPr>
              <w:adjustRightInd w:val="0"/>
              <w:snapToGrid w:val="0"/>
              <w:jc w:val="center"/>
              <w:rPr>
                <w:rFonts w:ascii="Times New Roman" w:hAnsi="Times New Roman"/>
                <w:color w:val="000000"/>
                <w:sz w:val="21"/>
                <w:szCs w:val="21"/>
              </w:rPr>
            </w:pPr>
            <w:r>
              <w:rPr>
                <w:rFonts w:hint="eastAsia" w:ascii="Times New Roman" w:hAnsi="Times New Roman"/>
                <w:sz w:val="21"/>
                <w:szCs w:val="21"/>
              </w:rPr>
              <w:t>105°55′15.13″</w:t>
            </w:r>
          </w:p>
        </w:tc>
        <w:tc>
          <w:tcPr>
            <w:tcW w:w="1608" w:type="dxa"/>
            <w:gridSpan w:val="2"/>
            <w:tcBorders>
              <w:right w:val="single" w:color="auto" w:sz="8" w:space="0"/>
            </w:tcBorders>
            <w:vAlign w:val="center"/>
          </w:tcPr>
          <w:p>
            <w:pPr>
              <w:adjustRightInd w:val="0"/>
              <w:snapToGrid w:val="0"/>
              <w:jc w:val="center"/>
              <w:rPr>
                <w:rFonts w:ascii="Times New Roman" w:hAnsi="Times New Roman"/>
                <w:color w:val="000000"/>
                <w:sz w:val="21"/>
                <w:szCs w:val="21"/>
              </w:rPr>
            </w:pPr>
            <w:r>
              <w:rPr>
                <w:rFonts w:ascii="Times New Roman" w:hAnsi="Times New Roman"/>
                <w:color w:val="000000"/>
                <w:sz w:val="21"/>
                <w:szCs w:val="21"/>
              </w:rPr>
              <w:t>纬度</w:t>
            </w:r>
          </w:p>
        </w:tc>
        <w:tc>
          <w:tcPr>
            <w:tcW w:w="2098" w:type="dxa"/>
            <w:gridSpan w:val="2"/>
            <w:tcBorders>
              <w:left w:val="single" w:color="auto" w:sz="8" w:space="0"/>
            </w:tcBorders>
            <w:vAlign w:val="center"/>
          </w:tcPr>
          <w:p>
            <w:pPr>
              <w:adjustRightInd w:val="0"/>
              <w:snapToGrid w:val="0"/>
              <w:jc w:val="center"/>
              <w:rPr>
                <w:rFonts w:ascii="Times New Roman" w:hAnsi="Times New Roman"/>
                <w:color w:val="000000"/>
                <w:sz w:val="21"/>
                <w:szCs w:val="21"/>
              </w:rPr>
            </w:pPr>
            <w:r>
              <w:rPr>
                <w:rFonts w:hint="eastAsia" w:ascii="Times New Roman" w:hAnsi="Times New Roman"/>
                <w:sz w:val="21"/>
                <w:szCs w:val="21"/>
              </w:rPr>
              <w:t>35°34′21.68″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49" w:hRule="atLeast"/>
          <w:jc w:val="center"/>
        </w:trPr>
        <w:tc>
          <w:tcPr>
            <w:tcW w:w="1660" w:type="dxa"/>
            <w:vAlign w:val="center"/>
          </w:tcPr>
          <w:p>
            <w:pPr>
              <w:adjustRightInd w:val="0"/>
              <w:snapToGrid w:val="0"/>
              <w:jc w:val="center"/>
              <w:rPr>
                <w:rFonts w:ascii="Times New Roman" w:hAnsi="Times New Roman"/>
                <w:sz w:val="21"/>
                <w:szCs w:val="21"/>
              </w:rPr>
            </w:pPr>
            <w:r>
              <w:rPr>
                <w:rFonts w:ascii="Times New Roman" w:hAnsi="Times New Roman"/>
                <w:sz w:val="21"/>
                <w:szCs w:val="21"/>
              </w:rPr>
              <w:t>环境影响途径及危害后果</w:t>
            </w:r>
          </w:p>
          <w:p>
            <w:pPr>
              <w:pStyle w:val="43"/>
              <w:spacing w:line="240" w:lineRule="auto"/>
              <w:ind w:firstLine="0" w:firstLineChars="0"/>
              <w:jc w:val="center"/>
              <w:rPr>
                <w:sz w:val="21"/>
                <w:szCs w:val="21"/>
              </w:rPr>
            </w:pPr>
            <w:r>
              <w:rPr>
                <w:sz w:val="21"/>
                <w:szCs w:val="21"/>
              </w:rPr>
              <w:t>（大气、地表水、地下水等）</w:t>
            </w:r>
          </w:p>
        </w:tc>
        <w:tc>
          <w:tcPr>
            <w:tcW w:w="7411" w:type="dxa"/>
            <w:gridSpan w:val="7"/>
            <w:vAlign w:val="center"/>
          </w:tcPr>
          <w:p>
            <w:pPr>
              <w:pStyle w:val="43"/>
              <w:spacing w:line="240" w:lineRule="auto"/>
              <w:ind w:firstLine="420"/>
              <w:rPr>
                <w:sz w:val="21"/>
                <w:szCs w:val="21"/>
              </w:rPr>
            </w:pPr>
            <w:r>
              <w:rPr>
                <w:sz w:val="21"/>
                <w:szCs w:val="21"/>
              </w:rPr>
              <w:t>项目污水</w:t>
            </w:r>
            <w:r>
              <w:rPr>
                <w:rFonts w:hint="eastAsia"/>
                <w:sz w:val="21"/>
                <w:szCs w:val="21"/>
                <w:lang w:eastAsia="zh-CN"/>
              </w:rPr>
              <w:t>积粪场</w:t>
            </w:r>
            <w:r>
              <w:rPr>
                <w:sz w:val="21"/>
                <w:szCs w:val="21"/>
              </w:rPr>
              <w:t>粪污泄露渗入地下，对区域地下水环境造成污染。</w:t>
            </w:r>
          </w:p>
          <w:p>
            <w:pPr>
              <w:pStyle w:val="43"/>
              <w:spacing w:line="240" w:lineRule="auto"/>
              <w:ind w:firstLine="420"/>
              <w:rPr>
                <w:sz w:val="21"/>
                <w:szCs w:val="21"/>
              </w:rPr>
            </w:pPr>
            <w:r>
              <w:rPr>
                <w:sz w:val="21"/>
                <w:szCs w:val="21"/>
              </w:rPr>
              <w:t>项目养殖场发生疫情，养殖场如果管理不善，会诱发传染性疾病，如口蹄疫、炭疽等，且传播很快，若不及时、合理地处理，将会疫情蔓延，感染牛群及人类，危害人体健康。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28" w:hRule="atLeast"/>
          <w:jc w:val="center"/>
        </w:trPr>
        <w:tc>
          <w:tcPr>
            <w:tcW w:w="1660" w:type="dxa"/>
            <w:vAlign w:val="center"/>
          </w:tcPr>
          <w:p>
            <w:pPr>
              <w:adjustRightInd w:val="0"/>
              <w:snapToGrid w:val="0"/>
              <w:jc w:val="center"/>
              <w:rPr>
                <w:rFonts w:ascii="Times New Roman" w:hAnsi="Times New Roman"/>
                <w:sz w:val="21"/>
                <w:szCs w:val="21"/>
              </w:rPr>
            </w:pPr>
            <w:r>
              <w:rPr>
                <w:rFonts w:ascii="Times New Roman" w:hAnsi="Times New Roman"/>
                <w:sz w:val="21"/>
                <w:szCs w:val="21"/>
              </w:rPr>
              <w:t>风险防范措施要求</w:t>
            </w:r>
          </w:p>
        </w:tc>
        <w:tc>
          <w:tcPr>
            <w:tcW w:w="7411" w:type="dxa"/>
            <w:gridSpan w:val="7"/>
            <w:vAlign w:val="center"/>
          </w:tcPr>
          <w:p>
            <w:pPr>
              <w:adjustRightInd w:val="0"/>
              <w:snapToGrid w:val="0"/>
              <w:ind w:firstLine="420" w:firstLineChars="200"/>
              <w:rPr>
                <w:rFonts w:ascii="Times New Roman" w:hAnsi="Times New Roman"/>
                <w:sz w:val="21"/>
                <w:szCs w:val="21"/>
              </w:rPr>
            </w:pPr>
            <w:r>
              <w:rPr>
                <w:rFonts w:ascii="Times New Roman" w:hAnsi="Times New Roman"/>
                <w:sz w:val="21"/>
                <w:szCs w:val="21"/>
              </w:rPr>
              <w:t>防渗措施：采取分区防渗措施，对危险废物暂存间、</w:t>
            </w:r>
            <w:r>
              <w:rPr>
                <w:rFonts w:hint="eastAsia" w:ascii="Times New Roman" w:hAnsi="Times New Roman"/>
                <w:sz w:val="21"/>
                <w:szCs w:val="21"/>
                <w:lang w:eastAsia="zh-CN"/>
              </w:rPr>
              <w:t>积粪场</w:t>
            </w:r>
            <w:r>
              <w:rPr>
                <w:rFonts w:ascii="Times New Roman" w:hAnsi="Times New Roman"/>
                <w:sz w:val="21"/>
                <w:szCs w:val="21"/>
              </w:rPr>
              <w:t>做重点防渗，其中危废暂存间防渗性能需满足《危险废物贮存污染控制标准》（GB 18597-2001）要求，地面、裙角采取防渗措施，相当于防渗系数小于1×10</w:t>
            </w:r>
            <w:r>
              <w:rPr>
                <w:rFonts w:ascii="Times New Roman" w:hAnsi="Times New Roman"/>
                <w:sz w:val="21"/>
                <w:szCs w:val="21"/>
                <w:vertAlign w:val="superscript"/>
              </w:rPr>
              <w:t>-10</w:t>
            </w:r>
            <w:r>
              <w:rPr>
                <w:rFonts w:ascii="Times New Roman" w:hAnsi="Times New Roman"/>
                <w:sz w:val="21"/>
                <w:szCs w:val="21"/>
              </w:rPr>
              <w:t>cm/s，至少2mm厚的其他人工材料的防渗性能；</w:t>
            </w:r>
          </w:p>
          <w:p>
            <w:pPr>
              <w:adjustRightInd w:val="0"/>
              <w:snapToGrid w:val="0"/>
              <w:ind w:firstLine="420" w:firstLineChars="200"/>
              <w:rPr>
                <w:rFonts w:ascii="Times New Roman" w:hAnsi="Times New Roman"/>
                <w:sz w:val="21"/>
                <w:szCs w:val="21"/>
              </w:rPr>
            </w:pPr>
            <w:r>
              <w:rPr>
                <w:rFonts w:ascii="Times New Roman" w:hAnsi="Times New Roman"/>
                <w:sz w:val="21"/>
                <w:szCs w:val="21"/>
              </w:rPr>
              <w:t>对牛</w:t>
            </w:r>
            <w:r>
              <w:rPr>
                <w:rFonts w:hint="eastAsia" w:ascii="Times New Roman" w:hAnsi="Times New Roman"/>
                <w:sz w:val="21"/>
                <w:szCs w:val="21"/>
              </w:rPr>
              <w:t>棚</w:t>
            </w:r>
            <w:r>
              <w:rPr>
                <w:rFonts w:ascii="Times New Roman" w:hAnsi="Times New Roman"/>
                <w:sz w:val="21"/>
                <w:szCs w:val="21"/>
              </w:rPr>
              <w:t>做一般防渗，其防渗层的防渗性能不低于1.5m厚渗透系数为1.0×10</w:t>
            </w:r>
            <w:r>
              <w:rPr>
                <w:rFonts w:ascii="Times New Roman" w:hAnsi="Times New Roman"/>
                <w:sz w:val="21"/>
                <w:szCs w:val="21"/>
                <w:vertAlign w:val="superscript"/>
              </w:rPr>
              <w:t>-7</w:t>
            </w:r>
            <w:r>
              <w:rPr>
                <w:rFonts w:ascii="Times New Roman" w:hAnsi="Times New Roman"/>
                <w:sz w:val="21"/>
                <w:szCs w:val="21"/>
              </w:rPr>
              <w:t>cm/s的黏土层的防渗性能。</w:t>
            </w:r>
          </w:p>
          <w:p>
            <w:pPr>
              <w:pStyle w:val="43"/>
              <w:spacing w:line="240" w:lineRule="auto"/>
              <w:ind w:firstLine="420"/>
              <w:rPr>
                <w:sz w:val="21"/>
                <w:szCs w:val="21"/>
              </w:rPr>
            </w:pPr>
            <w:r>
              <w:rPr>
                <w:sz w:val="21"/>
                <w:szCs w:val="21"/>
              </w:rPr>
              <w:t>防止疫情发生措施：加强检疫、免疫接种、加强厂区消毒和牛舍内卫生环境、制定疫情发生应急预案等。</w:t>
            </w:r>
          </w:p>
          <w:p>
            <w:pPr>
              <w:pStyle w:val="43"/>
              <w:spacing w:line="240" w:lineRule="auto"/>
              <w:ind w:firstLine="420"/>
              <w:rPr>
                <w:sz w:val="21"/>
                <w:szCs w:val="21"/>
              </w:rPr>
            </w:pPr>
            <w:r>
              <w:rPr>
                <w:sz w:val="21"/>
                <w:szCs w:val="21"/>
              </w:rPr>
              <w:t>防火防爆措施：从总平面布置、建/构筑物防火、电气防火、消防系统、等方面采取防火、防爆控制措施。</w:t>
            </w:r>
          </w:p>
          <w:p>
            <w:pPr>
              <w:pStyle w:val="43"/>
              <w:spacing w:line="240" w:lineRule="auto"/>
              <w:ind w:firstLine="420"/>
              <w:rPr>
                <w:sz w:val="21"/>
                <w:szCs w:val="21"/>
              </w:rPr>
            </w:pPr>
            <w:r>
              <w:rPr>
                <w:sz w:val="21"/>
                <w:szCs w:val="21"/>
              </w:rPr>
              <w:t>安全管理措施：设置安全管理机构，建立安全管理制度，加强人员培训，预防安全事故发生。</w:t>
            </w:r>
          </w:p>
        </w:tc>
      </w:tr>
    </w:tbl>
    <w:p>
      <w:pPr>
        <w:pStyle w:val="45"/>
        <w:snapToGrid w:val="0"/>
        <w:spacing w:before="240" w:beforeLines="100" w:after="120" w:afterLines="50" w:line="540" w:lineRule="exact"/>
        <w:contextualSpacing/>
        <w:rPr>
          <w:b w:val="0"/>
          <w:snapToGrid w:val="0"/>
          <w:kern w:val="0"/>
          <w:sz w:val="28"/>
          <w:szCs w:val="28"/>
        </w:rPr>
        <w:sectPr>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p>
    <w:p>
      <w:pPr>
        <w:pStyle w:val="45"/>
        <w:snapToGrid w:val="0"/>
        <w:spacing w:before="240" w:beforeLines="100" w:after="120" w:afterLines="50" w:line="540" w:lineRule="exact"/>
        <w:contextualSpacing/>
        <w:rPr>
          <w:bCs w:val="0"/>
          <w:snapToGrid w:val="0"/>
          <w:kern w:val="0"/>
          <w:sz w:val="32"/>
          <w:szCs w:val="32"/>
        </w:rPr>
      </w:pPr>
      <w:bookmarkStart w:id="859" w:name="_Toc16244"/>
      <w:bookmarkStart w:id="860" w:name="_Toc17455"/>
      <w:r>
        <w:rPr>
          <w:rFonts w:hint="eastAsia"/>
          <w:bCs w:val="0"/>
          <w:snapToGrid w:val="0"/>
          <w:kern w:val="0"/>
          <w:sz w:val="32"/>
          <w:szCs w:val="32"/>
        </w:rPr>
        <w:t>8</w:t>
      </w:r>
      <w:r>
        <w:rPr>
          <w:bCs w:val="0"/>
          <w:snapToGrid w:val="0"/>
          <w:kern w:val="0"/>
          <w:sz w:val="32"/>
          <w:szCs w:val="32"/>
        </w:rPr>
        <w:t>环境影响经济损益分析</w:t>
      </w:r>
      <w:bookmarkEnd w:id="810"/>
      <w:bookmarkEnd w:id="811"/>
      <w:bookmarkEnd w:id="812"/>
      <w:bookmarkEnd w:id="859"/>
      <w:bookmarkEnd w:id="860"/>
    </w:p>
    <w:p>
      <w:pPr>
        <w:adjustRightInd w:val="0"/>
        <w:snapToGrid w:val="0"/>
        <w:spacing w:line="540" w:lineRule="exact"/>
        <w:ind w:firstLine="480" w:firstLineChars="200"/>
        <w:rPr>
          <w:rFonts w:ascii="Times New Roman" w:hAnsi="Times New Roman"/>
          <w:sz w:val="24"/>
        </w:rPr>
      </w:pPr>
      <w:r>
        <w:rPr>
          <w:rFonts w:ascii="Times New Roman" w:hAnsi="Times New Roman"/>
          <w:sz w:val="24"/>
        </w:rPr>
        <w:t>环境经济损益分析主要是评价建设项目实施后，对环境造成的损失费用和采取各种环保治理措施所能收到的环保效果及其带来的经济和社会效益，衡量建设项目的环保投资在经济上的合理水平。一个项目的开发建设，除对国民经济的发展起着促进作用外，同时，也在一定程度上影响着项目地区环境的变化。社会影响、经济影响、环境影响是一个系统的三要素，最终以提高人类的生活质量为目的。它们之间既是互相促进，又互相制约，必须通过全面规划、综合平衡、正确地把全局利益和局部利益、长远利益和近期利益结合起来，对环境保护和经济发展进行协调，实现社会效益、经济效益、环境效益的三统一。通过对项目的经济、社会和环境效益分析，为项目决策者更好地考虑环境、经济和社会效益的统一提供依据。</w:t>
      </w:r>
    </w:p>
    <w:p>
      <w:pPr>
        <w:pStyle w:val="51"/>
        <w:snapToGrid w:val="0"/>
        <w:spacing w:before="120" w:beforeLines="50" w:after="120" w:afterLines="50" w:line="540" w:lineRule="exact"/>
        <w:contextualSpacing/>
        <w:rPr>
          <w:rFonts w:cs="Times New Roman"/>
          <w:bCs w:val="0"/>
          <w:snapToGrid w:val="0"/>
          <w:kern w:val="0"/>
          <w:sz w:val="30"/>
          <w:szCs w:val="30"/>
        </w:rPr>
      </w:pPr>
      <w:bookmarkStart w:id="861" w:name="_Toc7641"/>
      <w:bookmarkStart w:id="862" w:name="_Toc11415"/>
      <w:bookmarkStart w:id="863" w:name="_Toc21646"/>
      <w:bookmarkStart w:id="864" w:name="_Toc5254"/>
      <w:bookmarkStart w:id="865" w:name="_Toc16516"/>
      <w:r>
        <w:rPr>
          <w:rFonts w:hint="eastAsia" w:cs="Times New Roman"/>
          <w:bCs w:val="0"/>
          <w:snapToGrid w:val="0"/>
          <w:kern w:val="0"/>
          <w:sz w:val="30"/>
          <w:szCs w:val="30"/>
        </w:rPr>
        <w:t>8</w:t>
      </w:r>
      <w:r>
        <w:rPr>
          <w:rFonts w:cs="Times New Roman"/>
          <w:bCs w:val="0"/>
          <w:snapToGrid w:val="0"/>
          <w:kern w:val="0"/>
          <w:sz w:val="30"/>
          <w:szCs w:val="30"/>
        </w:rPr>
        <w:t>.1环境保护措施投资</w:t>
      </w:r>
      <w:bookmarkEnd w:id="861"/>
      <w:bookmarkEnd w:id="862"/>
      <w:bookmarkEnd w:id="863"/>
      <w:bookmarkEnd w:id="864"/>
      <w:bookmarkEnd w:id="865"/>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⑴环境保护设施建设费用</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本项目运营期产生的环境污染物主要为生活废水、工艺废气、噪声和固体废物。本项目的环境保护设施费用合计约</w:t>
      </w:r>
      <w:r>
        <w:rPr>
          <w:rFonts w:hint="eastAsia" w:ascii="Times New Roman" w:hAnsi="Times New Roman"/>
          <w:sz w:val="24"/>
          <w:lang w:val="en-US" w:eastAsia="zh-CN"/>
        </w:rPr>
        <w:t>174.2</w:t>
      </w:r>
      <w:r>
        <w:rPr>
          <w:rFonts w:ascii="Times New Roman" w:hAnsi="Times New Roman"/>
          <w:sz w:val="24"/>
          <w:lang w:val="zh-CN"/>
        </w:rPr>
        <w:t>万</w:t>
      </w:r>
      <w:r>
        <w:rPr>
          <w:rFonts w:ascii="Times New Roman" w:hAnsi="Times New Roman"/>
          <w:sz w:val="24"/>
        </w:rPr>
        <w:t>元，由此可知项目的环保设施投资额约占项目投资总额</w:t>
      </w:r>
      <w:r>
        <w:rPr>
          <w:rFonts w:hint="eastAsia" w:ascii="Times New Roman" w:hAnsi="Times New Roman"/>
          <w:sz w:val="24"/>
        </w:rPr>
        <w:t>5100万元</w:t>
      </w:r>
      <w:r>
        <w:rPr>
          <w:rFonts w:ascii="Times New Roman" w:hAnsi="Times New Roman"/>
          <w:sz w:val="24"/>
        </w:rPr>
        <w:t>的</w:t>
      </w:r>
      <w:r>
        <w:rPr>
          <w:rFonts w:hint="eastAsia" w:ascii="Times New Roman" w:hAnsi="Times New Roman"/>
          <w:sz w:val="24"/>
          <w:lang w:val="en-US" w:eastAsia="zh-CN"/>
        </w:rPr>
        <w:t>3.42</w:t>
      </w:r>
      <w:r>
        <w:rPr>
          <w:rFonts w:ascii="Times New Roman" w:hAnsi="Times New Roman"/>
          <w:sz w:val="24"/>
        </w:rPr>
        <w:t>%，其环保设施投资额度是基本合理的。</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⑵环境保护设施运转费用</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运营后环境保护设施的运转费用主要为废水及废气处理设施的运转费、折旧费、排污费和环境保护监测等管理费（包括工资和业务费）。根据国内同类项目的环保费用开支情况，结合本项目的实际情况，初步估算本工程建成投产后每年的环境保护运转费用开支约为</w:t>
      </w:r>
      <w:r>
        <w:rPr>
          <w:rFonts w:hint="eastAsia" w:ascii="Times New Roman" w:hAnsi="Times New Roman"/>
          <w:sz w:val="24"/>
        </w:rPr>
        <w:t>30</w:t>
      </w:r>
      <w:r>
        <w:rPr>
          <w:rFonts w:ascii="Times New Roman" w:hAnsi="Times New Roman"/>
          <w:sz w:val="24"/>
        </w:rPr>
        <w:t>万元。</w:t>
      </w:r>
    </w:p>
    <w:p>
      <w:pPr>
        <w:pStyle w:val="51"/>
        <w:snapToGrid w:val="0"/>
        <w:spacing w:before="120" w:beforeLines="50" w:after="120" w:afterLines="50" w:line="540" w:lineRule="exact"/>
        <w:contextualSpacing/>
        <w:rPr>
          <w:rFonts w:cs="Times New Roman"/>
          <w:bCs w:val="0"/>
          <w:snapToGrid w:val="0"/>
          <w:kern w:val="0"/>
          <w:sz w:val="30"/>
          <w:szCs w:val="30"/>
        </w:rPr>
      </w:pPr>
      <w:bookmarkStart w:id="866" w:name="_Toc21721"/>
      <w:bookmarkStart w:id="867" w:name="_Toc118"/>
      <w:bookmarkStart w:id="868" w:name="_Toc18807"/>
      <w:bookmarkStart w:id="869" w:name="_Toc3500"/>
      <w:bookmarkStart w:id="870" w:name="_Toc1355"/>
      <w:bookmarkStart w:id="871" w:name="_Toc5880"/>
      <w:bookmarkStart w:id="872" w:name="_Toc12979"/>
      <w:bookmarkStart w:id="873" w:name="_Toc10968"/>
      <w:bookmarkStart w:id="874" w:name="_Toc7436"/>
      <w:r>
        <w:rPr>
          <w:rFonts w:hint="eastAsia" w:cs="Times New Roman"/>
          <w:bCs w:val="0"/>
          <w:snapToGrid w:val="0"/>
          <w:kern w:val="0"/>
          <w:sz w:val="30"/>
          <w:szCs w:val="30"/>
        </w:rPr>
        <w:t>8</w:t>
      </w:r>
      <w:r>
        <w:rPr>
          <w:rFonts w:cs="Times New Roman"/>
          <w:bCs w:val="0"/>
          <w:snapToGrid w:val="0"/>
          <w:kern w:val="0"/>
          <w:sz w:val="30"/>
          <w:szCs w:val="30"/>
        </w:rPr>
        <w:t>.2环境经济损失</w:t>
      </w:r>
      <w:bookmarkEnd w:id="866"/>
      <w:bookmarkEnd w:id="867"/>
      <w:bookmarkEnd w:id="868"/>
      <w:bookmarkEnd w:id="869"/>
      <w:bookmarkEnd w:id="870"/>
      <w:bookmarkStart w:id="875" w:name="_Toc3764"/>
    </w:p>
    <w:p>
      <w:pPr>
        <w:pStyle w:val="51"/>
        <w:snapToGrid w:val="0"/>
        <w:spacing w:before="120" w:beforeLines="50" w:after="120" w:afterLines="50" w:line="540" w:lineRule="exact"/>
        <w:contextualSpacing/>
        <w:outlineLvl w:val="2"/>
        <w:rPr>
          <w:rFonts w:cs="Times New Roman"/>
          <w:b w:val="0"/>
          <w:snapToGrid w:val="0"/>
          <w:kern w:val="0"/>
        </w:rPr>
      </w:pPr>
      <w:bookmarkStart w:id="876" w:name="_Toc21535"/>
      <w:r>
        <w:rPr>
          <w:rFonts w:hint="eastAsia" w:cs="Times New Roman"/>
          <w:bCs w:val="0"/>
          <w:snapToGrid w:val="0"/>
          <w:kern w:val="0"/>
        </w:rPr>
        <w:t>8</w:t>
      </w:r>
      <w:r>
        <w:rPr>
          <w:rFonts w:cs="Times New Roman"/>
          <w:bCs w:val="0"/>
          <w:snapToGrid w:val="0"/>
          <w:kern w:val="0"/>
        </w:rPr>
        <w:t>.2.1资源损失</w:t>
      </w:r>
      <w:bookmarkEnd w:id="875"/>
      <w:bookmarkEnd w:id="876"/>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本项目的资源损失主要是能源的消耗损失，资源损失约为</w:t>
      </w:r>
      <w:r>
        <w:rPr>
          <w:rFonts w:hint="eastAsia" w:ascii="Times New Roman" w:hAnsi="Times New Roman"/>
          <w:sz w:val="24"/>
        </w:rPr>
        <w:t>90</w:t>
      </w:r>
      <w:r>
        <w:rPr>
          <w:rFonts w:ascii="Times New Roman" w:hAnsi="Times New Roman"/>
          <w:sz w:val="24"/>
        </w:rPr>
        <w:t>万元/年。本项目用水由</w:t>
      </w:r>
      <w:r>
        <w:rPr>
          <w:rFonts w:hint="eastAsia" w:ascii="Times New Roman" w:hAnsi="Times New Roman"/>
          <w:sz w:val="24"/>
        </w:rPr>
        <w:t>隆德县自来水厂</w:t>
      </w:r>
      <w:r>
        <w:rPr>
          <w:rFonts w:ascii="Times New Roman" w:hAnsi="Times New Roman"/>
          <w:sz w:val="24"/>
        </w:rPr>
        <w:t>提供，用电由</w:t>
      </w:r>
      <w:r>
        <w:rPr>
          <w:rFonts w:hint="eastAsia" w:ascii="Times New Roman" w:hAnsi="Times New Roman"/>
          <w:sz w:val="24"/>
        </w:rPr>
        <w:t>神林乡变电说提供，</w:t>
      </w:r>
      <w:r>
        <w:rPr>
          <w:rFonts w:ascii="Times New Roman" w:hAnsi="Times New Roman"/>
          <w:sz w:val="24"/>
        </w:rPr>
        <w:t>源消耗量相对较小，占区域资源量也较小，整体对对周围环境影响不大。</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877" w:name="_Toc10973"/>
      <w:bookmarkStart w:id="878" w:name="_Toc24382"/>
      <w:bookmarkStart w:id="879" w:name="_Toc1056"/>
      <w:r>
        <w:rPr>
          <w:rFonts w:hint="eastAsia" w:cs="Times New Roman"/>
          <w:bCs w:val="0"/>
          <w:snapToGrid w:val="0"/>
          <w:kern w:val="0"/>
          <w:sz w:val="28"/>
          <w:szCs w:val="28"/>
        </w:rPr>
        <w:t>8</w:t>
      </w:r>
      <w:r>
        <w:rPr>
          <w:rFonts w:cs="Times New Roman"/>
          <w:bCs w:val="0"/>
          <w:snapToGrid w:val="0"/>
          <w:kern w:val="0"/>
          <w:sz w:val="28"/>
          <w:szCs w:val="28"/>
        </w:rPr>
        <w:t>.2.2环境影响损失</w:t>
      </w:r>
      <w:bookmarkEnd w:id="877"/>
      <w:bookmarkEnd w:id="878"/>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⑴正常运营环境影响损失</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正常运营过程中，本项目产生的主要污染物分别经过相应的治理设施处理后达标排放。</w:t>
      </w:r>
    </w:p>
    <w:p>
      <w:pPr>
        <w:adjustRightInd w:val="0"/>
        <w:snapToGrid w:val="0"/>
        <w:spacing w:line="540" w:lineRule="exact"/>
        <w:ind w:firstLine="480" w:firstLineChars="200"/>
        <w:rPr>
          <w:rFonts w:ascii="Times New Roman" w:hAnsi="Times New Roman"/>
          <w:sz w:val="24"/>
        </w:rPr>
      </w:pPr>
      <w:r>
        <w:rPr>
          <w:rFonts w:ascii="Times New Roman" w:hAnsi="Times New Roman"/>
          <w:bCs/>
          <w:sz w:val="24"/>
        </w:rPr>
        <w:t>对牛棚定期喷洒除臭剂，牛粪及时清理，减少恶臭污染物的蓄积</w:t>
      </w:r>
      <w:r>
        <w:rPr>
          <w:rFonts w:ascii="Times New Roman" w:hAnsi="Times New Roman"/>
          <w:sz w:val="24"/>
        </w:rPr>
        <w:t>；</w:t>
      </w:r>
      <w:r>
        <w:rPr>
          <w:rFonts w:ascii="Times New Roman" w:hAnsi="Times New Roman"/>
          <w:bCs/>
          <w:sz w:val="24"/>
        </w:rPr>
        <w:t>科学合理调控饲粮等措施降低恶臭气体产生，</w:t>
      </w:r>
      <w:r>
        <w:rPr>
          <w:rFonts w:ascii="Times New Roman" w:hAnsi="Times New Roman"/>
          <w:sz w:val="24"/>
        </w:rPr>
        <w:t>从源头减缓恶臭，同时加强厂区绿化。</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项目产生噪声较大的设备如</w:t>
      </w:r>
      <w:r>
        <w:rPr>
          <w:rFonts w:ascii="Times New Roman" w:hAnsi="Times New Roman"/>
          <w:sz w:val="24"/>
          <w:szCs w:val="22"/>
        </w:rPr>
        <w:t>饲料配料混合设备、粉碎机、沼气锅炉</w:t>
      </w:r>
      <w:r>
        <w:rPr>
          <w:rFonts w:ascii="Times New Roman" w:hAnsi="Times New Roman"/>
          <w:sz w:val="24"/>
          <w:lang w:val="zh-CN"/>
        </w:rPr>
        <w:t>、泵、风机</w:t>
      </w:r>
      <w:r>
        <w:rPr>
          <w:rFonts w:ascii="Times New Roman" w:hAnsi="Times New Roman"/>
          <w:sz w:val="24"/>
        </w:rPr>
        <w:t>等产生的噪声，均采取消音和减振等措施。</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牛粪</w:t>
      </w:r>
      <w:r>
        <w:rPr>
          <w:rFonts w:hint="eastAsia" w:ascii="Times New Roman" w:hAnsi="Times New Roman"/>
          <w:sz w:val="24"/>
          <w:lang w:val="zh-CN"/>
        </w:rPr>
        <w:t>集中堆放</w:t>
      </w:r>
      <w:r>
        <w:rPr>
          <w:rFonts w:ascii="Times New Roman" w:hAnsi="Times New Roman"/>
          <w:sz w:val="24"/>
          <w:lang w:val="zh-CN"/>
        </w:rPr>
        <w:t>，</w:t>
      </w:r>
      <w:r>
        <w:rPr>
          <w:rFonts w:hint="eastAsia" w:ascii="Times New Roman" w:hAnsi="Times New Roman"/>
          <w:sz w:val="24"/>
        </w:rPr>
        <w:t>用于</w:t>
      </w:r>
      <w:r>
        <w:rPr>
          <w:rFonts w:hint="eastAsia" w:ascii="Times New Roman" w:hAnsi="Times New Roman"/>
          <w:bCs/>
          <w:sz w:val="24"/>
        </w:rPr>
        <w:t>周边农民施肥农田</w:t>
      </w:r>
      <w:r>
        <w:rPr>
          <w:rFonts w:hint="eastAsia" w:ascii="Times New Roman" w:hAnsi="Times New Roman"/>
          <w:sz w:val="24"/>
        </w:rPr>
        <w:t>，</w:t>
      </w:r>
      <w:r>
        <w:rPr>
          <w:rFonts w:ascii="Times New Roman" w:hAnsi="Times New Roman"/>
          <w:sz w:val="24"/>
        </w:rPr>
        <w:t>因此牛粪均可实现无害化处理。</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如果对环境保护设施进行完善的管理，保证设施正常运行，使污染物达标排放，则对周围环境影响不大。达标排放的污染物不超出周围环境的自净能力，基本不造成经济损失。</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⑵事故性环境影响损失</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项目运营过程如发生突发事故，使产生污染物的量或种类超出本项目环境保护设施的处理范围，导致污染物直接排放时，则将对周围环境造成影响，产生较大的环境经济损失。</w:t>
      </w:r>
    </w:p>
    <w:p>
      <w:pPr>
        <w:pStyle w:val="43"/>
        <w:spacing w:line="540" w:lineRule="exact"/>
      </w:pPr>
      <w:r>
        <w:t>事故性环境影响经济损失主要包括受污染环境的治理费用以及由于环境受污染导致的生态破坏和其它影响等。</w:t>
      </w:r>
    </w:p>
    <w:p>
      <w:pPr>
        <w:pStyle w:val="51"/>
        <w:snapToGrid w:val="0"/>
        <w:spacing w:before="120" w:beforeLines="50" w:after="120" w:afterLines="50" w:line="540" w:lineRule="exact"/>
        <w:contextualSpacing/>
        <w:rPr>
          <w:rFonts w:cs="Times New Roman"/>
          <w:bCs w:val="0"/>
          <w:snapToGrid w:val="0"/>
          <w:kern w:val="0"/>
          <w:sz w:val="30"/>
          <w:szCs w:val="30"/>
        </w:rPr>
      </w:pPr>
      <w:bookmarkStart w:id="880" w:name="_Toc32073"/>
      <w:bookmarkStart w:id="881" w:name="_Toc1054"/>
      <w:bookmarkStart w:id="882" w:name="_Toc17681"/>
      <w:bookmarkStart w:id="883" w:name="_Toc4968"/>
      <w:bookmarkStart w:id="884" w:name="_Toc23089"/>
      <w:r>
        <w:rPr>
          <w:rFonts w:hint="eastAsia" w:cs="Times New Roman"/>
          <w:bCs w:val="0"/>
          <w:snapToGrid w:val="0"/>
          <w:kern w:val="0"/>
          <w:sz w:val="30"/>
          <w:szCs w:val="30"/>
        </w:rPr>
        <w:t>8</w:t>
      </w:r>
      <w:r>
        <w:rPr>
          <w:rFonts w:cs="Times New Roman"/>
          <w:bCs w:val="0"/>
          <w:snapToGrid w:val="0"/>
          <w:kern w:val="0"/>
          <w:sz w:val="30"/>
          <w:szCs w:val="30"/>
        </w:rPr>
        <w:t>.3</w:t>
      </w:r>
      <w:bookmarkEnd w:id="880"/>
      <w:bookmarkStart w:id="885" w:name="_Toc25336"/>
      <w:r>
        <w:rPr>
          <w:rFonts w:cs="Times New Roman"/>
          <w:bCs w:val="0"/>
          <w:snapToGrid w:val="0"/>
          <w:kern w:val="0"/>
          <w:sz w:val="30"/>
          <w:szCs w:val="30"/>
        </w:rPr>
        <w:t>社会效益分析</w:t>
      </w:r>
      <w:bookmarkEnd w:id="881"/>
      <w:bookmarkEnd w:id="882"/>
      <w:bookmarkEnd w:id="883"/>
      <w:bookmarkEnd w:id="884"/>
      <w:bookmarkEnd w:id="885"/>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本项目建设符合国家有关产业政策，顺应国内外市场发展的需要，符合当地国民经济发展和产业规划，该项目的建设，将带来多方面的社会综合效益，主要体现在如下：</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⑴对当地畜牧业发展的影响</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本项目建设完成后，可带动周边农户发展</w:t>
      </w:r>
      <w:r>
        <w:rPr>
          <w:rFonts w:hint="eastAsia" w:ascii="Times New Roman" w:hAnsi="Times New Roman"/>
          <w:sz w:val="24"/>
        </w:rPr>
        <w:t>肉牛、牧草</w:t>
      </w:r>
      <w:r>
        <w:rPr>
          <w:rFonts w:ascii="Times New Roman" w:hAnsi="Times New Roman"/>
          <w:sz w:val="24"/>
        </w:rPr>
        <w:t>养殖，对当地的经济和畜牧业发展起着极大的推动作用。</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⑵对当地种植业发展的影响</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本项目建设成后，将需要大量的饲料及青贮饲料，使当地及周边农户种植的饲料作物有了可靠的销售渠道及较高的价位，提高种植经济效益，促进农民增收，提高农民对养殖业的信心和积极性。</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⑶对当地及周边居民的影响</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随着我国经济体制改革的深化，城乡经济蓬勃发展，在广大人民群众温饱解决以后，便进一步要求改善人们日常生活中的食物结构，增加肉、奶在食物中的比重。本项目通过种养模式调整农业结构，发展畜牧养殖业，延长农业产业链条，实现产供销一体化，改善城乡群众的膳食结构，就是一条能够实现畜牧产业发展与农业增效和农民增收相统一的行之有效的途径。</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⑷对当地就业的影响</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本项目建成后，提供</w:t>
      </w:r>
      <w:r>
        <w:rPr>
          <w:rFonts w:hint="eastAsia" w:ascii="Times New Roman" w:hAnsi="Times New Roman"/>
          <w:sz w:val="24"/>
        </w:rPr>
        <w:t>7</w:t>
      </w:r>
      <w:r>
        <w:rPr>
          <w:rFonts w:ascii="Times New Roman" w:hAnsi="Times New Roman"/>
          <w:sz w:val="24"/>
        </w:rPr>
        <w:t>个工作岗位，为解决当地就业问题也起着一定的积极作用。</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综上分析，项目社会效益十分突出。</w:t>
      </w:r>
    </w:p>
    <w:p>
      <w:pPr>
        <w:pStyle w:val="51"/>
        <w:snapToGrid w:val="0"/>
        <w:spacing w:before="120" w:beforeLines="50" w:after="120" w:afterLines="50" w:line="540" w:lineRule="exact"/>
        <w:contextualSpacing/>
        <w:rPr>
          <w:rFonts w:cs="Times New Roman"/>
          <w:bCs w:val="0"/>
          <w:snapToGrid w:val="0"/>
          <w:kern w:val="0"/>
          <w:sz w:val="30"/>
          <w:szCs w:val="30"/>
        </w:rPr>
      </w:pPr>
      <w:bookmarkStart w:id="886" w:name="_Toc24153"/>
      <w:bookmarkStart w:id="887" w:name="_Toc26984"/>
      <w:bookmarkStart w:id="888" w:name="_Toc13524"/>
      <w:bookmarkStart w:id="889" w:name="_Toc21748"/>
      <w:bookmarkStart w:id="890" w:name="_Toc10799"/>
      <w:r>
        <w:rPr>
          <w:rFonts w:hint="eastAsia" w:cs="Times New Roman"/>
          <w:bCs w:val="0"/>
          <w:snapToGrid w:val="0"/>
          <w:kern w:val="0"/>
          <w:sz w:val="30"/>
          <w:szCs w:val="30"/>
        </w:rPr>
        <w:t>8</w:t>
      </w:r>
      <w:r>
        <w:rPr>
          <w:rFonts w:cs="Times New Roman"/>
          <w:bCs w:val="0"/>
          <w:snapToGrid w:val="0"/>
          <w:kern w:val="0"/>
          <w:sz w:val="30"/>
          <w:szCs w:val="30"/>
        </w:rPr>
        <w:t>.4经济效益</w:t>
      </w:r>
      <w:bookmarkEnd w:id="886"/>
      <w:bookmarkEnd w:id="887"/>
      <w:bookmarkEnd w:id="888"/>
      <w:bookmarkEnd w:id="889"/>
      <w:bookmarkEnd w:id="890"/>
    </w:p>
    <w:p>
      <w:pPr>
        <w:pBdr>
          <w:top w:val="none" w:color="auto" w:sz="0" w:space="1"/>
          <w:left w:val="none" w:color="auto" w:sz="0" w:space="4"/>
          <w:bottom w:val="none" w:color="auto" w:sz="0" w:space="1"/>
          <w:right w:val="none" w:color="auto" w:sz="0" w:space="4"/>
        </w:pBdr>
        <w:adjustRightInd w:val="0"/>
        <w:snapToGrid w:val="0"/>
        <w:spacing w:line="540" w:lineRule="exact"/>
        <w:ind w:firstLine="480" w:firstLineChars="200"/>
        <w:rPr>
          <w:rFonts w:ascii="Times New Roman" w:hAnsi="Times New Roman"/>
          <w:sz w:val="24"/>
        </w:rPr>
      </w:pPr>
      <w:r>
        <w:rPr>
          <w:rFonts w:ascii="Times New Roman" w:hAnsi="Times New Roman"/>
          <w:sz w:val="24"/>
        </w:rPr>
        <w:t>项目总投资为</w:t>
      </w:r>
      <w:r>
        <w:rPr>
          <w:rFonts w:hint="eastAsia" w:ascii="Times New Roman" w:hAnsi="Times New Roman"/>
          <w:sz w:val="24"/>
          <w:highlight w:val="none"/>
        </w:rPr>
        <w:t>5100万元</w:t>
      </w:r>
      <w:r>
        <w:rPr>
          <w:rFonts w:ascii="Times New Roman" w:hAnsi="Times New Roman"/>
          <w:sz w:val="24"/>
          <w:highlight w:val="none"/>
        </w:rPr>
        <w:t>，工程建成后年销售收入</w:t>
      </w:r>
      <w:r>
        <w:rPr>
          <w:rFonts w:hint="eastAsia" w:ascii="Times New Roman" w:hAnsi="Times New Roman"/>
          <w:sz w:val="24"/>
          <w:highlight w:val="none"/>
        </w:rPr>
        <w:t>预估</w:t>
      </w:r>
      <w:r>
        <w:rPr>
          <w:rFonts w:ascii="Times New Roman" w:hAnsi="Times New Roman"/>
          <w:sz w:val="24"/>
          <w:highlight w:val="none"/>
        </w:rPr>
        <w:t>可达</w:t>
      </w:r>
      <w:r>
        <w:rPr>
          <w:rFonts w:hint="eastAsia" w:ascii="Times New Roman" w:hAnsi="Times New Roman"/>
          <w:sz w:val="24"/>
          <w:highlight w:val="none"/>
        </w:rPr>
        <w:t>1000</w:t>
      </w:r>
      <w:r>
        <w:rPr>
          <w:rFonts w:ascii="Times New Roman" w:hAnsi="Times New Roman"/>
          <w:sz w:val="24"/>
          <w:highlight w:val="none"/>
        </w:rPr>
        <w:t>万元，</w:t>
      </w:r>
      <w:r>
        <w:rPr>
          <w:rFonts w:hint="eastAsia" w:ascii="Times New Roman" w:hAnsi="Times New Roman"/>
          <w:sz w:val="24"/>
          <w:highlight w:val="none"/>
          <w:lang w:eastAsia="zh-CN"/>
        </w:rPr>
        <w:t>利润</w:t>
      </w:r>
      <w:r>
        <w:rPr>
          <w:rFonts w:hint="eastAsia" w:ascii="Times New Roman" w:hAnsi="Times New Roman"/>
          <w:sz w:val="24"/>
          <w:highlight w:val="none"/>
          <w:lang w:val="en-US" w:eastAsia="zh-CN"/>
        </w:rPr>
        <w:t>25%，</w:t>
      </w:r>
      <w:r>
        <w:rPr>
          <w:rFonts w:hint="eastAsia" w:ascii="Times New Roman" w:hAnsi="Times New Roman"/>
          <w:sz w:val="24"/>
          <w:highlight w:val="none"/>
        </w:rPr>
        <w:t>预估动态</w:t>
      </w:r>
      <w:r>
        <w:rPr>
          <w:rFonts w:ascii="Times New Roman" w:hAnsi="Times New Roman"/>
          <w:sz w:val="24"/>
          <w:highlight w:val="none"/>
        </w:rPr>
        <w:t>投资回收期为</w:t>
      </w:r>
      <w:r>
        <w:rPr>
          <w:rFonts w:hint="eastAsia" w:ascii="Times New Roman" w:hAnsi="Times New Roman"/>
          <w:sz w:val="24"/>
          <w:highlight w:val="none"/>
          <w:lang w:val="en-US" w:eastAsia="zh-CN"/>
        </w:rPr>
        <w:t>9.25</w:t>
      </w:r>
      <w:r>
        <w:rPr>
          <w:rFonts w:ascii="Times New Roman" w:hAnsi="Times New Roman"/>
          <w:sz w:val="24"/>
          <w:highlight w:val="none"/>
        </w:rPr>
        <w:t>年。</w:t>
      </w:r>
      <w:r>
        <w:rPr>
          <w:rFonts w:ascii="Times New Roman" w:hAnsi="Times New Roman"/>
          <w:sz w:val="24"/>
        </w:rPr>
        <w:t>从以上经济指标可以看出，本项目具有</w:t>
      </w:r>
      <w:r>
        <w:rPr>
          <w:rFonts w:hint="eastAsia" w:ascii="Times New Roman" w:hAnsi="Times New Roman"/>
          <w:sz w:val="24"/>
          <w:lang w:eastAsia="zh-CN"/>
        </w:rPr>
        <w:t>一定的</w:t>
      </w:r>
      <w:r>
        <w:rPr>
          <w:rFonts w:ascii="Times New Roman" w:hAnsi="Times New Roman"/>
          <w:sz w:val="24"/>
        </w:rPr>
        <w:t>的经济效益和一定的抗风险能力，从经济效益角度讲是可行的。</w:t>
      </w:r>
    </w:p>
    <w:p>
      <w:pPr>
        <w:pStyle w:val="51"/>
        <w:snapToGrid w:val="0"/>
        <w:spacing w:before="120" w:beforeLines="50" w:after="120" w:afterLines="50" w:line="540" w:lineRule="exact"/>
        <w:contextualSpacing/>
        <w:rPr>
          <w:rFonts w:cs="Times New Roman"/>
          <w:bCs w:val="0"/>
          <w:snapToGrid w:val="0"/>
          <w:kern w:val="0"/>
          <w:sz w:val="30"/>
          <w:szCs w:val="30"/>
        </w:rPr>
      </w:pPr>
      <w:bookmarkStart w:id="891" w:name="_Toc2767"/>
      <w:bookmarkStart w:id="892" w:name="_Toc25605"/>
      <w:bookmarkStart w:id="893" w:name="_Toc28669"/>
      <w:bookmarkStart w:id="894" w:name="_Toc16360"/>
      <w:bookmarkStart w:id="895" w:name="_Toc2116"/>
      <w:r>
        <w:rPr>
          <w:rFonts w:hint="eastAsia" w:cs="Times New Roman"/>
          <w:bCs w:val="0"/>
          <w:snapToGrid w:val="0"/>
          <w:kern w:val="0"/>
          <w:sz w:val="30"/>
          <w:szCs w:val="30"/>
        </w:rPr>
        <w:t>8</w:t>
      </w:r>
      <w:r>
        <w:rPr>
          <w:rFonts w:cs="Times New Roman"/>
          <w:bCs w:val="0"/>
          <w:snapToGrid w:val="0"/>
          <w:kern w:val="0"/>
          <w:sz w:val="30"/>
          <w:szCs w:val="30"/>
        </w:rPr>
        <w:t>.</w:t>
      </w:r>
      <w:bookmarkEnd w:id="891"/>
      <w:r>
        <w:rPr>
          <w:rFonts w:cs="Times New Roman"/>
          <w:bCs w:val="0"/>
          <w:snapToGrid w:val="0"/>
          <w:kern w:val="0"/>
          <w:sz w:val="30"/>
          <w:szCs w:val="30"/>
        </w:rPr>
        <w:t>5环境效益分析</w:t>
      </w:r>
      <w:bookmarkEnd w:id="892"/>
      <w:bookmarkEnd w:id="893"/>
      <w:bookmarkEnd w:id="894"/>
      <w:bookmarkEnd w:id="895"/>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本项目本身的实施会对环境有一定的影响，但采取环境保护措施后可使污染物排放大大减少，对环境影响轻微。具体有以下几个方面：</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⑴牛粪实现全部无害化处理</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牛粪</w:t>
      </w:r>
      <w:r>
        <w:rPr>
          <w:rFonts w:hint="eastAsia" w:ascii="Times New Roman" w:hAnsi="Times New Roman"/>
          <w:sz w:val="24"/>
          <w:lang w:val="zh-CN"/>
        </w:rPr>
        <w:t>集中堆放</w:t>
      </w:r>
      <w:r>
        <w:rPr>
          <w:rFonts w:ascii="Times New Roman" w:hAnsi="Times New Roman"/>
          <w:sz w:val="24"/>
          <w:lang w:val="zh-CN"/>
        </w:rPr>
        <w:t>，</w:t>
      </w:r>
      <w:r>
        <w:rPr>
          <w:rFonts w:hint="eastAsia" w:ascii="Times New Roman" w:hAnsi="Times New Roman"/>
          <w:sz w:val="24"/>
          <w:lang w:val="zh-CN"/>
        </w:rPr>
        <w:t>定期由</w:t>
      </w:r>
      <w:r>
        <w:rPr>
          <w:rFonts w:hint="eastAsia" w:ascii="Times New Roman" w:hAnsi="Times New Roman"/>
          <w:bCs/>
          <w:sz w:val="24"/>
          <w:highlight w:val="none"/>
          <w:lang w:eastAsia="zh-CN"/>
        </w:rPr>
        <w:t>隆德县腾发牧草专业合作社运走进行处理</w:t>
      </w:r>
      <w:r>
        <w:rPr>
          <w:rFonts w:hint="eastAsia" w:ascii="Times New Roman" w:hAnsi="Times New Roman"/>
          <w:sz w:val="24"/>
        </w:rPr>
        <w:t>，</w:t>
      </w:r>
      <w:r>
        <w:rPr>
          <w:rFonts w:ascii="Times New Roman" w:hAnsi="Times New Roman"/>
          <w:sz w:val="24"/>
        </w:rPr>
        <w:t>因此牛粪均可实现无害化处理。</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⑵产生了经济效益</w:t>
      </w:r>
    </w:p>
    <w:p>
      <w:pPr>
        <w:adjustRightInd w:val="0"/>
        <w:snapToGrid w:val="0"/>
        <w:spacing w:line="540" w:lineRule="exact"/>
        <w:ind w:firstLine="480" w:firstLineChars="200"/>
        <w:rPr>
          <w:rFonts w:ascii="Times New Roman" w:hAnsi="Times New Roman"/>
        </w:rPr>
      </w:pPr>
      <w:r>
        <w:rPr>
          <w:rFonts w:ascii="Times New Roman" w:hAnsi="Times New Roman"/>
          <w:sz w:val="24"/>
        </w:rPr>
        <w:t>本项目运营过程中粪污均用于</w:t>
      </w:r>
      <w:r>
        <w:rPr>
          <w:rFonts w:hint="eastAsia" w:ascii="Times New Roman" w:hAnsi="Times New Roman"/>
          <w:sz w:val="24"/>
        </w:rPr>
        <w:t>施肥农田</w:t>
      </w:r>
      <w:r>
        <w:rPr>
          <w:rFonts w:ascii="Times New Roman" w:hAnsi="Times New Roman"/>
          <w:sz w:val="24"/>
        </w:rPr>
        <w:t>，既做到了资源的合理综合利用，创造了经济效益。</w:t>
      </w:r>
    </w:p>
    <w:p>
      <w:pPr>
        <w:pStyle w:val="51"/>
        <w:snapToGrid w:val="0"/>
        <w:spacing w:before="120" w:beforeLines="50" w:after="120" w:afterLines="50" w:line="540" w:lineRule="exact"/>
        <w:contextualSpacing/>
        <w:rPr>
          <w:rFonts w:cs="Times New Roman"/>
          <w:bCs w:val="0"/>
          <w:snapToGrid w:val="0"/>
          <w:kern w:val="0"/>
          <w:sz w:val="30"/>
          <w:szCs w:val="30"/>
        </w:rPr>
      </w:pPr>
      <w:bookmarkStart w:id="896" w:name="_Toc11002"/>
      <w:bookmarkStart w:id="897" w:name="_Toc5589"/>
      <w:bookmarkStart w:id="898" w:name="_Toc6186"/>
      <w:bookmarkStart w:id="899" w:name="_Toc26055"/>
      <w:r>
        <w:rPr>
          <w:rFonts w:hint="eastAsia" w:cs="Times New Roman"/>
          <w:bCs w:val="0"/>
          <w:snapToGrid w:val="0"/>
          <w:kern w:val="0"/>
          <w:sz w:val="30"/>
          <w:szCs w:val="30"/>
        </w:rPr>
        <w:t>8</w:t>
      </w:r>
      <w:r>
        <w:rPr>
          <w:rFonts w:cs="Times New Roman"/>
          <w:bCs w:val="0"/>
          <w:snapToGrid w:val="0"/>
          <w:kern w:val="0"/>
          <w:sz w:val="30"/>
          <w:szCs w:val="30"/>
        </w:rPr>
        <w:t>.6环境经济效益综合评述</w:t>
      </w:r>
      <w:bookmarkEnd w:id="896"/>
      <w:bookmarkEnd w:id="897"/>
      <w:bookmarkEnd w:id="898"/>
      <w:bookmarkEnd w:id="899"/>
    </w:p>
    <w:p>
      <w:pPr>
        <w:pStyle w:val="11"/>
        <w:adjustRightInd w:val="0"/>
        <w:snapToGrid w:val="0"/>
        <w:spacing w:after="0" w:line="540" w:lineRule="exact"/>
        <w:ind w:firstLine="480" w:firstLineChars="200"/>
        <w:rPr>
          <w:rFonts w:ascii="Times New Roman" w:hAnsi="Times New Roman"/>
          <w:sz w:val="24"/>
          <w:szCs w:val="22"/>
        </w:rPr>
      </w:pPr>
      <w:r>
        <w:rPr>
          <w:rFonts w:ascii="Times New Roman" w:hAnsi="Times New Roman"/>
          <w:sz w:val="24"/>
          <w:szCs w:val="22"/>
        </w:rPr>
        <w:t>⑴本项目建成后，不仅增加了地方的财政收入，而且还能为企业积累大量资金，经济效益较好。</w:t>
      </w:r>
    </w:p>
    <w:p>
      <w:pPr>
        <w:pStyle w:val="11"/>
        <w:adjustRightInd w:val="0"/>
        <w:snapToGrid w:val="0"/>
        <w:spacing w:after="0" w:line="540" w:lineRule="exact"/>
        <w:ind w:firstLine="480" w:firstLineChars="200"/>
        <w:rPr>
          <w:rFonts w:ascii="Times New Roman" w:hAnsi="Times New Roman"/>
          <w:sz w:val="24"/>
          <w:szCs w:val="22"/>
        </w:rPr>
      </w:pPr>
      <w:r>
        <w:rPr>
          <w:rFonts w:ascii="Times New Roman" w:hAnsi="Times New Roman"/>
          <w:sz w:val="24"/>
          <w:szCs w:val="22"/>
        </w:rPr>
        <w:t>⑵拟建工程完成后，增强了企业的生存竞争能力，促进了当地的经济发展并通过一系列的环境保护和生态恢复措施缓解了对区域的环境污染，增加了当地农牧民的经济收入，提高了公众的生活质量，维持了社会稳定，社会效益较好。</w:t>
      </w:r>
    </w:p>
    <w:p>
      <w:pPr>
        <w:pStyle w:val="11"/>
        <w:adjustRightInd w:val="0"/>
        <w:snapToGrid w:val="0"/>
        <w:spacing w:after="0" w:line="540" w:lineRule="exact"/>
        <w:ind w:firstLine="480" w:firstLineChars="200"/>
        <w:rPr>
          <w:rFonts w:ascii="Times New Roman" w:hAnsi="Times New Roman"/>
          <w:sz w:val="24"/>
          <w:szCs w:val="22"/>
        </w:rPr>
      </w:pPr>
      <w:r>
        <w:rPr>
          <w:rFonts w:ascii="Times New Roman" w:hAnsi="Times New Roman"/>
          <w:sz w:val="24"/>
          <w:szCs w:val="22"/>
        </w:rPr>
        <w:t>⑶本项目在严格落实环评提出的各项污染防治措施后，能够保证达标排放，对环境影响轻微。</w:t>
      </w:r>
    </w:p>
    <w:p>
      <w:pPr>
        <w:adjustRightInd w:val="0"/>
        <w:snapToGrid w:val="0"/>
        <w:spacing w:line="540" w:lineRule="exact"/>
        <w:ind w:firstLine="480" w:firstLineChars="200"/>
        <w:rPr>
          <w:rFonts w:ascii="Times New Roman" w:hAnsi="Times New Roman"/>
          <w:sz w:val="24"/>
        </w:rPr>
      </w:pPr>
      <w:r>
        <w:rPr>
          <w:rFonts w:ascii="Times New Roman" w:hAnsi="Times New Roman"/>
          <w:sz w:val="24"/>
          <w:szCs w:val="22"/>
        </w:rPr>
        <w:t>通过对本项目在经济效益、环境效益和社会效益三方面的分析，可以看出，本项目的建设能够达到“三效益”的和谐统一发展，项目是可行的。</w:t>
      </w:r>
    </w:p>
    <w:p>
      <w:pPr>
        <w:pStyle w:val="11"/>
        <w:adjustRightInd w:val="0"/>
        <w:snapToGrid w:val="0"/>
        <w:spacing w:after="0" w:line="540" w:lineRule="exact"/>
        <w:ind w:firstLine="480" w:firstLineChars="200"/>
        <w:rPr>
          <w:rFonts w:ascii="Times New Roman" w:hAnsi="Times New Roman"/>
          <w:sz w:val="24"/>
        </w:rPr>
        <w:sectPr>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p>
    <w:p>
      <w:pPr>
        <w:pStyle w:val="45"/>
        <w:snapToGrid w:val="0"/>
        <w:spacing w:before="240" w:beforeLines="100" w:after="120" w:afterLines="50" w:line="540" w:lineRule="exact"/>
        <w:contextualSpacing/>
        <w:rPr>
          <w:bCs w:val="0"/>
          <w:snapToGrid w:val="0"/>
          <w:kern w:val="0"/>
          <w:sz w:val="32"/>
          <w:szCs w:val="32"/>
        </w:rPr>
      </w:pPr>
      <w:bookmarkStart w:id="900" w:name="_Toc43"/>
      <w:r>
        <w:rPr>
          <w:rFonts w:hint="eastAsia"/>
          <w:bCs w:val="0"/>
          <w:snapToGrid w:val="0"/>
          <w:kern w:val="0"/>
          <w:sz w:val="32"/>
          <w:szCs w:val="32"/>
        </w:rPr>
        <w:t>9</w:t>
      </w:r>
      <w:r>
        <w:rPr>
          <w:bCs w:val="0"/>
          <w:snapToGrid w:val="0"/>
          <w:kern w:val="0"/>
          <w:sz w:val="32"/>
          <w:szCs w:val="32"/>
        </w:rPr>
        <w:t>环境管理与监测计划</w:t>
      </w:r>
      <w:bookmarkEnd w:id="871"/>
      <w:bookmarkEnd w:id="872"/>
      <w:bookmarkEnd w:id="873"/>
      <w:bookmarkEnd w:id="879"/>
      <w:bookmarkEnd w:id="900"/>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健全有效的环境管理与监控计划是搞好环境保护工作的基础。环境管理的目的是应用环境科学的理论和实践，对损害或破坏环境质量的人及其活动施加影响，以协调发展与环境保护之间的关系。因此，为确保本项目在建设期、运营期各阶段执行并遵守有关环保法规，建设单位需对环境管理工作予以重视，以确保各项治理措施正常有效地运行。</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项目环境保护管理与监控计划用于指导从项目设计、施工到运行阶段的环境保护工作，同时进行系统的环境监测，了解工程影响区域生态与环境系统变化规律，全面地反映环境质量现状及工程设施运转后环境情况，以验证和复核环境影响评价结果，预测其发展趋势，掌握污染源动态，及时发现潜在的不利影响，以便及时采取有效的减免措施。</w:t>
      </w:r>
    </w:p>
    <w:p>
      <w:pPr>
        <w:pStyle w:val="51"/>
        <w:snapToGrid w:val="0"/>
        <w:spacing w:before="120" w:beforeLines="50" w:after="120" w:afterLines="50" w:line="540" w:lineRule="exact"/>
        <w:contextualSpacing/>
        <w:rPr>
          <w:rFonts w:cs="Times New Roman"/>
          <w:bCs w:val="0"/>
          <w:snapToGrid w:val="0"/>
          <w:kern w:val="0"/>
          <w:sz w:val="30"/>
          <w:szCs w:val="30"/>
        </w:rPr>
      </w:pPr>
      <w:bookmarkStart w:id="901" w:name="_Toc18586"/>
      <w:bookmarkStart w:id="902" w:name="_Toc6165"/>
      <w:bookmarkStart w:id="903" w:name="_Toc336"/>
      <w:bookmarkStart w:id="904" w:name="_Toc6185"/>
      <w:bookmarkStart w:id="905" w:name="_Toc2471"/>
      <w:r>
        <w:rPr>
          <w:rFonts w:hint="eastAsia" w:cs="Times New Roman"/>
          <w:bCs w:val="0"/>
          <w:snapToGrid w:val="0"/>
          <w:kern w:val="0"/>
          <w:sz w:val="30"/>
          <w:szCs w:val="30"/>
        </w:rPr>
        <w:t>9</w:t>
      </w:r>
      <w:r>
        <w:rPr>
          <w:rFonts w:cs="Times New Roman"/>
          <w:bCs w:val="0"/>
          <w:snapToGrid w:val="0"/>
          <w:kern w:val="0"/>
          <w:sz w:val="30"/>
          <w:szCs w:val="30"/>
        </w:rPr>
        <w:t>.1环境管理</w:t>
      </w:r>
      <w:bookmarkEnd w:id="901"/>
      <w:bookmarkEnd w:id="902"/>
      <w:bookmarkEnd w:id="903"/>
      <w:bookmarkEnd w:id="904"/>
      <w:bookmarkEnd w:id="905"/>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项目进入运营期后，要将环境管理纳入厂区管理的体系中。环境管理机构的设置，目的是为了贯彻执行中华人民共和国环境保护法的有关法律、法规，全面落实《国务院关于环境保护若干问题的决定》的有关规定，对项目“三废”排放实行监控，确保建设项目经济、环境和社会效益协调发展；协调地方环保部门工作，为企业的生产管理和环境管理提供保证，针对拟建项目的具体情况，为加强严格管理，企业应设置环境管理机构，并尽相应的职责。通过严格的环境管理，才能严格执行环评中提出的各项环保措施，真正达到保护环境的目的。</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06" w:name="_Toc6160"/>
      <w:bookmarkStart w:id="907" w:name="_Toc24087"/>
      <w:r>
        <w:rPr>
          <w:rFonts w:hint="eastAsia" w:cs="Times New Roman"/>
          <w:bCs w:val="0"/>
          <w:snapToGrid w:val="0"/>
          <w:kern w:val="0"/>
          <w:sz w:val="28"/>
          <w:szCs w:val="28"/>
        </w:rPr>
        <w:t>9</w:t>
      </w:r>
      <w:r>
        <w:rPr>
          <w:rFonts w:cs="Times New Roman"/>
          <w:bCs w:val="0"/>
          <w:snapToGrid w:val="0"/>
          <w:kern w:val="0"/>
          <w:sz w:val="28"/>
          <w:szCs w:val="28"/>
        </w:rPr>
        <w:t>.1.1总体指导原则</w:t>
      </w:r>
      <w:bookmarkEnd w:id="906"/>
      <w:bookmarkEnd w:id="907"/>
    </w:p>
    <w:p>
      <w:pPr>
        <w:adjustRightInd w:val="0"/>
        <w:snapToGrid w:val="0"/>
        <w:spacing w:line="540" w:lineRule="exact"/>
        <w:ind w:firstLine="480" w:firstLineChars="200"/>
        <w:rPr>
          <w:rFonts w:ascii="Times New Roman" w:hAnsi="Times New Roman"/>
          <w:sz w:val="24"/>
        </w:rPr>
      </w:pPr>
      <w:r>
        <w:rPr>
          <w:rFonts w:ascii="Times New Roman" w:hAnsi="Times New Roman"/>
          <w:sz w:val="24"/>
        </w:rPr>
        <w:t>环境管理的总体指导原则包括如下几点：</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⑴项目的设计应得到充分论证，使项目实施后尽可能地避免或减少在工程建设和运行中对环境带来的不利影响。当这种影响不可避免时，应采取技术经济可行的工程措施加以减缓。</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⑵项目的不利影响的防治，应由一系列的具体的措施和环境管理计划组成，这些措施和计划用来消除、抵消或减少施工和运行期间的不利于环境的影响。</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⑶环境保护措施应包括施工期和运行后的保护措施，并对常规情况和突发情况分别提出不同的保护措施和挽回不利影响的方法。</w:t>
      </w:r>
    </w:p>
    <w:p>
      <w:pPr>
        <w:pBdr>
          <w:top w:val="none" w:color="auto" w:sz="0" w:space="1"/>
          <w:left w:val="none" w:color="auto" w:sz="0" w:space="4"/>
          <w:bottom w:val="none" w:color="auto" w:sz="0" w:space="1"/>
          <w:right w:val="none" w:color="auto" w:sz="0" w:space="4"/>
        </w:pBdr>
        <w:adjustRightInd w:val="0"/>
        <w:snapToGrid w:val="0"/>
        <w:spacing w:line="540" w:lineRule="exact"/>
        <w:ind w:firstLine="480" w:firstLineChars="200"/>
        <w:rPr>
          <w:rFonts w:ascii="Times New Roman" w:hAnsi="Times New Roman"/>
          <w:sz w:val="24"/>
        </w:rPr>
      </w:pPr>
      <w:r>
        <w:rPr>
          <w:rFonts w:ascii="Times New Roman" w:hAnsi="Times New Roman"/>
          <w:sz w:val="24"/>
        </w:rPr>
        <w:t>⑷环境管理计划应制定出机构上的安排以及执行各种防治措施的职责、实施进度、监测内容和报告程序以及资金投入和来源等内容。</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08" w:name="_Toc5982"/>
      <w:bookmarkStart w:id="909" w:name="_Toc17582"/>
      <w:r>
        <w:rPr>
          <w:rFonts w:hint="eastAsia" w:cs="Times New Roman"/>
          <w:bCs w:val="0"/>
          <w:snapToGrid w:val="0"/>
          <w:kern w:val="0"/>
          <w:sz w:val="28"/>
          <w:szCs w:val="28"/>
        </w:rPr>
        <w:t>9</w:t>
      </w:r>
      <w:r>
        <w:rPr>
          <w:rFonts w:cs="Times New Roman"/>
          <w:bCs w:val="0"/>
          <w:snapToGrid w:val="0"/>
          <w:kern w:val="0"/>
          <w:sz w:val="28"/>
          <w:szCs w:val="28"/>
        </w:rPr>
        <w:t>.1.2环境管理体系</w:t>
      </w:r>
      <w:bookmarkEnd w:id="908"/>
      <w:bookmarkEnd w:id="909"/>
    </w:p>
    <w:p>
      <w:pPr>
        <w:adjustRightInd w:val="0"/>
        <w:snapToGrid w:val="0"/>
        <w:spacing w:line="540" w:lineRule="exact"/>
        <w:ind w:firstLine="480" w:firstLineChars="200"/>
        <w:rPr>
          <w:rFonts w:ascii="Times New Roman" w:hAnsi="Times New Roman"/>
          <w:sz w:val="24"/>
        </w:rPr>
      </w:pPr>
      <w:r>
        <w:rPr>
          <w:rFonts w:ascii="Times New Roman" w:hAnsi="Times New Roman"/>
          <w:sz w:val="24"/>
        </w:rPr>
        <w:t>环境管理体系应作为企业管理体系中的一部分，并与之协调统一。项目实施后将成为独立的法人单位，并实行以“一人主管，分工负责；职能部门，各负其责；落实基层，监督考核”为原则，以企业领导为核心，相关职能部门为基础的全员责任制的环境管理体系。使环境管理贯穿于企业管理的整个过程，并落实到企业的各个层次，分解到生产的各个环节，把企业管理与环境管理紧密地结合起来，不但要建立完善的企业管理体系和各总规章制度，也要建立完善的环境管理体系和各总规章制度，使企业的环境管理工作真正落到实处。</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10" w:name="_Toc16424"/>
      <w:bookmarkStart w:id="911" w:name="_Toc27725"/>
      <w:r>
        <w:rPr>
          <w:rFonts w:hint="eastAsia" w:cs="Times New Roman"/>
          <w:bCs w:val="0"/>
          <w:snapToGrid w:val="0"/>
          <w:kern w:val="0"/>
          <w:sz w:val="28"/>
          <w:szCs w:val="28"/>
        </w:rPr>
        <w:t>9</w:t>
      </w:r>
      <w:r>
        <w:rPr>
          <w:rFonts w:cs="Times New Roman"/>
          <w:bCs w:val="0"/>
          <w:snapToGrid w:val="0"/>
          <w:kern w:val="0"/>
          <w:sz w:val="28"/>
          <w:szCs w:val="28"/>
        </w:rPr>
        <w:t>.1.3环境管理机构设置</w:t>
      </w:r>
      <w:bookmarkEnd w:id="910"/>
      <w:bookmarkEnd w:id="911"/>
    </w:p>
    <w:p>
      <w:pPr>
        <w:adjustRightInd w:val="0"/>
        <w:snapToGrid w:val="0"/>
        <w:spacing w:line="540" w:lineRule="exact"/>
        <w:ind w:firstLine="480" w:firstLineChars="200"/>
        <w:rPr>
          <w:rFonts w:ascii="Times New Roman" w:hAnsi="Times New Roman"/>
          <w:sz w:val="24"/>
        </w:rPr>
      </w:pPr>
      <w:r>
        <w:rPr>
          <w:rFonts w:ascii="Times New Roman" w:hAnsi="Times New Roman"/>
          <w:sz w:val="24"/>
        </w:rPr>
        <w:t>项目设独立的安全环保部门，设专职环境保护管理人员，全面负责企业的环境保护管理工作，安全环保部下设监测室，承担日常环境监测工作任务。同时，安全环保部内部建立计算机辅助管理系统，使之更好地利用经济、技术、行政和教育手段，对损害环境质量的生产活动加以限制，协调好企业经济发展与环境保护的关系，使经济效益、社会效益与环境效益相协调统一。工程运营后，环境管理机构由建设单位相应的环保部门负责，下设环境管理小组，负责环保措施的实施、环保设施运行以及日常环境管理监控工作，并受项目主管单位及</w:t>
      </w:r>
      <w:r>
        <w:rPr>
          <w:rFonts w:hint="eastAsia" w:ascii="Times New Roman" w:hAnsi="Times New Roman"/>
          <w:sz w:val="24"/>
          <w:lang w:eastAsia="zh-CN"/>
        </w:rPr>
        <w:t>相关部门</w:t>
      </w:r>
      <w:r>
        <w:rPr>
          <w:rFonts w:ascii="Times New Roman" w:hAnsi="Times New Roman"/>
          <w:sz w:val="24"/>
        </w:rPr>
        <w:t>的监督和指导。</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12" w:name="_Toc11446"/>
      <w:bookmarkStart w:id="913" w:name="_Toc9308"/>
      <w:r>
        <w:rPr>
          <w:rFonts w:hint="eastAsia" w:cs="Times New Roman"/>
          <w:bCs w:val="0"/>
          <w:snapToGrid w:val="0"/>
          <w:kern w:val="0"/>
          <w:sz w:val="28"/>
          <w:szCs w:val="28"/>
        </w:rPr>
        <w:t>9</w:t>
      </w:r>
      <w:r>
        <w:rPr>
          <w:rFonts w:cs="Times New Roman"/>
          <w:bCs w:val="0"/>
          <w:snapToGrid w:val="0"/>
          <w:kern w:val="0"/>
          <w:sz w:val="28"/>
          <w:szCs w:val="28"/>
        </w:rPr>
        <w:t>.1.4环境管理机构职责</w:t>
      </w:r>
      <w:bookmarkEnd w:id="912"/>
      <w:bookmarkEnd w:id="913"/>
    </w:p>
    <w:p>
      <w:pPr>
        <w:adjustRightInd w:val="0"/>
        <w:snapToGrid w:val="0"/>
        <w:spacing w:line="540" w:lineRule="exact"/>
        <w:ind w:firstLine="480" w:firstLineChars="200"/>
        <w:rPr>
          <w:rFonts w:ascii="Times New Roman" w:hAnsi="Times New Roman"/>
          <w:sz w:val="24"/>
        </w:rPr>
      </w:pPr>
      <w:r>
        <w:rPr>
          <w:rFonts w:ascii="Times New Roman" w:hAnsi="Times New Roman"/>
          <w:sz w:val="24"/>
        </w:rPr>
        <w:t>环境保护管理机构的基本任务是负责组织、落实、监督本项目的环保工作。其主要职责如下：</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⑴贯彻、宣传国家、省及地方的各项环保方针、政策和法律法规，根据厂区的实际情况，编制环境保护规划和实施细则，并组织实施和监督实行；</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⑵制定本厂区的环保管理制度、环保技术经济政策、环境保护发展规划和年度实施计划；</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⑶监督检查本项目执行“三同时”规定的情况；</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⑷定期进行环保设备检查、维修和保养工作，确保环保设施长期、稳定、达标运转；</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⑸负责厂区环保设施的日常运行管理工作，制定事故防范措施，一旦发生事故，组织污染源调查及控制工作，并及时总结经验教训；</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⑹负责对厂区环保人员和居民进行环境保护教育，不断提高居民的环境意识和环保人员的业务素质；</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⑺负责向当地环保主管部门上报有关环保材料，贯彻环保主管部门下达的有关厂区环保工作的任务和要求；</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⑻组织宣传教育，与企业内部有关部门共同大力普及企业职工的环境法规及环境科学知识，提高职工的环境保护意识。宣传清洁生产理念，协同生产技术部门对生产设施进行技术改造，尽可能将污染控制在生产过程中。</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14" w:name="_Toc10588"/>
      <w:bookmarkStart w:id="915" w:name="_Toc9211"/>
      <w:r>
        <w:rPr>
          <w:rFonts w:hint="eastAsia" w:cs="Times New Roman"/>
          <w:bCs w:val="0"/>
          <w:snapToGrid w:val="0"/>
          <w:kern w:val="0"/>
          <w:sz w:val="28"/>
          <w:szCs w:val="28"/>
        </w:rPr>
        <w:t>9</w:t>
      </w:r>
      <w:r>
        <w:rPr>
          <w:rFonts w:cs="Times New Roman"/>
          <w:bCs w:val="0"/>
          <w:snapToGrid w:val="0"/>
          <w:kern w:val="0"/>
          <w:sz w:val="28"/>
          <w:szCs w:val="28"/>
        </w:rPr>
        <w:t>.1.5环境管理制度</w:t>
      </w:r>
      <w:bookmarkEnd w:id="914"/>
      <w:bookmarkEnd w:id="915"/>
    </w:p>
    <w:p>
      <w:pPr>
        <w:adjustRightInd w:val="0"/>
        <w:snapToGrid w:val="0"/>
        <w:spacing w:line="540" w:lineRule="exact"/>
        <w:ind w:firstLine="480" w:firstLineChars="200"/>
        <w:rPr>
          <w:rFonts w:ascii="Times New Roman" w:hAnsi="Times New Roman"/>
          <w:sz w:val="24"/>
        </w:rPr>
      </w:pPr>
      <w:r>
        <w:rPr>
          <w:rFonts w:ascii="Times New Roman" w:hAnsi="Times New Roman"/>
          <w:sz w:val="24"/>
        </w:rPr>
        <w:t>建设单位应制定一系列规章制度以促进环境保护工作，使环境保护工作规范化和程序化，并通过经济杠杆来保证环境保护管理制度的认真执行。根据需要，建议制定的环境保护工作</w:t>
      </w:r>
      <w:r>
        <w:rPr>
          <w:rFonts w:hint="eastAsia" w:ascii="Times New Roman" w:hAnsi="Times New Roman"/>
          <w:sz w:val="24"/>
          <w:lang w:eastAsia="zh-CN"/>
        </w:rPr>
        <w:t>制度</w:t>
      </w:r>
      <w:r>
        <w:rPr>
          <w:rFonts w:ascii="Times New Roman" w:hAnsi="Times New Roman"/>
          <w:sz w:val="24"/>
        </w:rPr>
        <w:t>有：</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⑴环境保护职责管理</w:t>
      </w:r>
      <w:r>
        <w:rPr>
          <w:rFonts w:hint="eastAsia" w:ascii="Times New Roman" w:hAnsi="Times New Roman"/>
          <w:sz w:val="24"/>
          <w:lang w:eastAsia="zh-CN"/>
        </w:rPr>
        <w:t>制度</w:t>
      </w:r>
      <w:r>
        <w:rPr>
          <w:rFonts w:ascii="Times New Roman" w:hAnsi="Times New Roman"/>
          <w:sz w:val="24"/>
        </w:rPr>
        <w:t>；</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⑵废水、废气、固体废物排放管理制度；</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⑶处理装置日常运行管理制度；</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⑷排污情况报告制度；</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⑸污染事故处理制度；</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⑹环保教育制度。</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⑺建议建设单位环保部门根据实际情况和上级主管部门以及环境保护部门的要求分别针对性地制订和完善上述环境管理制度，并严格执行。</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16" w:name="_Toc2201"/>
      <w:bookmarkStart w:id="917" w:name="_Toc3767"/>
      <w:r>
        <w:rPr>
          <w:rFonts w:hint="eastAsia" w:cs="Times New Roman"/>
          <w:bCs w:val="0"/>
          <w:snapToGrid w:val="0"/>
          <w:kern w:val="0"/>
          <w:sz w:val="28"/>
          <w:szCs w:val="28"/>
        </w:rPr>
        <w:t>9</w:t>
      </w:r>
      <w:r>
        <w:rPr>
          <w:rFonts w:cs="Times New Roman"/>
          <w:bCs w:val="0"/>
          <w:snapToGrid w:val="0"/>
          <w:kern w:val="0"/>
          <w:sz w:val="28"/>
          <w:szCs w:val="28"/>
        </w:rPr>
        <w:t>.1.6环境管理目标</w:t>
      </w:r>
      <w:bookmarkEnd w:id="916"/>
      <w:bookmarkEnd w:id="917"/>
    </w:p>
    <w:p>
      <w:pPr>
        <w:adjustRightInd w:val="0"/>
        <w:snapToGrid w:val="0"/>
        <w:spacing w:line="540" w:lineRule="exact"/>
        <w:ind w:firstLine="480" w:firstLineChars="200"/>
        <w:rPr>
          <w:rFonts w:ascii="Times New Roman" w:hAnsi="Times New Roman"/>
          <w:sz w:val="24"/>
        </w:rPr>
      </w:pPr>
      <w:r>
        <w:rPr>
          <w:rFonts w:ascii="Times New Roman" w:hAnsi="Times New Roman"/>
          <w:sz w:val="24"/>
        </w:rPr>
        <w:t>环境管理的主要目标是：控制污染物排放量，避免污染物对环境的危害。为了控制污染物的排放，应把环境管理渗透到整个厂区的管理中，将环境管理融合在一起，以减少厂区各个环境排出的污染物。</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本次环境影响评价针对项目特点、环境问题和主要污染物，分别提出了有效的污染防治措施，项目实施期间应认真落实，监督管理环保设施的运行情况，定期监测各污染物的排放浓度。</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18" w:name="_Toc14270"/>
      <w:bookmarkStart w:id="919" w:name="_Toc19947"/>
      <w:r>
        <w:rPr>
          <w:rFonts w:hint="eastAsia" w:cs="Times New Roman"/>
          <w:bCs w:val="0"/>
          <w:snapToGrid w:val="0"/>
          <w:kern w:val="0"/>
          <w:sz w:val="28"/>
          <w:szCs w:val="28"/>
        </w:rPr>
        <w:t>9</w:t>
      </w:r>
      <w:r>
        <w:rPr>
          <w:rFonts w:cs="Times New Roman"/>
          <w:bCs w:val="0"/>
          <w:snapToGrid w:val="0"/>
          <w:kern w:val="0"/>
          <w:sz w:val="28"/>
          <w:szCs w:val="28"/>
        </w:rPr>
        <w:t>.1.7环境管理计划</w:t>
      </w:r>
      <w:bookmarkEnd w:id="918"/>
      <w:bookmarkEnd w:id="919"/>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本项目不同工作阶段的环境管理计划见表</w:t>
      </w:r>
      <w:r>
        <w:rPr>
          <w:rFonts w:hint="eastAsia" w:ascii="Times New Roman" w:hAnsi="Times New Roman"/>
          <w:sz w:val="24"/>
        </w:rPr>
        <w:t>9</w:t>
      </w:r>
      <w:r>
        <w:rPr>
          <w:rFonts w:ascii="Times New Roman" w:hAnsi="Times New Roman"/>
          <w:sz w:val="24"/>
        </w:rPr>
        <w:t>.1-1。</w:t>
      </w:r>
    </w:p>
    <w:p>
      <w:pPr>
        <w:adjustRightInd w:val="0"/>
        <w:snapToGrid w:val="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9</w:t>
      </w:r>
      <w:r>
        <w:rPr>
          <w:rFonts w:ascii="Times New Roman" w:hAnsi="Times New Roman"/>
          <w:b/>
          <w:sz w:val="24"/>
        </w:rPr>
        <w:t>.1-1               本项目环境管理主要内容</w:t>
      </w:r>
    </w:p>
    <w:tbl>
      <w:tblPr>
        <w:tblStyle w:val="29"/>
        <w:tblW w:w="9071" w:type="dxa"/>
        <w:jc w:val="center"/>
        <w:tblLayout w:type="fixed"/>
        <w:tblCellMar>
          <w:top w:w="0" w:type="dxa"/>
          <w:left w:w="28" w:type="dxa"/>
          <w:bottom w:w="0" w:type="dxa"/>
          <w:right w:w="28" w:type="dxa"/>
        </w:tblCellMar>
      </w:tblPr>
      <w:tblGrid>
        <w:gridCol w:w="855"/>
        <w:gridCol w:w="8216"/>
      </w:tblGrid>
      <w:tr>
        <w:tblPrEx>
          <w:tblCellMar>
            <w:top w:w="0" w:type="dxa"/>
            <w:left w:w="28" w:type="dxa"/>
            <w:bottom w:w="0" w:type="dxa"/>
            <w:right w:w="28" w:type="dxa"/>
          </w:tblCellMar>
        </w:tblPrEx>
        <w:trPr>
          <w:trHeight w:val="340" w:hRule="atLeast"/>
          <w:jc w:val="center"/>
        </w:trPr>
        <w:tc>
          <w:tcPr>
            <w:tcW w:w="823"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Times New Roman" w:hAnsi="Times New Roman"/>
                <w:bCs/>
              </w:rPr>
            </w:pPr>
            <w:r>
              <w:rPr>
                <w:rFonts w:ascii="Times New Roman" w:hAnsi="Times New Roman"/>
                <w:bCs/>
              </w:rPr>
              <w:t>阶段</w:t>
            </w:r>
          </w:p>
        </w:tc>
        <w:tc>
          <w:tcPr>
            <w:tcW w:w="7908" w:type="dxa"/>
            <w:tcBorders>
              <w:top w:val="single" w:color="auto" w:sz="12" w:space="0"/>
              <w:left w:val="single" w:color="auto" w:sz="6" w:space="0"/>
              <w:bottom w:val="single" w:color="auto" w:sz="6" w:space="0"/>
              <w:right w:val="single" w:color="auto" w:sz="12" w:space="0"/>
            </w:tcBorders>
            <w:vAlign w:val="center"/>
          </w:tcPr>
          <w:p>
            <w:pPr>
              <w:adjustRightInd w:val="0"/>
              <w:snapToGrid w:val="0"/>
              <w:jc w:val="center"/>
              <w:rPr>
                <w:rFonts w:ascii="Times New Roman" w:hAnsi="Times New Roman"/>
                <w:bCs/>
              </w:rPr>
            </w:pPr>
            <w:r>
              <w:rPr>
                <w:rFonts w:ascii="Times New Roman" w:hAnsi="Times New Roman"/>
                <w:bCs/>
              </w:rPr>
              <w:t>环境管理工作主要内容</w:t>
            </w:r>
          </w:p>
        </w:tc>
      </w:tr>
      <w:tr>
        <w:tblPrEx>
          <w:tblCellMar>
            <w:top w:w="0" w:type="dxa"/>
            <w:left w:w="28" w:type="dxa"/>
            <w:bottom w:w="0" w:type="dxa"/>
            <w:right w:w="28" w:type="dxa"/>
          </w:tblCellMar>
        </w:tblPrEx>
        <w:trPr>
          <w:trHeight w:val="340" w:hRule="atLeast"/>
          <w:jc w:val="center"/>
        </w:trPr>
        <w:tc>
          <w:tcPr>
            <w:tcW w:w="823"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Times New Roman" w:hAnsi="Times New Roman"/>
              </w:rPr>
            </w:pPr>
            <w:r>
              <w:rPr>
                <w:rFonts w:ascii="Times New Roman" w:hAnsi="Times New Roman"/>
              </w:rPr>
              <w:t>管理机构职能</w:t>
            </w:r>
          </w:p>
        </w:tc>
        <w:tc>
          <w:tcPr>
            <w:tcW w:w="7908" w:type="dxa"/>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Times New Roman" w:hAnsi="Times New Roman"/>
              </w:rPr>
            </w:pPr>
            <w:r>
              <w:rPr>
                <w:rFonts w:ascii="Times New Roman" w:hAnsi="Times New Roman"/>
              </w:rPr>
              <w:t>根据国家建设项目环境管理规定，认真落实各项环保手续，完成各级主管部门对本企业提出的环境管理要求，对本企业内部各项管理计划的执行及完成情况进行监督、控制，确保环境管理工作真正发挥作用。</w:t>
            </w:r>
          </w:p>
        </w:tc>
      </w:tr>
      <w:tr>
        <w:tblPrEx>
          <w:tblCellMar>
            <w:top w:w="0" w:type="dxa"/>
            <w:left w:w="28" w:type="dxa"/>
            <w:bottom w:w="0" w:type="dxa"/>
            <w:right w:w="28" w:type="dxa"/>
          </w:tblCellMar>
        </w:tblPrEx>
        <w:trPr>
          <w:trHeight w:val="340" w:hRule="atLeast"/>
          <w:jc w:val="center"/>
        </w:trPr>
        <w:tc>
          <w:tcPr>
            <w:tcW w:w="823" w:type="dxa"/>
            <w:tcBorders>
              <w:top w:val="single" w:color="auto" w:sz="6" w:space="0"/>
              <w:left w:val="single" w:color="auto" w:sz="12" w:space="0"/>
              <w:bottom w:val="single" w:color="auto" w:sz="12" w:space="0"/>
              <w:right w:val="single" w:color="auto" w:sz="6" w:space="0"/>
            </w:tcBorders>
            <w:vAlign w:val="center"/>
          </w:tcPr>
          <w:p>
            <w:pPr>
              <w:adjustRightInd w:val="0"/>
              <w:snapToGrid w:val="0"/>
              <w:jc w:val="center"/>
              <w:rPr>
                <w:rFonts w:ascii="Times New Roman" w:hAnsi="Times New Roman"/>
              </w:rPr>
            </w:pPr>
            <w:r>
              <w:rPr>
                <w:rFonts w:ascii="Times New Roman" w:hAnsi="Times New Roman"/>
              </w:rPr>
              <w:t>生产运行期</w:t>
            </w:r>
          </w:p>
        </w:tc>
        <w:tc>
          <w:tcPr>
            <w:tcW w:w="7908" w:type="dxa"/>
            <w:tcBorders>
              <w:top w:val="single" w:color="auto" w:sz="6" w:space="0"/>
              <w:left w:val="single" w:color="auto" w:sz="6" w:space="0"/>
              <w:bottom w:val="single" w:color="auto" w:sz="12" w:space="0"/>
              <w:right w:val="single" w:color="auto" w:sz="12" w:space="0"/>
            </w:tcBorders>
            <w:vAlign w:val="center"/>
          </w:tcPr>
          <w:p>
            <w:pPr>
              <w:adjustRightInd w:val="0"/>
              <w:snapToGrid w:val="0"/>
              <w:rPr>
                <w:rFonts w:ascii="Times New Roman" w:hAnsi="Times New Roman"/>
              </w:rPr>
            </w:pPr>
            <w:r>
              <w:rPr>
                <w:rFonts w:ascii="Times New Roman" w:hAnsi="Times New Roman"/>
              </w:rPr>
              <w:t>1.严格执行各项生产及环境管理制度，保证生产的正常进行；建立废气、固体废物产生和处置台帐，统计种类、产生量、处理方式、去向，存档备查；</w:t>
            </w:r>
          </w:p>
          <w:p>
            <w:pPr>
              <w:adjustRightInd w:val="0"/>
              <w:snapToGrid w:val="0"/>
              <w:rPr>
                <w:rFonts w:ascii="Times New Roman" w:hAnsi="Times New Roman"/>
              </w:rPr>
            </w:pPr>
            <w:r>
              <w:rPr>
                <w:rFonts w:ascii="Times New Roman" w:hAnsi="Times New Roman"/>
              </w:rPr>
              <w:t>2.设立环保设施运行卡，对环保设施定期进行检查、维护，做到勤查、勤记、勤养护，按照监测计划定期组织进行厂内的污染源监测，对不达标环保设施寻找原因，及时处理；</w:t>
            </w:r>
          </w:p>
          <w:p>
            <w:pPr>
              <w:adjustRightInd w:val="0"/>
              <w:snapToGrid w:val="0"/>
              <w:rPr>
                <w:rFonts w:ascii="Times New Roman" w:hAnsi="Times New Roman"/>
              </w:rPr>
            </w:pPr>
            <w:r>
              <w:rPr>
                <w:rFonts w:ascii="Times New Roman" w:hAnsi="Times New Roman"/>
              </w:rPr>
              <w:t>3.加强技术培训，组织企业内部之间技术交流，提高业务水平和企业内部职工素质水平；</w:t>
            </w:r>
          </w:p>
          <w:p>
            <w:pPr>
              <w:adjustRightInd w:val="0"/>
              <w:snapToGrid w:val="0"/>
              <w:rPr>
                <w:rFonts w:ascii="Times New Roman" w:hAnsi="Times New Roman"/>
              </w:rPr>
            </w:pPr>
            <w:r>
              <w:rPr>
                <w:rFonts w:ascii="Times New Roman" w:hAnsi="Times New Roman"/>
              </w:rPr>
              <w:t>4.重视群众监督作用，提高企业职工环境意识，鼓励职工及外部人员对生产状况提出意见，并通过积极吸收宝贵意见，提高企业环境管理水平；</w:t>
            </w:r>
          </w:p>
          <w:p>
            <w:pPr>
              <w:adjustRightInd w:val="0"/>
              <w:snapToGrid w:val="0"/>
              <w:rPr>
                <w:rFonts w:ascii="Times New Roman" w:hAnsi="Times New Roman"/>
              </w:rPr>
            </w:pPr>
            <w:r>
              <w:rPr>
                <w:rFonts w:ascii="Times New Roman" w:hAnsi="Times New Roman"/>
              </w:rPr>
              <w:t>5.不断完善环境风险应预案，定期进行演练；</w:t>
            </w:r>
          </w:p>
          <w:p>
            <w:pPr>
              <w:adjustRightInd w:val="0"/>
              <w:snapToGrid w:val="0"/>
              <w:rPr>
                <w:rFonts w:ascii="Times New Roman" w:hAnsi="Times New Roman"/>
              </w:rPr>
            </w:pPr>
            <w:r>
              <w:rPr>
                <w:rFonts w:ascii="Times New Roman" w:hAnsi="Times New Roman"/>
              </w:rPr>
              <w:t>6.积极配合环保部门的检查、验收。</w:t>
            </w:r>
          </w:p>
          <w:p>
            <w:pPr>
              <w:pStyle w:val="43"/>
              <w:spacing w:line="240" w:lineRule="auto"/>
              <w:ind w:firstLine="0" w:firstLineChars="0"/>
            </w:pPr>
            <w:r>
              <w:rPr>
                <w:sz w:val="21"/>
              </w:rPr>
              <w:t>7.根据环境保护部部令第48号《排污许可管理办法》（试行）第一章总则第三条规定，纳入固定污染源排污许可分类管理名录的企业事业单位和其他生产经营者应当按照规定的时限申请并取得排污许可证。根据《固定污染源排污许可分类管理名录（2019版）》，本项目属于一、畜牧业03,1.牲畜饲养031，家禽饲养032登记管理（无污水排放口的规范化畜禽养殖场、养殖小区，设有污水排放口的规模以下畜禽养殖场、养殖小区），建设单位应按照相关要求取得排污许可证。</w:t>
            </w:r>
          </w:p>
        </w:tc>
      </w:tr>
    </w:tbl>
    <w:p>
      <w:pPr>
        <w:pStyle w:val="51"/>
        <w:snapToGrid w:val="0"/>
        <w:spacing w:before="120" w:beforeLines="50" w:after="120" w:afterLines="50" w:line="540" w:lineRule="exact"/>
        <w:contextualSpacing/>
        <w:rPr>
          <w:rFonts w:cs="Times New Roman"/>
          <w:bCs w:val="0"/>
          <w:snapToGrid w:val="0"/>
          <w:kern w:val="0"/>
          <w:sz w:val="30"/>
          <w:szCs w:val="30"/>
        </w:rPr>
      </w:pPr>
      <w:bookmarkStart w:id="920" w:name="_Toc20206"/>
      <w:bookmarkStart w:id="921" w:name="_Toc32499"/>
      <w:bookmarkStart w:id="922" w:name="_Toc18341"/>
      <w:bookmarkStart w:id="923" w:name="_Toc15619"/>
      <w:bookmarkStart w:id="924" w:name="_Toc11151"/>
      <w:r>
        <w:rPr>
          <w:rFonts w:hint="eastAsia" w:cs="Times New Roman"/>
          <w:bCs w:val="0"/>
          <w:snapToGrid w:val="0"/>
          <w:kern w:val="0"/>
          <w:sz w:val="30"/>
          <w:szCs w:val="30"/>
        </w:rPr>
        <w:t>9</w:t>
      </w:r>
      <w:r>
        <w:rPr>
          <w:rFonts w:cs="Times New Roman"/>
          <w:bCs w:val="0"/>
          <w:snapToGrid w:val="0"/>
          <w:kern w:val="0"/>
          <w:sz w:val="30"/>
          <w:szCs w:val="30"/>
        </w:rPr>
        <w:t>.2监测计划</w:t>
      </w:r>
      <w:bookmarkEnd w:id="920"/>
      <w:bookmarkEnd w:id="921"/>
      <w:bookmarkEnd w:id="922"/>
      <w:bookmarkEnd w:id="923"/>
      <w:bookmarkEnd w:id="924"/>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25" w:name="_Toc10914"/>
      <w:bookmarkStart w:id="926" w:name="_Toc14342"/>
      <w:r>
        <w:rPr>
          <w:rFonts w:hint="eastAsia" w:cs="Times New Roman"/>
          <w:bCs w:val="0"/>
          <w:snapToGrid w:val="0"/>
          <w:kern w:val="0"/>
          <w:sz w:val="28"/>
          <w:szCs w:val="28"/>
        </w:rPr>
        <w:t>9</w:t>
      </w:r>
      <w:r>
        <w:rPr>
          <w:rFonts w:cs="Times New Roman"/>
          <w:bCs w:val="0"/>
          <w:snapToGrid w:val="0"/>
          <w:kern w:val="0"/>
          <w:sz w:val="28"/>
          <w:szCs w:val="28"/>
        </w:rPr>
        <w:t>.2.1监测计划内容</w:t>
      </w:r>
      <w:bookmarkEnd w:id="925"/>
      <w:bookmarkEnd w:id="926"/>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根据工程排污特点及实际情况，项目建设期及建成投产后，需要健全各项监测制度并保证其实施，根据《排污单位自行监测技术指南 总则》（HJ819-2017），营运期环境监测计划详见表</w:t>
      </w:r>
      <w:r>
        <w:rPr>
          <w:rFonts w:hint="eastAsia" w:ascii="Times New Roman" w:hAnsi="Times New Roman"/>
          <w:sz w:val="24"/>
        </w:rPr>
        <w:t>9</w:t>
      </w:r>
      <w:r>
        <w:rPr>
          <w:rFonts w:ascii="Times New Roman" w:hAnsi="Times New Roman"/>
          <w:sz w:val="24"/>
        </w:rPr>
        <w:t>.2-1。</w:t>
      </w:r>
    </w:p>
    <w:p>
      <w:pPr>
        <w:adjustRightInd w:val="0"/>
        <w:snapToGrid w:val="0"/>
        <w:spacing w:line="540" w:lineRule="exact"/>
        <w:jc w:val="center"/>
        <w:rPr>
          <w:rFonts w:ascii="Times New Roman" w:hAnsi="Times New Roman"/>
          <w:b/>
          <w:sz w:val="24"/>
        </w:rPr>
      </w:pPr>
      <w:bookmarkStart w:id="927" w:name="_Toc7601"/>
      <w:r>
        <w:rPr>
          <w:rFonts w:ascii="Times New Roman" w:hAnsi="Times New Roman"/>
          <w:b/>
          <w:sz w:val="24"/>
        </w:rPr>
        <w:t>表</w:t>
      </w:r>
      <w:r>
        <w:rPr>
          <w:rFonts w:hint="eastAsia" w:ascii="Times New Roman" w:hAnsi="Times New Roman"/>
          <w:b/>
          <w:sz w:val="24"/>
        </w:rPr>
        <w:t>9</w:t>
      </w:r>
      <w:r>
        <w:rPr>
          <w:rFonts w:ascii="Times New Roman" w:hAnsi="Times New Roman"/>
          <w:b/>
          <w:sz w:val="24"/>
        </w:rPr>
        <w:t>.2-</w:t>
      </w:r>
      <w:r>
        <w:rPr>
          <w:rFonts w:hint="eastAsia" w:ascii="Times New Roman" w:hAnsi="Times New Roman"/>
          <w:b/>
          <w:sz w:val="24"/>
        </w:rPr>
        <w:t>1</w:t>
      </w:r>
      <w:r>
        <w:rPr>
          <w:rFonts w:ascii="Times New Roman" w:hAnsi="Times New Roman"/>
          <w:b/>
          <w:sz w:val="24"/>
        </w:rPr>
        <w:t xml:space="preserve">               本项目运营期环境监测计划一览表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92"/>
        <w:gridCol w:w="1677"/>
        <w:gridCol w:w="2637"/>
        <w:gridCol w:w="2338"/>
        <w:gridCol w:w="13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6" w:type="dxa"/>
            <w:vAlign w:val="center"/>
          </w:tcPr>
          <w:p>
            <w:pPr>
              <w:adjustRightInd w:val="0"/>
              <w:snapToGrid w:val="0"/>
              <w:jc w:val="center"/>
              <w:rPr>
                <w:rFonts w:ascii="Times New Roman" w:hAnsi="Times New Roman"/>
                <w:szCs w:val="21"/>
              </w:rPr>
            </w:pPr>
            <w:bookmarkStart w:id="928" w:name="_Toc487036678"/>
            <w:bookmarkEnd w:id="928"/>
            <w:bookmarkStart w:id="929" w:name="_Toc486955470"/>
            <w:bookmarkEnd w:id="929"/>
            <w:bookmarkStart w:id="930" w:name="_Toc487010491"/>
            <w:bookmarkEnd w:id="930"/>
            <w:bookmarkStart w:id="931" w:name="_Toc486955621"/>
            <w:bookmarkEnd w:id="931"/>
            <w:bookmarkStart w:id="932" w:name="_Toc490495632"/>
            <w:bookmarkEnd w:id="932"/>
            <w:r>
              <w:rPr>
                <w:rFonts w:ascii="Times New Roman" w:hAnsi="Times New Roman"/>
                <w:szCs w:val="21"/>
              </w:rPr>
              <w:t>因素</w:t>
            </w:r>
          </w:p>
        </w:tc>
        <w:tc>
          <w:tcPr>
            <w:tcW w:w="1666" w:type="dxa"/>
            <w:vAlign w:val="center"/>
          </w:tcPr>
          <w:p>
            <w:pPr>
              <w:adjustRightInd w:val="0"/>
              <w:snapToGrid w:val="0"/>
              <w:jc w:val="center"/>
              <w:rPr>
                <w:rFonts w:ascii="Times New Roman" w:hAnsi="Times New Roman"/>
                <w:szCs w:val="21"/>
              </w:rPr>
            </w:pPr>
            <w:r>
              <w:rPr>
                <w:rFonts w:ascii="Times New Roman" w:hAnsi="Times New Roman"/>
                <w:szCs w:val="21"/>
              </w:rPr>
              <w:t>监测位置</w:t>
            </w:r>
          </w:p>
        </w:tc>
        <w:tc>
          <w:tcPr>
            <w:tcW w:w="2620" w:type="dxa"/>
            <w:vAlign w:val="center"/>
          </w:tcPr>
          <w:p>
            <w:pPr>
              <w:adjustRightInd w:val="0"/>
              <w:snapToGrid w:val="0"/>
              <w:jc w:val="center"/>
              <w:rPr>
                <w:rFonts w:ascii="Times New Roman" w:hAnsi="Times New Roman"/>
                <w:szCs w:val="21"/>
              </w:rPr>
            </w:pPr>
            <w:r>
              <w:rPr>
                <w:rFonts w:ascii="Times New Roman" w:hAnsi="Times New Roman"/>
                <w:szCs w:val="21"/>
              </w:rPr>
              <w:t>监测项目</w:t>
            </w:r>
          </w:p>
        </w:tc>
        <w:tc>
          <w:tcPr>
            <w:tcW w:w="2323" w:type="dxa"/>
            <w:vAlign w:val="center"/>
          </w:tcPr>
          <w:p>
            <w:pPr>
              <w:adjustRightInd w:val="0"/>
              <w:snapToGrid w:val="0"/>
              <w:jc w:val="center"/>
              <w:rPr>
                <w:rFonts w:ascii="Times New Roman" w:hAnsi="Times New Roman"/>
                <w:szCs w:val="21"/>
              </w:rPr>
            </w:pPr>
            <w:r>
              <w:rPr>
                <w:rFonts w:ascii="Times New Roman" w:hAnsi="Times New Roman"/>
                <w:szCs w:val="21"/>
              </w:rPr>
              <w:t>监测点</w:t>
            </w:r>
          </w:p>
        </w:tc>
        <w:tc>
          <w:tcPr>
            <w:tcW w:w="1319" w:type="dxa"/>
            <w:vAlign w:val="center"/>
          </w:tcPr>
          <w:p>
            <w:pPr>
              <w:adjustRightInd w:val="0"/>
              <w:snapToGrid w:val="0"/>
              <w:jc w:val="center"/>
              <w:rPr>
                <w:rFonts w:ascii="Times New Roman" w:hAnsi="Times New Roman"/>
                <w:szCs w:val="21"/>
              </w:rPr>
            </w:pPr>
            <w:r>
              <w:rPr>
                <w:rFonts w:ascii="Times New Roman" w:hAnsi="Times New Roman"/>
                <w:szCs w:val="21"/>
              </w:rPr>
              <w:t>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6" w:type="dxa"/>
            <w:vAlign w:val="center"/>
          </w:tcPr>
          <w:p>
            <w:pPr>
              <w:adjustRightInd w:val="0"/>
              <w:snapToGrid w:val="0"/>
              <w:jc w:val="center"/>
              <w:rPr>
                <w:rFonts w:ascii="Times New Roman" w:hAnsi="Times New Roman"/>
                <w:szCs w:val="21"/>
              </w:rPr>
            </w:pPr>
            <w:r>
              <w:rPr>
                <w:rFonts w:ascii="Times New Roman" w:hAnsi="Times New Roman"/>
                <w:szCs w:val="21"/>
              </w:rPr>
              <w:t>废气</w:t>
            </w:r>
          </w:p>
        </w:tc>
        <w:tc>
          <w:tcPr>
            <w:tcW w:w="1666" w:type="dxa"/>
            <w:vAlign w:val="center"/>
          </w:tcPr>
          <w:p>
            <w:pPr>
              <w:adjustRightInd w:val="0"/>
              <w:snapToGrid w:val="0"/>
              <w:jc w:val="center"/>
              <w:rPr>
                <w:rFonts w:ascii="Times New Roman" w:hAnsi="Times New Roman"/>
                <w:szCs w:val="21"/>
              </w:rPr>
            </w:pPr>
            <w:r>
              <w:rPr>
                <w:rFonts w:ascii="Times New Roman" w:hAnsi="Times New Roman"/>
                <w:szCs w:val="21"/>
              </w:rPr>
              <w:t>厂界无组织</w:t>
            </w:r>
          </w:p>
        </w:tc>
        <w:tc>
          <w:tcPr>
            <w:tcW w:w="2620" w:type="dxa"/>
            <w:vAlign w:val="center"/>
          </w:tcPr>
          <w:p>
            <w:pPr>
              <w:adjustRightInd w:val="0"/>
              <w:snapToGrid w:val="0"/>
              <w:jc w:val="center"/>
              <w:rPr>
                <w:rFonts w:ascii="Times New Roman" w:hAnsi="Times New Roman"/>
                <w:szCs w:val="21"/>
              </w:rPr>
            </w:pPr>
            <w:r>
              <w:rPr>
                <w:rFonts w:hint="eastAsia" w:ascii="Times New Roman" w:hAnsi="Times New Roman"/>
                <w:szCs w:val="21"/>
              </w:rPr>
              <w:t>NH</w:t>
            </w:r>
            <w:r>
              <w:rPr>
                <w:rFonts w:hint="eastAsia" w:ascii="Times New Roman" w:hAnsi="Times New Roman"/>
                <w:szCs w:val="21"/>
                <w:vertAlign w:val="subscript"/>
              </w:rPr>
              <w:t>3</w:t>
            </w:r>
            <w:r>
              <w:rPr>
                <w:rFonts w:hint="eastAsia" w:ascii="Times New Roman" w:hAnsi="Times New Roman"/>
                <w:szCs w:val="21"/>
              </w:rPr>
              <w:t>、H</w:t>
            </w:r>
            <w:r>
              <w:rPr>
                <w:rFonts w:hint="eastAsia" w:ascii="Times New Roman" w:hAnsi="Times New Roman"/>
                <w:szCs w:val="21"/>
                <w:vertAlign w:val="subscript"/>
              </w:rPr>
              <w:t>2</w:t>
            </w:r>
            <w:r>
              <w:rPr>
                <w:rFonts w:hint="eastAsia" w:ascii="Times New Roman" w:hAnsi="Times New Roman"/>
                <w:szCs w:val="21"/>
              </w:rPr>
              <w:t>S、</w:t>
            </w:r>
            <w:r>
              <w:rPr>
                <w:rFonts w:ascii="Times New Roman" w:hAnsi="Times New Roman"/>
                <w:szCs w:val="21"/>
              </w:rPr>
              <w:t>臭气浓度</w:t>
            </w:r>
          </w:p>
        </w:tc>
        <w:tc>
          <w:tcPr>
            <w:tcW w:w="2323" w:type="dxa"/>
            <w:vAlign w:val="center"/>
          </w:tcPr>
          <w:p>
            <w:pPr>
              <w:adjustRightInd w:val="0"/>
              <w:snapToGrid w:val="0"/>
              <w:jc w:val="center"/>
              <w:rPr>
                <w:rFonts w:ascii="Times New Roman" w:hAnsi="Times New Roman"/>
                <w:szCs w:val="21"/>
              </w:rPr>
            </w:pPr>
            <w:r>
              <w:rPr>
                <w:rFonts w:ascii="Times New Roman" w:hAnsi="Times New Roman"/>
                <w:szCs w:val="21"/>
              </w:rPr>
              <w:t>厂界周边最高浓度上风向1个，下风向3个</w:t>
            </w:r>
          </w:p>
        </w:tc>
        <w:tc>
          <w:tcPr>
            <w:tcW w:w="1319" w:type="dxa"/>
            <w:tcBorders>
              <w:top w:val="single" w:color="auto" w:sz="8" w:space="0"/>
              <w:bottom w:val="single" w:color="auto" w:sz="8" w:space="0"/>
            </w:tcBorders>
            <w:vAlign w:val="center"/>
          </w:tcPr>
          <w:p>
            <w:pPr>
              <w:adjustRightInd w:val="0"/>
              <w:snapToGrid w:val="0"/>
              <w:jc w:val="center"/>
              <w:rPr>
                <w:rFonts w:ascii="Times New Roman" w:hAnsi="Times New Roman"/>
                <w:szCs w:val="21"/>
              </w:rPr>
            </w:pPr>
            <w:r>
              <w:rPr>
                <w:rFonts w:ascii="Times New Roman" w:hAnsi="Times New Roman"/>
                <w:szCs w:val="21"/>
              </w:rPr>
              <w:t>1次/年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6" w:type="dxa"/>
            <w:vAlign w:val="center"/>
          </w:tcPr>
          <w:p>
            <w:pPr>
              <w:adjustRightInd w:val="0"/>
              <w:snapToGrid w:val="0"/>
              <w:jc w:val="center"/>
              <w:rPr>
                <w:rFonts w:ascii="Times New Roman" w:hAnsi="Times New Roman"/>
                <w:szCs w:val="21"/>
              </w:rPr>
            </w:pPr>
            <w:r>
              <w:rPr>
                <w:rFonts w:ascii="Times New Roman" w:hAnsi="Times New Roman"/>
                <w:szCs w:val="21"/>
              </w:rPr>
              <w:t>噪声</w:t>
            </w:r>
          </w:p>
        </w:tc>
        <w:tc>
          <w:tcPr>
            <w:tcW w:w="1666" w:type="dxa"/>
            <w:vAlign w:val="center"/>
          </w:tcPr>
          <w:p>
            <w:pPr>
              <w:adjustRightInd w:val="0"/>
              <w:snapToGrid w:val="0"/>
              <w:jc w:val="center"/>
              <w:rPr>
                <w:rFonts w:ascii="Times New Roman" w:hAnsi="Times New Roman"/>
                <w:szCs w:val="21"/>
              </w:rPr>
            </w:pPr>
            <w:r>
              <w:rPr>
                <w:rFonts w:ascii="Times New Roman" w:hAnsi="Times New Roman"/>
                <w:szCs w:val="21"/>
              </w:rPr>
              <w:t>厂界外1m处</w:t>
            </w:r>
          </w:p>
        </w:tc>
        <w:tc>
          <w:tcPr>
            <w:tcW w:w="2620" w:type="dxa"/>
            <w:vAlign w:val="center"/>
          </w:tcPr>
          <w:p>
            <w:pPr>
              <w:adjustRightInd w:val="0"/>
              <w:snapToGrid w:val="0"/>
              <w:jc w:val="center"/>
              <w:rPr>
                <w:rFonts w:ascii="Times New Roman" w:hAnsi="Times New Roman"/>
                <w:szCs w:val="21"/>
              </w:rPr>
            </w:pPr>
            <w:r>
              <w:rPr>
                <w:rFonts w:ascii="Times New Roman" w:hAnsi="Times New Roman"/>
                <w:szCs w:val="21"/>
              </w:rPr>
              <w:t>L</w:t>
            </w:r>
            <w:r>
              <w:rPr>
                <w:rFonts w:ascii="Times New Roman" w:hAnsi="Times New Roman"/>
                <w:szCs w:val="21"/>
                <w:vertAlign w:val="subscript"/>
              </w:rPr>
              <w:t>Aeq</w:t>
            </w:r>
          </w:p>
        </w:tc>
        <w:tc>
          <w:tcPr>
            <w:tcW w:w="2323" w:type="dxa"/>
            <w:vAlign w:val="center"/>
          </w:tcPr>
          <w:p>
            <w:pPr>
              <w:adjustRightInd w:val="0"/>
              <w:snapToGrid w:val="0"/>
              <w:jc w:val="center"/>
              <w:rPr>
                <w:rFonts w:ascii="Times New Roman" w:hAnsi="Times New Roman"/>
                <w:szCs w:val="21"/>
              </w:rPr>
            </w:pPr>
            <w:r>
              <w:rPr>
                <w:rFonts w:ascii="Times New Roman" w:hAnsi="Times New Roman"/>
                <w:szCs w:val="21"/>
              </w:rPr>
              <w:t>厂界四周围墙外1m处</w:t>
            </w:r>
          </w:p>
        </w:tc>
        <w:tc>
          <w:tcPr>
            <w:tcW w:w="1319" w:type="dxa"/>
            <w:vAlign w:val="center"/>
          </w:tcPr>
          <w:p>
            <w:pPr>
              <w:adjustRightInd w:val="0"/>
              <w:snapToGrid w:val="0"/>
              <w:jc w:val="center"/>
              <w:rPr>
                <w:rFonts w:ascii="Times New Roman" w:hAnsi="Times New Roman"/>
                <w:szCs w:val="21"/>
              </w:rPr>
            </w:pPr>
            <w:r>
              <w:rPr>
                <w:rFonts w:ascii="Times New Roman" w:hAnsi="Times New Roman"/>
                <w:szCs w:val="21"/>
              </w:rPr>
              <w:t>1次/季度，昼夜监测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6" w:type="dxa"/>
            <w:vAlign w:val="center"/>
          </w:tcPr>
          <w:p>
            <w:pPr>
              <w:adjustRightInd w:val="0"/>
              <w:snapToGrid w:val="0"/>
              <w:jc w:val="center"/>
              <w:rPr>
                <w:rFonts w:ascii="Times New Roman" w:hAnsi="Times New Roman"/>
                <w:szCs w:val="21"/>
              </w:rPr>
            </w:pPr>
            <w:r>
              <w:rPr>
                <w:rFonts w:ascii="Times New Roman" w:hAnsi="Times New Roman"/>
                <w:szCs w:val="21"/>
              </w:rPr>
              <w:t>固体废物</w:t>
            </w:r>
          </w:p>
        </w:tc>
        <w:tc>
          <w:tcPr>
            <w:tcW w:w="1666" w:type="dxa"/>
            <w:vAlign w:val="center"/>
          </w:tcPr>
          <w:p>
            <w:pPr>
              <w:adjustRightInd w:val="0"/>
              <w:snapToGrid w:val="0"/>
              <w:jc w:val="center"/>
              <w:rPr>
                <w:rFonts w:ascii="Times New Roman" w:hAnsi="Times New Roman"/>
                <w:szCs w:val="21"/>
              </w:rPr>
            </w:pPr>
            <w:r>
              <w:rPr>
                <w:rFonts w:ascii="Times New Roman" w:hAnsi="Times New Roman"/>
                <w:szCs w:val="21"/>
              </w:rPr>
              <w:t>全厂各类固体废物产生点</w:t>
            </w:r>
          </w:p>
        </w:tc>
        <w:tc>
          <w:tcPr>
            <w:tcW w:w="2620" w:type="dxa"/>
            <w:vAlign w:val="center"/>
          </w:tcPr>
          <w:p>
            <w:pPr>
              <w:adjustRightInd w:val="0"/>
              <w:snapToGrid w:val="0"/>
              <w:jc w:val="center"/>
              <w:rPr>
                <w:rFonts w:ascii="Times New Roman" w:hAnsi="Times New Roman"/>
                <w:szCs w:val="21"/>
              </w:rPr>
            </w:pPr>
            <w:r>
              <w:rPr>
                <w:rFonts w:ascii="Times New Roman" w:hAnsi="Times New Roman"/>
                <w:szCs w:val="21"/>
              </w:rPr>
              <w:t>统计种类、产生量</w:t>
            </w:r>
          </w:p>
        </w:tc>
        <w:tc>
          <w:tcPr>
            <w:tcW w:w="2323" w:type="dxa"/>
            <w:vAlign w:val="center"/>
          </w:tcPr>
          <w:p>
            <w:pPr>
              <w:adjustRightInd w:val="0"/>
              <w:snapToGrid w:val="0"/>
              <w:jc w:val="center"/>
              <w:rPr>
                <w:rFonts w:ascii="Times New Roman" w:hAnsi="Times New Roman"/>
                <w:szCs w:val="21"/>
              </w:rPr>
            </w:pPr>
            <w:r>
              <w:rPr>
                <w:rFonts w:ascii="Times New Roman" w:hAnsi="Times New Roman"/>
                <w:szCs w:val="21"/>
              </w:rPr>
              <w:t>处理方式、去向</w:t>
            </w:r>
          </w:p>
        </w:tc>
        <w:tc>
          <w:tcPr>
            <w:tcW w:w="1319" w:type="dxa"/>
            <w:vAlign w:val="center"/>
          </w:tcPr>
          <w:p>
            <w:pPr>
              <w:adjustRightInd w:val="0"/>
              <w:snapToGrid w:val="0"/>
              <w:jc w:val="center"/>
              <w:rPr>
                <w:rFonts w:ascii="Times New Roman" w:hAnsi="Times New Roman"/>
                <w:szCs w:val="21"/>
              </w:rPr>
            </w:pPr>
            <w:r>
              <w:rPr>
                <w:rFonts w:ascii="Times New Roman" w:hAnsi="Times New Roman"/>
                <w:szCs w:val="21"/>
              </w:rPr>
              <w:t>发生一次、统计一次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6" w:type="dxa"/>
            <w:vAlign w:val="center"/>
          </w:tcPr>
          <w:p>
            <w:pPr>
              <w:adjustRightInd w:val="0"/>
              <w:snapToGrid w:val="0"/>
              <w:jc w:val="center"/>
              <w:rPr>
                <w:rFonts w:ascii="Times New Roman" w:hAnsi="Times New Roman"/>
                <w:szCs w:val="21"/>
              </w:rPr>
            </w:pPr>
            <w:r>
              <w:rPr>
                <w:rFonts w:hint="eastAsia" w:ascii="Times New Roman" w:hAnsi="Times New Roman"/>
                <w:szCs w:val="21"/>
              </w:rPr>
              <w:t>地下水</w:t>
            </w:r>
          </w:p>
        </w:tc>
        <w:tc>
          <w:tcPr>
            <w:tcW w:w="1666" w:type="dxa"/>
            <w:vAlign w:val="center"/>
          </w:tcPr>
          <w:p>
            <w:pPr>
              <w:adjustRightInd w:val="0"/>
              <w:snapToGrid w:val="0"/>
              <w:jc w:val="center"/>
              <w:rPr>
                <w:rFonts w:ascii="Times New Roman" w:hAnsi="Times New Roman"/>
                <w:szCs w:val="21"/>
              </w:rPr>
            </w:pPr>
            <w:r>
              <w:rPr>
                <w:rFonts w:hint="eastAsia" w:ascii="Times New Roman" w:hAnsi="Times New Roman"/>
                <w:szCs w:val="21"/>
              </w:rPr>
              <w:t>厂区</w:t>
            </w:r>
            <w:r>
              <w:rPr>
                <w:rFonts w:ascii="Times New Roman" w:hAnsi="Times New Roman"/>
                <w:szCs w:val="21"/>
              </w:rPr>
              <w:t>设置一口地下水监测井</w:t>
            </w:r>
          </w:p>
        </w:tc>
        <w:tc>
          <w:tcPr>
            <w:tcW w:w="2620" w:type="dxa"/>
            <w:vAlign w:val="center"/>
          </w:tcPr>
          <w:p>
            <w:pPr>
              <w:adjustRightInd w:val="0"/>
              <w:snapToGrid w:val="0"/>
              <w:jc w:val="left"/>
              <w:rPr>
                <w:rFonts w:ascii="Times New Roman" w:hAnsi="Times New Roman"/>
                <w:szCs w:val="21"/>
              </w:rPr>
            </w:pPr>
            <w:r>
              <w:rPr>
                <w:rFonts w:hint="eastAsia" w:ascii="Times New Roman" w:hAnsi="Times New Roman"/>
                <w:szCs w:val="21"/>
              </w:rPr>
              <w:t>PH、氨氮、硝酸盐、亚硝酸盐氮、挥发性酚类、氰化物、砷、汞、六价铬、总硬度、铅、氟化物、镉、铁、锰、溶解性总固体、高锰酸盐指数、硫酸盐、氯化物、总大肠菌群、细菌总数以及K+、Ca2+、Na+、Mg2+、CO32-、HCO3-、Cl-、SO42-</w:t>
            </w:r>
          </w:p>
        </w:tc>
        <w:tc>
          <w:tcPr>
            <w:tcW w:w="2323" w:type="dxa"/>
            <w:vAlign w:val="center"/>
          </w:tcPr>
          <w:p>
            <w:pPr>
              <w:adjustRightInd w:val="0"/>
              <w:snapToGrid w:val="0"/>
              <w:jc w:val="center"/>
              <w:rPr>
                <w:rFonts w:ascii="Times New Roman" w:hAnsi="Times New Roman"/>
                <w:szCs w:val="21"/>
              </w:rPr>
            </w:pPr>
            <w:r>
              <w:rPr>
                <w:rFonts w:hint="eastAsia" w:ascii="Times New Roman" w:hAnsi="Times New Roman"/>
                <w:szCs w:val="21"/>
              </w:rPr>
              <w:t>厂区地下水监测井</w:t>
            </w:r>
          </w:p>
        </w:tc>
        <w:tc>
          <w:tcPr>
            <w:tcW w:w="1319" w:type="dxa"/>
            <w:vAlign w:val="center"/>
          </w:tcPr>
          <w:p>
            <w:pPr>
              <w:adjustRightInd w:val="0"/>
              <w:snapToGrid w:val="0"/>
              <w:jc w:val="center"/>
              <w:rPr>
                <w:rFonts w:ascii="Times New Roman" w:hAnsi="Times New Roman"/>
                <w:szCs w:val="21"/>
              </w:rPr>
            </w:pPr>
            <w:r>
              <w:rPr>
                <w:rFonts w:ascii="Times New Roman" w:hAnsi="Times New Roman"/>
                <w:szCs w:val="21"/>
              </w:rPr>
              <w:t>1次/半年</w:t>
            </w:r>
          </w:p>
        </w:tc>
      </w:tr>
    </w:tbl>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33" w:name="_Toc2864"/>
      <w:r>
        <w:rPr>
          <w:rFonts w:hint="eastAsia" w:cs="Times New Roman"/>
          <w:bCs w:val="0"/>
          <w:snapToGrid w:val="0"/>
          <w:kern w:val="0"/>
          <w:sz w:val="28"/>
          <w:szCs w:val="28"/>
        </w:rPr>
        <w:t>9</w:t>
      </w:r>
      <w:r>
        <w:rPr>
          <w:rFonts w:cs="Times New Roman"/>
          <w:bCs w:val="0"/>
          <w:snapToGrid w:val="0"/>
          <w:kern w:val="0"/>
          <w:sz w:val="28"/>
          <w:szCs w:val="28"/>
        </w:rPr>
        <w:t>.2.2监测方法选取</w:t>
      </w:r>
      <w:bookmarkEnd w:id="927"/>
      <w:bookmarkEnd w:id="933"/>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委托有资质的环境监测单位对本项目运行期“三废”和噪声情况进行监测。废气监测按照《空气和废气监测分析方法（第四版）》中的有关规定执行。废水监测方法按照《水和废水监测分析方法（第四版）》中的规定进行。</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为保证监测数据的效度和信度，应当⑴定期对环境监测人员进行培训；⑵监测人员须持证上岗；⑶监测仪器定期检测，使用取得检测合格证的仪器。</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34" w:name="_Toc17157"/>
      <w:bookmarkStart w:id="935" w:name="_Toc7910"/>
      <w:r>
        <w:rPr>
          <w:rFonts w:hint="eastAsia" w:cs="Times New Roman"/>
          <w:bCs w:val="0"/>
          <w:snapToGrid w:val="0"/>
          <w:kern w:val="0"/>
          <w:sz w:val="28"/>
          <w:szCs w:val="28"/>
        </w:rPr>
        <w:t>9</w:t>
      </w:r>
      <w:r>
        <w:rPr>
          <w:rFonts w:cs="Times New Roman"/>
          <w:bCs w:val="0"/>
          <w:snapToGrid w:val="0"/>
          <w:kern w:val="0"/>
          <w:sz w:val="28"/>
          <w:szCs w:val="28"/>
        </w:rPr>
        <w:t>.2.3监测数据管理</w:t>
      </w:r>
      <w:bookmarkEnd w:id="934"/>
      <w:bookmarkEnd w:id="935"/>
    </w:p>
    <w:p>
      <w:pPr>
        <w:autoSpaceDE w:val="0"/>
        <w:autoSpaceDN w:val="0"/>
        <w:adjustRightInd w:val="0"/>
        <w:snapToGrid w:val="0"/>
        <w:spacing w:line="540" w:lineRule="exact"/>
        <w:ind w:firstLine="480" w:firstLineChars="200"/>
        <w:rPr>
          <w:rFonts w:ascii="Times New Roman" w:hAnsi="Times New Roman"/>
          <w:kern w:val="0"/>
          <w:sz w:val="24"/>
        </w:rPr>
      </w:pPr>
      <w:r>
        <w:rPr>
          <w:rFonts w:ascii="Times New Roman" w:hAnsi="Times New Roman"/>
          <w:kern w:val="0"/>
          <w:sz w:val="24"/>
        </w:rPr>
        <w:t>对于上述监测结果应该按照项目有关规定及时建立档案，并抄送有关环保主管部门，对于常规监测部分应进行公开，此外，如果发现了污染和破坏问题要及时进行处理、调查并上报有关部门。</w:t>
      </w:r>
    </w:p>
    <w:p>
      <w:pPr>
        <w:pStyle w:val="51"/>
        <w:snapToGrid w:val="0"/>
        <w:spacing w:before="120" w:beforeLines="50" w:after="120" w:afterLines="50" w:line="540" w:lineRule="exact"/>
        <w:contextualSpacing/>
        <w:rPr>
          <w:rFonts w:cs="Times New Roman"/>
          <w:bCs w:val="0"/>
          <w:sz w:val="30"/>
          <w:szCs w:val="30"/>
        </w:rPr>
      </w:pPr>
      <w:bookmarkStart w:id="936" w:name="_Toc25360"/>
      <w:bookmarkStart w:id="937" w:name="_Toc22233"/>
      <w:bookmarkStart w:id="938" w:name="_Toc14581"/>
      <w:bookmarkStart w:id="939" w:name="_Toc10759"/>
      <w:bookmarkStart w:id="940" w:name="_Toc29827"/>
      <w:bookmarkStart w:id="941" w:name="_Toc27759"/>
      <w:r>
        <w:rPr>
          <w:rFonts w:hint="eastAsia" w:cs="Times New Roman"/>
          <w:bCs w:val="0"/>
          <w:snapToGrid w:val="0"/>
          <w:kern w:val="0"/>
          <w:sz w:val="30"/>
          <w:szCs w:val="30"/>
        </w:rPr>
        <w:t>9</w:t>
      </w:r>
      <w:r>
        <w:rPr>
          <w:rFonts w:cs="Times New Roman"/>
          <w:bCs w:val="0"/>
          <w:snapToGrid w:val="0"/>
          <w:kern w:val="0"/>
          <w:sz w:val="30"/>
          <w:szCs w:val="30"/>
        </w:rPr>
        <w:t>.3</w:t>
      </w:r>
      <w:bookmarkStart w:id="942" w:name="_Toc487210919"/>
      <w:r>
        <w:rPr>
          <w:rFonts w:cs="Times New Roman"/>
          <w:bCs w:val="0"/>
          <w:snapToGrid w:val="0"/>
          <w:kern w:val="0"/>
          <w:sz w:val="30"/>
          <w:szCs w:val="30"/>
        </w:rPr>
        <w:t>污染物总量控</w:t>
      </w:r>
      <w:r>
        <w:rPr>
          <w:rFonts w:cs="Times New Roman"/>
          <w:bCs w:val="0"/>
          <w:sz w:val="30"/>
          <w:szCs w:val="30"/>
        </w:rPr>
        <w:t>制</w:t>
      </w:r>
      <w:bookmarkEnd w:id="936"/>
      <w:bookmarkEnd w:id="937"/>
      <w:bookmarkEnd w:id="938"/>
      <w:bookmarkEnd w:id="939"/>
      <w:bookmarkEnd w:id="940"/>
      <w:bookmarkEnd w:id="941"/>
      <w:bookmarkEnd w:id="942"/>
    </w:p>
    <w:p>
      <w:pPr>
        <w:autoSpaceDE w:val="0"/>
        <w:autoSpaceDN w:val="0"/>
        <w:adjustRightInd w:val="0"/>
        <w:snapToGrid w:val="0"/>
        <w:spacing w:line="540" w:lineRule="exact"/>
        <w:ind w:firstLine="480" w:firstLineChars="200"/>
        <w:rPr>
          <w:rFonts w:ascii="Times New Roman" w:hAnsi="Times New Roman"/>
          <w:kern w:val="0"/>
          <w:sz w:val="24"/>
        </w:rPr>
      </w:pPr>
      <w:bookmarkStart w:id="943" w:name="_Toc10391"/>
      <w:bookmarkStart w:id="944" w:name="_Toc494148618"/>
      <w:bookmarkStart w:id="945" w:name="_Toc14985"/>
      <w:bookmarkStart w:id="946" w:name="_Toc26891"/>
      <w:bookmarkStart w:id="947" w:name="_Toc480194031"/>
      <w:r>
        <w:rPr>
          <w:rFonts w:ascii="Times New Roman" w:hAnsi="Times New Roman"/>
          <w:kern w:val="0"/>
          <w:sz w:val="24"/>
        </w:rPr>
        <w:t>本项目废水处理后综合利用，不外排地表水体；项目产生废气主要为恶臭，故本项目不申请污染物排放总量指标。</w:t>
      </w:r>
    </w:p>
    <w:bookmarkEnd w:id="943"/>
    <w:bookmarkEnd w:id="944"/>
    <w:bookmarkEnd w:id="945"/>
    <w:bookmarkEnd w:id="946"/>
    <w:bookmarkEnd w:id="947"/>
    <w:p>
      <w:pPr>
        <w:pStyle w:val="4"/>
        <w:adjustRightInd w:val="0"/>
        <w:snapToGrid w:val="0"/>
        <w:spacing w:line="540" w:lineRule="exact"/>
        <w:rPr>
          <w:rFonts w:ascii="Times New Roman" w:hAnsi="Times New Roman" w:eastAsia="宋体"/>
          <w:bCs w:val="0"/>
          <w:sz w:val="30"/>
          <w:szCs w:val="30"/>
        </w:rPr>
      </w:pPr>
      <w:bookmarkStart w:id="948" w:name="_Toc31324"/>
      <w:bookmarkStart w:id="949" w:name="_Toc5914"/>
      <w:bookmarkStart w:id="950" w:name="_Toc14444"/>
      <w:bookmarkStart w:id="951" w:name="_Toc16684"/>
      <w:bookmarkStart w:id="952" w:name="_Toc261"/>
      <w:bookmarkStart w:id="953" w:name="_Toc14710"/>
      <w:bookmarkStart w:id="954" w:name="_Toc28598"/>
      <w:bookmarkStart w:id="955" w:name="_Toc1353"/>
      <w:bookmarkStart w:id="956" w:name="_Toc14100"/>
      <w:bookmarkStart w:id="957" w:name="_Toc2162"/>
      <w:bookmarkStart w:id="958" w:name="_Toc494148622"/>
      <w:bookmarkStart w:id="959" w:name="_Toc2657"/>
      <w:bookmarkStart w:id="960" w:name="_Toc497175573"/>
      <w:bookmarkStart w:id="961" w:name="_Toc841"/>
      <w:bookmarkStart w:id="962" w:name="_Toc480194034"/>
      <w:r>
        <w:rPr>
          <w:rFonts w:hint="eastAsia" w:ascii="Times New Roman" w:hAnsi="Times New Roman" w:eastAsia="宋体"/>
          <w:bCs w:val="0"/>
          <w:sz w:val="30"/>
          <w:szCs w:val="30"/>
        </w:rPr>
        <w:t>9</w:t>
      </w:r>
      <w:r>
        <w:rPr>
          <w:rFonts w:ascii="Times New Roman" w:hAnsi="Times New Roman" w:eastAsia="宋体"/>
          <w:bCs w:val="0"/>
          <w:sz w:val="30"/>
          <w:szCs w:val="30"/>
        </w:rPr>
        <w:t>.4排污口规范化管理</w:t>
      </w:r>
      <w:bookmarkEnd w:id="948"/>
      <w:bookmarkEnd w:id="949"/>
      <w:bookmarkEnd w:id="950"/>
      <w:bookmarkEnd w:id="951"/>
      <w:bookmarkEnd w:id="952"/>
    </w:p>
    <w:p>
      <w:pPr>
        <w:autoSpaceDE w:val="0"/>
        <w:autoSpaceDN w:val="0"/>
        <w:adjustRightInd w:val="0"/>
        <w:snapToGrid w:val="0"/>
        <w:spacing w:line="540" w:lineRule="exact"/>
        <w:ind w:firstLine="480" w:firstLineChars="200"/>
        <w:rPr>
          <w:rFonts w:ascii="Times New Roman" w:hAnsi="Times New Roman"/>
          <w:sz w:val="24"/>
          <w:szCs w:val="22"/>
        </w:rPr>
      </w:pPr>
      <w:r>
        <w:rPr>
          <w:rFonts w:ascii="Times New Roman" w:hAnsi="Times New Roman"/>
          <w:sz w:val="24"/>
          <w:szCs w:val="22"/>
        </w:rPr>
        <w:t>排污口是企业排放污染物进入环境的通道，强化排污口的管理是实施污染物总量控制的基础工作之一，也是区域环境管理逐步实现污染物排放科学化、定量化的重要手段。</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63" w:name="_Toc487036681"/>
      <w:bookmarkEnd w:id="963"/>
      <w:bookmarkStart w:id="964" w:name="_Toc486955624"/>
      <w:bookmarkEnd w:id="964"/>
      <w:bookmarkStart w:id="965" w:name="_Toc487010494"/>
      <w:bookmarkEnd w:id="965"/>
      <w:bookmarkStart w:id="966" w:name="_Toc367083915"/>
      <w:bookmarkEnd w:id="966"/>
      <w:bookmarkStart w:id="967" w:name="_Toc231701880"/>
      <w:bookmarkEnd w:id="967"/>
      <w:bookmarkStart w:id="968" w:name="_Toc490495635"/>
      <w:bookmarkEnd w:id="968"/>
      <w:bookmarkStart w:id="969" w:name="_Toc486955473"/>
      <w:bookmarkEnd w:id="969"/>
      <w:bookmarkStart w:id="970" w:name="_Toc230669224"/>
      <w:bookmarkEnd w:id="970"/>
      <w:bookmarkStart w:id="971" w:name="_Toc230860514"/>
      <w:bookmarkEnd w:id="971"/>
      <w:bookmarkStart w:id="972" w:name="_Toc9227"/>
      <w:bookmarkStart w:id="973" w:name="_Toc18480"/>
      <w:bookmarkStart w:id="974" w:name="_Toc7223"/>
      <w:bookmarkStart w:id="975" w:name="_Toc4396"/>
      <w:bookmarkStart w:id="976" w:name="_Toc32407"/>
      <w:bookmarkStart w:id="977" w:name="_Toc18494"/>
      <w:bookmarkStart w:id="978" w:name="_Toc16280"/>
      <w:bookmarkStart w:id="979" w:name="_Toc512515632"/>
      <w:bookmarkStart w:id="980" w:name="_Toc522195023"/>
      <w:bookmarkStart w:id="981" w:name="_Toc499072924"/>
      <w:bookmarkStart w:id="982" w:name="_Toc26936"/>
      <w:bookmarkStart w:id="983" w:name="_Toc3470"/>
      <w:r>
        <w:rPr>
          <w:rFonts w:hint="eastAsia" w:cs="Times New Roman"/>
          <w:bCs w:val="0"/>
          <w:snapToGrid w:val="0"/>
          <w:kern w:val="0"/>
          <w:sz w:val="28"/>
          <w:szCs w:val="28"/>
        </w:rPr>
        <w:t>9</w:t>
      </w:r>
      <w:r>
        <w:rPr>
          <w:rFonts w:cs="Times New Roman"/>
          <w:bCs w:val="0"/>
          <w:snapToGrid w:val="0"/>
          <w:kern w:val="0"/>
          <w:sz w:val="28"/>
          <w:szCs w:val="28"/>
        </w:rPr>
        <w:t>.4.1排污口的技术要求</w:t>
      </w:r>
      <w:bookmarkEnd w:id="972"/>
      <w:bookmarkEnd w:id="973"/>
      <w:bookmarkEnd w:id="974"/>
      <w:bookmarkEnd w:id="975"/>
      <w:bookmarkEnd w:id="976"/>
      <w:bookmarkEnd w:id="977"/>
    </w:p>
    <w:p>
      <w:pPr>
        <w:autoSpaceDE w:val="0"/>
        <w:autoSpaceDN w:val="0"/>
        <w:adjustRightInd w:val="0"/>
        <w:snapToGrid w:val="0"/>
        <w:spacing w:line="540" w:lineRule="exact"/>
        <w:ind w:firstLine="480" w:firstLineChars="200"/>
        <w:rPr>
          <w:rFonts w:ascii="Times New Roman" w:hAnsi="Times New Roman"/>
          <w:sz w:val="24"/>
          <w:szCs w:val="22"/>
        </w:rPr>
      </w:pPr>
      <w:r>
        <w:rPr>
          <w:rFonts w:ascii="Times New Roman" w:hAnsi="Times New Roman"/>
          <w:sz w:val="24"/>
          <w:szCs w:val="22"/>
        </w:rPr>
        <w:t>⑴排污口应便于采样与计量监测，便于日常现场监督检查；</w:t>
      </w:r>
    </w:p>
    <w:p>
      <w:pPr>
        <w:autoSpaceDE w:val="0"/>
        <w:autoSpaceDN w:val="0"/>
        <w:adjustRightInd w:val="0"/>
        <w:snapToGrid w:val="0"/>
        <w:spacing w:line="540" w:lineRule="exact"/>
        <w:ind w:firstLine="480" w:firstLineChars="200"/>
        <w:rPr>
          <w:rFonts w:ascii="Times New Roman" w:hAnsi="Times New Roman"/>
          <w:sz w:val="24"/>
          <w:szCs w:val="22"/>
        </w:rPr>
      </w:pPr>
      <w:r>
        <w:rPr>
          <w:rFonts w:ascii="Times New Roman" w:hAnsi="Times New Roman"/>
          <w:sz w:val="24"/>
          <w:szCs w:val="22"/>
        </w:rPr>
        <w:t>⑵排污口的位置必须合理确定，按《排污口规范化整治技术要求（试行）》（环监〔11148〕470号）要求进行规范化管理；</w:t>
      </w:r>
    </w:p>
    <w:p>
      <w:pPr>
        <w:autoSpaceDE w:val="0"/>
        <w:autoSpaceDN w:val="0"/>
        <w:adjustRightInd w:val="0"/>
        <w:snapToGrid w:val="0"/>
        <w:spacing w:line="540" w:lineRule="exact"/>
        <w:ind w:firstLine="480" w:firstLineChars="200"/>
        <w:rPr>
          <w:rFonts w:ascii="Times New Roman" w:hAnsi="Times New Roman"/>
          <w:sz w:val="24"/>
          <w:szCs w:val="22"/>
        </w:rPr>
      </w:pPr>
      <w:r>
        <w:rPr>
          <w:rFonts w:ascii="Times New Roman" w:hAnsi="Times New Roman"/>
          <w:sz w:val="24"/>
          <w:szCs w:val="22"/>
        </w:rPr>
        <w:t>⑶排放的采样点设置应按《污染源监测技术规范》要求，设置在企业污染物总排口等处。</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84" w:name="_Toc231701881"/>
      <w:bookmarkEnd w:id="984"/>
      <w:bookmarkStart w:id="985" w:name="_Toc230669225"/>
      <w:bookmarkEnd w:id="985"/>
      <w:bookmarkStart w:id="986" w:name="_Toc228592864"/>
      <w:bookmarkEnd w:id="986"/>
      <w:bookmarkStart w:id="987" w:name="_Toc230860515"/>
      <w:bookmarkEnd w:id="987"/>
      <w:bookmarkStart w:id="988" w:name="_Toc367083916"/>
      <w:bookmarkEnd w:id="988"/>
      <w:bookmarkStart w:id="989" w:name="_Toc20458"/>
      <w:bookmarkStart w:id="990" w:name="_Toc26276"/>
      <w:bookmarkStart w:id="991" w:name="_Toc18297"/>
      <w:bookmarkStart w:id="992" w:name="_Toc29813"/>
      <w:bookmarkStart w:id="993" w:name="_Toc16611"/>
      <w:bookmarkStart w:id="994" w:name="_Toc15868"/>
      <w:r>
        <w:rPr>
          <w:rFonts w:hint="eastAsia" w:cs="Times New Roman"/>
          <w:bCs w:val="0"/>
          <w:snapToGrid w:val="0"/>
          <w:kern w:val="0"/>
          <w:sz w:val="28"/>
          <w:szCs w:val="28"/>
        </w:rPr>
        <w:t>9</w:t>
      </w:r>
      <w:r>
        <w:rPr>
          <w:rFonts w:cs="Times New Roman"/>
          <w:bCs w:val="0"/>
          <w:snapToGrid w:val="0"/>
          <w:kern w:val="0"/>
          <w:sz w:val="28"/>
          <w:szCs w:val="28"/>
        </w:rPr>
        <w:t>.4.2排污口立标管理</w:t>
      </w:r>
      <w:bookmarkEnd w:id="989"/>
      <w:bookmarkEnd w:id="990"/>
      <w:bookmarkEnd w:id="991"/>
      <w:bookmarkEnd w:id="992"/>
      <w:bookmarkEnd w:id="993"/>
      <w:bookmarkEnd w:id="994"/>
    </w:p>
    <w:p>
      <w:pPr>
        <w:autoSpaceDE w:val="0"/>
        <w:autoSpaceDN w:val="0"/>
        <w:adjustRightInd w:val="0"/>
        <w:snapToGrid w:val="0"/>
        <w:spacing w:line="540" w:lineRule="exact"/>
        <w:ind w:firstLine="480" w:firstLineChars="200"/>
        <w:rPr>
          <w:rFonts w:ascii="Times New Roman" w:hAnsi="Times New Roman"/>
          <w:sz w:val="24"/>
          <w:szCs w:val="22"/>
        </w:rPr>
      </w:pPr>
      <w:r>
        <w:rPr>
          <w:rFonts w:ascii="Times New Roman" w:hAnsi="Times New Roman"/>
          <w:sz w:val="24"/>
          <w:szCs w:val="22"/>
        </w:rPr>
        <w:t>⑴各污染物排放口，应按国家《环境保护图形标志》(15562.1-1995）与（GB15562.2-1995）的规定，设置国家环保部统一制作的环境保护图形标志牌；</w:t>
      </w:r>
    </w:p>
    <w:p>
      <w:pPr>
        <w:autoSpaceDE w:val="0"/>
        <w:autoSpaceDN w:val="0"/>
        <w:adjustRightInd w:val="0"/>
        <w:snapToGrid w:val="0"/>
        <w:spacing w:line="540" w:lineRule="exact"/>
        <w:ind w:firstLine="480" w:firstLineChars="200"/>
        <w:rPr>
          <w:rFonts w:ascii="Times New Roman" w:hAnsi="Times New Roman"/>
          <w:sz w:val="24"/>
          <w:szCs w:val="22"/>
        </w:rPr>
      </w:pPr>
      <w:r>
        <w:rPr>
          <w:rFonts w:ascii="Times New Roman" w:hAnsi="Times New Roman"/>
          <w:sz w:val="24"/>
          <w:szCs w:val="22"/>
        </w:rPr>
        <w:t>⑵污染物排放口的环保图形标志牌应设置在靠近采样点的醒目处，标志牌设置高度为其上缘距地面2m。</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995" w:name="_Toc367083917"/>
      <w:bookmarkEnd w:id="995"/>
      <w:bookmarkStart w:id="996" w:name="_Toc31273"/>
      <w:bookmarkStart w:id="997" w:name="_Toc27294"/>
      <w:bookmarkStart w:id="998" w:name="_Toc9294"/>
      <w:bookmarkStart w:id="999" w:name="_Toc29112"/>
      <w:bookmarkStart w:id="1000" w:name="_Toc28192"/>
      <w:bookmarkStart w:id="1001" w:name="_Toc28210"/>
      <w:r>
        <w:rPr>
          <w:rFonts w:hint="eastAsia" w:cs="Times New Roman"/>
          <w:bCs w:val="0"/>
          <w:snapToGrid w:val="0"/>
          <w:kern w:val="0"/>
          <w:sz w:val="28"/>
          <w:szCs w:val="28"/>
        </w:rPr>
        <w:t>9</w:t>
      </w:r>
      <w:r>
        <w:rPr>
          <w:rFonts w:cs="Times New Roman"/>
          <w:bCs w:val="0"/>
          <w:snapToGrid w:val="0"/>
          <w:kern w:val="0"/>
          <w:sz w:val="28"/>
          <w:szCs w:val="28"/>
        </w:rPr>
        <w:t>.4.3排污口设置及规范化管理</w:t>
      </w:r>
      <w:bookmarkEnd w:id="996"/>
      <w:bookmarkEnd w:id="997"/>
      <w:bookmarkEnd w:id="998"/>
      <w:bookmarkEnd w:id="999"/>
      <w:bookmarkEnd w:id="1000"/>
      <w:bookmarkEnd w:id="1001"/>
    </w:p>
    <w:p>
      <w:pPr>
        <w:adjustRightInd w:val="0"/>
        <w:snapToGrid w:val="0"/>
        <w:spacing w:line="540" w:lineRule="exact"/>
        <w:ind w:firstLine="480" w:firstLineChars="200"/>
        <w:rPr>
          <w:rFonts w:ascii="Times New Roman" w:hAnsi="Times New Roman"/>
          <w:spacing w:val="-4"/>
          <w:sz w:val="24"/>
        </w:rPr>
      </w:pPr>
      <w:r>
        <w:rPr>
          <w:rFonts w:ascii="Times New Roman" w:hAnsi="Times New Roman"/>
          <w:sz w:val="24"/>
          <w:szCs w:val="22"/>
        </w:rPr>
        <w:t>在厂区“三废”排放口及噪声源处设置明显标志。标志的设置应执行《环境保护图形标志排放口(源)》（GB15562.1-1995）及《环境保护图形固体废物贮存(处置)场》（GB15562.2-1995）中的有关规定。排污口规范化整治，应符合国家、省、市有关规定，并通过主管环保部门认证和验收。</w:t>
      </w:r>
      <w:r>
        <w:rPr>
          <w:rFonts w:ascii="Times New Roman" w:hAnsi="Times New Roman"/>
          <w:sz w:val="24"/>
        </w:rPr>
        <w:t>排放口图形标志牌见表</w:t>
      </w:r>
      <w:r>
        <w:rPr>
          <w:rFonts w:hint="eastAsia" w:ascii="Times New Roman" w:hAnsi="Times New Roman"/>
          <w:sz w:val="24"/>
        </w:rPr>
        <w:t>9</w:t>
      </w:r>
      <w:r>
        <w:rPr>
          <w:rFonts w:ascii="Times New Roman" w:hAnsi="Times New Roman"/>
          <w:sz w:val="24"/>
        </w:rPr>
        <w:t>.4-1。</w:t>
      </w:r>
    </w:p>
    <w:p>
      <w:pPr>
        <w:adjustRightInd w:val="0"/>
        <w:snapToGrid w:val="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9</w:t>
      </w:r>
      <w:r>
        <w:rPr>
          <w:rFonts w:ascii="Times New Roman" w:hAnsi="Times New Roman"/>
          <w:b/>
          <w:sz w:val="24"/>
        </w:rPr>
        <w:t>.4-1    排放口图形标志牌一览表</w:t>
      </w:r>
    </w:p>
    <w:tbl>
      <w:tblPr>
        <w:tblStyle w:val="29"/>
        <w:tblW w:w="90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28"/>
        <w:gridCol w:w="1935"/>
        <w:gridCol w:w="2387"/>
        <w:gridCol w:w="1377"/>
        <w:gridCol w:w="25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77" w:hRule="atLeast"/>
          <w:jc w:val="center"/>
        </w:trPr>
        <w:tc>
          <w:tcPr>
            <w:tcW w:w="828" w:type="dxa"/>
            <w:vAlign w:val="center"/>
          </w:tcPr>
          <w:p>
            <w:pPr>
              <w:pStyle w:val="22"/>
              <w:snapToGrid w:val="0"/>
              <w:spacing w:before="0" w:after="0" w:line="240" w:lineRule="auto"/>
              <w:ind w:left="0" w:firstLine="0"/>
              <w:jc w:val="center"/>
              <w:rPr>
                <w:rFonts w:ascii="Times New Roman" w:hAnsi="Times New Roman"/>
                <w:b w:val="0"/>
                <w:sz w:val="21"/>
                <w:szCs w:val="21"/>
              </w:rPr>
            </w:pPr>
            <w:r>
              <w:rPr>
                <w:rFonts w:ascii="Times New Roman" w:hAnsi="Times New Roman"/>
                <w:b w:val="0"/>
                <w:sz w:val="21"/>
                <w:szCs w:val="21"/>
              </w:rPr>
              <w:t>序号</w:t>
            </w:r>
          </w:p>
        </w:tc>
        <w:tc>
          <w:tcPr>
            <w:tcW w:w="1935" w:type="dxa"/>
            <w:vAlign w:val="center"/>
          </w:tcPr>
          <w:p>
            <w:pPr>
              <w:pStyle w:val="22"/>
              <w:snapToGrid w:val="0"/>
              <w:spacing w:before="0" w:after="0" w:line="240" w:lineRule="auto"/>
              <w:ind w:left="0" w:firstLine="0"/>
              <w:jc w:val="center"/>
              <w:rPr>
                <w:rFonts w:ascii="Times New Roman" w:hAnsi="Times New Roman"/>
                <w:b w:val="0"/>
                <w:sz w:val="21"/>
                <w:szCs w:val="21"/>
              </w:rPr>
            </w:pPr>
            <w:r>
              <w:rPr>
                <w:rFonts w:ascii="Times New Roman" w:hAnsi="Times New Roman"/>
                <w:b w:val="0"/>
                <w:sz w:val="21"/>
                <w:szCs w:val="21"/>
              </w:rPr>
              <w:t>提示图形符号</w:t>
            </w:r>
          </w:p>
        </w:tc>
        <w:tc>
          <w:tcPr>
            <w:tcW w:w="2387" w:type="dxa"/>
            <w:vAlign w:val="center"/>
          </w:tcPr>
          <w:p>
            <w:pPr>
              <w:pStyle w:val="22"/>
              <w:snapToGrid w:val="0"/>
              <w:spacing w:before="0" w:after="0" w:line="240" w:lineRule="auto"/>
              <w:ind w:left="0" w:firstLine="0"/>
              <w:jc w:val="center"/>
              <w:rPr>
                <w:rFonts w:ascii="Times New Roman" w:hAnsi="Times New Roman"/>
                <w:b w:val="0"/>
                <w:sz w:val="21"/>
                <w:szCs w:val="21"/>
              </w:rPr>
            </w:pPr>
            <w:r>
              <w:rPr>
                <w:rFonts w:ascii="Times New Roman" w:hAnsi="Times New Roman"/>
                <w:b w:val="0"/>
                <w:sz w:val="21"/>
                <w:szCs w:val="21"/>
              </w:rPr>
              <w:t>警告图形符号</w:t>
            </w:r>
          </w:p>
        </w:tc>
        <w:tc>
          <w:tcPr>
            <w:tcW w:w="1377" w:type="dxa"/>
            <w:vAlign w:val="center"/>
          </w:tcPr>
          <w:p>
            <w:pPr>
              <w:pStyle w:val="22"/>
              <w:snapToGrid w:val="0"/>
              <w:spacing w:before="0" w:after="0" w:line="240" w:lineRule="auto"/>
              <w:ind w:left="0" w:firstLine="0"/>
              <w:jc w:val="center"/>
              <w:rPr>
                <w:rFonts w:ascii="Times New Roman" w:hAnsi="Times New Roman"/>
                <w:b w:val="0"/>
                <w:sz w:val="21"/>
                <w:szCs w:val="21"/>
              </w:rPr>
            </w:pPr>
            <w:r>
              <w:rPr>
                <w:rFonts w:ascii="Times New Roman" w:hAnsi="Times New Roman"/>
                <w:b w:val="0"/>
                <w:sz w:val="21"/>
                <w:szCs w:val="21"/>
              </w:rPr>
              <w:t>名称</w:t>
            </w:r>
          </w:p>
        </w:tc>
        <w:tc>
          <w:tcPr>
            <w:tcW w:w="2544" w:type="dxa"/>
            <w:vAlign w:val="center"/>
          </w:tcPr>
          <w:p>
            <w:pPr>
              <w:pStyle w:val="22"/>
              <w:snapToGrid w:val="0"/>
              <w:spacing w:before="0" w:after="0" w:line="240" w:lineRule="auto"/>
              <w:ind w:left="0" w:firstLine="0"/>
              <w:jc w:val="center"/>
              <w:rPr>
                <w:rFonts w:ascii="Times New Roman" w:hAnsi="Times New Roman"/>
                <w:b w:val="0"/>
                <w:sz w:val="21"/>
                <w:szCs w:val="21"/>
              </w:rPr>
            </w:pPr>
            <w:r>
              <w:rPr>
                <w:rFonts w:ascii="Times New Roman" w:hAnsi="Times New Roman"/>
                <w:b w:val="0"/>
                <w:sz w:val="21"/>
                <w:szCs w:val="21"/>
              </w:rPr>
              <w:t>功能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25" w:hRule="atLeast"/>
          <w:jc w:val="center"/>
        </w:trPr>
        <w:tc>
          <w:tcPr>
            <w:tcW w:w="828"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1</w:t>
            </w:r>
          </w:p>
        </w:tc>
        <w:tc>
          <w:tcPr>
            <w:tcW w:w="1935"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Cs/>
                <w:sz w:val="21"/>
                <w:szCs w:val="21"/>
              </w:rPr>
              <w:drawing>
                <wp:anchor distT="0" distB="0" distL="114300" distR="114300" simplePos="0" relativeHeight="251662336" behindDoc="0" locked="0" layoutInCell="1" allowOverlap="1">
                  <wp:simplePos x="0" y="0"/>
                  <wp:positionH relativeFrom="column">
                    <wp:posOffset>76835</wp:posOffset>
                  </wp:positionH>
                  <wp:positionV relativeFrom="paragraph">
                    <wp:posOffset>295275</wp:posOffset>
                  </wp:positionV>
                  <wp:extent cx="892810" cy="777240"/>
                  <wp:effectExtent l="0" t="0" r="2540" b="3810"/>
                  <wp:wrapSquare wrapText="bothSides"/>
                  <wp:docPr id="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2"/>
                          <pic:cNvPicPr>
                            <a:picLocks noChangeAspect="1"/>
                          </pic:cNvPicPr>
                        </pic:nvPicPr>
                        <pic:blipFill>
                          <a:blip r:embed="rId53"/>
                          <a:stretch>
                            <a:fillRect/>
                          </a:stretch>
                        </pic:blipFill>
                        <pic:spPr>
                          <a:xfrm>
                            <a:off x="0" y="0"/>
                            <a:ext cx="892810" cy="777240"/>
                          </a:xfrm>
                          <a:prstGeom prst="rect">
                            <a:avLst/>
                          </a:prstGeom>
                          <a:noFill/>
                          <a:ln>
                            <a:noFill/>
                          </a:ln>
                        </pic:spPr>
                      </pic:pic>
                    </a:graphicData>
                  </a:graphic>
                </wp:anchor>
              </w:drawing>
            </w:r>
          </w:p>
        </w:tc>
        <w:tc>
          <w:tcPr>
            <w:tcW w:w="2387"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Cs/>
                <w:sz w:val="21"/>
                <w:szCs w:val="21"/>
              </w:rPr>
              <w:drawing>
                <wp:anchor distT="0" distB="0" distL="114300" distR="114300" simplePos="0" relativeHeight="251663360" behindDoc="0" locked="0" layoutInCell="1" allowOverlap="1">
                  <wp:simplePos x="0" y="0"/>
                  <wp:positionH relativeFrom="column">
                    <wp:posOffset>262890</wp:posOffset>
                  </wp:positionH>
                  <wp:positionV relativeFrom="paragraph">
                    <wp:posOffset>307975</wp:posOffset>
                  </wp:positionV>
                  <wp:extent cx="856615" cy="772795"/>
                  <wp:effectExtent l="0" t="0" r="635" b="8255"/>
                  <wp:wrapSquare wrapText="bothSides"/>
                  <wp:docPr id="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54"/>
                          <a:stretch>
                            <a:fillRect/>
                          </a:stretch>
                        </pic:blipFill>
                        <pic:spPr>
                          <a:xfrm>
                            <a:off x="0" y="0"/>
                            <a:ext cx="856615" cy="772795"/>
                          </a:xfrm>
                          <a:prstGeom prst="rect">
                            <a:avLst/>
                          </a:prstGeom>
                          <a:noFill/>
                          <a:ln>
                            <a:noFill/>
                          </a:ln>
                        </pic:spPr>
                      </pic:pic>
                    </a:graphicData>
                  </a:graphic>
                </wp:anchor>
              </w:drawing>
            </w:r>
          </w:p>
        </w:tc>
        <w:tc>
          <w:tcPr>
            <w:tcW w:w="1377"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废气排放源</w:t>
            </w:r>
          </w:p>
        </w:tc>
        <w:tc>
          <w:tcPr>
            <w:tcW w:w="2544"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表示废气排放口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25" w:hRule="atLeast"/>
          <w:jc w:val="center"/>
        </w:trPr>
        <w:tc>
          <w:tcPr>
            <w:tcW w:w="828"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2</w:t>
            </w:r>
          </w:p>
        </w:tc>
        <w:tc>
          <w:tcPr>
            <w:tcW w:w="1935"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Cs/>
                <w:sz w:val="21"/>
                <w:szCs w:val="21"/>
              </w:rPr>
              <w:drawing>
                <wp:anchor distT="0" distB="0" distL="114300" distR="114300" simplePos="0" relativeHeight="251664384" behindDoc="0" locked="0" layoutInCell="1" allowOverlap="1">
                  <wp:simplePos x="0" y="0"/>
                  <wp:positionH relativeFrom="column">
                    <wp:posOffset>133985</wp:posOffset>
                  </wp:positionH>
                  <wp:positionV relativeFrom="paragraph">
                    <wp:posOffset>219075</wp:posOffset>
                  </wp:positionV>
                  <wp:extent cx="831850" cy="792480"/>
                  <wp:effectExtent l="0" t="0" r="6350" b="7620"/>
                  <wp:wrapSquare wrapText="bothSides"/>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1"/>
                          </pic:cNvPicPr>
                        </pic:nvPicPr>
                        <pic:blipFill>
                          <a:blip r:embed="rId55"/>
                          <a:stretch>
                            <a:fillRect/>
                          </a:stretch>
                        </pic:blipFill>
                        <pic:spPr>
                          <a:xfrm>
                            <a:off x="0" y="0"/>
                            <a:ext cx="831850" cy="792480"/>
                          </a:xfrm>
                          <a:prstGeom prst="rect">
                            <a:avLst/>
                          </a:prstGeom>
                          <a:noFill/>
                          <a:ln>
                            <a:noFill/>
                          </a:ln>
                        </pic:spPr>
                      </pic:pic>
                    </a:graphicData>
                  </a:graphic>
                </wp:anchor>
              </w:drawing>
            </w:r>
          </w:p>
        </w:tc>
        <w:tc>
          <w:tcPr>
            <w:tcW w:w="2387"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Cs/>
                <w:sz w:val="21"/>
                <w:szCs w:val="21"/>
              </w:rPr>
              <w:drawing>
                <wp:anchor distT="0" distB="0" distL="114300" distR="114300" simplePos="0" relativeHeight="251665408" behindDoc="0" locked="0" layoutInCell="1" allowOverlap="1">
                  <wp:simplePos x="0" y="0"/>
                  <wp:positionH relativeFrom="column">
                    <wp:posOffset>224790</wp:posOffset>
                  </wp:positionH>
                  <wp:positionV relativeFrom="paragraph">
                    <wp:posOffset>241300</wp:posOffset>
                  </wp:positionV>
                  <wp:extent cx="875030" cy="775970"/>
                  <wp:effectExtent l="0" t="0" r="1270" b="5080"/>
                  <wp:wrapSquare wrapText="bothSides"/>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56"/>
                          <a:stretch>
                            <a:fillRect/>
                          </a:stretch>
                        </pic:blipFill>
                        <pic:spPr>
                          <a:xfrm>
                            <a:off x="0" y="0"/>
                            <a:ext cx="875030" cy="775970"/>
                          </a:xfrm>
                          <a:prstGeom prst="rect">
                            <a:avLst/>
                          </a:prstGeom>
                          <a:noFill/>
                          <a:ln>
                            <a:noFill/>
                          </a:ln>
                        </pic:spPr>
                      </pic:pic>
                    </a:graphicData>
                  </a:graphic>
                </wp:anchor>
              </w:drawing>
            </w:r>
          </w:p>
        </w:tc>
        <w:tc>
          <w:tcPr>
            <w:tcW w:w="1377"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废水排放源</w:t>
            </w:r>
          </w:p>
        </w:tc>
        <w:tc>
          <w:tcPr>
            <w:tcW w:w="2544"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表示废水排放口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1825" w:hRule="atLeast"/>
          <w:jc w:val="center"/>
        </w:trPr>
        <w:tc>
          <w:tcPr>
            <w:tcW w:w="828"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3</w:t>
            </w:r>
          </w:p>
        </w:tc>
        <w:tc>
          <w:tcPr>
            <w:tcW w:w="1935"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Cs/>
                <w:sz w:val="21"/>
                <w:szCs w:val="21"/>
              </w:rPr>
              <w:drawing>
                <wp:anchor distT="0" distB="0" distL="114300" distR="114300" simplePos="0" relativeHeight="251666432" behindDoc="0" locked="0" layoutInCell="1" allowOverlap="1">
                  <wp:simplePos x="0" y="0"/>
                  <wp:positionH relativeFrom="column">
                    <wp:posOffset>86360</wp:posOffset>
                  </wp:positionH>
                  <wp:positionV relativeFrom="paragraph">
                    <wp:posOffset>257175</wp:posOffset>
                  </wp:positionV>
                  <wp:extent cx="791845" cy="791845"/>
                  <wp:effectExtent l="0" t="0" r="8255" b="8255"/>
                  <wp:wrapSquare wrapText="bothSides"/>
                  <wp:docPr id="38" name="图片 16"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 descr="006"/>
                          <pic:cNvPicPr>
                            <a:picLocks noChangeAspect="1"/>
                          </pic:cNvPicPr>
                        </pic:nvPicPr>
                        <pic:blipFill>
                          <a:blip r:embed="rId57"/>
                          <a:srcRect l="5222" t="4480" r="5222"/>
                          <a:stretch>
                            <a:fillRect/>
                          </a:stretch>
                        </pic:blipFill>
                        <pic:spPr>
                          <a:xfrm>
                            <a:off x="0" y="0"/>
                            <a:ext cx="791845" cy="791845"/>
                          </a:xfrm>
                          <a:prstGeom prst="rect">
                            <a:avLst/>
                          </a:prstGeom>
                          <a:noFill/>
                          <a:ln>
                            <a:noFill/>
                          </a:ln>
                        </pic:spPr>
                      </pic:pic>
                    </a:graphicData>
                  </a:graphic>
                </wp:anchor>
              </w:drawing>
            </w:r>
          </w:p>
        </w:tc>
        <w:tc>
          <w:tcPr>
            <w:tcW w:w="2387"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Cs/>
                <w:sz w:val="21"/>
                <w:szCs w:val="21"/>
              </w:rPr>
              <w:drawing>
                <wp:anchor distT="0" distB="0" distL="114300" distR="114300" simplePos="0" relativeHeight="251667456" behindDoc="0" locked="0" layoutInCell="1" allowOverlap="1">
                  <wp:simplePos x="0" y="0"/>
                  <wp:positionH relativeFrom="column">
                    <wp:posOffset>234315</wp:posOffset>
                  </wp:positionH>
                  <wp:positionV relativeFrom="paragraph">
                    <wp:posOffset>276225</wp:posOffset>
                  </wp:positionV>
                  <wp:extent cx="897255" cy="772795"/>
                  <wp:effectExtent l="0" t="0" r="17145" b="8255"/>
                  <wp:wrapSquare wrapText="bothSides"/>
                  <wp:docPr id="39" name="图片 17"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7" descr="007"/>
                          <pic:cNvPicPr>
                            <a:picLocks noChangeAspect="1"/>
                          </pic:cNvPicPr>
                        </pic:nvPicPr>
                        <pic:blipFill>
                          <a:blip r:embed="rId58"/>
                          <a:srcRect l="8760" t="3073" r="4756" b="5531"/>
                          <a:stretch>
                            <a:fillRect/>
                          </a:stretch>
                        </pic:blipFill>
                        <pic:spPr>
                          <a:xfrm>
                            <a:off x="0" y="0"/>
                            <a:ext cx="897255" cy="772795"/>
                          </a:xfrm>
                          <a:prstGeom prst="rect">
                            <a:avLst/>
                          </a:prstGeom>
                          <a:noFill/>
                          <a:ln>
                            <a:noFill/>
                          </a:ln>
                        </pic:spPr>
                      </pic:pic>
                    </a:graphicData>
                  </a:graphic>
                </wp:anchor>
              </w:drawing>
            </w:r>
          </w:p>
        </w:tc>
        <w:tc>
          <w:tcPr>
            <w:tcW w:w="1377"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噪声源</w:t>
            </w:r>
          </w:p>
        </w:tc>
        <w:tc>
          <w:tcPr>
            <w:tcW w:w="2544"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表示噪声向外环境排放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25" w:hRule="atLeast"/>
          <w:jc w:val="center"/>
        </w:trPr>
        <w:tc>
          <w:tcPr>
            <w:tcW w:w="828"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4</w:t>
            </w:r>
          </w:p>
        </w:tc>
        <w:tc>
          <w:tcPr>
            <w:tcW w:w="1935"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Cs/>
                <w:sz w:val="21"/>
                <w:szCs w:val="21"/>
              </w:rPr>
              <w:drawing>
                <wp:anchor distT="0" distB="0" distL="114300" distR="114300" simplePos="0" relativeHeight="251668480" behindDoc="0" locked="0" layoutInCell="1" allowOverlap="1">
                  <wp:simplePos x="0" y="0"/>
                  <wp:positionH relativeFrom="column">
                    <wp:posOffset>19685</wp:posOffset>
                  </wp:positionH>
                  <wp:positionV relativeFrom="paragraph">
                    <wp:posOffset>238125</wp:posOffset>
                  </wp:positionV>
                  <wp:extent cx="957580" cy="780415"/>
                  <wp:effectExtent l="0" t="0" r="13970" b="635"/>
                  <wp:wrapSquare wrapText="bothSides"/>
                  <wp:docPr id="40" name="图片 18"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8" descr="003"/>
                          <pic:cNvPicPr>
                            <a:picLocks noChangeAspect="1"/>
                          </pic:cNvPicPr>
                        </pic:nvPicPr>
                        <pic:blipFill>
                          <a:blip r:embed="rId59"/>
                          <a:stretch>
                            <a:fillRect/>
                          </a:stretch>
                        </pic:blipFill>
                        <pic:spPr>
                          <a:xfrm>
                            <a:off x="0" y="0"/>
                            <a:ext cx="957580" cy="780415"/>
                          </a:xfrm>
                          <a:prstGeom prst="rect">
                            <a:avLst/>
                          </a:prstGeom>
                          <a:noFill/>
                          <a:ln>
                            <a:noFill/>
                          </a:ln>
                        </pic:spPr>
                      </pic:pic>
                    </a:graphicData>
                  </a:graphic>
                </wp:anchor>
              </w:drawing>
            </w:r>
          </w:p>
        </w:tc>
        <w:tc>
          <w:tcPr>
            <w:tcW w:w="2387"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Cs/>
                <w:sz w:val="21"/>
                <w:szCs w:val="21"/>
              </w:rPr>
              <w:drawing>
                <wp:anchor distT="0" distB="0" distL="114300" distR="114300" simplePos="0" relativeHeight="251669504" behindDoc="0" locked="0" layoutInCell="1" allowOverlap="1">
                  <wp:simplePos x="0" y="0"/>
                  <wp:positionH relativeFrom="column">
                    <wp:posOffset>196215</wp:posOffset>
                  </wp:positionH>
                  <wp:positionV relativeFrom="paragraph">
                    <wp:posOffset>247650</wp:posOffset>
                  </wp:positionV>
                  <wp:extent cx="920750" cy="749300"/>
                  <wp:effectExtent l="0" t="0" r="12700" b="12700"/>
                  <wp:wrapSquare wrapText="bothSides"/>
                  <wp:docPr id="41" name="图片 1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9" descr="004"/>
                          <pic:cNvPicPr>
                            <a:picLocks noChangeAspect="1"/>
                          </pic:cNvPicPr>
                        </pic:nvPicPr>
                        <pic:blipFill>
                          <a:blip r:embed="rId60"/>
                          <a:srcRect l="2953" t="4430" r="1477" b="4134"/>
                          <a:stretch>
                            <a:fillRect/>
                          </a:stretch>
                        </pic:blipFill>
                        <pic:spPr>
                          <a:xfrm>
                            <a:off x="0" y="0"/>
                            <a:ext cx="920750" cy="749300"/>
                          </a:xfrm>
                          <a:prstGeom prst="rect">
                            <a:avLst/>
                          </a:prstGeom>
                          <a:noFill/>
                          <a:ln>
                            <a:noFill/>
                          </a:ln>
                        </pic:spPr>
                      </pic:pic>
                    </a:graphicData>
                  </a:graphic>
                </wp:anchor>
              </w:drawing>
            </w:r>
          </w:p>
        </w:tc>
        <w:tc>
          <w:tcPr>
            <w:tcW w:w="1377"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一般固体废物</w:t>
            </w:r>
          </w:p>
        </w:tc>
        <w:tc>
          <w:tcPr>
            <w:tcW w:w="2544"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表示一般固体废物贮存、处置场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63" w:hRule="atLeast"/>
          <w:jc w:val="center"/>
        </w:trPr>
        <w:tc>
          <w:tcPr>
            <w:tcW w:w="828"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5</w:t>
            </w:r>
          </w:p>
        </w:tc>
        <w:tc>
          <w:tcPr>
            <w:tcW w:w="1935" w:type="dxa"/>
            <w:vAlign w:val="center"/>
          </w:tcPr>
          <w:p>
            <w:pPr>
              <w:pStyle w:val="22"/>
              <w:snapToGrid w:val="0"/>
              <w:spacing w:before="0" w:after="0" w:line="240" w:lineRule="auto"/>
              <w:ind w:left="0" w:firstLine="0"/>
              <w:jc w:val="center"/>
              <w:rPr>
                <w:rFonts w:ascii="Times New Roman" w:hAnsi="Times New Roman"/>
                <w:b w:val="0"/>
                <w:bCs/>
                <w:sz w:val="21"/>
                <w:szCs w:val="21"/>
              </w:rPr>
            </w:pPr>
          </w:p>
        </w:tc>
        <w:tc>
          <w:tcPr>
            <w:tcW w:w="2387"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rPr>
              <w:drawing>
                <wp:anchor distT="0" distB="0" distL="114300" distR="114300" simplePos="0" relativeHeight="251670528" behindDoc="0" locked="0" layoutInCell="1" allowOverlap="1">
                  <wp:simplePos x="0" y="0"/>
                  <wp:positionH relativeFrom="column">
                    <wp:posOffset>177165</wp:posOffset>
                  </wp:positionH>
                  <wp:positionV relativeFrom="paragraph">
                    <wp:posOffset>219075</wp:posOffset>
                  </wp:positionV>
                  <wp:extent cx="934085" cy="825500"/>
                  <wp:effectExtent l="0" t="0" r="18415" b="12700"/>
                  <wp:wrapSquare wrapText="bothSides"/>
                  <wp:docPr id="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0"/>
                          <pic:cNvPicPr>
                            <a:picLocks noChangeAspect="1"/>
                          </pic:cNvPicPr>
                        </pic:nvPicPr>
                        <pic:blipFill>
                          <a:blip r:embed="rId61"/>
                          <a:srcRect l="7892" t="4630" r="5246" b="5363"/>
                          <a:stretch>
                            <a:fillRect/>
                          </a:stretch>
                        </pic:blipFill>
                        <pic:spPr>
                          <a:xfrm>
                            <a:off x="0" y="0"/>
                            <a:ext cx="934085" cy="825500"/>
                          </a:xfrm>
                          <a:prstGeom prst="rect">
                            <a:avLst/>
                          </a:prstGeom>
                          <a:noFill/>
                          <a:ln>
                            <a:noFill/>
                          </a:ln>
                        </pic:spPr>
                      </pic:pic>
                    </a:graphicData>
                  </a:graphic>
                </wp:anchor>
              </w:drawing>
            </w:r>
          </w:p>
        </w:tc>
        <w:tc>
          <w:tcPr>
            <w:tcW w:w="1377"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危险废物</w:t>
            </w:r>
          </w:p>
        </w:tc>
        <w:tc>
          <w:tcPr>
            <w:tcW w:w="2544" w:type="dxa"/>
            <w:vAlign w:val="center"/>
          </w:tcPr>
          <w:p>
            <w:pPr>
              <w:pStyle w:val="22"/>
              <w:snapToGrid w:val="0"/>
              <w:spacing w:before="0" w:after="0" w:line="240" w:lineRule="auto"/>
              <w:ind w:left="0" w:firstLine="0"/>
              <w:jc w:val="center"/>
              <w:rPr>
                <w:rFonts w:ascii="Times New Roman" w:hAnsi="Times New Roman"/>
                <w:b w:val="0"/>
                <w:bCs/>
                <w:sz w:val="21"/>
                <w:szCs w:val="21"/>
              </w:rPr>
            </w:pPr>
            <w:r>
              <w:rPr>
                <w:rFonts w:ascii="Times New Roman" w:hAnsi="Times New Roman"/>
                <w:b w:val="0"/>
                <w:bCs/>
                <w:sz w:val="21"/>
                <w:szCs w:val="21"/>
              </w:rPr>
              <w:t>表示危险废物贮存、处置场</w:t>
            </w:r>
          </w:p>
        </w:tc>
      </w:tr>
    </w:tbl>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1002" w:name="_Toc228592865"/>
      <w:bookmarkEnd w:id="1002"/>
      <w:bookmarkStart w:id="1003" w:name="_Toc367083918"/>
      <w:bookmarkEnd w:id="1003"/>
      <w:bookmarkStart w:id="1004" w:name="_Toc231701882"/>
      <w:bookmarkEnd w:id="1004"/>
      <w:bookmarkStart w:id="1005" w:name="_Toc230669226"/>
      <w:bookmarkEnd w:id="1005"/>
      <w:bookmarkStart w:id="1006" w:name="_Toc230860516"/>
      <w:bookmarkEnd w:id="1006"/>
      <w:bookmarkStart w:id="1007" w:name="_Toc25765"/>
      <w:bookmarkStart w:id="1008" w:name="_Toc28459"/>
      <w:bookmarkStart w:id="1009" w:name="_Toc29513"/>
      <w:bookmarkStart w:id="1010" w:name="_Toc7944"/>
      <w:bookmarkStart w:id="1011" w:name="_Toc12206"/>
      <w:r>
        <w:rPr>
          <w:rFonts w:hint="eastAsia" w:cs="Times New Roman"/>
          <w:bCs w:val="0"/>
          <w:snapToGrid w:val="0"/>
          <w:kern w:val="0"/>
          <w:sz w:val="28"/>
          <w:szCs w:val="28"/>
        </w:rPr>
        <w:t>9</w:t>
      </w:r>
      <w:r>
        <w:rPr>
          <w:rFonts w:cs="Times New Roman"/>
          <w:bCs w:val="0"/>
          <w:snapToGrid w:val="0"/>
          <w:kern w:val="0"/>
          <w:sz w:val="28"/>
          <w:szCs w:val="28"/>
        </w:rPr>
        <w:t>.4.4排污口建档管理</w:t>
      </w:r>
      <w:bookmarkEnd w:id="1007"/>
      <w:bookmarkEnd w:id="1008"/>
      <w:bookmarkEnd w:id="1009"/>
      <w:bookmarkEnd w:id="1010"/>
      <w:bookmarkEnd w:id="1011"/>
    </w:p>
    <w:p>
      <w:pPr>
        <w:autoSpaceDE w:val="0"/>
        <w:autoSpaceDN w:val="0"/>
        <w:adjustRightInd w:val="0"/>
        <w:snapToGrid w:val="0"/>
        <w:spacing w:line="540" w:lineRule="exact"/>
        <w:ind w:firstLine="480" w:firstLineChars="200"/>
        <w:rPr>
          <w:rFonts w:ascii="Times New Roman" w:hAnsi="Times New Roman"/>
          <w:sz w:val="24"/>
          <w:szCs w:val="22"/>
        </w:rPr>
      </w:pPr>
      <w:r>
        <w:rPr>
          <w:rFonts w:ascii="Times New Roman" w:hAnsi="Times New Roman"/>
          <w:sz w:val="24"/>
          <w:szCs w:val="22"/>
        </w:rPr>
        <w:t>⑴要求使用国家环保部统一印刷的《中华人民共和国规范化排污口标志登记证》，并按要求填写有关内容；</w:t>
      </w:r>
    </w:p>
    <w:p>
      <w:pPr>
        <w:autoSpaceDE w:val="0"/>
        <w:autoSpaceDN w:val="0"/>
        <w:adjustRightInd w:val="0"/>
        <w:snapToGrid w:val="0"/>
        <w:spacing w:line="540" w:lineRule="exact"/>
        <w:ind w:firstLine="480" w:firstLineChars="200"/>
        <w:rPr>
          <w:rFonts w:ascii="Times New Roman" w:hAnsi="Times New Roman"/>
          <w:sz w:val="24"/>
          <w:szCs w:val="22"/>
        </w:rPr>
      </w:pPr>
      <w:r>
        <w:rPr>
          <w:rFonts w:ascii="Times New Roman" w:hAnsi="Times New Roman"/>
          <w:sz w:val="24"/>
          <w:szCs w:val="22"/>
        </w:rPr>
        <w:t>⑵根据排污口管理档案内容要求，项目建成后，应将主要污染物种类、数量、浓度、排放去向、达标情况及设施运行情况记录于档案。</w:t>
      </w:r>
    </w:p>
    <w:p>
      <w:pPr>
        <w:pBdr>
          <w:top w:val="none" w:color="auto" w:sz="0" w:space="1"/>
          <w:left w:val="none" w:color="auto" w:sz="0" w:space="4"/>
          <w:bottom w:val="none" w:color="auto" w:sz="0" w:space="1"/>
          <w:right w:val="none" w:color="auto" w:sz="0" w:space="4"/>
        </w:pBdr>
        <w:adjustRightInd w:val="0"/>
        <w:snapToGrid w:val="0"/>
        <w:spacing w:line="540" w:lineRule="exact"/>
        <w:outlineLvl w:val="1"/>
        <w:rPr>
          <w:rFonts w:ascii="Times New Roman" w:hAnsi="Times New Roman"/>
          <w:b/>
          <w:bCs/>
          <w:sz w:val="30"/>
          <w:szCs w:val="30"/>
        </w:rPr>
      </w:pPr>
      <w:bookmarkStart w:id="1012" w:name="_Toc32308"/>
      <w:bookmarkStart w:id="1013" w:name="_Toc8487"/>
      <w:bookmarkStart w:id="1014" w:name="_Toc20527"/>
      <w:bookmarkStart w:id="1015" w:name="_Toc16833"/>
      <w:r>
        <w:rPr>
          <w:rFonts w:hint="eastAsia" w:ascii="Times New Roman" w:hAnsi="Times New Roman"/>
          <w:b/>
          <w:bCs/>
          <w:sz w:val="30"/>
          <w:szCs w:val="30"/>
        </w:rPr>
        <w:t>9</w:t>
      </w:r>
      <w:r>
        <w:rPr>
          <w:rFonts w:ascii="Times New Roman" w:hAnsi="Times New Roman"/>
          <w:b/>
          <w:bCs/>
          <w:sz w:val="30"/>
          <w:szCs w:val="30"/>
        </w:rPr>
        <w:t>.5环境保护措施竣工验收管理</w:t>
      </w:r>
      <w:bookmarkEnd w:id="978"/>
      <w:bookmarkEnd w:id="979"/>
      <w:bookmarkEnd w:id="980"/>
      <w:bookmarkEnd w:id="981"/>
      <w:bookmarkEnd w:id="982"/>
      <w:bookmarkEnd w:id="983"/>
      <w:bookmarkEnd w:id="1012"/>
      <w:bookmarkEnd w:id="1013"/>
      <w:bookmarkEnd w:id="1014"/>
      <w:bookmarkEnd w:id="1015"/>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建成后，污染源治理设施“三同时”建成，建设单位应按照竣工环境保护验收的相关规定自行开展竣工环保验收，验收结果应及时向环保主管部门申报。本项目对“三废”、噪声及环境风险的防治均通过设置合理可行的环保设施、采取行之有效的防治措施来降低对环境的污染影响及危害。因此为确保本项目环保设施及污染防治措施的顺利进行，本次评价特提出本项目竣工环境保护验收重点，详见表</w:t>
      </w:r>
      <w:r>
        <w:rPr>
          <w:rFonts w:hint="eastAsia" w:ascii="Times New Roman" w:hAnsi="Times New Roman"/>
          <w:sz w:val="24"/>
        </w:rPr>
        <w:t>9</w:t>
      </w:r>
      <w:r>
        <w:rPr>
          <w:rFonts w:ascii="Times New Roman" w:hAnsi="Times New Roman"/>
          <w:sz w:val="24"/>
        </w:rPr>
        <w:t>.5-1。</w:t>
      </w:r>
    </w:p>
    <w:p>
      <w:pPr>
        <w:adjustRightInd w:val="0"/>
        <w:snapToGrid w:val="0"/>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9</w:t>
      </w:r>
      <w:r>
        <w:rPr>
          <w:rFonts w:ascii="Times New Roman" w:hAnsi="Times New Roman"/>
          <w:b/>
          <w:sz w:val="24"/>
        </w:rPr>
        <w:t>.5-1    环保“三同时”验收一览表</w:t>
      </w:r>
    </w:p>
    <w:tbl>
      <w:tblPr>
        <w:tblStyle w:val="29"/>
        <w:tblW w:w="907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609"/>
        <w:gridCol w:w="1016"/>
        <w:gridCol w:w="5086"/>
        <w:gridCol w:w="236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3" w:hRule="atLeast"/>
          <w:tblHeader/>
        </w:trPr>
        <w:tc>
          <w:tcPr>
            <w:tcW w:w="586" w:type="dxa"/>
            <w:tcBorders>
              <w:top w:val="single" w:color="auto" w:sz="12" w:space="0"/>
            </w:tcBorders>
            <w:vAlign w:val="center"/>
          </w:tcPr>
          <w:p>
            <w:pPr>
              <w:pStyle w:val="17"/>
              <w:widowControl/>
              <w:adjustRightInd w:val="0"/>
              <w:snapToGrid w:val="0"/>
              <w:jc w:val="center"/>
              <w:rPr>
                <w:rFonts w:ascii="Times New Roman" w:hAnsi="Times New Roman"/>
              </w:rPr>
            </w:pPr>
            <w:bookmarkStart w:id="1016" w:name="_Toc6223"/>
            <w:r>
              <w:rPr>
                <w:rFonts w:ascii="Times New Roman" w:hAnsi="Times New Roman"/>
              </w:rPr>
              <w:t>类别</w:t>
            </w:r>
          </w:p>
        </w:tc>
        <w:tc>
          <w:tcPr>
            <w:tcW w:w="978" w:type="dxa"/>
            <w:tcBorders>
              <w:top w:val="single" w:color="auto" w:sz="12" w:space="0"/>
            </w:tcBorders>
            <w:vAlign w:val="center"/>
          </w:tcPr>
          <w:p>
            <w:pPr>
              <w:pStyle w:val="17"/>
              <w:widowControl/>
              <w:adjustRightInd w:val="0"/>
              <w:snapToGrid w:val="0"/>
              <w:jc w:val="center"/>
              <w:rPr>
                <w:rFonts w:ascii="Times New Roman" w:hAnsi="Times New Roman"/>
              </w:rPr>
            </w:pPr>
            <w:r>
              <w:rPr>
                <w:rFonts w:ascii="Times New Roman" w:hAnsi="Times New Roman"/>
              </w:rPr>
              <w:t>项目</w:t>
            </w:r>
          </w:p>
        </w:tc>
        <w:tc>
          <w:tcPr>
            <w:tcW w:w="4895" w:type="dxa"/>
            <w:tcBorders>
              <w:top w:val="single" w:color="auto" w:sz="12" w:space="0"/>
            </w:tcBorders>
            <w:vAlign w:val="center"/>
          </w:tcPr>
          <w:p>
            <w:pPr>
              <w:pStyle w:val="17"/>
              <w:widowControl/>
              <w:adjustRightInd w:val="0"/>
              <w:snapToGrid w:val="0"/>
              <w:jc w:val="center"/>
              <w:rPr>
                <w:rFonts w:ascii="Times New Roman" w:hAnsi="Times New Roman"/>
              </w:rPr>
            </w:pPr>
            <w:r>
              <w:rPr>
                <w:rFonts w:ascii="Times New Roman" w:hAnsi="Times New Roman"/>
              </w:rPr>
              <w:t>治理措施</w:t>
            </w:r>
          </w:p>
        </w:tc>
        <w:tc>
          <w:tcPr>
            <w:tcW w:w="2272" w:type="dxa"/>
            <w:tcBorders>
              <w:top w:val="single" w:color="auto" w:sz="12" w:space="0"/>
            </w:tcBorders>
            <w:vAlign w:val="center"/>
          </w:tcPr>
          <w:p>
            <w:pPr>
              <w:pStyle w:val="17"/>
              <w:widowControl/>
              <w:adjustRightInd w:val="0"/>
              <w:snapToGrid w:val="0"/>
              <w:jc w:val="center"/>
              <w:rPr>
                <w:rFonts w:ascii="Times New Roman" w:hAnsi="Times New Roman"/>
              </w:rPr>
            </w:pPr>
            <w:r>
              <w:rPr>
                <w:rFonts w:ascii="Times New Roman" w:hAnsi="Times New Roman"/>
              </w:rPr>
              <w:t>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3" w:hRule="atLeast"/>
        </w:trPr>
        <w:tc>
          <w:tcPr>
            <w:tcW w:w="8731" w:type="dxa"/>
            <w:gridSpan w:val="4"/>
            <w:vAlign w:val="center"/>
          </w:tcPr>
          <w:p>
            <w:pPr>
              <w:pStyle w:val="17"/>
              <w:widowControl/>
              <w:adjustRightInd w:val="0"/>
              <w:snapToGrid w:val="0"/>
              <w:jc w:val="center"/>
              <w:rPr>
                <w:rFonts w:ascii="Times New Roman" w:hAnsi="Times New Roman"/>
              </w:rPr>
            </w:pPr>
            <w:r>
              <w:rPr>
                <w:rFonts w:ascii="Times New Roman" w:hAnsi="Times New Roman"/>
              </w:rPr>
              <w:t>运营期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3" w:hRule="atLeast"/>
        </w:trPr>
        <w:tc>
          <w:tcPr>
            <w:tcW w:w="586" w:type="dxa"/>
            <w:vMerge w:val="restart"/>
            <w:vAlign w:val="center"/>
          </w:tcPr>
          <w:p>
            <w:pPr>
              <w:pStyle w:val="17"/>
              <w:widowControl/>
              <w:adjustRightInd w:val="0"/>
              <w:snapToGrid w:val="0"/>
              <w:jc w:val="center"/>
              <w:rPr>
                <w:rFonts w:ascii="Times New Roman" w:hAnsi="Times New Roman"/>
                <w:bCs/>
              </w:rPr>
            </w:pPr>
            <w:r>
              <w:rPr>
                <w:rFonts w:ascii="Times New Roman" w:hAnsi="Times New Roman"/>
                <w:bCs/>
              </w:rPr>
              <w:t>废气处理</w:t>
            </w:r>
          </w:p>
        </w:tc>
        <w:tc>
          <w:tcPr>
            <w:tcW w:w="978" w:type="dxa"/>
            <w:vAlign w:val="center"/>
          </w:tcPr>
          <w:p>
            <w:pPr>
              <w:widowControl/>
              <w:adjustRightInd w:val="0"/>
              <w:snapToGrid w:val="0"/>
              <w:jc w:val="center"/>
              <w:rPr>
                <w:rFonts w:ascii="Times New Roman" w:hAnsi="Times New Roman"/>
                <w:szCs w:val="21"/>
              </w:rPr>
            </w:pPr>
            <w:r>
              <w:rPr>
                <w:rFonts w:ascii="Times New Roman" w:hAnsi="Times New Roman"/>
                <w:snapToGrid w:val="0"/>
                <w:szCs w:val="21"/>
              </w:rPr>
              <w:t>恶臭</w:t>
            </w:r>
          </w:p>
        </w:tc>
        <w:tc>
          <w:tcPr>
            <w:tcW w:w="4895" w:type="dxa"/>
            <w:tcBorders>
              <w:bottom w:val="single" w:color="auto" w:sz="4" w:space="0"/>
            </w:tcBorders>
            <w:vAlign w:val="center"/>
          </w:tcPr>
          <w:p>
            <w:pPr>
              <w:widowControl/>
              <w:adjustRightInd w:val="0"/>
              <w:snapToGrid w:val="0"/>
              <w:jc w:val="center"/>
              <w:rPr>
                <w:rFonts w:ascii="Times New Roman" w:hAnsi="Times New Roman"/>
                <w:szCs w:val="21"/>
              </w:rPr>
            </w:pPr>
            <w:r>
              <w:rPr>
                <w:rFonts w:ascii="Times New Roman" w:hAnsi="Times New Roman"/>
                <w:bCs/>
                <w:szCs w:val="21"/>
              </w:rPr>
              <w:t>牛棚：</w:t>
            </w:r>
            <w:r>
              <w:rPr>
                <w:rFonts w:ascii="Times New Roman" w:hAnsi="Times New Roman"/>
                <w:szCs w:val="21"/>
              </w:rPr>
              <w:t>对牛棚及运动场的牛粪，采用干清粪方式及时进行清理，定期消毒，喷洒除臭剂（生石灰）等。</w:t>
            </w:r>
          </w:p>
          <w:p>
            <w:pPr>
              <w:widowControl/>
              <w:adjustRightInd w:val="0"/>
              <w:snapToGrid w:val="0"/>
              <w:jc w:val="center"/>
              <w:rPr>
                <w:rFonts w:ascii="Times New Roman" w:hAnsi="Times New Roman"/>
                <w:szCs w:val="21"/>
              </w:rPr>
            </w:pPr>
            <w:r>
              <w:rPr>
                <w:rFonts w:hint="eastAsia" w:ascii="Times New Roman" w:hAnsi="Times New Roman"/>
                <w:bCs/>
                <w:szCs w:val="21"/>
              </w:rPr>
              <w:t>积粪池</w:t>
            </w:r>
            <w:r>
              <w:rPr>
                <w:rFonts w:ascii="Times New Roman" w:hAnsi="Times New Roman"/>
                <w:bCs/>
                <w:szCs w:val="21"/>
              </w:rPr>
              <w:t>：</w:t>
            </w:r>
            <w:r>
              <w:rPr>
                <w:rFonts w:ascii="Times New Roman" w:hAnsi="Times New Roman"/>
                <w:szCs w:val="21"/>
              </w:rPr>
              <w:t>加强过程控制和清运管理，减少牛粪堆存，定期消毒，在牛粪干湿分离、</w:t>
            </w:r>
            <w:r>
              <w:rPr>
                <w:rFonts w:hint="eastAsia" w:ascii="Times New Roman" w:hAnsi="Times New Roman"/>
                <w:szCs w:val="21"/>
                <w:lang w:eastAsia="zh-CN"/>
              </w:rPr>
              <w:t>积粪场</w:t>
            </w:r>
            <w:r>
              <w:rPr>
                <w:rFonts w:ascii="Times New Roman" w:hAnsi="Times New Roman"/>
                <w:szCs w:val="21"/>
              </w:rPr>
              <w:t>等加入对粪污有降解除臭的特定微生物菌。</w:t>
            </w:r>
          </w:p>
          <w:p>
            <w:pPr>
              <w:widowControl/>
              <w:adjustRightInd w:val="0"/>
              <w:snapToGrid w:val="0"/>
              <w:jc w:val="center"/>
              <w:rPr>
                <w:rFonts w:ascii="Times New Roman" w:hAnsi="Times New Roman"/>
                <w:szCs w:val="21"/>
              </w:rPr>
            </w:pPr>
            <w:r>
              <w:rPr>
                <w:rFonts w:ascii="Times New Roman" w:hAnsi="Times New Roman"/>
                <w:bCs/>
                <w:szCs w:val="21"/>
              </w:rPr>
              <w:t>饲养过程：</w:t>
            </w:r>
            <w:r>
              <w:rPr>
                <w:rFonts w:ascii="Times New Roman" w:hAnsi="Times New Roman"/>
                <w:szCs w:val="21"/>
              </w:rPr>
              <w:t>需科学管理、调配饲料等措施治理恶臭。</w:t>
            </w:r>
          </w:p>
        </w:tc>
        <w:tc>
          <w:tcPr>
            <w:tcW w:w="2272" w:type="dxa"/>
            <w:tcBorders>
              <w:bottom w:val="single" w:color="auto" w:sz="4" w:space="0"/>
            </w:tcBorders>
            <w:vAlign w:val="center"/>
          </w:tcPr>
          <w:p>
            <w:pPr>
              <w:pStyle w:val="17"/>
              <w:widowControl/>
              <w:adjustRightInd w:val="0"/>
              <w:snapToGrid w:val="0"/>
              <w:jc w:val="center"/>
              <w:rPr>
                <w:rFonts w:ascii="Times New Roman" w:hAnsi="Times New Roman"/>
              </w:rPr>
            </w:pPr>
            <w:r>
              <w:rPr>
                <w:rFonts w:ascii="Times New Roman" w:hAnsi="Times New Roman"/>
              </w:rPr>
              <w:t>《恶臭污染物排放标准》(GB14554-93)标准；</w:t>
            </w:r>
          </w:p>
          <w:p>
            <w:pPr>
              <w:pStyle w:val="17"/>
              <w:widowControl/>
              <w:adjustRightInd w:val="0"/>
              <w:snapToGrid w:val="0"/>
              <w:jc w:val="center"/>
              <w:rPr>
                <w:rFonts w:ascii="Times New Roman" w:hAnsi="Times New Roman"/>
              </w:rPr>
            </w:pPr>
            <w:r>
              <w:rPr>
                <w:rFonts w:ascii="Times New Roman" w:hAnsi="Times New Roman"/>
              </w:rPr>
              <w:t>《畜禽养殖业污染物排放标准》（GB18596-2001）的标准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3" w:hRule="atLeast"/>
        </w:trPr>
        <w:tc>
          <w:tcPr>
            <w:tcW w:w="586" w:type="dxa"/>
            <w:vMerge w:val="continue"/>
            <w:vAlign w:val="center"/>
          </w:tcPr>
          <w:p>
            <w:pPr>
              <w:pStyle w:val="17"/>
              <w:widowControl/>
              <w:adjustRightInd w:val="0"/>
              <w:snapToGrid w:val="0"/>
              <w:jc w:val="center"/>
              <w:rPr>
                <w:rFonts w:ascii="Times New Roman" w:hAnsi="Times New Roman"/>
                <w:bCs/>
              </w:rPr>
            </w:pPr>
          </w:p>
        </w:tc>
        <w:tc>
          <w:tcPr>
            <w:tcW w:w="978" w:type="dxa"/>
            <w:vAlign w:val="center"/>
          </w:tcPr>
          <w:p>
            <w:pPr>
              <w:widowControl/>
              <w:adjustRightInd w:val="0"/>
              <w:snapToGrid w:val="0"/>
              <w:jc w:val="center"/>
              <w:rPr>
                <w:rFonts w:ascii="Times New Roman" w:hAnsi="Times New Roman"/>
                <w:szCs w:val="21"/>
              </w:rPr>
            </w:pPr>
            <w:r>
              <w:rPr>
                <w:rFonts w:ascii="Times New Roman" w:hAnsi="Times New Roman"/>
                <w:szCs w:val="21"/>
              </w:rPr>
              <w:t>饲料加工粉尘</w:t>
            </w:r>
          </w:p>
        </w:tc>
        <w:tc>
          <w:tcPr>
            <w:tcW w:w="4895" w:type="dxa"/>
            <w:tcBorders>
              <w:top w:val="single" w:color="auto" w:sz="4" w:space="0"/>
            </w:tcBorders>
            <w:vAlign w:val="center"/>
          </w:tcPr>
          <w:p>
            <w:pPr>
              <w:widowControl/>
              <w:adjustRightInd w:val="0"/>
              <w:snapToGrid w:val="0"/>
              <w:jc w:val="center"/>
              <w:rPr>
                <w:rFonts w:ascii="Times New Roman" w:hAnsi="Times New Roman"/>
                <w:szCs w:val="21"/>
              </w:rPr>
            </w:pPr>
            <w:r>
              <w:rPr>
                <w:rFonts w:ascii="Times New Roman" w:hAnsi="Times New Roman"/>
                <w:szCs w:val="21"/>
              </w:rPr>
              <w:t>粉碎机粉碎玉米产生的粉尘</w:t>
            </w:r>
            <w:r>
              <w:rPr>
                <w:rFonts w:hint="eastAsia" w:ascii="Times New Roman" w:hAnsi="Times New Roman"/>
                <w:szCs w:val="21"/>
                <w:lang w:eastAsia="zh-CN"/>
              </w:rPr>
              <w:t>有设备自带除尘设施</w:t>
            </w:r>
            <w:r>
              <w:rPr>
                <w:rFonts w:ascii="Times New Roman" w:hAnsi="Times New Roman"/>
                <w:szCs w:val="21"/>
              </w:rPr>
              <w:t>处理。</w:t>
            </w:r>
          </w:p>
        </w:tc>
        <w:tc>
          <w:tcPr>
            <w:tcW w:w="2272" w:type="dxa"/>
            <w:tcBorders>
              <w:top w:val="single" w:color="auto" w:sz="4" w:space="0"/>
            </w:tcBorders>
            <w:vAlign w:val="center"/>
          </w:tcPr>
          <w:p>
            <w:pPr>
              <w:pStyle w:val="17"/>
              <w:widowControl/>
              <w:adjustRightInd w:val="0"/>
              <w:snapToGrid w:val="0"/>
              <w:jc w:val="center"/>
              <w:rPr>
                <w:rFonts w:ascii="Times New Roman" w:hAnsi="Times New Roman"/>
              </w:rPr>
            </w:pPr>
            <w:r>
              <w:rPr>
                <w:rFonts w:ascii="Times New Roman" w:hAnsi="Times New Roman"/>
              </w:rPr>
              <w:t>满足《大气污染物综合排放标准》（GB16297-1996）中二级标准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3" w:hRule="atLeast"/>
        </w:trPr>
        <w:tc>
          <w:tcPr>
            <w:tcW w:w="586" w:type="dxa"/>
            <w:vAlign w:val="center"/>
          </w:tcPr>
          <w:p>
            <w:pPr>
              <w:pStyle w:val="17"/>
              <w:widowControl/>
              <w:adjustRightInd w:val="0"/>
              <w:snapToGrid w:val="0"/>
              <w:jc w:val="center"/>
              <w:rPr>
                <w:rFonts w:ascii="Times New Roman" w:hAnsi="Times New Roman"/>
                <w:bCs/>
              </w:rPr>
            </w:pPr>
            <w:r>
              <w:rPr>
                <w:rFonts w:ascii="Times New Roman" w:hAnsi="Times New Roman"/>
                <w:bCs/>
              </w:rPr>
              <w:t>废水处理</w:t>
            </w:r>
          </w:p>
        </w:tc>
        <w:tc>
          <w:tcPr>
            <w:tcW w:w="978" w:type="dxa"/>
            <w:vAlign w:val="center"/>
          </w:tcPr>
          <w:p>
            <w:pPr>
              <w:widowControl/>
              <w:adjustRightInd w:val="0"/>
              <w:snapToGrid w:val="0"/>
              <w:jc w:val="center"/>
              <w:rPr>
                <w:rFonts w:ascii="Times New Roman" w:hAnsi="Times New Roman"/>
                <w:szCs w:val="21"/>
              </w:rPr>
            </w:pPr>
            <w:r>
              <w:rPr>
                <w:rFonts w:ascii="Times New Roman" w:hAnsi="Times New Roman"/>
                <w:snapToGrid w:val="0"/>
                <w:szCs w:val="21"/>
              </w:rPr>
              <w:t>生活废水</w:t>
            </w:r>
          </w:p>
        </w:tc>
        <w:tc>
          <w:tcPr>
            <w:tcW w:w="4895" w:type="dxa"/>
            <w:vAlign w:val="center"/>
          </w:tcPr>
          <w:p>
            <w:pPr>
              <w:pStyle w:val="17"/>
              <w:widowControl/>
              <w:adjustRightInd w:val="0"/>
              <w:snapToGrid w:val="0"/>
              <w:jc w:val="center"/>
              <w:rPr>
                <w:rFonts w:hint="eastAsia" w:ascii="Times New Roman" w:hAnsi="Times New Roman" w:eastAsia="宋体"/>
                <w:kern w:val="2"/>
                <w:szCs w:val="21"/>
                <w:lang w:eastAsia="zh-CN"/>
              </w:rPr>
            </w:pPr>
            <w:r>
              <w:rPr>
                <w:rFonts w:hint="eastAsia" w:ascii="Times New Roman" w:hAnsi="Times New Roman" w:cs="宋体"/>
                <w:szCs w:val="21"/>
                <w:highlight w:val="none"/>
                <w:lang w:eastAsia="zh-CN"/>
              </w:rPr>
              <w:t>职工生活污水主要为员工盥洗废水，用于厂区的洒水降尘；厂区建有卫生旱厕，用于员工生活卫生，旱厕定期由附近农户清掏还田。</w:t>
            </w:r>
          </w:p>
        </w:tc>
        <w:tc>
          <w:tcPr>
            <w:tcW w:w="2272" w:type="dxa"/>
            <w:vAlign w:val="center"/>
          </w:tcPr>
          <w:p>
            <w:pPr>
              <w:widowControl/>
              <w:adjustRightInd w:val="0"/>
              <w:snapToGrid w:val="0"/>
              <w:jc w:val="center"/>
              <w:rPr>
                <w:rFonts w:ascii="Times New Roman" w:hAnsi="Times New Roman"/>
                <w:szCs w:val="21"/>
              </w:rPr>
            </w:pPr>
            <w:r>
              <w:rPr>
                <w:rFonts w:hint="eastAsia" w:ascii="Times New Roman" w:hAnsi="Times New Roman"/>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3" w:hRule="atLeast"/>
        </w:trPr>
        <w:tc>
          <w:tcPr>
            <w:tcW w:w="586" w:type="dxa"/>
            <w:vAlign w:val="center"/>
          </w:tcPr>
          <w:p>
            <w:pPr>
              <w:pStyle w:val="17"/>
              <w:widowControl/>
              <w:adjustRightInd w:val="0"/>
              <w:snapToGrid w:val="0"/>
              <w:jc w:val="center"/>
              <w:rPr>
                <w:rFonts w:ascii="Times New Roman" w:hAnsi="Times New Roman"/>
                <w:bCs/>
              </w:rPr>
            </w:pPr>
            <w:r>
              <w:rPr>
                <w:rFonts w:ascii="Times New Roman" w:hAnsi="Times New Roman"/>
                <w:bCs/>
              </w:rPr>
              <w:t>噪声处理</w:t>
            </w:r>
          </w:p>
        </w:tc>
        <w:tc>
          <w:tcPr>
            <w:tcW w:w="978" w:type="dxa"/>
            <w:vAlign w:val="center"/>
          </w:tcPr>
          <w:p>
            <w:pPr>
              <w:pStyle w:val="17"/>
              <w:widowControl/>
              <w:adjustRightInd w:val="0"/>
              <w:snapToGrid w:val="0"/>
              <w:jc w:val="center"/>
              <w:rPr>
                <w:rFonts w:ascii="Times New Roman" w:hAnsi="Times New Roman"/>
              </w:rPr>
            </w:pPr>
            <w:r>
              <w:rPr>
                <w:rFonts w:ascii="Times New Roman" w:hAnsi="Times New Roman"/>
              </w:rPr>
              <w:t>厂界噪声</w:t>
            </w:r>
          </w:p>
        </w:tc>
        <w:tc>
          <w:tcPr>
            <w:tcW w:w="4895" w:type="dxa"/>
            <w:vAlign w:val="center"/>
          </w:tcPr>
          <w:p>
            <w:pPr>
              <w:pStyle w:val="17"/>
              <w:widowControl/>
              <w:adjustRightInd w:val="0"/>
              <w:snapToGrid w:val="0"/>
              <w:jc w:val="center"/>
              <w:rPr>
                <w:rFonts w:ascii="Times New Roman" w:hAnsi="Times New Roman"/>
              </w:rPr>
            </w:pPr>
            <w:r>
              <w:rPr>
                <w:rFonts w:ascii="Times New Roman" w:hAnsi="Times New Roman"/>
                <w:lang w:val="zh-CN"/>
              </w:rPr>
              <w:t>对主要产噪设备和主厂房采取降噪隔音、减振措施</w:t>
            </w:r>
          </w:p>
        </w:tc>
        <w:tc>
          <w:tcPr>
            <w:tcW w:w="2272" w:type="dxa"/>
            <w:vAlign w:val="center"/>
          </w:tcPr>
          <w:p>
            <w:pPr>
              <w:pStyle w:val="17"/>
              <w:widowControl/>
              <w:adjustRightInd w:val="0"/>
              <w:snapToGrid w:val="0"/>
              <w:jc w:val="center"/>
              <w:rPr>
                <w:rFonts w:ascii="Times New Roman" w:hAnsi="Times New Roman"/>
              </w:rPr>
            </w:pPr>
            <w:r>
              <w:rPr>
                <w:rFonts w:ascii="Times New Roman" w:hAnsi="Times New Roman"/>
              </w:rPr>
              <w:t>厂界满足《工业企业厂界环境噪声排放标准》（GB12348-2008）</w:t>
            </w:r>
            <w:r>
              <w:rPr>
                <w:rFonts w:hint="eastAsia" w:ascii="Times New Roman" w:hAnsi="Times New Roman"/>
              </w:rPr>
              <w:t>2</w:t>
            </w:r>
            <w:r>
              <w:rPr>
                <w:rFonts w:ascii="Times New Roman" w:hAnsi="Times New Roman"/>
              </w:rPr>
              <w:t>类区（排放限值要求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3" w:hRule="atLeast"/>
        </w:trPr>
        <w:tc>
          <w:tcPr>
            <w:tcW w:w="586" w:type="dxa"/>
            <w:vMerge w:val="restart"/>
            <w:vAlign w:val="center"/>
          </w:tcPr>
          <w:p>
            <w:pPr>
              <w:pStyle w:val="17"/>
              <w:widowControl/>
              <w:adjustRightInd w:val="0"/>
              <w:snapToGrid w:val="0"/>
              <w:jc w:val="center"/>
              <w:rPr>
                <w:rFonts w:ascii="Times New Roman" w:hAnsi="Times New Roman"/>
                <w:bCs/>
              </w:rPr>
            </w:pPr>
            <w:r>
              <w:rPr>
                <w:rFonts w:ascii="Times New Roman" w:hAnsi="Times New Roman"/>
                <w:bCs/>
              </w:rPr>
              <w:t>固体废物</w:t>
            </w:r>
          </w:p>
        </w:tc>
        <w:tc>
          <w:tcPr>
            <w:tcW w:w="978" w:type="dxa"/>
            <w:vAlign w:val="center"/>
          </w:tcPr>
          <w:p>
            <w:pPr>
              <w:widowControl/>
              <w:adjustRightInd w:val="0"/>
              <w:snapToGrid w:val="0"/>
              <w:jc w:val="center"/>
              <w:rPr>
                <w:rFonts w:ascii="Times New Roman" w:hAnsi="Times New Roman"/>
                <w:szCs w:val="21"/>
              </w:rPr>
            </w:pPr>
            <w:r>
              <w:rPr>
                <w:rFonts w:ascii="Times New Roman" w:hAnsi="Times New Roman"/>
                <w:snapToGrid w:val="0"/>
                <w:szCs w:val="21"/>
              </w:rPr>
              <w:t>危险废物</w:t>
            </w:r>
          </w:p>
        </w:tc>
        <w:tc>
          <w:tcPr>
            <w:tcW w:w="4895" w:type="dxa"/>
            <w:vAlign w:val="center"/>
          </w:tcPr>
          <w:p>
            <w:pPr>
              <w:pStyle w:val="17"/>
              <w:widowControl/>
              <w:adjustRightInd w:val="0"/>
              <w:snapToGrid w:val="0"/>
              <w:jc w:val="center"/>
              <w:rPr>
                <w:rFonts w:ascii="Times New Roman" w:hAnsi="Times New Roman"/>
              </w:rPr>
            </w:pPr>
            <w:r>
              <w:rPr>
                <w:rFonts w:ascii="Times New Roman" w:hAnsi="Times New Roman"/>
              </w:rPr>
              <w:t>建设一座</w:t>
            </w:r>
            <w:r>
              <w:rPr>
                <w:rFonts w:hint="eastAsia" w:ascii="Times New Roman" w:hAnsi="Times New Roman"/>
              </w:rPr>
              <w:t>10</w:t>
            </w:r>
            <w:r>
              <w:rPr>
                <w:rFonts w:ascii="Times New Roman" w:hAnsi="Times New Roman"/>
              </w:rPr>
              <w:t>m</w:t>
            </w:r>
            <w:r>
              <w:rPr>
                <w:rFonts w:ascii="Times New Roman" w:hAnsi="Times New Roman"/>
                <w:vertAlign w:val="superscript"/>
              </w:rPr>
              <w:t>2</w:t>
            </w:r>
            <w:r>
              <w:rPr>
                <w:rFonts w:ascii="Times New Roman" w:hAnsi="Times New Roman"/>
              </w:rPr>
              <w:t>危险废物暂存间，</w:t>
            </w:r>
            <w:r>
              <w:rPr>
                <w:rFonts w:ascii="Times New Roman" w:hAnsi="Times New Roman"/>
                <w:bCs/>
                <w:spacing w:val="-6"/>
              </w:rPr>
              <w:t>防雨、防晒、防渗漏，暂存地面采取硬化防渗处理，贴相关标识牌；液体类储存区设置围堰和导流槽。</w:t>
            </w:r>
          </w:p>
        </w:tc>
        <w:tc>
          <w:tcPr>
            <w:tcW w:w="2272" w:type="dxa"/>
            <w:vAlign w:val="center"/>
          </w:tcPr>
          <w:p>
            <w:pPr>
              <w:pStyle w:val="17"/>
              <w:widowControl/>
              <w:adjustRightInd w:val="0"/>
              <w:snapToGrid w:val="0"/>
              <w:jc w:val="center"/>
              <w:rPr>
                <w:rFonts w:ascii="Times New Roman" w:hAnsi="Times New Roman"/>
              </w:rPr>
            </w:pPr>
            <w:r>
              <w:rPr>
                <w:rFonts w:ascii="Times New Roman" w:hAnsi="Times New Roman"/>
              </w:rPr>
              <w:t>满足《危险废物贮存污染控制标准》(GB18597-2001)及2013年修改单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6" w:hRule="atLeast"/>
        </w:trPr>
        <w:tc>
          <w:tcPr>
            <w:tcW w:w="586" w:type="dxa"/>
            <w:vMerge w:val="continue"/>
            <w:vAlign w:val="center"/>
          </w:tcPr>
          <w:p>
            <w:pPr>
              <w:pStyle w:val="17"/>
              <w:widowControl/>
              <w:adjustRightInd w:val="0"/>
              <w:snapToGrid w:val="0"/>
              <w:jc w:val="center"/>
              <w:rPr>
                <w:rFonts w:ascii="Times New Roman" w:hAnsi="Times New Roman"/>
                <w:bCs/>
              </w:rPr>
            </w:pPr>
          </w:p>
        </w:tc>
        <w:tc>
          <w:tcPr>
            <w:tcW w:w="978" w:type="dxa"/>
            <w:vAlign w:val="center"/>
          </w:tcPr>
          <w:p>
            <w:pPr>
              <w:widowControl/>
              <w:adjustRightInd w:val="0"/>
              <w:snapToGrid w:val="0"/>
              <w:jc w:val="center"/>
              <w:rPr>
                <w:rFonts w:ascii="Times New Roman" w:hAnsi="Times New Roman"/>
                <w:szCs w:val="21"/>
              </w:rPr>
            </w:pPr>
            <w:r>
              <w:rPr>
                <w:rFonts w:ascii="Times New Roman" w:hAnsi="Times New Roman"/>
                <w:snapToGrid w:val="0"/>
                <w:szCs w:val="21"/>
              </w:rPr>
              <w:t>生活垃圾</w:t>
            </w:r>
          </w:p>
        </w:tc>
        <w:tc>
          <w:tcPr>
            <w:tcW w:w="4895" w:type="dxa"/>
            <w:tcBorders>
              <w:bottom w:val="single" w:color="auto" w:sz="4" w:space="0"/>
            </w:tcBorders>
            <w:vAlign w:val="center"/>
          </w:tcPr>
          <w:p>
            <w:pPr>
              <w:pStyle w:val="17"/>
              <w:widowControl/>
              <w:adjustRightInd w:val="0"/>
              <w:snapToGrid w:val="0"/>
              <w:jc w:val="center"/>
              <w:rPr>
                <w:rFonts w:ascii="Times New Roman" w:hAnsi="Times New Roman"/>
              </w:rPr>
            </w:pPr>
            <w:r>
              <w:rPr>
                <w:rFonts w:ascii="Times New Roman" w:hAnsi="Times New Roman"/>
                <w:bCs/>
                <w:spacing w:val="-6"/>
              </w:rPr>
              <w:t>垃圾收集箱，收集后交由环卫部门处理。</w:t>
            </w:r>
          </w:p>
        </w:tc>
        <w:tc>
          <w:tcPr>
            <w:tcW w:w="2272" w:type="dxa"/>
            <w:vMerge w:val="restart"/>
            <w:vAlign w:val="center"/>
          </w:tcPr>
          <w:p>
            <w:pPr>
              <w:pStyle w:val="17"/>
              <w:widowControl/>
              <w:adjustRightInd w:val="0"/>
              <w:snapToGrid w:val="0"/>
              <w:jc w:val="center"/>
              <w:rPr>
                <w:rFonts w:ascii="Times New Roman" w:hAnsi="Times New Roman"/>
              </w:rPr>
            </w:pPr>
            <w:r>
              <w:rPr>
                <w:rFonts w:ascii="Times New Roman" w:hAnsi="Times New Roman"/>
              </w:rPr>
              <w:t>满足《一般工业固体废物贮存、处置场污染控制标准》(GB18599-2001)及2013年修改单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586" w:type="dxa"/>
            <w:vMerge w:val="continue"/>
            <w:vAlign w:val="center"/>
          </w:tcPr>
          <w:p>
            <w:pPr>
              <w:pStyle w:val="17"/>
              <w:widowControl/>
              <w:adjustRightInd w:val="0"/>
              <w:snapToGrid w:val="0"/>
              <w:jc w:val="center"/>
              <w:rPr>
                <w:rFonts w:ascii="Times New Roman" w:hAnsi="Times New Roman"/>
                <w:bCs/>
              </w:rPr>
            </w:pPr>
          </w:p>
        </w:tc>
        <w:tc>
          <w:tcPr>
            <w:tcW w:w="978" w:type="dxa"/>
            <w:vAlign w:val="center"/>
          </w:tcPr>
          <w:p>
            <w:pPr>
              <w:widowControl/>
              <w:adjustRightInd w:val="0"/>
              <w:snapToGrid w:val="0"/>
              <w:jc w:val="center"/>
              <w:rPr>
                <w:rFonts w:ascii="Times New Roman" w:hAnsi="Times New Roman"/>
                <w:szCs w:val="21"/>
              </w:rPr>
            </w:pPr>
            <w:r>
              <w:rPr>
                <w:rFonts w:ascii="Times New Roman" w:hAnsi="Times New Roman"/>
                <w:snapToGrid w:val="0"/>
                <w:szCs w:val="21"/>
              </w:rPr>
              <w:t>牛粪</w:t>
            </w:r>
          </w:p>
        </w:tc>
        <w:tc>
          <w:tcPr>
            <w:tcW w:w="4895" w:type="dxa"/>
            <w:tcBorders>
              <w:top w:val="single" w:color="auto" w:sz="4" w:space="0"/>
              <w:bottom w:val="single" w:color="auto" w:sz="4" w:space="0"/>
            </w:tcBorders>
            <w:vAlign w:val="center"/>
          </w:tcPr>
          <w:p>
            <w:pPr>
              <w:pStyle w:val="17"/>
              <w:widowControl/>
              <w:adjustRightInd w:val="0"/>
              <w:snapToGrid w:val="0"/>
              <w:jc w:val="center"/>
              <w:rPr>
                <w:rFonts w:hint="eastAsia" w:ascii="Times New Roman" w:hAnsi="Times New Roman" w:eastAsia="宋体"/>
                <w:lang w:eastAsia="zh-CN"/>
              </w:rPr>
            </w:pPr>
            <w:r>
              <w:rPr>
                <w:rFonts w:ascii="Times New Roman" w:hAnsi="Times New Roman"/>
              </w:rPr>
              <w:t>建</w:t>
            </w:r>
            <w:r>
              <w:rPr>
                <w:rFonts w:hint="eastAsia" w:ascii="Times New Roman" w:hAnsi="Times New Roman"/>
              </w:rPr>
              <w:t>1座积粪池</w:t>
            </w:r>
            <w:r>
              <w:rPr>
                <w:rFonts w:ascii="Times New Roman" w:hAnsi="Times New Roman"/>
              </w:rPr>
              <w:t>，用于</w:t>
            </w:r>
            <w:r>
              <w:rPr>
                <w:rFonts w:ascii="Times New Roman" w:hAnsi="Times New Roman"/>
                <w:snapToGrid w:val="0"/>
              </w:rPr>
              <w:t>牛粪</w:t>
            </w:r>
            <w:r>
              <w:rPr>
                <w:rFonts w:ascii="Times New Roman" w:hAnsi="Times New Roman"/>
              </w:rPr>
              <w:t>的堆放，设防雨顶棚，地面采取硬化防渗处理</w:t>
            </w:r>
            <w:r>
              <w:rPr>
                <w:rFonts w:ascii="Times New Roman" w:hAnsi="Times New Roman"/>
                <w:sz w:val="21"/>
                <w:szCs w:val="21"/>
              </w:rPr>
              <w:t>，</w:t>
            </w:r>
            <w:r>
              <w:rPr>
                <w:rFonts w:hint="eastAsia" w:ascii="Times New Roman" w:hAnsi="Times New Roman"/>
                <w:bCs/>
                <w:sz w:val="21"/>
                <w:szCs w:val="21"/>
                <w:highlight w:val="none"/>
                <w:lang w:eastAsia="zh-CN"/>
              </w:rPr>
              <w:t>隆德</w:t>
            </w:r>
            <w:r>
              <w:rPr>
                <w:rFonts w:hint="eastAsia" w:ascii="Times New Roman" w:hAnsi="Times New Roman"/>
                <w:sz w:val="21"/>
                <w:szCs w:val="21"/>
                <w:lang w:eastAsia="zh-CN"/>
              </w:rPr>
              <w:t>县腾</w:t>
            </w:r>
            <w:r>
              <w:rPr>
                <w:rFonts w:hint="eastAsia" w:ascii="Times New Roman" w:hAnsi="Times New Roman"/>
                <w:lang w:eastAsia="zh-CN"/>
              </w:rPr>
              <w:t>发牧草专业合作社运走进行处理</w:t>
            </w:r>
          </w:p>
        </w:tc>
        <w:tc>
          <w:tcPr>
            <w:tcW w:w="2272" w:type="dxa"/>
            <w:vMerge w:val="continue"/>
            <w:tcBorders>
              <w:bottom w:val="single" w:color="auto" w:sz="4" w:space="0"/>
            </w:tcBorders>
            <w:vAlign w:val="center"/>
          </w:tcPr>
          <w:p>
            <w:pPr>
              <w:pStyle w:val="17"/>
              <w:widowControl/>
              <w:adjustRightInd w:val="0"/>
              <w:snapToGrid w:val="0"/>
              <w:jc w:val="center"/>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11" w:hRule="atLeast"/>
        </w:trPr>
        <w:tc>
          <w:tcPr>
            <w:tcW w:w="586" w:type="dxa"/>
            <w:vMerge w:val="continue"/>
            <w:vAlign w:val="center"/>
          </w:tcPr>
          <w:p>
            <w:pPr>
              <w:pStyle w:val="17"/>
              <w:widowControl/>
              <w:adjustRightInd w:val="0"/>
              <w:snapToGrid w:val="0"/>
              <w:jc w:val="center"/>
              <w:rPr>
                <w:rFonts w:ascii="Times New Roman" w:hAnsi="Times New Roman"/>
                <w:bCs/>
              </w:rPr>
            </w:pPr>
          </w:p>
        </w:tc>
        <w:tc>
          <w:tcPr>
            <w:tcW w:w="978" w:type="dxa"/>
            <w:vAlign w:val="center"/>
          </w:tcPr>
          <w:p>
            <w:pPr>
              <w:pStyle w:val="17"/>
              <w:widowControl/>
              <w:adjustRightInd w:val="0"/>
              <w:snapToGrid w:val="0"/>
              <w:jc w:val="center"/>
              <w:rPr>
                <w:rFonts w:hint="eastAsia" w:ascii="Times New Roman" w:hAnsi="Times New Roman" w:eastAsia="宋体"/>
                <w:lang w:eastAsia="zh-CN"/>
              </w:rPr>
            </w:pPr>
            <w:r>
              <w:rPr>
                <w:rFonts w:ascii="Times New Roman" w:hAnsi="Times New Roman"/>
              </w:rPr>
              <w:t>病死牛尸体</w:t>
            </w:r>
            <w:r>
              <w:rPr>
                <w:rFonts w:hint="eastAsia" w:ascii="Times New Roman" w:hAnsi="Times New Roman"/>
                <w:lang w:eastAsia="zh-CN"/>
              </w:rPr>
              <w:t>及胎盘</w:t>
            </w:r>
          </w:p>
        </w:tc>
        <w:tc>
          <w:tcPr>
            <w:tcW w:w="4895" w:type="dxa"/>
            <w:tcBorders>
              <w:top w:val="single" w:color="auto" w:sz="4" w:space="0"/>
              <w:bottom w:val="single" w:color="auto" w:sz="4" w:space="0"/>
            </w:tcBorders>
            <w:vAlign w:val="center"/>
          </w:tcPr>
          <w:p>
            <w:pPr>
              <w:pStyle w:val="2"/>
              <w:adjustRightInd w:val="0"/>
              <w:jc w:val="center"/>
              <w:rPr>
                <w:rFonts w:ascii="Times New Roman" w:hAnsi="Times New Roman"/>
              </w:rPr>
            </w:pPr>
            <w:r>
              <w:rPr>
                <w:rFonts w:ascii="Times New Roman" w:hAnsi="Times New Roman"/>
                <w:kern w:val="0"/>
                <w:sz w:val="21"/>
                <w:szCs w:val="20"/>
              </w:rPr>
              <w:t>病死牛尸体</w:t>
            </w:r>
            <w:r>
              <w:rPr>
                <w:rFonts w:hint="eastAsia" w:ascii="Times New Roman" w:hAnsi="Times New Roman"/>
                <w:kern w:val="0"/>
                <w:sz w:val="21"/>
                <w:szCs w:val="20"/>
                <w:lang w:eastAsia="zh-CN"/>
              </w:rPr>
              <w:t>及胎盘</w:t>
            </w:r>
            <w:r>
              <w:rPr>
                <w:rFonts w:hint="eastAsia" w:ascii="Times New Roman" w:hAnsi="Times New Roman"/>
                <w:kern w:val="0"/>
                <w:sz w:val="21"/>
                <w:szCs w:val="20"/>
              </w:rPr>
              <w:t>由隆德县神林畜牧兽医站监督运送到隆德县定点无害化处理场所焚烧</w:t>
            </w:r>
          </w:p>
        </w:tc>
        <w:tc>
          <w:tcPr>
            <w:tcW w:w="2272" w:type="dxa"/>
            <w:tcBorders>
              <w:top w:val="single" w:color="auto" w:sz="4" w:space="0"/>
              <w:bottom w:val="single" w:color="auto" w:sz="4" w:space="0"/>
            </w:tcBorders>
            <w:vAlign w:val="center"/>
          </w:tcPr>
          <w:p>
            <w:pPr>
              <w:pStyle w:val="17"/>
              <w:widowControl/>
              <w:adjustRightInd w:val="0"/>
              <w:snapToGrid w:val="0"/>
              <w:jc w:val="center"/>
              <w:rPr>
                <w:rFonts w:ascii="Times New Roman" w:hAnsi="Times New Roman"/>
              </w:rPr>
            </w:pPr>
            <w:r>
              <w:rPr>
                <w:rFonts w:hint="eastAsia" w:ascii="Times New Roman" w:hAnsi="Times New Roman"/>
              </w:rPr>
              <w:t>无害化处置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3" w:hRule="atLeast"/>
        </w:trPr>
        <w:tc>
          <w:tcPr>
            <w:tcW w:w="586" w:type="dxa"/>
            <w:vMerge w:val="continue"/>
            <w:vAlign w:val="center"/>
          </w:tcPr>
          <w:p>
            <w:pPr>
              <w:pStyle w:val="17"/>
              <w:widowControl/>
              <w:adjustRightInd w:val="0"/>
              <w:snapToGrid w:val="0"/>
              <w:jc w:val="center"/>
              <w:rPr>
                <w:rFonts w:ascii="Times New Roman" w:hAnsi="Times New Roman"/>
                <w:bCs/>
              </w:rPr>
            </w:pPr>
          </w:p>
        </w:tc>
        <w:tc>
          <w:tcPr>
            <w:tcW w:w="978" w:type="dxa"/>
            <w:vAlign w:val="center"/>
          </w:tcPr>
          <w:p>
            <w:pPr>
              <w:pStyle w:val="17"/>
              <w:widowControl/>
              <w:adjustRightInd w:val="0"/>
              <w:snapToGrid w:val="0"/>
              <w:jc w:val="center"/>
              <w:rPr>
                <w:rFonts w:ascii="Times New Roman" w:hAnsi="Times New Roman"/>
                <w:kern w:val="2"/>
                <w:szCs w:val="21"/>
              </w:rPr>
            </w:pPr>
            <w:r>
              <w:rPr>
                <w:rFonts w:ascii="Times New Roman" w:hAnsi="Times New Roman"/>
                <w:bCs/>
                <w:spacing w:val="-6"/>
              </w:rPr>
              <w:t>除尘器收尘粉</w:t>
            </w:r>
          </w:p>
        </w:tc>
        <w:tc>
          <w:tcPr>
            <w:tcW w:w="4895" w:type="dxa"/>
            <w:tcBorders>
              <w:top w:val="single" w:color="auto" w:sz="4" w:space="0"/>
            </w:tcBorders>
            <w:vAlign w:val="center"/>
          </w:tcPr>
          <w:p>
            <w:pPr>
              <w:pStyle w:val="17"/>
              <w:widowControl/>
              <w:adjustRightInd w:val="0"/>
              <w:snapToGrid w:val="0"/>
              <w:jc w:val="center"/>
              <w:rPr>
                <w:rFonts w:ascii="Times New Roman" w:hAnsi="Times New Roman"/>
                <w:kern w:val="2"/>
                <w:szCs w:val="21"/>
              </w:rPr>
            </w:pPr>
            <w:r>
              <w:rPr>
                <w:rFonts w:ascii="Times New Roman" w:hAnsi="Times New Roman"/>
                <w:bCs/>
                <w:spacing w:val="-6"/>
              </w:rPr>
              <w:t>全部重新混入原料中加工成饲料，综合利用。</w:t>
            </w:r>
          </w:p>
        </w:tc>
        <w:tc>
          <w:tcPr>
            <w:tcW w:w="2272" w:type="dxa"/>
            <w:tcBorders>
              <w:top w:val="single" w:color="auto" w:sz="4" w:space="0"/>
            </w:tcBorders>
            <w:vAlign w:val="center"/>
          </w:tcPr>
          <w:p>
            <w:pPr>
              <w:pStyle w:val="17"/>
              <w:widowControl/>
              <w:adjustRightInd w:val="0"/>
              <w:snapToGrid w:val="0"/>
              <w:jc w:val="center"/>
              <w:rPr>
                <w:rFonts w:ascii="Times New Roman" w:hAnsi="Times New Roman"/>
              </w:rPr>
            </w:pPr>
            <w:r>
              <w:rPr>
                <w:rFonts w:ascii="Times New Roman" w:hAnsi="Times New Roman"/>
                <w:snapToGrid w:val="0"/>
              </w:rPr>
              <w:t>综合利用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586" w:type="dxa"/>
            <w:tcBorders>
              <w:top w:val="single" w:color="auto" w:sz="4" w:space="0"/>
            </w:tcBorders>
            <w:vAlign w:val="center"/>
          </w:tcPr>
          <w:p>
            <w:pPr>
              <w:pStyle w:val="17"/>
              <w:adjustRightInd w:val="0"/>
              <w:snapToGrid w:val="0"/>
              <w:jc w:val="center"/>
              <w:rPr>
                <w:rFonts w:ascii="Times New Roman" w:hAnsi="Times New Roman"/>
                <w:bCs/>
              </w:rPr>
            </w:pPr>
            <w:r>
              <w:rPr>
                <w:rFonts w:ascii="Times New Roman" w:hAnsi="Times New Roman"/>
                <w:bCs/>
              </w:rPr>
              <w:t>防渗</w:t>
            </w:r>
          </w:p>
        </w:tc>
        <w:tc>
          <w:tcPr>
            <w:tcW w:w="978" w:type="dxa"/>
            <w:tcBorders>
              <w:top w:val="single" w:color="auto" w:sz="4" w:space="0"/>
            </w:tcBorders>
            <w:vAlign w:val="center"/>
          </w:tcPr>
          <w:p>
            <w:pPr>
              <w:pStyle w:val="17"/>
              <w:adjustRightInd w:val="0"/>
              <w:snapToGrid w:val="0"/>
              <w:jc w:val="center"/>
              <w:rPr>
                <w:rFonts w:ascii="Times New Roman" w:hAnsi="Times New Roman"/>
              </w:rPr>
            </w:pPr>
            <w:r>
              <w:rPr>
                <w:rFonts w:ascii="Times New Roman" w:hAnsi="Times New Roman"/>
              </w:rPr>
              <w:t>地下水防治措施</w:t>
            </w:r>
          </w:p>
        </w:tc>
        <w:tc>
          <w:tcPr>
            <w:tcW w:w="4895" w:type="dxa"/>
            <w:tcBorders>
              <w:top w:val="single" w:color="auto" w:sz="4" w:space="0"/>
            </w:tcBorders>
            <w:vAlign w:val="center"/>
          </w:tcPr>
          <w:p>
            <w:pPr>
              <w:adjustRightInd w:val="0"/>
              <w:snapToGrid w:val="0"/>
              <w:ind w:firstLine="420" w:firstLineChars="200"/>
              <w:jc w:val="center"/>
              <w:rPr>
                <w:rFonts w:ascii="Times New Roman" w:hAnsi="Times New Roman"/>
              </w:rPr>
            </w:pPr>
            <w:r>
              <w:rPr>
                <w:rFonts w:hint="eastAsia" w:ascii="Times New Roman" w:hAnsi="Times New Roman"/>
              </w:rPr>
              <w:t>积粪场</w:t>
            </w:r>
            <w:r>
              <w:rPr>
                <w:rFonts w:ascii="Times New Roman" w:hAnsi="Times New Roman"/>
              </w:rPr>
              <w:t>、牛棚</w:t>
            </w:r>
            <w:r>
              <w:rPr>
                <w:rFonts w:hint="eastAsia" w:ascii="Times New Roman" w:hAnsi="Times New Roman"/>
              </w:rPr>
              <w:t>各池体</w:t>
            </w:r>
            <w:r>
              <w:rPr>
                <w:rFonts w:ascii="Times New Roman" w:hAnsi="Times New Roman"/>
              </w:rPr>
              <w:t>防渗层为厚度25cm（C25、P6级）混凝土，渗透系数</w:t>
            </w:r>
            <w:r>
              <w:rPr>
                <w:rFonts w:ascii="Times New Roman" w:hAnsi="Times New Roman"/>
                <w:szCs w:val="21"/>
              </w:rPr>
              <w:t>不大于</w:t>
            </w:r>
            <w:r>
              <w:rPr>
                <w:rFonts w:ascii="Times New Roman" w:hAnsi="Times New Roman"/>
              </w:rPr>
              <w:t>1.0×10</w:t>
            </w:r>
            <w:r>
              <w:rPr>
                <w:rFonts w:ascii="Times New Roman" w:hAnsi="Times New Roman"/>
                <w:vertAlign w:val="superscript"/>
              </w:rPr>
              <w:t>-7</w:t>
            </w:r>
            <w:r>
              <w:rPr>
                <w:rFonts w:ascii="Times New Roman" w:hAnsi="Times New Roman"/>
              </w:rPr>
              <w:t>cm/s</w:t>
            </w:r>
            <w:r>
              <w:rPr>
                <w:rFonts w:hint="eastAsia" w:ascii="Times New Roman" w:hAnsi="Times New Roman"/>
              </w:rPr>
              <w:t>。</w:t>
            </w:r>
          </w:p>
          <w:p>
            <w:pPr>
              <w:adjustRightInd w:val="0"/>
              <w:snapToGrid w:val="0"/>
              <w:ind w:firstLine="420" w:firstLineChars="200"/>
              <w:jc w:val="center"/>
              <w:rPr>
                <w:rFonts w:ascii="Times New Roman" w:hAnsi="Times New Roman"/>
                <w:bCs/>
              </w:rPr>
            </w:pPr>
            <w:r>
              <w:rPr>
                <w:rFonts w:ascii="Times New Roman" w:hAnsi="Times New Roman"/>
              </w:rPr>
              <w:t>危险废物暂存间防渗性需能满足《危险废物贮存污染控制标准》（GB 18597-2001）要求，基础必须防渗，防渗层为至少2.0mm厚的高密度聚乙烯或其它人工材料，渗透系数1.0×10</w:t>
            </w:r>
            <w:r>
              <w:rPr>
                <w:rFonts w:ascii="Times New Roman" w:hAnsi="Times New Roman"/>
                <w:vertAlign w:val="superscript"/>
              </w:rPr>
              <w:t>-10</w:t>
            </w:r>
            <w:r>
              <w:rPr>
                <w:rFonts w:ascii="Times New Roman" w:hAnsi="Times New Roman"/>
              </w:rPr>
              <w:t>cm/s；雨水收集池做一般防渗，</w:t>
            </w:r>
            <w:r>
              <w:rPr>
                <w:rFonts w:ascii="Times New Roman" w:hAnsi="Times New Roman"/>
                <w:szCs w:val="21"/>
              </w:rPr>
              <w:t>采用</w:t>
            </w:r>
            <w:r>
              <w:rPr>
                <w:rFonts w:ascii="Times New Roman" w:hAnsi="Times New Roman"/>
              </w:rPr>
              <w:t>20cm</w:t>
            </w:r>
            <w:r>
              <w:rPr>
                <w:rFonts w:ascii="Times New Roman" w:hAnsi="Times New Roman"/>
                <w:szCs w:val="21"/>
              </w:rPr>
              <w:t>混凝土硬化地面防渗措施，</w:t>
            </w:r>
            <w:r>
              <w:rPr>
                <w:rFonts w:ascii="Times New Roman" w:hAnsi="Times New Roman"/>
              </w:rPr>
              <w:t>渗透系数</w:t>
            </w:r>
            <w:r>
              <w:rPr>
                <w:rFonts w:ascii="Times New Roman" w:hAnsi="Times New Roman"/>
                <w:szCs w:val="21"/>
              </w:rPr>
              <w:t>不大于</w:t>
            </w:r>
            <w:r>
              <w:rPr>
                <w:rFonts w:ascii="Times New Roman" w:hAnsi="Times New Roman"/>
              </w:rPr>
              <w:t>1.0×10</w:t>
            </w:r>
            <w:r>
              <w:rPr>
                <w:rFonts w:ascii="Times New Roman" w:hAnsi="Times New Roman"/>
                <w:vertAlign w:val="superscript"/>
              </w:rPr>
              <w:t>-7</w:t>
            </w:r>
            <w:r>
              <w:rPr>
                <w:rFonts w:ascii="Times New Roman" w:hAnsi="Times New Roman"/>
              </w:rPr>
              <w:t>cm/s。</w:t>
            </w:r>
          </w:p>
        </w:tc>
        <w:tc>
          <w:tcPr>
            <w:tcW w:w="2272" w:type="dxa"/>
            <w:tcBorders>
              <w:top w:val="single" w:color="auto" w:sz="4" w:space="0"/>
            </w:tcBorders>
            <w:vAlign w:val="center"/>
          </w:tcPr>
          <w:p>
            <w:pPr>
              <w:pStyle w:val="17"/>
              <w:adjustRightInd w:val="0"/>
              <w:snapToGrid w:val="0"/>
              <w:jc w:val="center"/>
              <w:rPr>
                <w:rFonts w:ascii="Times New Roman" w:hAnsi="Times New Roman"/>
              </w:rPr>
            </w:pPr>
            <w:r>
              <w:rPr>
                <w:rFonts w:ascii="Times New Roman" w:hAnsi="Times New Roman"/>
              </w:rPr>
              <w:t>达到相应防渗系数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7" w:hRule="atLeast"/>
        </w:trPr>
        <w:tc>
          <w:tcPr>
            <w:tcW w:w="586" w:type="dxa"/>
            <w:vAlign w:val="center"/>
          </w:tcPr>
          <w:p>
            <w:pPr>
              <w:adjustRightInd w:val="0"/>
              <w:snapToGrid w:val="0"/>
              <w:jc w:val="center"/>
              <w:rPr>
                <w:rFonts w:ascii="Times New Roman" w:hAnsi="Times New Roman"/>
                <w:bCs/>
                <w:kern w:val="1"/>
                <w:szCs w:val="21"/>
              </w:rPr>
            </w:pPr>
            <w:r>
              <w:rPr>
                <w:rFonts w:ascii="Times New Roman" w:hAnsi="Times New Roman"/>
                <w:bCs/>
                <w:kern w:val="1"/>
                <w:szCs w:val="21"/>
              </w:rPr>
              <w:t>监测</w:t>
            </w:r>
          </w:p>
        </w:tc>
        <w:tc>
          <w:tcPr>
            <w:tcW w:w="978" w:type="dxa"/>
            <w:vAlign w:val="center"/>
          </w:tcPr>
          <w:p>
            <w:pPr>
              <w:adjustRightInd w:val="0"/>
              <w:snapToGrid w:val="0"/>
              <w:jc w:val="center"/>
              <w:rPr>
                <w:rFonts w:ascii="Times New Roman" w:hAnsi="Times New Roman"/>
                <w:kern w:val="1"/>
                <w:szCs w:val="21"/>
              </w:rPr>
            </w:pPr>
            <w:r>
              <w:rPr>
                <w:rFonts w:ascii="Times New Roman" w:hAnsi="Times New Roman"/>
                <w:kern w:val="1"/>
                <w:szCs w:val="21"/>
              </w:rPr>
              <w:t>地下水</w:t>
            </w:r>
          </w:p>
        </w:tc>
        <w:tc>
          <w:tcPr>
            <w:tcW w:w="4895" w:type="dxa"/>
            <w:vAlign w:val="center"/>
          </w:tcPr>
          <w:p>
            <w:pPr>
              <w:adjustRightInd w:val="0"/>
              <w:snapToGrid w:val="0"/>
              <w:jc w:val="center"/>
              <w:rPr>
                <w:rFonts w:ascii="Times New Roman" w:hAnsi="Times New Roman"/>
                <w:kern w:val="1"/>
                <w:szCs w:val="21"/>
              </w:rPr>
            </w:pPr>
            <w:r>
              <w:rPr>
                <w:rFonts w:hint="eastAsia" w:ascii="Times New Roman" w:hAnsi="Times New Roman"/>
                <w:szCs w:val="21"/>
              </w:rPr>
              <w:t>厂区</w:t>
            </w:r>
            <w:r>
              <w:rPr>
                <w:rFonts w:ascii="Times New Roman" w:hAnsi="Times New Roman"/>
                <w:szCs w:val="21"/>
              </w:rPr>
              <w:t>设置一口地下水监测井</w:t>
            </w:r>
            <w:r>
              <w:rPr>
                <w:rFonts w:ascii="Times New Roman" w:hAnsi="Times New Roman"/>
                <w:snapToGrid w:val="0"/>
                <w:szCs w:val="21"/>
              </w:rPr>
              <w:t>。</w:t>
            </w:r>
          </w:p>
        </w:tc>
        <w:tc>
          <w:tcPr>
            <w:tcW w:w="2272" w:type="dxa"/>
            <w:vAlign w:val="center"/>
          </w:tcPr>
          <w:p>
            <w:pPr>
              <w:adjustRightInd w:val="0"/>
              <w:snapToGrid w:val="0"/>
              <w:jc w:val="center"/>
              <w:rPr>
                <w:rFonts w:ascii="Times New Roman" w:hAnsi="Times New Roman"/>
                <w:spacing w:val="-3"/>
                <w:kern w:val="1"/>
                <w:szCs w:val="21"/>
              </w:rPr>
            </w:pPr>
            <w:r>
              <w:rPr>
                <w:rFonts w:ascii="Times New Roman" w:hAnsi="Times New Roman"/>
                <w:spacing w:val="-3"/>
                <w:kern w:val="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564" w:type="dxa"/>
            <w:gridSpan w:val="2"/>
            <w:tcBorders>
              <w:bottom w:val="single" w:color="auto" w:sz="12" w:space="0"/>
            </w:tcBorders>
            <w:vAlign w:val="center"/>
          </w:tcPr>
          <w:p>
            <w:pPr>
              <w:adjustRightInd w:val="0"/>
              <w:snapToGrid w:val="0"/>
              <w:jc w:val="center"/>
              <w:rPr>
                <w:rFonts w:ascii="Times New Roman" w:hAnsi="Times New Roman"/>
                <w:kern w:val="1"/>
                <w:szCs w:val="21"/>
              </w:rPr>
            </w:pPr>
            <w:r>
              <w:rPr>
                <w:rFonts w:ascii="Times New Roman" w:hAnsi="Times New Roman"/>
                <w:kern w:val="1"/>
                <w:szCs w:val="21"/>
              </w:rPr>
              <w:t>绿化</w:t>
            </w:r>
          </w:p>
        </w:tc>
        <w:tc>
          <w:tcPr>
            <w:tcW w:w="4895" w:type="dxa"/>
            <w:tcBorders>
              <w:bottom w:val="single" w:color="auto" w:sz="12" w:space="0"/>
            </w:tcBorders>
            <w:vAlign w:val="center"/>
          </w:tcPr>
          <w:p>
            <w:pPr>
              <w:adjustRightInd w:val="0"/>
              <w:snapToGrid w:val="0"/>
              <w:jc w:val="center"/>
              <w:rPr>
                <w:rFonts w:ascii="Times New Roman" w:hAnsi="Times New Roman"/>
                <w:szCs w:val="21"/>
              </w:rPr>
            </w:pPr>
            <w:r>
              <w:rPr>
                <w:rFonts w:ascii="Times New Roman" w:hAnsi="Times New Roman"/>
                <w:szCs w:val="21"/>
              </w:rPr>
              <w:t>绿化面积</w:t>
            </w:r>
            <w:r>
              <w:rPr>
                <w:rFonts w:hint="eastAsia" w:ascii="Times New Roman" w:hAnsi="Times New Roman"/>
                <w:szCs w:val="21"/>
              </w:rPr>
              <w:t>500</w:t>
            </w:r>
            <w:r>
              <w:rPr>
                <w:rFonts w:ascii="Times New Roman" w:hAnsi="Times New Roman"/>
                <w:szCs w:val="21"/>
              </w:rPr>
              <w:t>m</w:t>
            </w:r>
            <w:r>
              <w:rPr>
                <w:rFonts w:ascii="Times New Roman" w:hAnsi="Times New Roman"/>
                <w:szCs w:val="21"/>
                <w:vertAlign w:val="superscript"/>
              </w:rPr>
              <w:t>2</w:t>
            </w:r>
            <w:r>
              <w:rPr>
                <w:rFonts w:ascii="Times New Roman" w:hAnsi="Times New Roman"/>
                <w:szCs w:val="21"/>
              </w:rPr>
              <w:t>。</w:t>
            </w:r>
          </w:p>
        </w:tc>
        <w:tc>
          <w:tcPr>
            <w:tcW w:w="2272" w:type="dxa"/>
            <w:tcBorders>
              <w:bottom w:val="single" w:color="auto" w:sz="12" w:space="0"/>
            </w:tcBorders>
            <w:vAlign w:val="center"/>
          </w:tcPr>
          <w:p>
            <w:pPr>
              <w:adjustRightInd w:val="0"/>
              <w:snapToGrid w:val="0"/>
              <w:jc w:val="center"/>
              <w:rPr>
                <w:rFonts w:ascii="Times New Roman" w:hAnsi="Times New Roman"/>
                <w:spacing w:val="-3"/>
                <w:kern w:val="1"/>
                <w:szCs w:val="21"/>
              </w:rPr>
            </w:pPr>
            <w:r>
              <w:rPr>
                <w:rFonts w:ascii="Times New Roman" w:hAnsi="Times New Roman"/>
                <w:spacing w:val="-3"/>
                <w:kern w:val="1"/>
                <w:szCs w:val="21"/>
              </w:rPr>
              <w:t>/</w:t>
            </w:r>
          </w:p>
        </w:tc>
      </w:tr>
      <w:bookmarkEnd w:id="953"/>
      <w:bookmarkEnd w:id="954"/>
      <w:bookmarkEnd w:id="955"/>
      <w:bookmarkEnd w:id="956"/>
      <w:bookmarkEnd w:id="957"/>
      <w:bookmarkEnd w:id="958"/>
      <w:bookmarkEnd w:id="959"/>
      <w:bookmarkEnd w:id="960"/>
      <w:bookmarkEnd w:id="961"/>
      <w:bookmarkEnd w:id="962"/>
      <w:bookmarkEnd w:id="1016"/>
    </w:tbl>
    <w:p>
      <w:pPr>
        <w:pStyle w:val="4"/>
        <w:spacing w:line="540" w:lineRule="exact"/>
        <w:rPr>
          <w:rFonts w:ascii="Times New Roman" w:hAnsi="Times New Roman" w:eastAsia="宋体"/>
          <w:bCs w:val="0"/>
          <w:sz w:val="30"/>
          <w:szCs w:val="30"/>
        </w:rPr>
      </w:pPr>
      <w:bookmarkStart w:id="1017" w:name="_Toc15605"/>
      <w:bookmarkStart w:id="1018" w:name="_Toc25041"/>
      <w:bookmarkStart w:id="1019" w:name="_Toc19484"/>
      <w:bookmarkStart w:id="1020" w:name="_Toc30594"/>
      <w:r>
        <w:rPr>
          <w:rFonts w:hint="eastAsia" w:ascii="Times New Roman" w:hAnsi="Times New Roman" w:eastAsia="宋体"/>
          <w:bCs w:val="0"/>
          <w:sz w:val="30"/>
          <w:szCs w:val="30"/>
        </w:rPr>
        <w:t>9.6</w:t>
      </w:r>
      <w:r>
        <w:rPr>
          <w:rFonts w:ascii="Times New Roman" w:hAnsi="Times New Roman" w:eastAsia="宋体"/>
          <w:bCs w:val="0"/>
          <w:sz w:val="30"/>
          <w:szCs w:val="30"/>
        </w:rPr>
        <w:t>污染源排放清单</w:t>
      </w:r>
      <w:bookmarkEnd w:id="1017"/>
      <w:bookmarkEnd w:id="1018"/>
      <w:bookmarkEnd w:id="1019"/>
      <w:bookmarkEnd w:id="1020"/>
    </w:p>
    <w:p>
      <w:pPr>
        <w:pStyle w:val="11"/>
        <w:adjustRightInd w:val="0"/>
        <w:snapToGrid w:val="0"/>
        <w:spacing w:after="0" w:line="540" w:lineRule="exact"/>
        <w:ind w:firstLine="480" w:firstLineChars="200"/>
        <w:rPr>
          <w:rFonts w:ascii="Times New Roman" w:hAnsi="Times New Roman"/>
          <w:sz w:val="24"/>
          <w:szCs w:val="22"/>
        </w:rPr>
        <w:sectPr>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pPr>
      <w:r>
        <w:rPr>
          <w:rFonts w:ascii="Times New Roman" w:hAnsi="Times New Roman"/>
          <w:sz w:val="24"/>
        </w:rPr>
        <w:t>根据《关于强化建设项目环境影响评价事中事后监管的实施意见》（环环评【2018】11号），项目环境影响报告书（表）应核定建设项目的产排污环节、污染物种类及污染防治设施和措施等基本信息；依据国家或地方污染物排放标准、环境质量标准和总量控制要求，按照污染源源强核算技术指南、环评要素导则等，严格核定排放口数量、位置以及每个排放口的污染物种类、允许排放浓度和允许排放量、排放方式、排放去向、自行监测计划等与污染物排放相关的主要内容。本项目污染物排放清单详见表</w:t>
      </w:r>
      <w:r>
        <w:rPr>
          <w:rFonts w:hint="eastAsia" w:ascii="Times New Roman" w:hAnsi="Times New Roman"/>
          <w:sz w:val="24"/>
          <w:lang w:val="en-US" w:eastAsia="zh-CN"/>
        </w:rPr>
        <w:t>9</w:t>
      </w:r>
      <w:r>
        <w:rPr>
          <w:rFonts w:ascii="Times New Roman" w:hAnsi="Times New Roman"/>
          <w:sz w:val="24"/>
        </w:rPr>
        <w:t>.</w:t>
      </w:r>
      <w:r>
        <w:rPr>
          <w:rFonts w:hint="eastAsia" w:ascii="Times New Roman" w:hAnsi="Times New Roman"/>
          <w:sz w:val="24"/>
        </w:rPr>
        <w:t>6</w:t>
      </w:r>
      <w:r>
        <w:rPr>
          <w:rFonts w:ascii="Times New Roman" w:hAnsi="Times New Roman"/>
          <w:sz w:val="24"/>
        </w:rPr>
        <w:t>-1至表</w:t>
      </w:r>
      <w:r>
        <w:rPr>
          <w:rFonts w:hint="eastAsia" w:ascii="Times New Roman" w:hAnsi="Times New Roman"/>
          <w:sz w:val="24"/>
          <w:lang w:val="en-US" w:eastAsia="zh-CN"/>
        </w:rPr>
        <w:t>9</w:t>
      </w:r>
      <w:r>
        <w:rPr>
          <w:rFonts w:ascii="Times New Roman" w:hAnsi="Times New Roman"/>
          <w:sz w:val="24"/>
        </w:rPr>
        <w:t>.</w:t>
      </w:r>
      <w:r>
        <w:rPr>
          <w:rFonts w:hint="eastAsia" w:ascii="Times New Roman" w:hAnsi="Times New Roman"/>
          <w:sz w:val="24"/>
        </w:rPr>
        <w:t>6</w:t>
      </w:r>
      <w:r>
        <w:rPr>
          <w:rFonts w:ascii="Times New Roman" w:hAnsi="Times New Roman"/>
          <w:sz w:val="24"/>
        </w:rPr>
        <w:t>-</w:t>
      </w:r>
      <w:r>
        <w:rPr>
          <w:rFonts w:hint="eastAsia" w:ascii="Times New Roman" w:hAnsi="Times New Roman"/>
          <w:sz w:val="24"/>
        </w:rPr>
        <w:t>3</w:t>
      </w:r>
      <w:r>
        <w:rPr>
          <w:rFonts w:ascii="Times New Roman" w:hAnsi="Times New Roman"/>
          <w:sz w:val="24"/>
          <w:szCs w:val="22"/>
        </w:rPr>
        <w:t>。</w:t>
      </w:r>
    </w:p>
    <w:p>
      <w:pPr>
        <w:jc w:val="center"/>
        <w:rPr>
          <w:rFonts w:ascii="Times New Roman" w:hAnsi="Times New Roman"/>
          <w:b/>
          <w:sz w:val="24"/>
        </w:rPr>
      </w:pPr>
      <w:r>
        <w:rPr>
          <w:rFonts w:ascii="Times New Roman" w:hAnsi="Times New Roman"/>
          <w:b/>
          <w:sz w:val="24"/>
        </w:rPr>
        <w:t>表</w:t>
      </w:r>
      <w:r>
        <w:rPr>
          <w:rFonts w:hint="eastAsia" w:ascii="Times New Roman" w:hAnsi="Times New Roman"/>
          <w:b/>
          <w:sz w:val="24"/>
          <w:lang w:val="en-US" w:eastAsia="zh-CN"/>
        </w:rPr>
        <w:t>9</w:t>
      </w:r>
      <w:r>
        <w:rPr>
          <w:rFonts w:ascii="Times New Roman" w:hAnsi="Times New Roman"/>
          <w:b/>
          <w:sz w:val="24"/>
        </w:rPr>
        <w:t>.</w:t>
      </w:r>
      <w:r>
        <w:rPr>
          <w:rFonts w:hint="eastAsia" w:ascii="Times New Roman" w:hAnsi="Times New Roman"/>
          <w:b/>
          <w:sz w:val="24"/>
        </w:rPr>
        <w:t>6</w:t>
      </w:r>
      <w:r>
        <w:rPr>
          <w:rFonts w:ascii="Times New Roman" w:hAnsi="Times New Roman"/>
          <w:b/>
          <w:sz w:val="24"/>
        </w:rPr>
        <w:t>-1                                        废气无组织排放量一览表</w:t>
      </w:r>
    </w:p>
    <w:tbl>
      <w:tblPr>
        <w:tblStyle w:val="29"/>
        <w:tblW w:w="1351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914"/>
        <w:gridCol w:w="968"/>
        <w:gridCol w:w="832"/>
        <w:gridCol w:w="1682"/>
        <w:gridCol w:w="1178"/>
        <w:gridCol w:w="822"/>
        <w:gridCol w:w="870"/>
        <w:gridCol w:w="871"/>
        <w:gridCol w:w="2063"/>
        <w:gridCol w:w="2441"/>
        <w:gridCol w:w="87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14" w:type="dxa"/>
            <w:vMerge w:val="restart"/>
            <w:vAlign w:val="center"/>
          </w:tcPr>
          <w:p>
            <w:pPr>
              <w:tabs>
                <w:tab w:val="left" w:pos="1260"/>
              </w:tabs>
              <w:adjustRightInd w:val="0"/>
              <w:snapToGrid w:val="0"/>
              <w:jc w:val="center"/>
              <w:rPr>
                <w:rFonts w:ascii="Times New Roman" w:hAnsi="Times New Roman"/>
                <w:kern w:val="0"/>
                <w:szCs w:val="21"/>
              </w:rPr>
            </w:pPr>
            <w:r>
              <w:rPr>
                <w:rFonts w:ascii="Times New Roman" w:hAnsi="Times New Roman"/>
                <w:kern w:val="0"/>
                <w:szCs w:val="21"/>
              </w:rPr>
              <w:t>排放源</w:t>
            </w:r>
          </w:p>
        </w:tc>
        <w:tc>
          <w:tcPr>
            <w:tcW w:w="968" w:type="dxa"/>
            <w:vMerge w:val="restart"/>
            <w:vAlign w:val="center"/>
          </w:tcPr>
          <w:p>
            <w:pPr>
              <w:tabs>
                <w:tab w:val="left" w:pos="1260"/>
              </w:tabs>
              <w:adjustRightInd w:val="0"/>
              <w:snapToGrid w:val="0"/>
              <w:jc w:val="center"/>
              <w:rPr>
                <w:rFonts w:ascii="Times New Roman" w:hAnsi="Times New Roman"/>
                <w:kern w:val="0"/>
                <w:szCs w:val="21"/>
              </w:rPr>
            </w:pPr>
            <w:r>
              <w:rPr>
                <w:rFonts w:ascii="Times New Roman" w:hAnsi="Times New Roman"/>
                <w:kern w:val="0"/>
                <w:szCs w:val="21"/>
              </w:rPr>
              <w:t>排放</w:t>
            </w:r>
          </w:p>
          <w:p>
            <w:pPr>
              <w:tabs>
                <w:tab w:val="left" w:pos="1260"/>
              </w:tabs>
              <w:adjustRightInd w:val="0"/>
              <w:snapToGrid w:val="0"/>
              <w:jc w:val="center"/>
              <w:rPr>
                <w:rFonts w:ascii="Times New Roman" w:hAnsi="Times New Roman"/>
                <w:kern w:val="0"/>
                <w:szCs w:val="21"/>
              </w:rPr>
            </w:pPr>
            <w:r>
              <w:rPr>
                <w:rFonts w:ascii="Times New Roman" w:hAnsi="Times New Roman"/>
                <w:kern w:val="0"/>
                <w:szCs w:val="21"/>
              </w:rPr>
              <w:t>污染物</w:t>
            </w:r>
          </w:p>
        </w:tc>
        <w:tc>
          <w:tcPr>
            <w:tcW w:w="832" w:type="dxa"/>
            <w:vMerge w:val="restart"/>
            <w:vAlign w:val="center"/>
          </w:tcPr>
          <w:p>
            <w:pPr>
              <w:tabs>
                <w:tab w:val="left" w:pos="1260"/>
              </w:tabs>
              <w:adjustRightInd w:val="0"/>
              <w:snapToGrid w:val="0"/>
              <w:jc w:val="center"/>
              <w:rPr>
                <w:rFonts w:ascii="Times New Roman" w:hAnsi="Times New Roman"/>
                <w:kern w:val="0"/>
                <w:szCs w:val="21"/>
              </w:rPr>
            </w:pPr>
            <w:r>
              <w:rPr>
                <w:rFonts w:ascii="Times New Roman" w:hAnsi="Times New Roman"/>
                <w:kern w:val="0"/>
                <w:szCs w:val="21"/>
              </w:rPr>
              <w:t>排放量（t/a）</w:t>
            </w:r>
          </w:p>
        </w:tc>
        <w:tc>
          <w:tcPr>
            <w:tcW w:w="5423" w:type="dxa"/>
            <w:gridSpan w:val="5"/>
            <w:vAlign w:val="center"/>
          </w:tcPr>
          <w:p>
            <w:pPr>
              <w:tabs>
                <w:tab w:val="left" w:pos="1260"/>
              </w:tabs>
              <w:adjustRightInd w:val="0"/>
              <w:snapToGrid w:val="0"/>
              <w:jc w:val="center"/>
              <w:rPr>
                <w:rFonts w:ascii="Times New Roman" w:hAnsi="Times New Roman"/>
                <w:kern w:val="0"/>
                <w:szCs w:val="21"/>
              </w:rPr>
            </w:pPr>
            <w:r>
              <w:rPr>
                <w:rFonts w:ascii="Times New Roman" w:hAnsi="Times New Roman"/>
                <w:szCs w:val="21"/>
              </w:rPr>
              <w:t>面源起点坐标</w:t>
            </w:r>
            <w:r>
              <w:rPr>
                <w:rFonts w:ascii="Times New Roman" w:hAnsi="Times New Roman"/>
                <w:kern w:val="0"/>
                <w:szCs w:val="21"/>
              </w:rPr>
              <w:t>及海拔高度</w:t>
            </w:r>
          </w:p>
        </w:tc>
        <w:tc>
          <w:tcPr>
            <w:tcW w:w="4504" w:type="dxa"/>
            <w:gridSpan w:val="2"/>
            <w:vAlign w:val="center"/>
          </w:tcPr>
          <w:p>
            <w:pPr>
              <w:tabs>
                <w:tab w:val="left" w:pos="1260"/>
              </w:tabs>
              <w:adjustRightInd w:val="0"/>
              <w:snapToGrid w:val="0"/>
              <w:jc w:val="center"/>
              <w:rPr>
                <w:rFonts w:ascii="Times New Roman" w:hAnsi="Times New Roman"/>
                <w:kern w:val="0"/>
                <w:szCs w:val="21"/>
              </w:rPr>
            </w:pPr>
            <w:r>
              <w:rPr>
                <w:rFonts w:ascii="Times New Roman" w:hAnsi="Times New Roman"/>
                <w:kern w:val="0"/>
                <w:szCs w:val="21"/>
              </w:rPr>
              <w:t>执行排放标准</w:t>
            </w:r>
          </w:p>
        </w:tc>
        <w:tc>
          <w:tcPr>
            <w:tcW w:w="873" w:type="dxa"/>
            <w:vMerge w:val="restart"/>
            <w:vAlign w:val="center"/>
          </w:tcPr>
          <w:p>
            <w:pPr>
              <w:adjustRightInd w:val="0"/>
              <w:snapToGrid w:val="0"/>
              <w:jc w:val="center"/>
              <w:rPr>
                <w:rFonts w:ascii="Times New Roman" w:hAnsi="Times New Roman"/>
                <w:kern w:val="0"/>
                <w:szCs w:val="21"/>
              </w:rPr>
            </w:pPr>
            <w:r>
              <w:rPr>
                <w:rFonts w:ascii="Times New Roman" w:hAnsi="Times New Roman"/>
                <w:kern w:val="0"/>
                <w:szCs w:val="21"/>
              </w:rPr>
              <w:t>是否安装在线设备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14" w:type="dxa"/>
            <w:vMerge w:val="continue"/>
            <w:vAlign w:val="center"/>
          </w:tcPr>
          <w:p>
            <w:pPr>
              <w:tabs>
                <w:tab w:val="left" w:pos="1260"/>
              </w:tabs>
              <w:adjustRightInd w:val="0"/>
              <w:snapToGrid w:val="0"/>
              <w:jc w:val="center"/>
              <w:rPr>
                <w:rFonts w:ascii="Times New Roman" w:hAnsi="Times New Roman"/>
                <w:kern w:val="0"/>
                <w:szCs w:val="21"/>
              </w:rPr>
            </w:pPr>
          </w:p>
        </w:tc>
        <w:tc>
          <w:tcPr>
            <w:tcW w:w="968" w:type="dxa"/>
            <w:vMerge w:val="continue"/>
            <w:vAlign w:val="center"/>
          </w:tcPr>
          <w:p>
            <w:pPr>
              <w:tabs>
                <w:tab w:val="left" w:pos="1260"/>
              </w:tabs>
              <w:adjustRightInd w:val="0"/>
              <w:snapToGrid w:val="0"/>
              <w:jc w:val="center"/>
              <w:rPr>
                <w:rFonts w:ascii="Times New Roman" w:hAnsi="Times New Roman"/>
                <w:kern w:val="0"/>
                <w:szCs w:val="21"/>
              </w:rPr>
            </w:pPr>
          </w:p>
        </w:tc>
        <w:tc>
          <w:tcPr>
            <w:tcW w:w="832" w:type="dxa"/>
            <w:vMerge w:val="continue"/>
            <w:vAlign w:val="center"/>
          </w:tcPr>
          <w:p>
            <w:pPr>
              <w:tabs>
                <w:tab w:val="left" w:pos="1260"/>
              </w:tabs>
              <w:adjustRightInd w:val="0"/>
              <w:snapToGrid w:val="0"/>
              <w:jc w:val="center"/>
              <w:rPr>
                <w:rFonts w:ascii="Times New Roman" w:hAnsi="Times New Roman"/>
                <w:kern w:val="0"/>
                <w:szCs w:val="21"/>
              </w:rPr>
            </w:pPr>
          </w:p>
        </w:tc>
        <w:tc>
          <w:tcPr>
            <w:tcW w:w="1682" w:type="dxa"/>
            <w:vAlign w:val="center"/>
          </w:tcPr>
          <w:p>
            <w:pPr>
              <w:pStyle w:val="7"/>
              <w:snapToGrid w:val="0"/>
              <w:spacing w:line="240" w:lineRule="auto"/>
              <w:ind w:firstLine="0" w:firstLineChars="0"/>
              <w:jc w:val="center"/>
              <w:rPr>
                <w:rFonts w:ascii="Times New Roman" w:hAnsi="Times New Roman" w:eastAsia="宋体"/>
                <w:kern w:val="0"/>
                <w:sz w:val="21"/>
                <w:szCs w:val="21"/>
              </w:rPr>
            </w:pPr>
            <w:r>
              <w:rPr>
                <w:rFonts w:hint="eastAsia" w:ascii="Times New Roman" w:hAnsi="Times New Roman" w:eastAsia="宋体"/>
                <w:sz w:val="21"/>
                <w:szCs w:val="21"/>
              </w:rPr>
              <w:t>经度</w:t>
            </w:r>
          </w:p>
        </w:tc>
        <w:tc>
          <w:tcPr>
            <w:tcW w:w="1178" w:type="dxa"/>
            <w:vAlign w:val="center"/>
          </w:tcPr>
          <w:p>
            <w:pPr>
              <w:pStyle w:val="7"/>
              <w:snapToGrid w:val="0"/>
              <w:spacing w:line="240" w:lineRule="auto"/>
              <w:ind w:firstLine="0" w:firstLineChars="0"/>
              <w:jc w:val="center"/>
              <w:rPr>
                <w:rFonts w:ascii="Times New Roman" w:hAnsi="Times New Roman" w:eastAsia="宋体"/>
                <w:kern w:val="0"/>
                <w:sz w:val="21"/>
                <w:szCs w:val="21"/>
              </w:rPr>
            </w:pPr>
            <w:r>
              <w:rPr>
                <w:rFonts w:hint="eastAsia" w:ascii="Times New Roman" w:hAnsi="Times New Roman" w:eastAsia="宋体"/>
                <w:sz w:val="21"/>
                <w:szCs w:val="21"/>
              </w:rPr>
              <w:t>纬度</w:t>
            </w:r>
          </w:p>
        </w:tc>
        <w:tc>
          <w:tcPr>
            <w:tcW w:w="822" w:type="dxa"/>
            <w:vAlign w:val="center"/>
          </w:tcPr>
          <w:p>
            <w:pPr>
              <w:tabs>
                <w:tab w:val="left" w:pos="1260"/>
              </w:tabs>
              <w:adjustRightInd w:val="0"/>
              <w:snapToGrid w:val="0"/>
              <w:jc w:val="center"/>
              <w:rPr>
                <w:rFonts w:ascii="Times New Roman" w:hAnsi="Times New Roman"/>
                <w:kern w:val="0"/>
                <w:szCs w:val="21"/>
              </w:rPr>
            </w:pPr>
            <w:r>
              <w:rPr>
                <w:rFonts w:ascii="Times New Roman" w:hAnsi="Times New Roman"/>
                <w:kern w:val="0"/>
                <w:szCs w:val="21"/>
              </w:rPr>
              <w:t>海拔高度(m)</w:t>
            </w:r>
          </w:p>
        </w:tc>
        <w:tc>
          <w:tcPr>
            <w:tcW w:w="870" w:type="dxa"/>
            <w:vAlign w:val="center"/>
          </w:tcPr>
          <w:p>
            <w:pPr>
              <w:tabs>
                <w:tab w:val="left" w:pos="1260"/>
              </w:tabs>
              <w:adjustRightInd w:val="0"/>
              <w:snapToGrid w:val="0"/>
              <w:jc w:val="center"/>
              <w:rPr>
                <w:rFonts w:ascii="Times New Roman" w:hAnsi="Times New Roman"/>
                <w:szCs w:val="21"/>
              </w:rPr>
            </w:pPr>
            <w:r>
              <w:rPr>
                <w:rFonts w:hint="eastAsia" w:ascii="Times New Roman" w:hAnsi="Times New Roman"/>
                <w:szCs w:val="21"/>
              </w:rPr>
              <w:t>长度</w:t>
            </w:r>
          </w:p>
        </w:tc>
        <w:tc>
          <w:tcPr>
            <w:tcW w:w="871" w:type="dxa"/>
            <w:vAlign w:val="center"/>
          </w:tcPr>
          <w:p>
            <w:pPr>
              <w:tabs>
                <w:tab w:val="left" w:pos="1260"/>
              </w:tabs>
              <w:adjustRightInd w:val="0"/>
              <w:snapToGrid w:val="0"/>
              <w:jc w:val="center"/>
              <w:rPr>
                <w:rFonts w:ascii="Times New Roman" w:hAnsi="Times New Roman"/>
                <w:szCs w:val="21"/>
              </w:rPr>
            </w:pPr>
            <w:r>
              <w:rPr>
                <w:rFonts w:hint="eastAsia" w:ascii="Times New Roman" w:hAnsi="Times New Roman"/>
                <w:szCs w:val="21"/>
              </w:rPr>
              <w:t>宽度</w:t>
            </w:r>
          </w:p>
        </w:tc>
        <w:tc>
          <w:tcPr>
            <w:tcW w:w="2063" w:type="dxa"/>
            <w:vAlign w:val="center"/>
          </w:tcPr>
          <w:p>
            <w:pPr>
              <w:tabs>
                <w:tab w:val="left" w:pos="1260"/>
              </w:tabs>
              <w:adjustRightInd w:val="0"/>
              <w:snapToGrid w:val="0"/>
              <w:jc w:val="center"/>
              <w:rPr>
                <w:rFonts w:ascii="Times New Roman" w:hAnsi="Times New Roman"/>
                <w:kern w:val="0"/>
                <w:szCs w:val="21"/>
              </w:rPr>
            </w:pPr>
            <w:r>
              <w:rPr>
                <w:rFonts w:ascii="Times New Roman" w:hAnsi="Times New Roman"/>
                <w:szCs w:val="21"/>
              </w:rPr>
              <w:t>排放速率（kg/h）</w:t>
            </w:r>
          </w:p>
        </w:tc>
        <w:tc>
          <w:tcPr>
            <w:tcW w:w="2441" w:type="dxa"/>
            <w:vAlign w:val="center"/>
          </w:tcPr>
          <w:p>
            <w:pPr>
              <w:tabs>
                <w:tab w:val="left" w:pos="1260"/>
              </w:tabs>
              <w:adjustRightInd w:val="0"/>
              <w:snapToGrid w:val="0"/>
              <w:jc w:val="center"/>
              <w:rPr>
                <w:rFonts w:ascii="Times New Roman" w:hAnsi="Times New Roman"/>
                <w:kern w:val="0"/>
                <w:szCs w:val="21"/>
              </w:rPr>
            </w:pPr>
            <w:r>
              <w:rPr>
                <w:rFonts w:ascii="Times New Roman" w:hAnsi="Times New Roman"/>
                <w:kern w:val="0"/>
                <w:szCs w:val="21"/>
              </w:rPr>
              <w:t>标准名称</w:t>
            </w:r>
          </w:p>
        </w:tc>
        <w:tc>
          <w:tcPr>
            <w:tcW w:w="873" w:type="dxa"/>
            <w:vMerge w:val="continue"/>
            <w:vAlign w:val="center"/>
          </w:tcPr>
          <w:p>
            <w:pPr>
              <w:adjustRightInd w:val="0"/>
              <w:snapToGrid w:val="0"/>
              <w:jc w:val="center"/>
              <w:rPr>
                <w:rFonts w:ascii="Times New Roman" w:hAnsi="Times New Roman"/>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14" w:type="dxa"/>
            <w:vMerge w:val="restart"/>
            <w:vAlign w:val="center"/>
          </w:tcPr>
          <w:p>
            <w:pPr>
              <w:jc w:val="center"/>
              <w:rPr>
                <w:rFonts w:ascii="Times New Roman" w:hAnsi="Times New Roman"/>
                <w:szCs w:val="21"/>
              </w:rPr>
            </w:pPr>
            <w:r>
              <w:rPr>
                <w:rFonts w:ascii="Times New Roman" w:hAnsi="Times New Roman"/>
                <w:kern w:val="0"/>
                <w:szCs w:val="21"/>
              </w:rPr>
              <w:t>牛棚</w:t>
            </w:r>
          </w:p>
        </w:tc>
        <w:tc>
          <w:tcPr>
            <w:tcW w:w="968" w:type="dxa"/>
            <w:vAlign w:val="center"/>
          </w:tcPr>
          <w:p>
            <w:pPr>
              <w:jc w:val="center"/>
              <w:rPr>
                <w:rFonts w:ascii="Times New Roman" w:hAnsi="Times New Roman"/>
                <w:szCs w:val="21"/>
              </w:rPr>
            </w:pPr>
            <w:r>
              <w:rPr>
                <w:rFonts w:ascii="Times New Roman" w:hAnsi="Times New Roman"/>
                <w:szCs w:val="21"/>
              </w:rPr>
              <w:t>NH</w:t>
            </w:r>
            <w:r>
              <w:rPr>
                <w:rFonts w:ascii="Times New Roman" w:hAnsi="Times New Roman"/>
                <w:szCs w:val="21"/>
                <w:vertAlign w:val="subscript"/>
              </w:rPr>
              <w:t>3</w:t>
            </w:r>
          </w:p>
        </w:tc>
        <w:tc>
          <w:tcPr>
            <w:tcW w:w="832" w:type="dxa"/>
            <w:vAlign w:val="center"/>
          </w:tcPr>
          <w:p>
            <w:pPr>
              <w:widowControl/>
              <w:jc w:val="center"/>
              <w:textAlignment w:val="center"/>
              <w:rPr>
                <w:rFonts w:ascii="Times New Roman" w:hAnsi="Times New Roman"/>
                <w:color w:val="C00000"/>
                <w:spacing w:val="4"/>
                <w:szCs w:val="21"/>
              </w:rPr>
            </w:pPr>
            <w:r>
              <w:rPr>
                <w:rFonts w:hint="eastAsia" w:ascii="Times New Roman" w:hAnsi="Times New Roman"/>
                <w:kern w:val="0"/>
                <w:szCs w:val="21"/>
              </w:rPr>
              <w:t>0.0297</w:t>
            </w:r>
          </w:p>
        </w:tc>
        <w:tc>
          <w:tcPr>
            <w:tcW w:w="1682" w:type="dxa"/>
            <w:vMerge w:val="restart"/>
            <w:vAlign w:val="center"/>
          </w:tcPr>
          <w:p>
            <w:pPr>
              <w:jc w:val="center"/>
              <w:rPr>
                <w:rFonts w:ascii="Times New Roman" w:hAnsi="Times New Roman"/>
                <w:kern w:val="0"/>
                <w:szCs w:val="21"/>
              </w:rPr>
            </w:pPr>
            <w:r>
              <w:rPr>
                <w:rFonts w:ascii="Times New Roman" w:hAnsi="Times New Roman"/>
                <w:szCs w:val="21"/>
              </w:rPr>
              <w:t>10</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921195</w:t>
            </w:r>
          </w:p>
        </w:tc>
        <w:tc>
          <w:tcPr>
            <w:tcW w:w="1178" w:type="dxa"/>
            <w:vMerge w:val="restart"/>
            <w:vAlign w:val="center"/>
          </w:tcPr>
          <w:p>
            <w:pPr>
              <w:jc w:val="center"/>
              <w:rPr>
                <w:rFonts w:ascii="Times New Roman" w:hAnsi="Times New Roman"/>
                <w:kern w:val="0"/>
                <w:szCs w:val="21"/>
              </w:rPr>
            </w:pPr>
            <w:r>
              <w:rPr>
                <w:rFonts w:hint="eastAsia" w:ascii="Times New Roman" w:hAnsi="Times New Roman"/>
                <w:szCs w:val="21"/>
              </w:rPr>
              <w:t>35.571175</w:t>
            </w:r>
          </w:p>
        </w:tc>
        <w:tc>
          <w:tcPr>
            <w:tcW w:w="822" w:type="dxa"/>
            <w:vMerge w:val="restart"/>
            <w:vAlign w:val="center"/>
          </w:tcPr>
          <w:p>
            <w:pPr>
              <w:jc w:val="center"/>
              <w:rPr>
                <w:rFonts w:ascii="Times New Roman" w:hAnsi="Times New Roman"/>
                <w:kern w:val="0"/>
                <w:szCs w:val="21"/>
              </w:rPr>
            </w:pPr>
            <w:r>
              <w:rPr>
                <w:rFonts w:ascii="Times New Roman" w:hAnsi="Times New Roman"/>
                <w:szCs w:val="21"/>
              </w:rPr>
              <w:t>1</w:t>
            </w:r>
            <w:r>
              <w:rPr>
                <w:rFonts w:hint="eastAsia" w:ascii="Times New Roman" w:hAnsi="Times New Roman"/>
                <w:szCs w:val="21"/>
              </w:rPr>
              <w:t>815.74</w:t>
            </w:r>
          </w:p>
        </w:tc>
        <w:tc>
          <w:tcPr>
            <w:tcW w:w="870" w:type="dxa"/>
            <w:vMerge w:val="restart"/>
            <w:vAlign w:val="center"/>
          </w:tcPr>
          <w:p>
            <w:pPr>
              <w:jc w:val="center"/>
              <w:rPr>
                <w:rFonts w:ascii="Times New Roman" w:hAnsi="Times New Roman"/>
                <w:kern w:val="0"/>
                <w:szCs w:val="21"/>
              </w:rPr>
            </w:pPr>
            <w:r>
              <w:rPr>
                <w:rFonts w:hint="eastAsia" w:ascii="Times New Roman" w:hAnsi="Times New Roman"/>
                <w:szCs w:val="21"/>
              </w:rPr>
              <w:t>19</w:t>
            </w:r>
            <w:r>
              <w:rPr>
                <w:rFonts w:hint="eastAsia" w:ascii="Times New Roman" w:hAnsi="Times New Roman"/>
                <w:szCs w:val="21"/>
                <w:lang w:val="en-US" w:eastAsia="zh-CN"/>
              </w:rPr>
              <w:t>-+</w:t>
            </w:r>
            <w:r>
              <w:rPr>
                <w:rFonts w:hint="eastAsia" w:ascii="Times New Roman" w:hAnsi="Times New Roman"/>
                <w:szCs w:val="21"/>
              </w:rPr>
              <w:t>9.52</w:t>
            </w:r>
          </w:p>
        </w:tc>
        <w:tc>
          <w:tcPr>
            <w:tcW w:w="871" w:type="dxa"/>
            <w:vMerge w:val="restart"/>
            <w:vAlign w:val="center"/>
          </w:tcPr>
          <w:p>
            <w:pPr>
              <w:jc w:val="center"/>
              <w:rPr>
                <w:rFonts w:ascii="Times New Roman" w:hAnsi="Times New Roman"/>
                <w:kern w:val="0"/>
                <w:szCs w:val="21"/>
              </w:rPr>
            </w:pPr>
            <w:r>
              <w:rPr>
                <w:rFonts w:hint="eastAsia" w:ascii="Times New Roman" w:hAnsi="Times New Roman"/>
                <w:szCs w:val="21"/>
              </w:rPr>
              <w:t>84.15</w:t>
            </w:r>
          </w:p>
        </w:tc>
        <w:tc>
          <w:tcPr>
            <w:tcW w:w="2063" w:type="dxa"/>
            <w:vAlign w:val="center"/>
          </w:tcPr>
          <w:p>
            <w:pPr>
              <w:widowControl/>
              <w:jc w:val="center"/>
              <w:textAlignment w:val="center"/>
              <w:rPr>
                <w:rFonts w:ascii="Times New Roman" w:hAnsi="Times New Roman"/>
                <w:kern w:val="0"/>
                <w:szCs w:val="21"/>
              </w:rPr>
            </w:pPr>
            <w:r>
              <w:rPr>
                <w:rFonts w:hint="eastAsia" w:ascii="Times New Roman" w:hAnsi="Times New Roman"/>
                <w:kern w:val="0"/>
                <w:szCs w:val="21"/>
              </w:rPr>
              <w:t>0.0039</w:t>
            </w:r>
          </w:p>
        </w:tc>
        <w:tc>
          <w:tcPr>
            <w:tcW w:w="2441" w:type="dxa"/>
            <w:vMerge w:val="restart"/>
            <w:vAlign w:val="center"/>
          </w:tcPr>
          <w:p>
            <w:pPr>
              <w:tabs>
                <w:tab w:val="left" w:pos="1260"/>
              </w:tabs>
              <w:adjustRightInd w:val="0"/>
              <w:snapToGrid w:val="0"/>
              <w:jc w:val="center"/>
              <w:rPr>
                <w:rFonts w:ascii="Times New Roman" w:hAnsi="Times New Roman"/>
                <w:kern w:val="0"/>
                <w:szCs w:val="21"/>
              </w:rPr>
            </w:pPr>
            <w:r>
              <w:rPr>
                <w:rFonts w:ascii="Times New Roman" w:hAnsi="Times New Roman"/>
                <w:kern w:val="0"/>
                <w:szCs w:val="21"/>
                <w:lang w:val="zh-CN"/>
              </w:rPr>
              <w:t>《恶臭污染物排放标准》（GB14554-93）表1中的二级标准（新改扩建）</w:t>
            </w:r>
          </w:p>
        </w:tc>
        <w:tc>
          <w:tcPr>
            <w:tcW w:w="873" w:type="dxa"/>
            <w:vMerge w:val="restart"/>
            <w:vAlign w:val="center"/>
          </w:tcPr>
          <w:p>
            <w:pPr>
              <w:adjustRightInd w:val="0"/>
              <w:snapToGrid w:val="0"/>
              <w:jc w:val="center"/>
              <w:rPr>
                <w:rFonts w:ascii="Times New Roman" w:hAnsi="Times New Roman"/>
                <w:kern w:val="0"/>
                <w:szCs w:val="21"/>
              </w:rPr>
            </w:pPr>
            <w:r>
              <w:rPr>
                <w:rFonts w:ascii="Times New Roman" w:hAnsi="Times New Roman"/>
                <w:kern w:val="0"/>
                <w:szCs w:val="21"/>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14" w:type="dxa"/>
            <w:vMerge w:val="continue"/>
            <w:vAlign w:val="center"/>
          </w:tcPr>
          <w:p>
            <w:pPr>
              <w:pStyle w:val="7"/>
              <w:snapToGrid w:val="0"/>
              <w:spacing w:line="240" w:lineRule="auto"/>
              <w:ind w:firstLine="0" w:firstLineChars="0"/>
              <w:jc w:val="center"/>
              <w:rPr>
                <w:rFonts w:ascii="Times New Roman" w:hAnsi="Times New Roman" w:eastAsia="宋体"/>
                <w:sz w:val="21"/>
                <w:szCs w:val="21"/>
              </w:rPr>
            </w:pPr>
          </w:p>
        </w:tc>
        <w:tc>
          <w:tcPr>
            <w:tcW w:w="968" w:type="dxa"/>
            <w:vAlign w:val="center"/>
          </w:tcPr>
          <w:p>
            <w:pPr>
              <w:jc w:val="center"/>
              <w:rPr>
                <w:rFonts w:ascii="Times New Roman" w:hAnsi="Times New Roman"/>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832" w:type="dxa"/>
            <w:vAlign w:val="center"/>
          </w:tcPr>
          <w:p>
            <w:pPr>
              <w:widowControl/>
              <w:jc w:val="center"/>
              <w:textAlignment w:val="center"/>
              <w:rPr>
                <w:rFonts w:ascii="Times New Roman" w:hAnsi="Times New Roman"/>
                <w:color w:val="C00000"/>
                <w:spacing w:val="4"/>
                <w:szCs w:val="21"/>
              </w:rPr>
            </w:pPr>
            <w:r>
              <w:rPr>
                <w:rFonts w:hint="eastAsia" w:ascii="Times New Roman" w:hAnsi="Times New Roman"/>
                <w:kern w:val="0"/>
                <w:szCs w:val="21"/>
              </w:rPr>
              <w:t>0.00225</w:t>
            </w:r>
          </w:p>
        </w:tc>
        <w:tc>
          <w:tcPr>
            <w:tcW w:w="1682" w:type="dxa"/>
            <w:vMerge w:val="continue"/>
            <w:vAlign w:val="center"/>
          </w:tcPr>
          <w:p>
            <w:pPr>
              <w:adjustRightInd w:val="0"/>
              <w:snapToGrid w:val="0"/>
              <w:jc w:val="center"/>
              <w:rPr>
                <w:rFonts w:ascii="Times New Roman" w:hAnsi="Times New Roman"/>
                <w:kern w:val="0"/>
                <w:szCs w:val="21"/>
              </w:rPr>
            </w:pPr>
          </w:p>
        </w:tc>
        <w:tc>
          <w:tcPr>
            <w:tcW w:w="1178" w:type="dxa"/>
            <w:vMerge w:val="continue"/>
            <w:vAlign w:val="center"/>
          </w:tcPr>
          <w:p>
            <w:pPr>
              <w:adjustRightInd w:val="0"/>
              <w:snapToGrid w:val="0"/>
              <w:jc w:val="center"/>
              <w:rPr>
                <w:rFonts w:ascii="Times New Roman" w:hAnsi="Times New Roman"/>
                <w:kern w:val="0"/>
                <w:szCs w:val="21"/>
              </w:rPr>
            </w:pPr>
          </w:p>
        </w:tc>
        <w:tc>
          <w:tcPr>
            <w:tcW w:w="822" w:type="dxa"/>
            <w:vMerge w:val="continue"/>
            <w:vAlign w:val="center"/>
          </w:tcPr>
          <w:p>
            <w:pPr>
              <w:adjustRightInd w:val="0"/>
              <w:snapToGrid w:val="0"/>
              <w:jc w:val="center"/>
              <w:rPr>
                <w:rFonts w:ascii="Times New Roman" w:hAnsi="Times New Roman"/>
                <w:kern w:val="0"/>
                <w:szCs w:val="21"/>
              </w:rPr>
            </w:pPr>
          </w:p>
        </w:tc>
        <w:tc>
          <w:tcPr>
            <w:tcW w:w="870" w:type="dxa"/>
            <w:vMerge w:val="continue"/>
            <w:vAlign w:val="center"/>
          </w:tcPr>
          <w:p>
            <w:pPr>
              <w:widowControl/>
              <w:jc w:val="center"/>
              <w:textAlignment w:val="center"/>
              <w:rPr>
                <w:rFonts w:ascii="Times New Roman" w:hAnsi="Times New Roman"/>
                <w:kern w:val="0"/>
                <w:szCs w:val="21"/>
              </w:rPr>
            </w:pPr>
          </w:p>
        </w:tc>
        <w:tc>
          <w:tcPr>
            <w:tcW w:w="871" w:type="dxa"/>
            <w:vMerge w:val="continue"/>
            <w:vAlign w:val="center"/>
          </w:tcPr>
          <w:p>
            <w:pPr>
              <w:widowControl/>
              <w:jc w:val="center"/>
              <w:textAlignment w:val="center"/>
              <w:rPr>
                <w:rFonts w:ascii="Times New Roman" w:hAnsi="Times New Roman"/>
                <w:kern w:val="0"/>
                <w:szCs w:val="21"/>
              </w:rPr>
            </w:pPr>
          </w:p>
        </w:tc>
        <w:tc>
          <w:tcPr>
            <w:tcW w:w="2063" w:type="dxa"/>
            <w:vAlign w:val="center"/>
          </w:tcPr>
          <w:p>
            <w:pPr>
              <w:widowControl/>
              <w:jc w:val="center"/>
              <w:textAlignment w:val="center"/>
              <w:rPr>
                <w:rFonts w:ascii="Times New Roman" w:hAnsi="Times New Roman"/>
                <w:kern w:val="0"/>
                <w:szCs w:val="21"/>
              </w:rPr>
            </w:pPr>
            <w:r>
              <w:rPr>
                <w:rFonts w:hint="eastAsia" w:ascii="Times New Roman" w:hAnsi="Times New Roman"/>
                <w:kern w:val="0"/>
                <w:szCs w:val="21"/>
              </w:rPr>
              <w:t>0.0003</w:t>
            </w:r>
          </w:p>
        </w:tc>
        <w:tc>
          <w:tcPr>
            <w:tcW w:w="2441" w:type="dxa"/>
            <w:vMerge w:val="continue"/>
            <w:vAlign w:val="center"/>
          </w:tcPr>
          <w:p>
            <w:pPr>
              <w:tabs>
                <w:tab w:val="left" w:pos="1260"/>
              </w:tabs>
              <w:adjustRightInd w:val="0"/>
              <w:snapToGrid w:val="0"/>
              <w:jc w:val="center"/>
              <w:rPr>
                <w:rFonts w:ascii="Times New Roman" w:hAnsi="Times New Roman"/>
                <w:kern w:val="0"/>
                <w:szCs w:val="21"/>
              </w:rPr>
            </w:pPr>
          </w:p>
        </w:tc>
        <w:tc>
          <w:tcPr>
            <w:tcW w:w="873" w:type="dxa"/>
            <w:vMerge w:val="continue"/>
            <w:vAlign w:val="center"/>
          </w:tcPr>
          <w:p>
            <w:pPr>
              <w:adjustRightInd w:val="0"/>
              <w:snapToGrid w:val="0"/>
              <w:jc w:val="center"/>
              <w:rPr>
                <w:rFonts w:ascii="Times New Roman" w:hAnsi="Times New Roman"/>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14" w:type="dxa"/>
            <w:vMerge w:val="restart"/>
            <w:vAlign w:val="center"/>
          </w:tcPr>
          <w:p>
            <w:pPr>
              <w:pStyle w:val="7"/>
              <w:snapToGrid w:val="0"/>
              <w:spacing w:line="240" w:lineRule="auto"/>
              <w:ind w:firstLine="0" w:firstLineChars="0"/>
              <w:jc w:val="center"/>
              <w:rPr>
                <w:rFonts w:ascii="Times New Roman" w:hAnsi="Times New Roman" w:eastAsia="宋体"/>
                <w:bCs w:val="0"/>
                <w:sz w:val="21"/>
                <w:szCs w:val="21"/>
              </w:rPr>
            </w:pPr>
            <w:r>
              <w:rPr>
                <w:rFonts w:hint="eastAsia" w:ascii="Times New Roman" w:hAnsi="Times New Roman" w:eastAsia="宋体"/>
                <w:bCs w:val="0"/>
                <w:sz w:val="21"/>
                <w:szCs w:val="21"/>
              </w:rPr>
              <w:t>积</w:t>
            </w:r>
            <w:r>
              <w:rPr>
                <w:rFonts w:ascii="Times New Roman" w:hAnsi="Times New Roman" w:eastAsia="宋体"/>
                <w:bCs w:val="0"/>
                <w:sz w:val="21"/>
                <w:szCs w:val="21"/>
              </w:rPr>
              <w:t>粪场</w:t>
            </w:r>
          </w:p>
        </w:tc>
        <w:tc>
          <w:tcPr>
            <w:tcW w:w="968"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NH</w:t>
            </w:r>
            <w:r>
              <w:rPr>
                <w:rFonts w:ascii="Times New Roman" w:hAnsi="Times New Roman" w:eastAsia="宋体"/>
                <w:sz w:val="21"/>
                <w:szCs w:val="21"/>
                <w:vertAlign w:val="subscript"/>
              </w:rPr>
              <w:t>3</w:t>
            </w:r>
          </w:p>
        </w:tc>
        <w:tc>
          <w:tcPr>
            <w:tcW w:w="832" w:type="dxa"/>
            <w:vAlign w:val="center"/>
          </w:tcPr>
          <w:p>
            <w:pPr>
              <w:widowControl/>
              <w:jc w:val="center"/>
              <w:rPr>
                <w:rFonts w:ascii="Times New Roman" w:hAnsi="Times New Roman"/>
                <w:color w:val="C00000"/>
                <w:spacing w:val="4"/>
                <w:szCs w:val="21"/>
              </w:rPr>
            </w:pPr>
            <w:r>
              <w:rPr>
                <w:rFonts w:hint="eastAsia" w:ascii="Times New Roman" w:hAnsi="Times New Roman"/>
                <w:bCs/>
                <w:szCs w:val="21"/>
              </w:rPr>
              <w:t>0.009</w:t>
            </w:r>
          </w:p>
        </w:tc>
        <w:tc>
          <w:tcPr>
            <w:tcW w:w="1682" w:type="dxa"/>
            <w:vMerge w:val="restart"/>
            <w:vAlign w:val="center"/>
          </w:tcPr>
          <w:p>
            <w:pPr>
              <w:jc w:val="center"/>
              <w:rPr>
                <w:rFonts w:ascii="Times New Roman" w:hAnsi="Times New Roman"/>
                <w:kern w:val="0"/>
                <w:szCs w:val="21"/>
              </w:rPr>
            </w:pPr>
            <w:r>
              <w:rPr>
                <w:rFonts w:ascii="Times New Roman" w:hAnsi="Times New Roman"/>
                <w:szCs w:val="21"/>
              </w:rPr>
              <w:t>10</w:t>
            </w:r>
            <w:r>
              <w:rPr>
                <w:rFonts w:hint="eastAsia" w:ascii="Times New Roman" w:hAnsi="Times New Roman"/>
                <w:szCs w:val="21"/>
              </w:rPr>
              <w:t>5.920963</w:t>
            </w:r>
          </w:p>
        </w:tc>
        <w:tc>
          <w:tcPr>
            <w:tcW w:w="1178" w:type="dxa"/>
            <w:vMerge w:val="restart"/>
            <w:vAlign w:val="center"/>
          </w:tcPr>
          <w:p>
            <w:pPr>
              <w:jc w:val="center"/>
              <w:rPr>
                <w:rFonts w:ascii="Times New Roman" w:hAnsi="Times New Roman"/>
                <w:kern w:val="0"/>
                <w:szCs w:val="21"/>
              </w:rPr>
            </w:pPr>
            <w:r>
              <w:rPr>
                <w:rFonts w:ascii="Times New Roman" w:hAnsi="Times New Roman"/>
                <w:szCs w:val="21"/>
              </w:rPr>
              <w:t>3</w:t>
            </w:r>
            <w:r>
              <w:rPr>
                <w:rFonts w:hint="eastAsia" w:ascii="Times New Roman" w:hAnsi="Times New Roman"/>
                <w:szCs w:val="21"/>
              </w:rPr>
              <w:t>5.572292</w:t>
            </w:r>
          </w:p>
        </w:tc>
        <w:tc>
          <w:tcPr>
            <w:tcW w:w="822" w:type="dxa"/>
            <w:vMerge w:val="restart"/>
            <w:vAlign w:val="center"/>
          </w:tcPr>
          <w:p>
            <w:pPr>
              <w:jc w:val="center"/>
              <w:rPr>
                <w:rFonts w:ascii="Times New Roman" w:hAnsi="Times New Roman"/>
                <w:kern w:val="0"/>
                <w:szCs w:val="21"/>
              </w:rPr>
            </w:pPr>
            <w:r>
              <w:rPr>
                <w:rFonts w:ascii="Times New Roman" w:hAnsi="Times New Roman"/>
                <w:szCs w:val="21"/>
              </w:rPr>
              <w:t>1</w:t>
            </w:r>
            <w:r>
              <w:rPr>
                <w:rFonts w:hint="eastAsia" w:ascii="Times New Roman" w:hAnsi="Times New Roman"/>
                <w:szCs w:val="21"/>
              </w:rPr>
              <w:t>823.88</w:t>
            </w:r>
          </w:p>
        </w:tc>
        <w:tc>
          <w:tcPr>
            <w:tcW w:w="870" w:type="dxa"/>
            <w:vMerge w:val="restart"/>
            <w:vAlign w:val="center"/>
          </w:tcPr>
          <w:p>
            <w:pPr>
              <w:jc w:val="center"/>
              <w:rPr>
                <w:rFonts w:ascii="Times New Roman" w:hAnsi="Times New Roman"/>
                <w:bCs/>
                <w:szCs w:val="21"/>
              </w:rPr>
            </w:pPr>
            <w:r>
              <w:rPr>
                <w:rFonts w:ascii="Times New Roman" w:hAnsi="Times New Roman"/>
                <w:szCs w:val="21"/>
              </w:rPr>
              <w:t>1</w:t>
            </w:r>
            <w:r>
              <w:rPr>
                <w:rFonts w:hint="eastAsia" w:ascii="Times New Roman" w:hAnsi="Times New Roman"/>
                <w:szCs w:val="21"/>
              </w:rPr>
              <w:t>39.49</w:t>
            </w:r>
          </w:p>
        </w:tc>
        <w:tc>
          <w:tcPr>
            <w:tcW w:w="871" w:type="dxa"/>
            <w:vMerge w:val="restart"/>
            <w:vAlign w:val="center"/>
          </w:tcPr>
          <w:p>
            <w:pPr>
              <w:jc w:val="center"/>
              <w:rPr>
                <w:rFonts w:ascii="Times New Roman" w:hAnsi="Times New Roman"/>
                <w:bCs/>
                <w:szCs w:val="21"/>
              </w:rPr>
            </w:pPr>
            <w:r>
              <w:rPr>
                <w:rFonts w:hint="eastAsia" w:ascii="Times New Roman" w:hAnsi="Times New Roman"/>
                <w:szCs w:val="21"/>
              </w:rPr>
              <w:t>46.00</w:t>
            </w:r>
          </w:p>
        </w:tc>
        <w:tc>
          <w:tcPr>
            <w:tcW w:w="2063" w:type="dxa"/>
            <w:vAlign w:val="center"/>
          </w:tcPr>
          <w:p>
            <w:pPr>
              <w:widowControl/>
              <w:jc w:val="center"/>
              <w:rPr>
                <w:rFonts w:ascii="Times New Roman" w:hAnsi="Times New Roman"/>
                <w:bCs/>
                <w:szCs w:val="21"/>
              </w:rPr>
            </w:pPr>
            <w:r>
              <w:rPr>
                <w:rFonts w:hint="eastAsia" w:ascii="Times New Roman" w:hAnsi="Times New Roman"/>
                <w:bCs/>
                <w:szCs w:val="21"/>
              </w:rPr>
              <w:t>0.0010</w:t>
            </w:r>
          </w:p>
        </w:tc>
        <w:tc>
          <w:tcPr>
            <w:tcW w:w="2441" w:type="dxa"/>
            <w:vMerge w:val="continue"/>
            <w:vAlign w:val="center"/>
          </w:tcPr>
          <w:p>
            <w:pPr>
              <w:tabs>
                <w:tab w:val="left" w:pos="1260"/>
              </w:tabs>
              <w:adjustRightInd w:val="0"/>
              <w:snapToGrid w:val="0"/>
              <w:jc w:val="center"/>
              <w:rPr>
                <w:rFonts w:ascii="Times New Roman" w:hAnsi="Times New Roman"/>
                <w:kern w:val="0"/>
                <w:szCs w:val="21"/>
              </w:rPr>
            </w:pPr>
          </w:p>
        </w:tc>
        <w:tc>
          <w:tcPr>
            <w:tcW w:w="873" w:type="dxa"/>
            <w:vMerge w:val="continue"/>
            <w:vAlign w:val="center"/>
          </w:tcPr>
          <w:p>
            <w:pPr>
              <w:adjustRightInd w:val="0"/>
              <w:snapToGrid w:val="0"/>
              <w:jc w:val="center"/>
              <w:rPr>
                <w:rFonts w:ascii="Times New Roman" w:hAnsi="Times New Roman"/>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914" w:type="dxa"/>
            <w:vMerge w:val="continue"/>
            <w:vAlign w:val="center"/>
          </w:tcPr>
          <w:p>
            <w:pPr>
              <w:adjustRightInd w:val="0"/>
              <w:snapToGrid w:val="0"/>
              <w:jc w:val="center"/>
              <w:rPr>
                <w:rFonts w:ascii="Times New Roman" w:hAnsi="Times New Roman"/>
                <w:bCs/>
                <w:szCs w:val="21"/>
              </w:rPr>
            </w:pPr>
          </w:p>
        </w:tc>
        <w:tc>
          <w:tcPr>
            <w:tcW w:w="968"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H</w:t>
            </w:r>
            <w:r>
              <w:rPr>
                <w:rFonts w:ascii="Times New Roman" w:hAnsi="Times New Roman" w:eastAsia="宋体"/>
                <w:sz w:val="21"/>
                <w:szCs w:val="21"/>
                <w:vertAlign w:val="subscript"/>
              </w:rPr>
              <w:t>2</w:t>
            </w:r>
            <w:r>
              <w:rPr>
                <w:rFonts w:ascii="Times New Roman" w:hAnsi="Times New Roman" w:eastAsia="宋体"/>
                <w:sz w:val="21"/>
                <w:szCs w:val="21"/>
              </w:rPr>
              <w:t>S</w:t>
            </w:r>
          </w:p>
        </w:tc>
        <w:tc>
          <w:tcPr>
            <w:tcW w:w="832" w:type="dxa"/>
            <w:vAlign w:val="center"/>
          </w:tcPr>
          <w:p>
            <w:pPr>
              <w:widowControl/>
              <w:jc w:val="center"/>
              <w:rPr>
                <w:rFonts w:ascii="Times New Roman" w:hAnsi="Times New Roman"/>
                <w:color w:val="C00000"/>
                <w:spacing w:val="4"/>
                <w:szCs w:val="21"/>
              </w:rPr>
            </w:pPr>
            <w:r>
              <w:rPr>
                <w:rFonts w:hint="eastAsia" w:ascii="Times New Roman" w:hAnsi="Times New Roman"/>
                <w:bCs/>
                <w:szCs w:val="21"/>
              </w:rPr>
              <w:t>0.00175</w:t>
            </w:r>
          </w:p>
        </w:tc>
        <w:tc>
          <w:tcPr>
            <w:tcW w:w="1682" w:type="dxa"/>
            <w:vMerge w:val="continue"/>
            <w:vAlign w:val="center"/>
          </w:tcPr>
          <w:p>
            <w:pPr>
              <w:adjustRightInd w:val="0"/>
              <w:snapToGrid w:val="0"/>
              <w:jc w:val="center"/>
              <w:rPr>
                <w:rFonts w:ascii="Times New Roman" w:hAnsi="Times New Roman"/>
                <w:kern w:val="0"/>
                <w:szCs w:val="21"/>
              </w:rPr>
            </w:pPr>
          </w:p>
        </w:tc>
        <w:tc>
          <w:tcPr>
            <w:tcW w:w="1178" w:type="dxa"/>
            <w:vMerge w:val="continue"/>
            <w:vAlign w:val="center"/>
          </w:tcPr>
          <w:p>
            <w:pPr>
              <w:adjustRightInd w:val="0"/>
              <w:snapToGrid w:val="0"/>
              <w:jc w:val="center"/>
              <w:rPr>
                <w:rFonts w:ascii="Times New Roman" w:hAnsi="Times New Roman"/>
                <w:kern w:val="0"/>
                <w:szCs w:val="21"/>
              </w:rPr>
            </w:pPr>
          </w:p>
        </w:tc>
        <w:tc>
          <w:tcPr>
            <w:tcW w:w="822" w:type="dxa"/>
            <w:vMerge w:val="continue"/>
            <w:vAlign w:val="center"/>
          </w:tcPr>
          <w:p>
            <w:pPr>
              <w:adjustRightInd w:val="0"/>
              <w:snapToGrid w:val="0"/>
              <w:jc w:val="center"/>
              <w:rPr>
                <w:rFonts w:ascii="Times New Roman" w:hAnsi="Times New Roman"/>
                <w:kern w:val="0"/>
                <w:szCs w:val="21"/>
              </w:rPr>
            </w:pPr>
          </w:p>
        </w:tc>
        <w:tc>
          <w:tcPr>
            <w:tcW w:w="870" w:type="dxa"/>
            <w:vMerge w:val="continue"/>
            <w:vAlign w:val="center"/>
          </w:tcPr>
          <w:p>
            <w:pPr>
              <w:widowControl/>
              <w:jc w:val="center"/>
              <w:rPr>
                <w:rFonts w:ascii="Times New Roman" w:hAnsi="Times New Roman"/>
                <w:bCs/>
                <w:szCs w:val="21"/>
              </w:rPr>
            </w:pPr>
          </w:p>
        </w:tc>
        <w:tc>
          <w:tcPr>
            <w:tcW w:w="871" w:type="dxa"/>
            <w:vMerge w:val="continue"/>
            <w:vAlign w:val="center"/>
          </w:tcPr>
          <w:p>
            <w:pPr>
              <w:widowControl/>
              <w:jc w:val="center"/>
              <w:rPr>
                <w:rFonts w:ascii="Times New Roman" w:hAnsi="Times New Roman"/>
                <w:bCs/>
                <w:szCs w:val="21"/>
              </w:rPr>
            </w:pPr>
          </w:p>
        </w:tc>
        <w:tc>
          <w:tcPr>
            <w:tcW w:w="2063" w:type="dxa"/>
            <w:vAlign w:val="center"/>
          </w:tcPr>
          <w:p>
            <w:pPr>
              <w:widowControl/>
              <w:jc w:val="center"/>
              <w:rPr>
                <w:rFonts w:ascii="Times New Roman" w:hAnsi="Times New Roman"/>
                <w:bCs/>
                <w:szCs w:val="21"/>
              </w:rPr>
            </w:pPr>
            <w:r>
              <w:rPr>
                <w:rFonts w:hint="eastAsia" w:ascii="Times New Roman" w:hAnsi="Times New Roman"/>
                <w:bCs/>
                <w:szCs w:val="21"/>
              </w:rPr>
              <w:t>0.0002</w:t>
            </w:r>
          </w:p>
        </w:tc>
        <w:tc>
          <w:tcPr>
            <w:tcW w:w="2441" w:type="dxa"/>
            <w:vMerge w:val="continue"/>
            <w:vAlign w:val="center"/>
          </w:tcPr>
          <w:p>
            <w:pPr>
              <w:tabs>
                <w:tab w:val="left" w:pos="1260"/>
              </w:tabs>
              <w:adjustRightInd w:val="0"/>
              <w:snapToGrid w:val="0"/>
              <w:jc w:val="center"/>
              <w:rPr>
                <w:rFonts w:ascii="Times New Roman" w:hAnsi="Times New Roman"/>
                <w:kern w:val="0"/>
                <w:szCs w:val="21"/>
              </w:rPr>
            </w:pPr>
          </w:p>
        </w:tc>
        <w:tc>
          <w:tcPr>
            <w:tcW w:w="873" w:type="dxa"/>
            <w:vMerge w:val="continue"/>
            <w:vAlign w:val="center"/>
          </w:tcPr>
          <w:p>
            <w:pPr>
              <w:adjustRightInd w:val="0"/>
              <w:snapToGrid w:val="0"/>
              <w:jc w:val="center"/>
              <w:rPr>
                <w:rFonts w:ascii="Times New Roman" w:hAnsi="Times New Roman"/>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914" w:type="dxa"/>
            <w:vAlign w:val="center"/>
          </w:tcPr>
          <w:p>
            <w:pPr>
              <w:adjustRightInd w:val="0"/>
              <w:snapToGrid w:val="0"/>
              <w:jc w:val="center"/>
              <w:rPr>
                <w:rFonts w:ascii="Times New Roman" w:hAnsi="Times New Roman"/>
                <w:bCs/>
                <w:szCs w:val="21"/>
              </w:rPr>
            </w:pPr>
            <w:r>
              <w:rPr>
                <w:rFonts w:ascii="Times New Roman" w:hAnsi="Times New Roman"/>
                <w:bCs/>
                <w:szCs w:val="21"/>
              </w:rPr>
              <w:t>饲料加工</w:t>
            </w:r>
          </w:p>
        </w:tc>
        <w:tc>
          <w:tcPr>
            <w:tcW w:w="968" w:type="dxa"/>
            <w:vAlign w:val="center"/>
          </w:tcPr>
          <w:p>
            <w:pPr>
              <w:pStyle w:val="7"/>
              <w:snapToGrid w:val="0"/>
              <w:spacing w:line="240" w:lineRule="auto"/>
              <w:ind w:firstLine="0" w:firstLineChars="0"/>
              <w:jc w:val="center"/>
              <w:rPr>
                <w:rFonts w:ascii="Times New Roman" w:hAnsi="Times New Roman" w:eastAsia="宋体"/>
                <w:sz w:val="21"/>
                <w:szCs w:val="21"/>
              </w:rPr>
            </w:pPr>
            <w:r>
              <w:rPr>
                <w:rFonts w:ascii="Times New Roman" w:hAnsi="Times New Roman" w:eastAsia="宋体"/>
                <w:sz w:val="21"/>
                <w:szCs w:val="21"/>
              </w:rPr>
              <w:t>TSP</w:t>
            </w:r>
          </w:p>
        </w:tc>
        <w:tc>
          <w:tcPr>
            <w:tcW w:w="832" w:type="dxa"/>
            <w:vAlign w:val="center"/>
          </w:tcPr>
          <w:p>
            <w:pPr>
              <w:adjustRightInd w:val="0"/>
              <w:snapToGrid w:val="0"/>
              <w:jc w:val="center"/>
              <w:rPr>
                <w:rFonts w:hint="eastAsia" w:ascii="Times New Roman" w:hAnsi="Times New Roman" w:eastAsia="宋体"/>
                <w:color w:val="000000"/>
                <w:kern w:val="0"/>
                <w:szCs w:val="21"/>
                <w:lang w:eastAsia="zh-CN"/>
              </w:rPr>
            </w:pPr>
            <w:r>
              <w:rPr>
                <w:rFonts w:hint="eastAsia" w:ascii="Times New Roman" w:hAnsi="Times New Roman"/>
                <w:color w:val="000000"/>
                <w:kern w:val="0"/>
                <w:szCs w:val="21"/>
              </w:rPr>
              <w:t>0.07</w:t>
            </w:r>
            <w:r>
              <w:rPr>
                <w:rFonts w:hint="eastAsia" w:ascii="Times New Roman" w:hAnsi="Times New Roman"/>
                <w:color w:val="000000"/>
                <w:kern w:val="0"/>
                <w:szCs w:val="21"/>
                <w:lang w:val="en-US" w:eastAsia="zh-CN"/>
              </w:rPr>
              <w:t>5</w:t>
            </w:r>
          </w:p>
        </w:tc>
        <w:tc>
          <w:tcPr>
            <w:tcW w:w="1682" w:type="dxa"/>
            <w:vAlign w:val="center"/>
          </w:tcPr>
          <w:p>
            <w:pPr>
              <w:jc w:val="center"/>
              <w:rPr>
                <w:rFonts w:ascii="Times New Roman" w:hAnsi="Times New Roman"/>
                <w:kern w:val="0"/>
                <w:szCs w:val="21"/>
              </w:rPr>
            </w:pPr>
            <w:r>
              <w:rPr>
                <w:rFonts w:ascii="Times New Roman" w:hAnsi="Times New Roman"/>
                <w:szCs w:val="21"/>
              </w:rPr>
              <w:t>10</w:t>
            </w:r>
            <w:r>
              <w:rPr>
                <w:rFonts w:hint="eastAsia" w:ascii="Times New Roman" w:hAnsi="Times New Roman"/>
                <w:szCs w:val="21"/>
              </w:rPr>
              <w:t>5.921279</w:t>
            </w:r>
          </w:p>
        </w:tc>
        <w:tc>
          <w:tcPr>
            <w:tcW w:w="1178" w:type="dxa"/>
            <w:vAlign w:val="center"/>
          </w:tcPr>
          <w:p>
            <w:pPr>
              <w:jc w:val="center"/>
              <w:rPr>
                <w:rFonts w:ascii="Times New Roman" w:hAnsi="Times New Roman"/>
                <w:kern w:val="0"/>
                <w:szCs w:val="21"/>
              </w:rPr>
            </w:pPr>
            <w:r>
              <w:rPr>
                <w:rFonts w:ascii="Times New Roman" w:hAnsi="Times New Roman"/>
                <w:szCs w:val="21"/>
              </w:rPr>
              <w:t>3</w:t>
            </w:r>
            <w:r>
              <w:rPr>
                <w:rFonts w:hint="eastAsia" w:ascii="Times New Roman" w:hAnsi="Times New Roman"/>
                <w:szCs w:val="21"/>
              </w:rPr>
              <w:t>5.573310</w:t>
            </w:r>
          </w:p>
        </w:tc>
        <w:tc>
          <w:tcPr>
            <w:tcW w:w="822" w:type="dxa"/>
            <w:vAlign w:val="center"/>
          </w:tcPr>
          <w:p>
            <w:pPr>
              <w:jc w:val="center"/>
              <w:rPr>
                <w:rFonts w:ascii="Times New Roman" w:hAnsi="Times New Roman"/>
                <w:kern w:val="0"/>
                <w:szCs w:val="21"/>
              </w:rPr>
            </w:pPr>
            <w:r>
              <w:rPr>
                <w:rFonts w:ascii="Times New Roman" w:hAnsi="Times New Roman"/>
                <w:szCs w:val="21"/>
              </w:rPr>
              <w:t>1</w:t>
            </w:r>
            <w:r>
              <w:rPr>
                <w:rFonts w:hint="eastAsia" w:ascii="Times New Roman" w:hAnsi="Times New Roman"/>
                <w:szCs w:val="21"/>
                <w:lang w:val="en-US" w:eastAsia="zh-CN"/>
              </w:rPr>
              <w:t>8</w:t>
            </w:r>
            <w:r>
              <w:rPr>
                <w:rFonts w:hint="eastAsia" w:ascii="Times New Roman" w:hAnsi="Times New Roman"/>
                <w:szCs w:val="21"/>
              </w:rPr>
              <w:t>15.40</w:t>
            </w:r>
          </w:p>
        </w:tc>
        <w:tc>
          <w:tcPr>
            <w:tcW w:w="870" w:type="dxa"/>
            <w:vAlign w:val="center"/>
          </w:tcPr>
          <w:p>
            <w:pPr>
              <w:jc w:val="center"/>
              <w:rPr>
                <w:rFonts w:ascii="Times New Roman" w:hAnsi="Times New Roman"/>
                <w:szCs w:val="21"/>
              </w:rPr>
            </w:pPr>
            <w:r>
              <w:rPr>
                <w:rFonts w:hint="eastAsia" w:ascii="Times New Roman" w:hAnsi="Times New Roman"/>
                <w:szCs w:val="21"/>
              </w:rPr>
              <w:t>24.00</w:t>
            </w:r>
          </w:p>
        </w:tc>
        <w:tc>
          <w:tcPr>
            <w:tcW w:w="871" w:type="dxa"/>
            <w:vAlign w:val="center"/>
          </w:tcPr>
          <w:p>
            <w:pPr>
              <w:jc w:val="center"/>
              <w:rPr>
                <w:rFonts w:ascii="Times New Roman" w:hAnsi="Times New Roman"/>
                <w:szCs w:val="21"/>
              </w:rPr>
            </w:pPr>
            <w:r>
              <w:rPr>
                <w:rFonts w:hint="eastAsia" w:ascii="Times New Roman" w:hAnsi="Times New Roman"/>
                <w:szCs w:val="21"/>
              </w:rPr>
              <w:t>15.00</w:t>
            </w:r>
          </w:p>
        </w:tc>
        <w:tc>
          <w:tcPr>
            <w:tcW w:w="2063" w:type="dxa"/>
            <w:vAlign w:val="center"/>
          </w:tcPr>
          <w:p>
            <w:pPr>
              <w:widowControl/>
              <w:adjustRightInd w:val="0"/>
              <w:snapToGrid w:val="0"/>
              <w:jc w:val="center"/>
              <w:textAlignment w:val="center"/>
              <w:rPr>
                <w:rFonts w:hint="default" w:ascii="Times New Roman" w:hAnsi="Times New Roman" w:eastAsia="宋体"/>
                <w:kern w:val="0"/>
                <w:szCs w:val="21"/>
                <w:lang w:val="en-US" w:eastAsia="zh-CN"/>
              </w:rPr>
            </w:pPr>
            <w:r>
              <w:rPr>
                <w:rFonts w:hint="eastAsia" w:ascii="Times New Roman" w:hAnsi="Times New Roman"/>
                <w:szCs w:val="21"/>
              </w:rPr>
              <w:t>0.0</w:t>
            </w:r>
            <w:r>
              <w:rPr>
                <w:rFonts w:hint="eastAsia" w:ascii="Times New Roman" w:hAnsi="Times New Roman"/>
                <w:szCs w:val="21"/>
                <w:lang w:val="en-US" w:eastAsia="zh-CN"/>
              </w:rPr>
              <w:t>00103</w:t>
            </w:r>
          </w:p>
        </w:tc>
        <w:tc>
          <w:tcPr>
            <w:tcW w:w="2441" w:type="dxa"/>
            <w:vAlign w:val="center"/>
          </w:tcPr>
          <w:p>
            <w:pPr>
              <w:tabs>
                <w:tab w:val="left" w:pos="1260"/>
              </w:tabs>
              <w:adjustRightInd w:val="0"/>
              <w:snapToGrid w:val="0"/>
              <w:jc w:val="center"/>
              <w:rPr>
                <w:rFonts w:ascii="Times New Roman" w:hAnsi="Times New Roman"/>
                <w:kern w:val="0"/>
                <w:szCs w:val="21"/>
              </w:rPr>
            </w:pPr>
            <w:r>
              <w:rPr>
                <w:rFonts w:ascii="Times New Roman" w:hAnsi="Times New Roman"/>
                <w:kern w:val="0"/>
                <w:szCs w:val="21"/>
              </w:rPr>
              <w:t>《大气污染物综合排放标准》（GB16297-1996）中无组织排放浓度限值（排放浓度：1mg/m</w:t>
            </w:r>
            <w:r>
              <w:rPr>
                <w:rFonts w:ascii="Times New Roman" w:hAnsi="Times New Roman"/>
                <w:kern w:val="0"/>
                <w:szCs w:val="21"/>
                <w:vertAlign w:val="superscript"/>
              </w:rPr>
              <w:t>3</w:t>
            </w:r>
            <w:r>
              <w:rPr>
                <w:rFonts w:ascii="Times New Roman" w:hAnsi="Times New Roman"/>
                <w:kern w:val="0"/>
                <w:szCs w:val="21"/>
              </w:rPr>
              <w:t>）</w:t>
            </w:r>
          </w:p>
        </w:tc>
        <w:tc>
          <w:tcPr>
            <w:tcW w:w="873" w:type="dxa"/>
            <w:vMerge w:val="continue"/>
            <w:vAlign w:val="center"/>
          </w:tcPr>
          <w:p>
            <w:pPr>
              <w:adjustRightInd w:val="0"/>
              <w:snapToGrid w:val="0"/>
              <w:jc w:val="center"/>
              <w:rPr>
                <w:rFonts w:ascii="Times New Roman" w:hAnsi="Times New Roman"/>
                <w:kern w:val="0"/>
                <w:szCs w:val="21"/>
              </w:rPr>
            </w:pPr>
          </w:p>
        </w:tc>
      </w:tr>
    </w:tbl>
    <w:p>
      <w:pPr>
        <w:spacing w:line="540" w:lineRule="exact"/>
        <w:jc w:val="center"/>
        <w:rPr>
          <w:rFonts w:ascii="Times New Roman" w:hAnsi="Times New Roman"/>
          <w:bCs/>
          <w:sz w:val="24"/>
        </w:rPr>
      </w:pPr>
      <w:r>
        <w:rPr>
          <w:rFonts w:ascii="Times New Roman" w:hAnsi="Times New Roman"/>
          <w:b/>
          <w:sz w:val="24"/>
        </w:rPr>
        <w:t>表</w:t>
      </w:r>
      <w:r>
        <w:rPr>
          <w:rFonts w:hint="eastAsia" w:ascii="Times New Roman" w:hAnsi="Times New Roman"/>
          <w:b/>
          <w:sz w:val="24"/>
          <w:lang w:val="en-US" w:eastAsia="zh-CN"/>
        </w:rPr>
        <w:t>9</w:t>
      </w:r>
      <w:r>
        <w:rPr>
          <w:rFonts w:hint="eastAsia" w:ascii="Times New Roman" w:hAnsi="Times New Roman"/>
          <w:b/>
          <w:sz w:val="24"/>
        </w:rPr>
        <w:t>.6-2</w:t>
      </w:r>
      <w:r>
        <w:rPr>
          <w:rFonts w:ascii="Times New Roman" w:hAnsi="Times New Roman"/>
          <w:b/>
          <w:sz w:val="24"/>
        </w:rPr>
        <w:t xml:space="preserve">    </w:t>
      </w:r>
      <w:r>
        <w:rPr>
          <w:rFonts w:hint="eastAsia" w:ascii="Times New Roman" w:hAnsi="Times New Roman"/>
          <w:b/>
          <w:sz w:val="24"/>
        </w:rPr>
        <w:t xml:space="preserve">                </w:t>
      </w:r>
      <w:r>
        <w:rPr>
          <w:rFonts w:ascii="Times New Roman" w:hAnsi="Times New Roman"/>
          <w:b/>
          <w:sz w:val="24"/>
        </w:rPr>
        <w:t xml:space="preserve">  </w:t>
      </w:r>
      <w:r>
        <w:rPr>
          <w:rFonts w:hint="eastAsia" w:ascii="Times New Roman" w:hAnsi="Times New Roman"/>
          <w:b/>
          <w:sz w:val="24"/>
        </w:rPr>
        <w:t xml:space="preserve">                 项目</w:t>
      </w:r>
      <w:r>
        <w:rPr>
          <w:rFonts w:hint="eastAsia" w:ascii="Times New Roman" w:hAnsi="Times New Roman"/>
          <w:b/>
          <w:sz w:val="24"/>
          <w:lang w:eastAsia="zh-CN"/>
        </w:rPr>
        <w:t>固体废物</w:t>
      </w:r>
      <w:r>
        <w:rPr>
          <w:rFonts w:hint="eastAsia" w:ascii="Times New Roman" w:hAnsi="Times New Roman"/>
          <w:b/>
          <w:sz w:val="24"/>
        </w:rPr>
        <w:t>产（排）污一览表</w:t>
      </w:r>
    </w:p>
    <w:tbl>
      <w:tblPr>
        <w:tblStyle w:val="29"/>
        <w:tblW w:w="495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586"/>
        <w:gridCol w:w="1907"/>
        <w:gridCol w:w="1848"/>
        <w:gridCol w:w="1716"/>
        <w:gridCol w:w="3829"/>
        <w:gridCol w:w="19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0" w:hRule="atLeast"/>
          <w:jc w:val="center"/>
        </w:trPr>
        <w:tc>
          <w:tcPr>
            <w:tcW w:w="679" w:type="dxa"/>
            <w:vAlign w:val="center"/>
          </w:tcPr>
          <w:p>
            <w:pPr>
              <w:adjustRightInd w:val="0"/>
              <w:snapToGrid w:val="0"/>
              <w:jc w:val="center"/>
              <w:rPr>
                <w:rFonts w:ascii="Times New Roman" w:hAnsi="Times New Roman"/>
                <w:bCs/>
                <w:snapToGrid w:val="0"/>
                <w:kern w:val="0"/>
                <w:szCs w:val="21"/>
              </w:rPr>
            </w:pPr>
            <w:r>
              <w:rPr>
                <w:rFonts w:ascii="Times New Roman" w:hAnsi="Times New Roman"/>
                <w:bCs/>
                <w:snapToGrid w:val="0"/>
                <w:kern w:val="0"/>
                <w:szCs w:val="21"/>
              </w:rPr>
              <w:t>要素</w:t>
            </w:r>
          </w:p>
        </w:tc>
        <w:tc>
          <w:tcPr>
            <w:tcW w:w="1586" w:type="dxa"/>
            <w:vAlign w:val="center"/>
          </w:tcPr>
          <w:p>
            <w:pPr>
              <w:adjustRightInd w:val="0"/>
              <w:snapToGrid w:val="0"/>
              <w:ind w:left="31" w:hanging="31" w:hangingChars="15"/>
              <w:jc w:val="center"/>
              <w:rPr>
                <w:rFonts w:ascii="Times New Roman" w:hAnsi="Times New Roman"/>
                <w:bCs/>
                <w:snapToGrid w:val="0"/>
                <w:kern w:val="0"/>
                <w:szCs w:val="21"/>
              </w:rPr>
            </w:pPr>
            <w:r>
              <w:rPr>
                <w:rFonts w:ascii="Times New Roman" w:hAnsi="Times New Roman"/>
                <w:bCs/>
                <w:snapToGrid w:val="0"/>
                <w:kern w:val="0"/>
                <w:szCs w:val="21"/>
              </w:rPr>
              <w:t>污染源</w:t>
            </w:r>
          </w:p>
        </w:tc>
        <w:tc>
          <w:tcPr>
            <w:tcW w:w="1907" w:type="dxa"/>
            <w:vAlign w:val="center"/>
          </w:tcPr>
          <w:p>
            <w:pPr>
              <w:adjustRightInd w:val="0"/>
              <w:snapToGrid w:val="0"/>
              <w:jc w:val="center"/>
              <w:rPr>
                <w:rFonts w:ascii="Times New Roman" w:hAnsi="Times New Roman"/>
                <w:bCs/>
                <w:snapToGrid w:val="0"/>
                <w:kern w:val="0"/>
                <w:szCs w:val="21"/>
              </w:rPr>
            </w:pPr>
            <w:r>
              <w:rPr>
                <w:rFonts w:ascii="Times New Roman" w:hAnsi="Times New Roman"/>
                <w:bCs/>
                <w:snapToGrid w:val="0"/>
                <w:kern w:val="0"/>
                <w:szCs w:val="21"/>
              </w:rPr>
              <w:t>主要污染物</w:t>
            </w:r>
          </w:p>
        </w:tc>
        <w:tc>
          <w:tcPr>
            <w:tcW w:w="1848" w:type="dxa"/>
            <w:vAlign w:val="center"/>
          </w:tcPr>
          <w:p>
            <w:pPr>
              <w:adjustRightInd w:val="0"/>
              <w:snapToGrid w:val="0"/>
              <w:jc w:val="center"/>
              <w:rPr>
                <w:rFonts w:ascii="Times New Roman" w:hAnsi="Times New Roman"/>
                <w:bCs/>
                <w:snapToGrid w:val="0"/>
                <w:kern w:val="0"/>
                <w:szCs w:val="21"/>
              </w:rPr>
            </w:pPr>
            <w:r>
              <w:rPr>
                <w:rFonts w:ascii="Times New Roman" w:hAnsi="Times New Roman"/>
                <w:bCs/>
                <w:snapToGrid w:val="0"/>
                <w:kern w:val="0"/>
                <w:szCs w:val="21"/>
              </w:rPr>
              <w:t>产生量</w:t>
            </w:r>
          </w:p>
        </w:tc>
        <w:tc>
          <w:tcPr>
            <w:tcW w:w="1716" w:type="dxa"/>
            <w:vAlign w:val="center"/>
          </w:tcPr>
          <w:p>
            <w:pPr>
              <w:adjustRightInd w:val="0"/>
              <w:snapToGrid w:val="0"/>
              <w:jc w:val="center"/>
              <w:rPr>
                <w:rFonts w:ascii="Times New Roman" w:hAnsi="Times New Roman"/>
                <w:bCs/>
                <w:snapToGrid w:val="0"/>
                <w:kern w:val="0"/>
                <w:szCs w:val="21"/>
              </w:rPr>
            </w:pPr>
            <w:r>
              <w:rPr>
                <w:rFonts w:ascii="Times New Roman" w:hAnsi="Times New Roman"/>
                <w:bCs/>
                <w:snapToGrid w:val="0"/>
                <w:kern w:val="0"/>
                <w:szCs w:val="21"/>
              </w:rPr>
              <w:t>排放量</w:t>
            </w:r>
          </w:p>
        </w:tc>
        <w:tc>
          <w:tcPr>
            <w:tcW w:w="3830" w:type="dxa"/>
            <w:vAlign w:val="center"/>
          </w:tcPr>
          <w:p>
            <w:pPr>
              <w:adjustRightInd w:val="0"/>
              <w:snapToGrid w:val="0"/>
              <w:jc w:val="center"/>
              <w:rPr>
                <w:rFonts w:ascii="Times New Roman" w:hAnsi="Times New Roman"/>
                <w:bCs/>
                <w:snapToGrid w:val="0"/>
                <w:kern w:val="0"/>
                <w:szCs w:val="21"/>
              </w:rPr>
            </w:pPr>
            <w:r>
              <w:rPr>
                <w:rFonts w:ascii="Times New Roman" w:hAnsi="Times New Roman"/>
                <w:bCs/>
                <w:snapToGrid w:val="0"/>
                <w:kern w:val="0"/>
                <w:szCs w:val="21"/>
              </w:rPr>
              <w:t>标准值</w:t>
            </w:r>
          </w:p>
        </w:tc>
        <w:tc>
          <w:tcPr>
            <w:tcW w:w="1957" w:type="dxa"/>
            <w:vAlign w:val="center"/>
          </w:tcPr>
          <w:p>
            <w:pPr>
              <w:adjustRightInd w:val="0"/>
              <w:snapToGrid w:val="0"/>
              <w:jc w:val="center"/>
              <w:rPr>
                <w:rFonts w:ascii="Times New Roman" w:hAnsi="Times New Roman"/>
                <w:bCs/>
                <w:snapToGrid w:val="0"/>
                <w:kern w:val="0"/>
                <w:szCs w:val="21"/>
              </w:rPr>
            </w:pPr>
            <w:r>
              <w:rPr>
                <w:rFonts w:ascii="Times New Roman" w:hAnsi="Times New Roman"/>
                <w:bCs/>
                <w:snapToGrid w:val="0"/>
                <w:kern w:val="0"/>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9" w:type="dxa"/>
            <w:vMerge w:val="restart"/>
            <w:vAlign w:val="center"/>
          </w:tcPr>
          <w:p>
            <w:pPr>
              <w:adjustRightInd w:val="0"/>
              <w:snapToGrid w:val="0"/>
              <w:jc w:val="center"/>
              <w:rPr>
                <w:rFonts w:ascii="Times New Roman" w:hAnsi="Times New Roman"/>
                <w:szCs w:val="21"/>
              </w:rPr>
            </w:pPr>
            <w:r>
              <w:rPr>
                <w:rFonts w:ascii="Times New Roman" w:hAnsi="Times New Roman"/>
                <w:szCs w:val="21"/>
              </w:rPr>
              <w:t>固体废物</w:t>
            </w:r>
          </w:p>
        </w:tc>
        <w:tc>
          <w:tcPr>
            <w:tcW w:w="1586" w:type="dxa"/>
            <w:vMerge w:val="restart"/>
            <w:vAlign w:val="center"/>
          </w:tcPr>
          <w:p>
            <w:pPr>
              <w:adjustRightInd w:val="0"/>
              <w:snapToGrid w:val="0"/>
              <w:jc w:val="center"/>
              <w:rPr>
                <w:rFonts w:ascii="Times New Roman" w:hAnsi="Times New Roman"/>
                <w:szCs w:val="21"/>
              </w:rPr>
            </w:pPr>
            <w:r>
              <w:rPr>
                <w:rFonts w:ascii="Times New Roman" w:hAnsi="Times New Roman"/>
                <w:szCs w:val="21"/>
              </w:rPr>
              <w:t>牛舍</w:t>
            </w:r>
          </w:p>
        </w:tc>
        <w:tc>
          <w:tcPr>
            <w:tcW w:w="1907" w:type="dxa"/>
            <w:vAlign w:val="center"/>
          </w:tcPr>
          <w:p>
            <w:pPr>
              <w:adjustRightInd w:val="0"/>
              <w:snapToGrid w:val="0"/>
              <w:jc w:val="center"/>
              <w:rPr>
                <w:rFonts w:ascii="Times New Roman" w:hAnsi="Times New Roman"/>
                <w:szCs w:val="21"/>
              </w:rPr>
            </w:pPr>
            <w:r>
              <w:rPr>
                <w:rFonts w:ascii="Times New Roman" w:hAnsi="Times New Roman"/>
                <w:szCs w:val="21"/>
              </w:rPr>
              <w:t>牛粪</w:t>
            </w:r>
          </w:p>
        </w:tc>
        <w:tc>
          <w:tcPr>
            <w:tcW w:w="1848" w:type="dxa"/>
            <w:vAlign w:val="center"/>
          </w:tcPr>
          <w:p>
            <w:pPr>
              <w:adjustRightInd w:val="0"/>
              <w:snapToGrid w:val="0"/>
              <w:jc w:val="center"/>
              <w:rPr>
                <w:rFonts w:ascii="Times New Roman" w:hAnsi="Times New Roman"/>
                <w:szCs w:val="21"/>
              </w:rPr>
            </w:pPr>
            <w:r>
              <w:rPr>
                <w:rFonts w:hint="eastAsia" w:ascii="Times New Roman" w:hAnsi="Times New Roman"/>
                <w:bCs/>
                <w:szCs w:val="21"/>
              </w:rPr>
              <w:t>3971.2t/a</w:t>
            </w:r>
          </w:p>
        </w:tc>
        <w:tc>
          <w:tcPr>
            <w:tcW w:w="1716" w:type="dxa"/>
            <w:vAlign w:val="center"/>
          </w:tcPr>
          <w:p>
            <w:pPr>
              <w:adjustRightInd w:val="0"/>
              <w:snapToGrid w:val="0"/>
              <w:jc w:val="center"/>
              <w:rPr>
                <w:rFonts w:ascii="Times New Roman" w:hAnsi="Times New Roman"/>
                <w:szCs w:val="21"/>
              </w:rPr>
            </w:pPr>
            <w:r>
              <w:rPr>
                <w:rFonts w:ascii="Times New Roman" w:hAnsi="Times New Roman"/>
                <w:szCs w:val="21"/>
              </w:rPr>
              <w:t>0</w:t>
            </w:r>
          </w:p>
        </w:tc>
        <w:tc>
          <w:tcPr>
            <w:tcW w:w="5787" w:type="dxa"/>
            <w:gridSpan w:val="2"/>
            <w:vAlign w:val="center"/>
          </w:tcPr>
          <w:p>
            <w:pPr>
              <w:adjustRightInd w:val="0"/>
              <w:snapToGrid w:val="0"/>
              <w:jc w:val="center"/>
              <w:rPr>
                <w:rFonts w:ascii="Times New Roman" w:hAnsi="Times New Roman"/>
                <w:color w:val="000000"/>
                <w:szCs w:val="21"/>
              </w:rPr>
            </w:pPr>
            <w:r>
              <w:rPr>
                <w:rFonts w:hint="eastAsia" w:ascii="Times New Roman" w:hAnsi="Times New Roman"/>
                <w:color w:val="000000"/>
                <w:szCs w:val="21"/>
              </w:rPr>
              <w:t>清理的牛粪集中堆放，用于周边农民施肥农田。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9" w:type="dxa"/>
            <w:vMerge w:val="continue"/>
            <w:vAlign w:val="center"/>
          </w:tcPr>
          <w:p>
            <w:pPr>
              <w:adjustRightInd w:val="0"/>
              <w:snapToGrid w:val="0"/>
              <w:jc w:val="center"/>
              <w:rPr>
                <w:rFonts w:ascii="Times New Roman" w:hAnsi="Times New Roman"/>
                <w:szCs w:val="21"/>
              </w:rPr>
            </w:pPr>
          </w:p>
        </w:tc>
        <w:tc>
          <w:tcPr>
            <w:tcW w:w="1586" w:type="dxa"/>
            <w:vMerge w:val="continue"/>
            <w:vAlign w:val="center"/>
          </w:tcPr>
          <w:p>
            <w:pPr>
              <w:adjustRightInd w:val="0"/>
              <w:snapToGrid w:val="0"/>
              <w:jc w:val="center"/>
              <w:rPr>
                <w:rFonts w:ascii="Times New Roman" w:hAnsi="Times New Roman"/>
                <w:szCs w:val="21"/>
              </w:rPr>
            </w:pPr>
          </w:p>
        </w:tc>
        <w:tc>
          <w:tcPr>
            <w:tcW w:w="1907" w:type="dxa"/>
            <w:vAlign w:val="center"/>
          </w:tcPr>
          <w:p>
            <w:pPr>
              <w:adjustRightInd w:val="0"/>
              <w:snapToGrid w:val="0"/>
              <w:jc w:val="center"/>
              <w:rPr>
                <w:rFonts w:hint="eastAsia" w:ascii="Times New Roman" w:hAnsi="Times New Roman" w:eastAsia="宋体"/>
                <w:szCs w:val="21"/>
                <w:lang w:eastAsia="zh-CN"/>
              </w:rPr>
            </w:pPr>
            <w:r>
              <w:rPr>
                <w:rFonts w:hint="eastAsia" w:ascii="Times New Roman" w:hAnsi="Times New Roman"/>
                <w:szCs w:val="21"/>
                <w:lang w:eastAsia="zh-CN"/>
              </w:rPr>
              <w:t>胎盘</w:t>
            </w:r>
          </w:p>
        </w:tc>
        <w:tc>
          <w:tcPr>
            <w:tcW w:w="1848" w:type="dxa"/>
            <w:vAlign w:val="center"/>
          </w:tcPr>
          <w:p>
            <w:pPr>
              <w:adjustRightInd w:val="0"/>
              <w:snapToGrid w:val="0"/>
              <w:jc w:val="center"/>
              <w:rPr>
                <w:rFonts w:hint="eastAsia" w:ascii="Times New Roman" w:hAnsi="Times New Roman" w:eastAsia="宋体"/>
                <w:bCs/>
                <w:szCs w:val="21"/>
                <w:lang w:val="en-US" w:eastAsia="zh-CN"/>
              </w:rPr>
            </w:pPr>
            <w:r>
              <w:rPr>
                <w:rFonts w:hint="eastAsia" w:ascii="Times New Roman" w:hAnsi="Times New Roman"/>
                <w:bCs/>
                <w:szCs w:val="21"/>
                <w:lang w:val="en-US" w:eastAsia="zh-CN"/>
              </w:rPr>
              <w:t>2</w:t>
            </w:r>
            <w:r>
              <w:rPr>
                <w:rFonts w:ascii="Times New Roman" w:hAnsi="Times New Roman"/>
                <w:bCs/>
                <w:szCs w:val="21"/>
              </w:rPr>
              <w:t>t/a</w:t>
            </w:r>
          </w:p>
        </w:tc>
        <w:tc>
          <w:tcPr>
            <w:tcW w:w="1716" w:type="dxa"/>
            <w:vAlign w:val="center"/>
          </w:tcPr>
          <w:p>
            <w:pPr>
              <w:adjustRightInd w:val="0"/>
              <w:snapToGrid w:val="0"/>
              <w:jc w:val="center"/>
              <w:rPr>
                <w:rFonts w:hint="eastAsia" w:ascii="Times New Roman" w:hAnsi="Times New Roman" w:eastAsia="宋体"/>
                <w:szCs w:val="21"/>
                <w:lang w:val="en-US" w:eastAsia="zh-CN"/>
              </w:rPr>
            </w:pPr>
            <w:r>
              <w:rPr>
                <w:rFonts w:hint="eastAsia" w:ascii="Times New Roman" w:hAnsi="Times New Roman"/>
                <w:szCs w:val="21"/>
                <w:lang w:val="en-US" w:eastAsia="zh-CN"/>
              </w:rPr>
              <w:t>0</w:t>
            </w:r>
          </w:p>
        </w:tc>
        <w:tc>
          <w:tcPr>
            <w:tcW w:w="5787" w:type="dxa"/>
            <w:gridSpan w:val="2"/>
            <w:vMerge w:val="restart"/>
            <w:vAlign w:val="center"/>
          </w:tcPr>
          <w:p>
            <w:pPr>
              <w:pStyle w:val="2"/>
              <w:adjustRightInd w:val="0"/>
              <w:jc w:val="center"/>
              <w:rPr>
                <w:rFonts w:ascii="Times New Roman" w:hAnsi="Times New Roman"/>
                <w:color w:val="000000"/>
                <w:szCs w:val="21"/>
              </w:rPr>
            </w:pPr>
            <w:r>
              <w:rPr>
                <w:rFonts w:hint="eastAsia" w:ascii="Times New Roman" w:hAnsi="Times New Roman"/>
                <w:color w:val="000000"/>
                <w:sz w:val="21"/>
                <w:szCs w:val="21"/>
              </w:rPr>
              <w:t>本项目将病死牛尸体</w:t>
            </w:r>
            <w:r>
              <w:rPr>
                <w:rFonts w:hint="eastAsia" w:ascii="Times New Roman" w:hAnsi="Times New Roman"/>
                <w:color w:val="000000"/>
                <w:sz w:val="21"/>
                <w:szCs w:val="21"/>
                <w:lang w:eastAsia="zh-CN"/>
              </w:rPr>
              <w:t>及胎盘</w:t>
            </w:r>
            <w:r>
              <w:rPr>
                <w:rFonts w:hint="eastAsia" w:ascii="Times New Roman" w:hAnsi="Times New Roman"/>
                <w:color w:val="000000"/>
                <w:sz w:val="21"/>
                <w:szCs w:val="21"/>
              </w:rPr>
              <w:t>由隆德县神林畜牧兽医站监督运送到隆德县定点无害化处理场所焚烧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9" w:type="dxa"/>
            <w:vMerge w:val="continue"/>
            <w:vAlign w:val="center"/>
          </w:tcPr>
          <w:p>
            <w:pPr>
              <w:adjustRightInd w:val="0"/>
              <w:snapToGrid w:val="0"/>
              <w:jc w:val="center"/>
              <w:rPr>
                <w:rFonts w:ascii="Times New Roman" w:hAnsi="Times New Roman"/>
                <w:szCs w:val="21"/>
              </w:rPr>
            </w:pPr>
          </w:p>
        </w:tc>
        <w:tc>
          <w:tcPr>
            <w:tcW w:w="1586" w:type="dxa"/>
            <w:vMerge w:val="continue"/>
            <w:vAlign w:val="center"/>
          </w:tcPr>
          <w:p>
            <w:pPr>
              <w:adjustRightInd w:val="0"/>
              <w:snapToGrid w:val="0"/>
              <w:jc w:val="center"/>
              <w:rPr>
                <w:rFonts w:ascii="Times New Roman" w:hAnsi="Times New Roman"/>
                <w:szCs w:val="21"/>
              </w:rPr>
            </w:pPr>
          </w:p>
        </w:tc>
        <w:tc>
          <w:tcPr>
            <w:tcW w:w="1907" w:type="dxa"/>
            <w:vAlign w:val="center"/>
          </w:tcPr>
          <w:p>
            <w:pPr>
              <w:adjustRightInd w:val="0"/>
              <w:snapToGrid w:val="0"/>
              <w:jc w:val="center"/>
              <w:rPr>
                <w:rFonts w:ascii="Times New Roman" w:hAnsi="Times New Roman"/>
                <w:szCs w:val="21"/>
              </w:rPr>
            </w:pPr>
            <w:r>
              <w:rPr>
                <w:rFonts w:ascii="Times New Roman" w:hAnsi="Times New Roman"/>
                <w:szCs w:val="21"/>
              </w:rPr>
              <w:t>病死牛</w:t>
            </w:r>
          </w:p>
        </w:tc>
        <w:tc>
          <w:tcPr>
            <w:tcW w:w="1848" w:type="dxa"/>
            <w:vAlign w:val="center"/>
          </w:tcPr>
          <w:p>
            <w:pPr>
              <w:adjustRightInd w:val="0"/>
              <w:snapToGrid w:val="0"/>
              <w:jc w:val="center"/>
              <w:rPr>
                <w:rFonts w:hint="eastAsia" w:ascii="Times New Roman" w:hAnsi="Times New Roman" w:eastAsia="宋体"/>
                <w:szCs w:val="21"/>
                <w:lang w:eastAsia="zh-CN"/>
              </w:rPr>
            </w:pPr>
            <w:r>
              <w:rPr>
                <w:rFonts w:hint="eastAsia" w:ascii="Times New Roman" w:hAnsi="Times New Roman"/>
                <w:bCs/>
                <w:szCs w:val="21"/>
                <w:lang w:val="en-US" w:eastAsia="zh-CN"/>
              </w:rPr>
              <w:t>/</w:t>
            </w:r>
          </w:p>
        </w:tc>
        <w:tc>
          <w:tcPr>
            <w:tcW w:w="1716" w:type="dxa"/>
            <w:vAlign w:val="center"/>
          </w:tcPr>
          <w:p>
            <w:pPr>
              <w:adjustRightInd w:val="0"/>
              <w:snapToGrid w:val="0"/>
              <w:jc w:val="center"/>
              <w:rPr>
                <w:rFonts w:ascii="Times New Roman" w:hAnsi="Times New Roman"/>
                <w:szCs w:val="21"/>
              </w:rPr>
            </w:pPr>
            <w:r>
              <w:rPr>
                <w:rFonts w:ascii="Times New Roman" w:hAnsi="Times New Roman"/>
                <w:szCs w:val="21"/>
              </w:rPr>
              <w:t>0</w:t>
            </w:r>
          </w:p>
        </w:tc>
        <w:tc>
          <w:tcPr>
            <w:tcW w:w="5787" w:type="dxa"/>
            <w:gridSpan w:val="2"/>
            <w:vMerge w:val="continue"/>
            <w:vAlign w:val="center"/>
          </w:tcPr>
          <w:p>
            <w:pPr>
              <w:pStyle w:val="2"/>
              <w:adjustRightInd w:val="0"/>
              <w:jc w:val="center"/>
              <w:rPr>
                <w:rFonts w:ascii="Times New Roman" w:hAnsi="Times New Roman"/>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9" w:type="dxa"/>
            <w:vMerge w:val="continue"/>
            <w:vAlign w:val="center"/>
          </w:tcPr>
          <w:p>
            <w:pPr>
              <w:adjustRightInd w:val="0"/>
              <w:snapToGrid w:val="0"/>
              <w:jc w:val="center"/>
              <w:rPr>
                <w:rFonts w:ascii="Times New Roman" w:hAnsi="Times New Roman"/>
                <w:szCs w:val="21"/>
              </w:rPr>
            </w:pPr>
          </w:p>
        </w:tc>
        <w:tc>
          <w:tcPr>
            <w:tcW w:w="1586" w:type="dxa"/>
            <w:vAlign w:val="center"/>
          </w:tcPr>
          <w:p>
            <w:pPr>
              <w:adjustRightInd w:val="0"/>
              <w:snapToGrid w:val="0"/>
              <w:jc w:val="center"/>
              <w:rPr>
                <w:rFonts w:ascii="Times New Roman" w:hAnsi="Times New Roman"/>
                <w:szCs w:val="21"/>
              </w:rPr>
            </w:pPr>
            <w:r>
              <w:rPr>
                <w:rFonts w:ascii="Times New Roman" w:hAnsi="Times New Roman"/>
                <w:szCs w:val="21"/>
              </w:rPr>
              <w:t>兽医室</w:t>
            </w:r>
          </w:p>
        </w:tc>
        <w:tc>
          <w:tcPr>
            <w:tcW w:w="1907" w:type="dxa"/>
            <w:vAlign w:val="center"/>
          </w:tcPr>
          <w:p>
            <w:pPr>
              <w:adjustRightInd w:val="0"/>
              <w:snapToGrid w:val="0"/>
              <w:jc w:val="center"/>
              <w:rPr>
                <w:rFonts w:ascii="Times New Roman" w:hAnsi="Times New Roman"/>
                <w:szCs w:val="21"/>
              </w:rPr>
            </w:pPr>
            <w:r>
              <w:rPr>
                <w:rFonts w:ascii="Times New Roman" w:hAnsi="Times New Roman"/>
                <w:szCs w:val="21"/>
              </w:rPr>
              <w:t>医疗废物</w:t>
            </w:r>
          </w:p>
        </w:tc>
        <w:tc>
          <w:tcPr>
            <w:tcW w:w="1848" w:type="dxa"/>
            <w:vAlign w:val="center"/>
          </w:tcPr>
          <w:p>
            <w:pPr>
              <w:adjustRightInd w:val="0"/>
              <w:snapToGrid w:val="0"/>
              <w:jc w:val="center"/>
              <w:rPr>
                <w:rFonts w:ascii="Times New Roman" w:hAnsi="Times New Roman"/>
                <w:szCs w:val="21"/>
              </w:rPr>
            </w:pPr>
            <w:r>
              <w:rPr>
                <w:rFonts w:hint="eastAsia" w:ascii="Times New Roman" w:hAnsi="Times New Roman"/>
                <w:bCs/>
                <w:szCs w:val="21"/>
              </w:rPr>
              <w:t>0.7</w:t>
            </w:r>
            <w:r>
              <w:rPr>
                <w:rFonts w:ascii="Times New Roman" w:hAnsi="Times New Roman"/>
                <w:bCs/>
                <w:szCs w:val="21"/>
              </w:rPr>
              <w:t>t/a</w:t>
            </w:r>
          </w:p>
        </w:tc>
        <w:tc>
          <w:tcPr>
            <w:tcW w:w="1716" w:type="dxa"/>
            <w:vAlign w:val="center"/>
          </w:tcPr>
          <w:p>
            <w:pPr>
              <w:adjustRightInd w:val="0"/>
              <w:snapToGrid w:val="0"/>
              <w:jc w:val="center"/>
              <w:rPr>
                <w:rFonts w:ascii="Times New Roman" w:hAnsi="Times New Roman"/>
                <w:szCs w:val="21"/>
              </w:rPr>
            </w:pPr>
            <w:r>
              <w:rPr>
                <w:rFonts w:ascii="Times New Roman" w:hAnsi="Times New Roman"/>
                <w:szCs w:val="21"/>
              </w:rPr>
              <w:t>0</w:t>
            </w:r>
          </w:p>
        </w:tc>
        <w:tc>
          <w:tcPr>
            <w:tcW w:w="5787" w:type="dxa"/>
            <w:gridSpan w:val="2"/>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按危废管理，定期交由有资质的单位处理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9" w:type="dxa"/>
            <w:vMerge w:val="continue"/>
            <w:vAlign w:val="center"/>
          </w:tcPr>
          <w:p>
            <w:pPr>
              <w:adjustRightInd w:val="0"/>
              <w:snapToGrid w:val="0"/>
              <w:jc w:val="center"/>
              <w:rPr>
                <w:rFonts w:ascii="Times New Roman" w:hAnsi="Times New Roman"/>
                <w:szCs w:val="21"/>
              </w:rPr>
            </w:pPr>
          </w:p>
        </w:tc>
        <w:tc>
          <w:tcPr>
            <w:tcW w:w="1586" w:type="dxa"/>
            <w:vAlign w:val="center"/>
          </w:tcPr>
          <w:p>
            <w:pPr>
              <w:adjustRightInd w:val="0"/>
              <w:snapToGrid w:val="0"/>
              <w:jc w:val="center"/>
              <w:rPr>
                <w:rFonts w:ascii="Times New Roman" w:hAnsi="Times New Roman"/>
                <w:szCs w:val="21"/>
              </w:rPr>
            </w:pPr>
            <w:r>
              <w:rPr>
                <w:rFonts w:ascii="Times New Roman" w:hAnsi="Times New Roman"/>
                <w:szCs w:val="21"/>
              </w:rPr>
              <w:t>饲料加工</w:t>
            </w:r>
          </w:p>
        </w:tc>
        <w:tc>
          <w:tcPr>
            <w:tcW w:w="1907" w:type="dxa"/>
            <w:vAlign w:val="center"/>
          </w:tcPr>
          <w:p>
            <w:pPr>
              <w:adjustRightInd w:val="0"/>
              <w:snapToGrid w:val="0"/>
              <w:jc w:val="center"/>
              <w:rPr>
                <w:rFonts w:ascii="Times New Roman" w:hAnsi="Times New Roman"/>
                <w:szCs w:val="21"/>
              </w:rPr>
            </w:pPr>
            <w:r>
              <w:rPr>
                <w:rFonts w:ascii="Times New Roman" w:hAnsi="Times New Roman"/>
                <w:szCs w:val="21"/>
              </w:rPr>
              <w:t>粉尘</w:t>
            </w:r>
          </w:p>
        </w:tc>
        <w:tc>
          <w:tcPr>
            <w:tcW w:w="1848" w:type="dxa"/>
            <w:vAlign w:val="center"/>
          </w:tcPr>
          <w:p>
            <w:pPr>
              <w:tabs>
                <w:tab w:val="left" w:pos="471"/>
              </w:tabs>
              <w:adjustRightInd w:val="0"/>
              <w:snapToGrid w:val="0"/>
              <w:jc w:val="center"/>
              <w:rPr>
                <w:rFonts w:ascii="Times New Roman" w:hAnsi="Times New Roman"/>
                <w:szCs w:val="21"/>
              </w:rPr>
            </w:pPr>
            <w:r>
              <w:rPr>
                <w:rFonts w:hint="eastAsia" w:ascii="Times New Roman" w:hAnsi="Times New Roman"/>
                <w:szCs w:val="21"/>
                <w:lang w:eastAsia="zh-CN"/>
              </w:rPr>
              <w:t>0.0</w:t>
            </w:r>
            <w:r>
              <w:rPr>
                <w:rFonts w:hint="eastAsia" w:ascii="Times New Roman" w:hAnsi="Times New Roman"/>
                <w:szCs w:val="21"/>
                <w:lang w:val="en-US" w:eastAsia="zh-CN"/>
              </w:rPr>
              <w:t>749</w:t>
            </w:r>
            <w:r>
              <w:rPr>
                <w:rFonts w:ascii="Times New Roman" w:hAnsi="Times New Roman"/>
                <w:bCs/>
                <w:szCs w:val="21"/>
              </w:rPr>
              <w:t>t/a</w:t>
            </w:r>
          </w:p>
        </w:tc>
        <w:tc>
          <w:tcPr>
            <w:tcW w:w="1716" w:type="dxa"/>
            <w:vAlign w:val="center"/>
          </w:tcPr>
          <w:p>
            <w:pPr>
              <w:adjustRightInd w:val="0"/>
              <w:snapToGrid w:val="0"/>
              <w:jc w:val="center"/>
              <w:rPr>
                <w:rFonts w:ascii="Times New Roman" w:hAnsi="Times New Roman"/>
                <w:szCs w:val="21"/>
              </w:rPr>
            </w:pPr>
            <w:r>
              <w:rPr>
                <w:rFonts w:ascii="Times New Roman" w:hAnsi="Times New Roman"/>
                <w:szCs w:val="21"/>
              </w:rPr>
              <w:t>0</w:t>
            </w:r>
          </w:p>
        </w:tc>
        <w:tc>
          <w:tcPr>
            <w:tcW w:w="5787" w:type="dxa"/>
            <w:gridSpan w:val="2"/>
            <w:vAlign w:val="center"/>
          </w:tcPr>
          <w:p>
            <w:pPr>
              <w:adjustRightInd w:val="0"/>
              <w:snapToGrid w:val="0"/>
              <w:jc w:val="center"/>
              <w:rPr>
                <w:rFonts w:ascii="Times New Roman" w:hAnsi="Times New Roman"/>
                <w:color w:val="000000"/>
                <w:szCs w:val="21"/>
              </w:rPr>
            </w:pPr>
            <w:r>
              <w:rPr>
                <w:rFonts w:ascii="Times New Roman" w:hAnsi="Times New Roman"/>
                <w:color w:val="000000"/>
                <w:szCs w:val="21"/>
              </w:rPr>
              <w:t>作为饲料</w:t>
            </w:r>
            <w:r>
              <w:rPr>
                <w:rFonts w:hint="eastAsia" w:ascii="Times New Roman" w:hAnsi="Times New Roman"/>
                <w:color w:val="000000"/>
                <w:szCs w:val="21"/>
                <w:lang w:eastAsia="zh-CN"/>
              </w:rPr>
              <w:t>回收</w:t>
            </w:r>
            <w:r>
              <w:rPr>
                <w:rFonts w:ascii="Times New Roman" w:hAnsi="Times New Roman"/>
                <w:color w:val="000000"/>
                <w:szCs w:val="21"/>
              </w:rPr>
              <w:t>利用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9" w:type="dxa"/>
            <w:vMerge w:val="continue"/>
            <w:vAlign w:val="center"/>
          </w:tcPr>
          <w:p>
            <w:pPr>
              <w:adjustRightInd w:val="0"/>
              <w:snapToGrid w:val="0"/>
              <w:jc w:val="center"/>
              <w:rPr>
                <w:rFonts w:ascii="Times New Roman" w:hAnsi="Times New Roman"/>
                <w:szCs w:val="21"/>
              </w:rPr>
            </w:pPr>
          </w:p>
        </w:tc>
        <w:tc>
          <w:tcPr>
            <w:tcW w:w="1586" w:type="dxa"/>
            <w:vAlign w:val="center"/>
          </w:tcPr>
          <w:p>
            <w:pPr>
              <w:adjustRightInd w:val="0"/>
              <w:snapToGrid w:val="0"/>
              <w:jc w:val="center"/>
              <w:rPr>
                <w:rFonts w:ascii="Times New Roman" w:hAnsi="Times New Roman"/>
                <w:szCs w:val="21"/>
              </w:rPr>
            </w:pPr>
            <w:r>
              <w:rPr>
                <w:rFonts w:ascii="Times New Roman" w:hAnsi="Times New Roman"/>
                <w:szCs w:val="21"/>
              </w:rPr>
              <w:t>办公生活区</w:t>
            </w:r>
          </w:p>
        </w:tc>
        <w:tc>
          <w:tcPr>
            <w:tcW w:w="1907" w:type="dxa"/>
            <w:vAlign w:val="center"/>
          </w:tcPr>
          <w:p>
            <w:pPr>
              <w:adjustRightInd w:val="0"/>
              <w:snapToGrid w:val="0"/>
              <w:jc w:val="center"/>
              <w:rPr>
                <w:rFonts w:ascii="Times New Roman" w:hAnsi="Times New Roman"/>
                <w:szCs w:val="21"/>
              </w:rPr>
            </w:pPr>
            <w:r>
              <w:rPr>
                <w:rFonts w:ascii="Times New Roman" w:hAnsi="Times New Roman"/>
                <w:szCs w:val="21"/>
              </w:rPr>
              <w:t>生活垃圾</w:t>
            </w:r>
          </w:p>
        </w:tc>
        <w:tc>
          <w:tcPr>
            <w:tcW w:w="1848" w:type="dxa"/>
            <w:vAlign w:val="center"/>
          </w:tcPr>
          <w:p>
            <w:pPr>
              <w:tabs>
                <w:tab w:val="left" w:pos="471"/>
              </w:tabs>
              <w:adjustRightInd w:val="0"/>
              <w:snapToGrid w:val="0"/>
              <w:jc w:val="center"/>
              <w:rPr>
                <w:rFonts w:ascii="Times New Roman" w:hAnsi="Times New Roman"/>
                <w:szCs w:val="21"/>
              </w:rPr>
            </w:pPr>
            <w:r>
              <w:rPr>
                <w:rFonts w:hint="eastAsia" w:ascii="Times New Roman" w:hAnsi="Times New Roman"/>
                <w:bCs/>
                <w:szCs w:val="21"/>
              </w:rPr>
              <w:t>1.278</w:t>
            </w:r>
            <w:r>
              <w:rPr>
                <w:rFonts w:ascii="Times New Roman" w:hAnsi="Times New Roman"/>
                <w:bCs/>
                <w:szCs w:val="21"/>
              </w:rPr>
              <w:t>t/a</w:t>
            </w:r>
          </w:p>
        </w:tc>
        <w:tc>
          <w:tcPr>
            <w:tcW w:w="1716" w:type="dxa"/>
            <w:vAlign w:val="center"/>
          </w:tcPr>
          <w:p>
            <w:pPr>
              <w:adjustRightInd w:val="0"/>
              <w:snapToGrid w:val="0"/>
              <w:jc w:val="center"/>
              <w:rPr>
                <w:rFonts w:ascii="Times New Roman" w:hAnsi="Times New Roman"/>
                <w:szCs w:val="21"/>
              </w:rPr>
            </w:pPr>
            <w:r>
              <w:rPr>
                <w:rFonts w:ascii="Times New Roman" w:hAnsi="Times New Roman"/>
                <w:szCs w:val="21"/>
              </w:rPr>
              <w:t>0</w:t>
            </w:r>
          </w:p>
        </w:tc>
        <w:tc>
          <w:tcPr>
            <w:tcW w:w="5787" w:type="dxa"/>
            <w:gridSpan w:val="2"/>
            <w:vAlign w:val="center"/>
          </w:tcPr>
          <w:p>
            <w:pPr>
              <w:adjustRightInd w:val="0"/>
              <w:snapToGrid w:val="0"/>
              <w:jc w:val="center"/>
              <w:rPr>
                <w:rFonts w:ascii="Times New Roman" w:hAnsi="Times New Roman"/>
                <w:szCs w:val="21"/>
              </w:rPr>
            </w:pPr>
            <w:r>
              <w:rPr>
                <w:rFonts w:ascii="Times New Roman" w:hAnsi="Times New Roman"/>
                <w:szCs w:val="21"/>
              </w:rPr>
              <w:t>及时清运至垃圾收集站统一处理</w:t>
            </w:r>
          </w:p>
        </w:tc>
      </w:tr>
    </w:tbl>
    <w:p>
      <w:pPr>
        <w:spacing w:line="540" w:lineRule="exact"/>
        <w:jc w:val="center"/>
        <w:rPr>
          <w:rFonts w:ascii="Times New Roman" w:hAnsi="Times New Roman"/>
          <w:bCs/>
          <w:sz w:val="24"/>
        </w:rPr>
      </w:pPr>
    </w:p>
    <w:p>
      <w:pPr>
        <w:spacing w:line="540" w:lineRule="exact"/>
        <w:jc w:val="center"/>
        <w:rPr>
          <w:rFonts w:ascii="Times New Roman" w:hAnsi="Times New Roman"/>
          <w:bCs/>
          <w:sz w:val="24"/>
        </w:rPr>
      </w:pPr>
    </w:p>
    <w:p>
      <w:pPr>
        <w:spacing w:line="540" w:lineRule="exact"/>
        <w:jc w:val="center"/>
        <w:rPr>
          <w:rFonts w:ascii="Times New Roman" w:hAnsi="Times New Roman"/>
          <w:b/>
          <w:sz w:val="24"/>
        </w:rPr>
      </w:pPr>
    </w:p>
    <w:p>
      <w:pPr>
        <w:spacing w:line="540" w:lineRule="exact"/>
        <w:jc w:val="center"/>
        <w:rPr>
          <w:rFonts w:ascii="Times New Roman" w:hAnsi="Times New Roman"/>
          <w:b/>
          <w:sz w:val="24"/>
        </w:rPr>
      </w:pPr>
      <w:r>
        <w:rPr>
          <w:rFonts w:ascii="Times New Roman" w:hAnsi="Times New Roman"/>
          <w:b/>
          <w:sz w:val="24"/>
        </w:rPr>
        <w:t>表</w:t>
      </w:r>
      <w:r>
        <w:rPr>
          <w:rFonts w:hint="eastAsia" w:ascii="Times New Roman" w:hAnsi="Times New Roman"/>
          <w:b/>
          <w:sz w:val="24"/>
          <w:lang w:val="en-US" w:eastAsia="zh-CN"/>
        </w:rPr>
        <w:t>9</w:t>
      </w:r>
      <w:r>
        <w:rPr>
          <w:rFonts w:ascii="Times New Roman" w:hAnsi="Times New Roman"/>
          <w:b/>
          <w:sz w:val="24"/>
        </w:rPr>
        <w:t>.</w:t>
      </w:r>
      <w:r>
        <w:rPr>
          <w:rFonts w:hint="eastAsia" w:ascii="Times New Roman" w:hAnsi="Times New Roman"/>
          <w:b/>
          <w:sz w:val="24"/>
        </w:rPr>
        <w:t>6</w:t>
      </w:r>
      <w:r>
        <w:rPr>
          <w:rFonts w:ascii="Times New Roman" w:hAnsi="Times New Roman"/>
          <w:b/>
          <w:sz w:val="24"/>
        </w:rPr>
        <w:t>-</w:t>
      </w:r>
      <w:r>
        <w:rPr>
          <w:rFonts w:hint="eastAsia" w:ascii="Times New Roman" w:hAnsi="Times New Roman"/>
          <w:b/>
          <w:sz w:val="24"/>
        </w:rPr>
        <w:t>3</w:t>
      </w:r>
      <w:r>
        <w:rPr>
          <w:rFonts w:ascii="Times New Roman" w:hAnsi="Times New Roman"/>
          <w:b/>
          <w:sz w:val="24"/>
        </w:rPr>
        <w:t xml:space="preserve">                                        项目噪声产（排）污一览表</w:t>
      </w:r>
    </w:p>
    <w:tbl>
      <w:tblPr>
        <w:tblStyle w:val="2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605"/>
        <w:gridCol w:w="1884"/>
        <w:gridCol w:w="1549"/>
        <w:gridCol w:w="3014"/>
        <w:gridCol w:w="2390"/>
        <w:gridCol w:w="31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605" w:type="dxa"/>
            <w:vAlign w:val="center"/>
          </w:tcPr>
          <w:p>
            <w:pPr>
              <w:adjustRightInd w:val="0"/>
              <w:snapToGrid w:val="0"/>
              <w:jc w:val="center"/>
              <w:rPr>
                <w:rFonts w:ascii="Times New Roman" w:hAnsi="Times New Roman"/>
                <w:szCs w:val="21"/>
              </w:rPr>
            </w:pPr>
            <w:r>
              <w:rPr>
                <w:rFonts w:ascii="Times New Roman" w:hAnsi="Times New Roman"/>
                <w:szCs w:val="21"/>
              </w:rPr>
              <w:t>种类</w:t>
            </w:r>
          </w:p>
        </w:tc>
        <w:tc>
          <w:tcPr>
            <w:tcW w:w="1884" w:type="dxa"/>
            <w:vAlign w:val="center"/>
          </w:tcPr>
          <w:p>
            <w:pPr>
              <w:adjustRightInd w:val="0"/>
              <w:snapToGrid w:val="0"/>
              <w:jc w:val="center"/>
              <w:rPr>
                <w:rFonts w:ascii="Times New Roman" w:hAnsi="Times New Roman"/>
                <w:szCs w:val="21"/>
              </w:rPr>
            </w:pPr>
            <w:r>
              <w:rPr>
                <w:rFonts w:ascii="Times New Roman" w:hAnsi="Times New Roman"/>
                <w:szCs w:val="21"/>
              </w:rPr>
              <w:t>污染物来源</w:t>
            </w:r>
          </w:p>
        </w:tc>
        <w:tc>
          <w:tcPr>
            <w:tcW w:w="1549" w:type="dxa"/>
            <w:vAlign w:val="center"/>
          </w:tcPr>
          <w:p>
            <w:pPr>
              <w:adjustRightInd w:val="0"/>
              <w:snapToGrid w:val="0"/>
              <w:jc w:val="center"/>
              <w:rPr>
                <w:rFonts w:ascii="Times New Roman" w:hAnsi="Times New Roman"/>
                <w:szCs w:val="21"/>
              </w:rPr>
            </w:pPr>
            <w:r>
              <w:rPr>
                <w:rFonts w:ascii="Times New Roman" w:hAnsi="Times New Roman"/>
                <w:szCs w:val="21"/>
              </w:rPr>
              <w:t>产生方式</w:t>
            </w:r>
          </w:p>
        </w:tc>
        <w:tc>
          <w:tcPr>
            <w:tcW w:w="3014" w:type="dxa"/>
            <w:vAlign w:val="center"/>
          </w:tcPr>
          <w:p>
            <w:pPr>
              <w:adjustRightInd w:val="0"/>
              <w:snapToGrid w:val="0"/>
              <w:jc w:val="center"/>
              <w:rPr>
                <w:rFonts w:ascii="Times New Roman" w:hAnsi="Times New Roman"/>
                <w:szCs w:val="21"/>
              </w:rPr>
            </w:pPr>
            <w:r>
              <w:rPr>
                <w:rFonts w:ascii="Times New Roman" w:hAnsi="Times New Roman"/>
                <w:szCs w:val="21"/>
              </w:rPr>
              <w:t>源强（dB（A））</w:t>
            </w:r>
          </w:p>
        </w:tc>
        <w:tc>
          <w:tcPr>
            <w:tcW w:w="2390" w:type="dxa"/>
            <w:vAlign w:val="center"/>
          </w:tcPr>
          <w:p>
            <w:pPr>
              <w:adjustRightInd w:val="0"/>
              <w:snapToGrid w:val="0"/>
              <w:jc w:val="center"/>
              <w:rPr>
                <w:rFonts w:ascii="Times New Roman" w:hAnsi="Times New Roman"/>
                <w:szCs w:val="21"/>
              </w:rPr>
            </w:pPr>
            <w:r>
              <w:rPr>
                <w:rFonts w:ascii="Times New Roman" w:hAnsi="Times New Roman"/>
                <w:szCs w:val="21"/>
              </w:rPr>
              <w:t>治理措施</w:t>
            </w:r>
          </w:p>
        </w:tc>
        <w:tc>
          <w:tcPr>
            <w:tcW w:w="3104" w:type="dxa"/>
          </w:tcPr>
          <w:p>
            <w:pPr>
              <w:adjustRightInd w:val="0"/>
              <w:snapToGrid w:val="0"/>
              <w:jc w:val="center"/>
              <w:rPr>
                <w:rFonts w:ascii="Times New Roman" w:hAnsi="Times New Roman"/>
                <w:szCs w:val="21"/>
              </w:rPr>
            </w:pPr>
            <w:r>
              <w:rPr>
                <w:rFonts w:ascii="Times New Roman" w:hAnsi="Times New Roman"/>
                <w:szCs w:val="21"/>
              </w:rPr>
              <w:t>降噪后源强（dB（A））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605" w:type="dxa"/>
            <w:vAlign w:val="center"/>
          </w:tcPr>
          <w:p>
            <w:pPr>
              <w:adjustRightInd w:val="0"/>
              <w:snapToGrid w:val="0"/>
              <w:jc w:val="center"/>
              <w:rPr>
                <w:rFonts w:ascii="Times New Roman" w:hAnsi="Times New Roman"/>
                <w:szCs w:val="21"/>
              </w:rPr>
            </w:pPr>
            <w:r>
              <w:rPr>
                <w:rFonts w:ascii="Times New Roman" w:hAnsi="Times New Roman"/>
                <w:szCs w:val="21"/>
              </w:rPr>
              <w:t>牛叫</w:t>
            </w:r>
          </w:p>
        </w:tc>
        <w:tc>
          <w:tcPr>
            <w:tcW w:w="1884" w:type="dxa"/>
            <w:vAlign w:val="center"/>
          </w:tcPr>
          <w:p>
            <w:pPr>
              <w:adjustRightInd w:val="0"/>
              <w:snapToGrid w:val="0"/>
              <w:jc w:val="center"/>
              <w:rPr>
                <w:rFonts w:ascii="Times New Roman" w:hAnsi="Times New Roman"/>
                <w:szCs w:val="21"/>
              </w:rPr>
            </w:pPr>
            <w:r>
              <w:rPr>
                <w:rFonts w:ascii="Times New Roman" w:hAnsi="Times New Roman"/>
                <w:szCs w:val="21"/>
              </w:rPr>
              <w:t>牛棚</w:t>
            </w:r>
          </w:p>
        </w:tc>
        <w:tc>
          <w:tcPr>
            <w:tcW w:w="1549" w:type="dxa"/>
            <w:vAlign w:val="center"/>
          </w:tcPr>
          <w:p>
            <w:pPr>
              <w:adjustRightInd w:val="0"/>
              <w:snapToGrid w:val="0"/>
              <w:jc w:val="center"/>
              <w:rPr>
                <w:rFonts w:ascii="Times New Roman" w:hAnsi="Times New Roman"/>
                <w:szCs w:val="21"/>
              </w:rPr>
            </w:pPr>
            <w:r>
              <w:rPr>
                <w:rFonts w:ascii="Times New Roman" w:hAnsi="Times New Roman"/>
                <w:szCs w:val="21"/>
              </w:rPr>
              <w:t>间断</w:t>
            </w:r>
          </w:p>
        </w:tc>
        <w:tc>
          <w:tcPr>
            <w:tcW w:w="3014" w:type="dxa"/>
            <w:vAlign w:val="center"/>
          </w:tcPr>
          <w:p>
            <w:pPr>
              <w:adjustRightInd w:val="0"/>
              <w:snapToGrid w:val="0"/>
              <w:jc w:val="center"/>
              <w:rPr>
                <w:rFonts w:ascii="Times New Roman" w:hAnsi="Times New Roman"/>
                <w:szCs w:val="21"/>
              </w:rPr>
            </w:pPr>
            <w:r>
              <w:rPr>
                <w:rFonts w:ascii="Times New Roman" w:hAnsi="Times New Roman"/>
                <w:szCs w:val="21"/>
              </w:rPr>
              <w:t>60-70</w:t>
            </w:r>
          </w:p>
        </w:tc>
        <w:tc>
          <w:tcPr>
            <w:tcW w:w="2390" w:type="dxa"/>
            <w:vAlign w:val="center"/>
          </w:tcPr>
          <w:p>
            <w:pPr>
              <w:adjustRightInd w:val="0"/>
              <w:snapToGrid w:val="0"/>
              <w:jc w:val="center"/>
              <w:rPr>
                <w:rFonts w:ascii="Times New Roman" w:hAnsi="Times New Roman"/>
                <w:szCs w:val="21"/>
              </w:rPr>
            </w:pPr>
            <w:r>
              <w:rPr>
                <w:rFonts w:ascii="Times New Roman" w:hAnsi="Times New Roman"/>
                <w:szCs w:val="21"/>
              </w:rPr>
              <w:t>/</w:t>
            </w:r>
          </w:p>
        </w:tc>
        <w:tc>
          <w:tcPr>
            <w:tcW w:w="3104" w:type="dxa"/>
            <w:vAlign w:val="center"/>
          </w:tcPr>
          <w:p>
            <w:pPr>
              <w:adjustRightInd w:val="0"/>
              <w:snapToGrid w:val="0"/>
              <w:jc w:val="center"/>
              <w:rPr>
                <w:rFonts w:ascii="Times New Roman" w:hAnsi="Times New Roman"/>
                <w:kern w:val="0"/>
                <w:szCs w:val="21"/>
              </w:rPr>
            </w:pPr>
            <w:r>
              <w:rPr>
                <w:rFonts w:ascii="Times New Roman" w:hAnsi="Times New Roman"/>
                <w:kern w:val="0"/>
                <w:szCs w:val="21"/>
              </w:rPr>
              <w:t>60-70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605" w:type="dxa"/>
            <w:vAlign w:val="center"/>
          </w:tcPr>
          <w:p>
            <w:pPr>
              <w:adjustRightInd w:val="0"/>
              <w:snapToGrid w:val="0"/>
              <w:jc w:val="center"/>
              <w:rPr>
                <w:rFonts w:ascii="Times New Roman" w:hAnsi="Times New Roman"/>
                <w:szCs w:val="21"/>
              </w:rPr>
            </w:pPr>
            <w:r>
              <w:rPr>
                <w:rFonts w:ascii="Times New Roman" w:hAnsi="Times New Roman"/>
                <w:szCs w:val="21"/>
              </w:rPr>
              <w:t>TMR混合搅拌机</w:t>
            </w:r>
          </w:p>
        </w:tc>
        <w:tc>
          <w:tcPr>
            <w:tcW w:w="1884" w:type="dxa"/>
            <w:vAlign w:val="center"/>
          </w:tcPr>
          <w:p>
            <w:pPr>
              <w:adjustRightInd w:val="0"/>
              <w:snapToGrid w:val="0"/>
              <w:jc w:val="center"/>
              <w:rPr>
                <w:rFonts w:ascii="Times New Roman" w:hAnsi="Times New Roman"/>
                <w:szCs w:val="21"/>
              </w:rPr>
            </w:pPr>
            <w:r>
              <w:rPr>
                <w:rFonts w:ascii="Times New Roman" w:hAnsi="Times New Roman"/>
                <w:szCs w:val="21"/>
              </w:rPr>
              <w:t>饲料加工</w:t>
            </w:r>
          </w:p>
        </w:tc>
        <w:tc>
          <w:tcPr>
            <w:tcW w:w="1549" w:type="dxa"/>
            <w:vAlign w:val="center"/>
          </w:tcPr>
          <w:p>
            <w:pPr>
              <w:adjustRightInd w:val="0"/>
              <w:snapToGrid w:val="0"/>
              <w:jc w:val="center"/>
              <w:rPr>
                <w:rFonts w:ascii="Times New Roman" w:hAnsi="Times New Roman"/>
                <w:szCs w:val="21"/>
              </w:rPr>
            </w:pPr>
            <w:r>
              <w:rPr>
                <w:rFonts w:ascii="Times New Roman" w:hAnsi="Times New Roman"/>
                <w:szCs w:val="21"/>
              </w:rPr>
              <w:t>间断</w:t>
            </w:r>
          </w:p>
        </w:tc>
        <w:tc>
          <w:tcPr>
            <w:tcW w:w="3014" w:type="dxa"/>
            <w:vAlign w:val="center"/>
          </w:tcPr>
          <w:p>
            <w:pPr>
              <w:adjustRightInd w:val="0"/>
              <w:snapToGrid w:val="0"/>
              <w:jc w:val="center"/>
              <w:rPr>
                <w:rFonts w:ascii="Times New Roman" w:hAnsi="Times New Roman"/>
                <w:szCs w:val="21"/>
              </w:rPr>
            </w:pPr>
            <w:r>
              <w:rPr>
                <w:rFonts w:ascii="Times New Roman" w:hAnsi="Times New Roman"/>
                <w:szCs w:val="21"/>
              </w:rPr>
              <w:t>80-90</w:t>
            </w:r>
          </w:p>
        </w:tc>
        <w:tc>
          <w:tcPr>
            <w:tcW w:w="2390" w:type="dxa"/>
            <w:vMerge w:val="restart"/>
            <w:vAlign w:val="center"/>
          </w:tcPr>
          <w:p>
            <w:pPr>
              <w:adjustRightInd w:val="0"/>
              <w:snapToGrid w:val="0"/>
              <w:jc w:val="center"/>
              <w:rPr>
                <w:rFonts w:ascii="Times New Roman" w:hAnsi="Times New Roman"/>
                <w:szCs w:val="21"/>
              </w:rPr>
            </w:pPr>
            <w:r>
              <w:rPr>
                <w:rFonts w:ascii="Times New Roman" w:hAnsi="Times New Roman"/>
                <w:szCs w:val="21"/>
              </w:rPr>
              <w:t>基础减振、墙体隔声等措施</w:t>
            </w:r>
          </w:p>
        </w:tc>
        <w:tc>
          <w:tcPr>
            <w:tcW w:w="3104" w:type="dxa"/>
            <w:vAlign w:val="center"/>
          </w:tcPr>
          <w:p>
            <w:pPr>
              <w:adjustRightInd w:val="0"/>
              <w:snapToGrid w:val="0"/>
              <w:jc w:val="center"/>
              <w:rPr>
                <w:rFonts w:ascii="Times New Roman" w:hAnsi="Times New Roman"/>
                <w:kern w:val="0"/>
                <w:szCs w:val="21"/>
              </w:rPr>
            </w:pPr>
            <w:r>
              <w:rPr>
                <w:rFonts w:ascii="Times New Roman" w:hAnsi="Times New Roman"/>
                <w:kern w:val="0"/>
                <w:szCs w:val="21"/>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605" w:type="dxa"/>
            <w:vAlign w:val="center"/>
          </w:tcPr>
          <w:p>
            <w:pPr>
              <w:adjustRightInd w:val="0"/>
              <w:snapToGrid w:val="0"/>
              <w:jc w:val="center"/>
              <w:rPr>
                <w:rFonts w:ascii="Times New Roman" w:hAnsi="Times New Roman"/>
                <w:szCs w:val="21"/>
              </w:rPr>
            </w:pPr>
            <w:r>
              <w:rPr>
                <w:rFonts w:ascii="Times New Roman" w:hAnsi="Times New Roman"/>
                <w:szCs w:val="21"/>
              </w:rPr>
              <w:t>粉碎机</w:t>
            </w:r>
          </w:p>
        </w:tc>
        <w:tc>
          <w:tcPr>
            <w:tcW w:w="1884" w:type="dxa"/>
            <w:vAlign w:val="center"/>
          </w:tcPr>
          <w:p>
            <w:pPr>
              <w:adjustRightInd w:val="0"/>
              <w:snapToGrid w:val="0"/>
              <w:jc w:val="center"/>
              <w:rPr>
                <w:rFonts w:ascii="Times New Roman" w:hAnsi="Times New Roman"/>
                <w:szCs w:val="21"/>
              </w:rPr>
            </w:pPr>
            <w:r>
              <w:rPr>
                <w:rFonts w:ascii="Times New Roman" w:hAnsi="Times New Roman"/>
                <w:szCs w:val="21"/>
              </w:rPr>
              <w:t>饲料加工</w:t>
            </w:r>
          </w:p>
        </w:tc>
        <w:tc>
          <w:tcPr>
            <w:tcW w:w="1549" w:type="dxa"/>
            <w:vAlign w:val="center"/>
          </w:tcPr>
          <w:p>
            <w:pPr>
              <w:adjustRightInd w:val="0"/>
              <w:snapToGrid w:val="0"/>
              <w:jc w:val="center"/>
              <w:rPr>
                <w:rFonts w:ascii="Times New Roman" w:hAnsi="Times New Roman"/>
                <w:szCs w:val="21"/>
              </w:rPr>
            </w:pPr>
            <w:r>
              <w:rPr>
                <w:rFonts w:ascii="Times New Roman" w:hAnsi="Times New Roman"/>
                <w:szCs w:val="21"/>
              </w:rPr>
              <w:t>间断</w:t>
            </w:r>
          </w:p>
        </w:tc>
        <w:tc>
          <w:tcPr>
            <w:tcW w:w="3014" w:type="dxa"/>
            <w:vAlign w:val="center"/>
          </w:tcPr>
          <w:p>
            <w:pPr>
              <w:adjustRightInd w:val="0"/>
              <w:snapToGrid w:val="0"/>
              <w:jc w:val="center"/>
              <w:rPr>
                <w:rFonts w:ascii="Times New Roman" w:hAnsi="Times New Roman"/>
                <w:szCs w:val="21"/>
              </w:rPr>
            </w:pPr>
            <w:r>
              <w:rPr>
                <w:rFonts w:ascii="Times New Roman" w:hAnsi="Times New Roman"/>
                <w:szCs w:val="21"/>
              </w:rPr>
              <w:t>80-90</w:t>
            </w:r>
          </w:p>
        </w:tc>
        <w:tc>
          <w:tcPr>
            <w:tcW w:w="2390" w:type="dxa"/>
            <w:vMerge w:val="continue"/>
            <w:vAlign w:val="center"/>
          </w:tcPr>
          <w:p>
            <w:pPr>
              <w:adjustRightInd w:val="0"/>
              <w:snapToGrid w:val="0"/>
              <w:jc w:val="center"/>
              <w:rPr>
                <w:rFonts w:ascii="Times New Roman" w:hAnsi="Times New Roman"/>
                <w:szCs w:val="21"/>
              </w:rPr>
            </w:pPr>
          </w:p>
        </w:tc>
        <w:tc>
          <w:tcPr>
            <w:tcW w:w="3104" w:type="dxa"/>
            <w:vAlign w:val="center"/>
          </w:tcPr>
          <w:p>
            <w:pPr>
              <w:adjustRightInd w:val="0"/>
              <w:snapToGrid w:val="0"/>
              <w:jc w:val="center"/>
              <w:rPr>
                <w:rFonts w:ascii="Times New Roman" w:hAnsi="Times New Roman"/>
                <w:kern w:val="0"/>
                <w:szCs w:val="21"/>
              </w:rPr>
            </w:pPr>
            <w:r>
              <w:rPr>
                <w:rFonts w:ascii="Times New Roman" w:hAnsi="Times New Roman"/>
                <w:kern w:val="0"/>
                <w:szCs w:val="21"/>
              </w:rPr>
              <w:t>70</w:t>
            </w:r>
          </w:p>
        </w:tc>
      </w:tr>
    </w:tbl>
    <w:p>
      <w:pPr>
        <w:pStyle w:val="41"/>
        <w:spacing w:line="540" w:lineRule="exact"/>
        <w:ind w:firstLine="0"/>
        <w:rPr>
          <w:rFonts w:eastAsia="宋体"/>
          <w:bCs/>
          <w:sz w:val="24"/>
        </w:rPr>
      </w:pPr>
    </w:p>
    <w:p>
      <w:pPr>
        <w:spacing w:line="540" w:lineRule="exact"/>
        <w:jc w:val="center"/>
        <w:rPr>
          <w:rFonts w:ascii="Times New Roman" w:hAnsi="Times New Roman"/>
        </w:rPr>
      </w:pPr>
    </w:p>
    <w:p>
      <w:pPr>
        <w:pStyle w:val="11"/>
        <w:adjustRightInd w:val="0"/>
        <w:snapToGrid w:val="0"/>
        <w:spacing w:after="0" w:line="540" w:lineRule="exact"/>
        <w:ind w:firstLine="480" w:firstLineChars="200"/>
        <w:jc w:val="center"/>
        <w:rPr>
          <w:rFonts w:ascii="Times New Roman" w:hAnsi="Times New Roman"/>
          <w:sz w:val="24"/>
          <w:szCs w:val="22"/>
        </w:rPr>
        <w:sectPr>
          <w:headerReference r:id="rId12" w:type="default"/>
          <w:pgSz w:w="16838" w:h="11911" w:orient="landscape"/>
          <w:pgMar w:top="1417" w:right="1701" w:bottom="1417" w:left="1701" w:header="1134" w:footer="1134" w:gutter="0"/>
          <w:pgBorders>
            <w:top w:val="none" w:sz="0" w:space="0"/>
            <w:left w:val="none" w:sz="0" w:space="0"/>
            <w:bottom w:val="none" w:sz="0" w:space="0"/>
            <w:right w:val="none" w:sz="0" w:space="0"/>
          </w:pgBorders>
          <w:cols w:space="720" w:num="1"/>
          <w:docGrid w:linePitch="312" w:charSpace="0"/>
        </w:sectPr>
      </w:pPr>
    </w:p>
    <w:bookmarkEnd w:id="874"/>
    <w:p>
      <w:pPr>
        <w:pStyle w:val="45"/>
        <w:snapToGrid w:val="0"/>
        <w:spacing w:before="240" w:beforeLines="100" w:after="120" w:afterLines="50" w:line="540" w:lineRule="exact"/>
        <w:contextualSpacing/>
        <w:rPr>
          <w:bCs w:val="0"/>
          <w:snapToGrid w:val="0"/>
          <w:kern w:val="0"/>
          <w:sz w:val="28"/>
          <w:szCs w:val="28"/>
        </w:rPr>
      </w:pPr>
      <w:bookmarkStart w:id="1021" w:name="_Toc25878"/>
      <w:bookmarkStart w:id="1022" w:name="_Toc20117"/>
      <w:bookmarkStart w:id="1023" w:name="_Toc6195"/>
      <w:bookmarkStart w:id="1024" w:name="_Toc10244"/>
      <w:bookmarkStart w:id="1025" w:name="_Toc24269"/>
      <w:bookmarkStart w:id="1026" w:name="_Toc28346"/>
      <w:bookmarkStart w:id="1027" w:name="_Toc8080"/>
      <w:bookmarkStart w:id="1028" w:name="_Toc22556"/>
      <w:bookmarkStart w:id="1029" w:name="_Toc407551942"/>
      <w:r>
        <w:rPr>
          <w:bCs w:val="0"/>
          <w:snapToGrid w:val="0"/>
          <w:kern w:val="0"/>
          <w:sz w:val="28"/>
          <w:szCs w:val="28"/>
        </w:rPr>
        <w:t>10结论与建议</w:t>
      </w:r>
      <w:bookmarkEnd w:id="1021"/>
      <w:bookmarkEnd w:id="1022"/>
      <w:bookmarkEnd w:id="1023"/>
      <w:bookmarkEnd w:id="1024"/>
      <w:bookmarkEnd w:id="1025"/>
      <w:bookmarkEnd w:id="1026"/>
      <w:bookmarkEnd w:id="1027"/>
      <w:bookmarkEnd w:id="1028"/>
    </w:p>
    <w:p>
      <w:pPr>
        <w:pStyle w:val="51"/>
        <w:snapToGrid w:val="0"/>
        <w:spacing w:before="120" w:beforeLines="50" w:after="120" w:afterLines="50" w:line="540" w:lineRule="exact"/>
        <w:contextualSpacing/>
        <w:rPr>
          <w:rFonts w:cs="Times New Roman"/>
          <w:bCs w:val="0"/>
          <w:snapToGrid w:val="0"/>
          <w:kern w:val="0"/>
        </w:rPr>
      </w:pPr>
      <w:bookmarkStart w:id="1030" w:name="_Toc23271"/>
      <w:bookmarkStart w:id="1031" w:name="_Toc27778"/>
      <w:bookmarkStart w:id="1032" w:name="_Toc27088"/>
      <w:bookmarkStart w:id="1033" w:name="_Toc1636"/>
      <w:bookmarkStart w:id="1034" w:name="_Toc13178"/>
      <w:bookmarkStart w:id="1035" w:name="_Toc27040"/>
      <w:bookmarkStart w:id="1036" w:name="_Toc14144"/>
      <w:bookmarkStart w:id="1037" w:name="_Toc12362"/>
      <w:r>
        <w:rPr>
          <w:rFonts w:cs="Times New Roman"/>
          <w:bCs w:val="0"/>
          <w:snapToGrid w:val="0"/>
          <w:kern w:val="0"/>
        </w:rPr>
        <w:t>10.1项目基本情况</w:t>
      </w:r>
      <w:bookmarkEnd w:id="1030"/>
      <w:bookmarkEnd w:id="1031"/>
      <w:bookmarkEnd w:id="1032"/>
      <w:bookmarkEnd w:id="1033"/>
      <w:bookmarkEnd w:id="1034"/>
      <w:bookmarkEnd w:id="1035"/>
      <w:bookmarkEnd w:id="1036"/>
      <w:bookmarkEnd w:id="1037"/>
    </w:p>
    <w:p>
      <w:pPr>
        <w:adjustRightInd w:val="0"/>
        <w:snapToGrid w:val="0"/>
        <w:spacing w:line="540" w:lineRule="exact"/>
        <w:ind w:firstLine="480" w:firstLineChars="200"/>
        <w:rPr>
          <w:rFonts w:ascii="Times New Roman" w:hAnsi="Times New Roman"/>
          <w:sz w:val="24"/>
          <w:lang w:val="zh-CN"/>
        </w:rPr>
      </w:pPr>
      <w:r>
        <w:rPr>
          <w:rFonts w:ascii="Times New Roman" w:hAnsi="Times New Roman"/>
          <w:sz w:val="24"/>
          <w:lang w:val="zh-CN"/>
        </w:rPr>
        <w:t>本项目建设地点位于</w:t>
      </w:r>
      <w:r>
        <w:rPr>
          <w:rFonts w:hint="eastAsia" w:ascii="Times New Roman" w:hAnsi="Times New Roman"/>
          <w:bCs/>
          <w:iCs/>
          <w:color w:val="000000"/>
        </w:rPr>
        <w:t>固原市隆德县神林乡神林村</w:t>
      </w:r>
      <w:r>
        <w:rPr>
          <w:rFonts w:ascii="Times New Roman" w:hAnsi="Times New Roman"/>
          <w:sz w:val="24"/>
        </w:rPr>
        <w:t>。</w:t>
      </w:r>
      <w:r>
        <w:rPr>
          <w:rFonts w:ascii="Times New Roman" w:hAnsi="Times New Roman"/>
          <w:sz w:val="24"/>
          <w:lang w:val="zh-CN"/>
        </w:rPr>
        <w:t>项目总用地面积为</w:t>
      </w:r>
      <w:r>
        <w:rPr>
          <w:rFonts w:hint="eastAsia" w:ascii="Times New Roman" w:hAnsi="Times New Roman"/>
          <w:sz w:val="24"/>
          <w:lang w:val="en-US" w:eastAsia="zh-CN"/>
        </w:rPr>
        <w:t>3</w:t>
      </w:r>
      <w:r>
        <w:rPr>
          <w:rFonts w:hint="eastAsia" w:ascii="Times New Roman" w:hAnsi="Times New Roman"/>
          <w:snapToGrid w:val="0"/>
          <w:sz w:val="24"/>
          <w:szCs w:val="32"/>
        </w:rPr>
        <w:t>1432</w:t>
      </w:r>
      <w:r>
        <w:rPr>
          <w:rFonts w:ascii="Times New Roman" w:hAnsi="Times New Roman"/>
          <w:sz w:val="24"/>
          <w:lang w:val="zh-CN"/>
        </w:rPr>
        <w:t>m</w:t>
      </w:r>
      <w:r>
        <w:rPr>
          <w:rFonts w:ascii="Times New Roman" w:hAnsi="Times New Roman"/>
          <w:sz w:val="24"/>
          <w:vertAlign w:val="superscript"/>
          <w:lang w:val="zh-CN"/>
        </w:rPr>
        <w:t>2</w:t>
      </w:r>
      <w:r>
        <w:rPr>
          <w:rFonts w:ascii="Times New Roman" w:hAnsi="Times New Roman"/>
          <w:sz w:val="24"/>
          <w:lang w:val="zh-CN"/>
        </w:rPr>
        <w:t>，约合</w:t>
      </w:r>
      <w:r>
        <w:rPr>
          <w:rFonts w:hint="eastAsia" w:ascii="Times New Roman" w:hAnsi="Times New Roman"/>
          <w:sz w:val="24"/>
          <w:lang w:val="en-US" w:eastAsia="zh-CN"/>
        </w:rPr>
        <w:t>47</w:t>
      </w:r>
      <w:r>
        <w:rPr>
          <w:rFonts w:hint="eastAsia" w:ascii="Times New Roman" w:hAnsi="Times New Roman"/>
          <w:sz w:val="24"/>
        </w:rPr>
        <w:t>亩</w:t>
      </w:r>
      <w:r>
        <w:rPr>
          <w:rFonts w:ascii="Times New Roman" w:hAnsi="Times New Roman"/>
          <w:sz w:val="24"/>
          <w:lang w:val="zh-CN"/>
        </w:rPr>
        <w:t>。</w:t>
      </w:r>
    </w:p>
    <w:p>
      <w:pPr>
        <w:pStyle w:val="51"/>
        <w:snapToGrid w:val="0"/>
        <w:spacing w:before="120" w:beforeLines="50" w:after="120" w:afterLines="50" w:line="540" w:lineRule="exact"/>
        <w:contextualSpacing/>
        <w:rPr>
          <w:rFonts w:cs="Times New Roman"/>
          <w:bCs w:val="0"/>
          <w:snapToGrid w:val="0"/>
          <w:kern w:val="0"/>
        </w:rPr>
      </w:pPr>
      <w:bookmarkStart w:id="1038" w:name="_Toc31646"/>
      <w:bookmarkStart w:id="1039" w:name="_Toc17717"/>
      <w:bookmarkStart w:id="1040" w:name="_Toc29007"/>
      <w:bookmarkStart w:id="1041" w:name="_Toc12045"/>
      <w:bookmarkStart w:id="1042" w:name="_Toc15520"/>
      <w:bookmarkStart w:id="1043" w:name="_Toc10540"/>
      <w:bookmarkStart w:id="1044" w:name="_Toc13805"/>
      <w:bookmarkStart w:id="1045" w:name="_Toc4618"/>
      <w:r>
        <w:rPr>
          <w:rFonts w:cs="Times New Roman"/>
          <w:bCs w:val="0"/>
          <w:snapToGrid w:val="0"/>
          <w:kern w:val="0"/>
        </w:rPr>
        <w:t>10.2产业政策符合性分析</w:t>
      </w:r>
      <w:bookmarkEnd w:id="1038"/>
      <w:bookmarkEnd w:id="1039"/>
      <w:bookmarkEnd w:id="1040"/>
      <w:bookmarkEnd w:id="1041"/>
      <w:bookmarkEnd w:id="1042"/>
      <w:bookmarkEnd w:id="1043"/>
      <w:bookmarkEnd w:id="1044"/>
      <w:bookmarkEnd w:id="1045"/>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lang w:val="zh-CN"/>
        </w:rPr>
        <w:t>⑴</w:t>
      </w:r>
      <w:r>
        <w:rPr>
          <w:rFonts w:ascii="Times New Roman" w:hAnsi="Times New Roman"/>
          <w:sz w:val="24"/>
        </w:rPr>
        <w:fldChar w:fldCharType="end"/>
      </w:r>
      <w:r>
        <w:rPr>
          <w:rFonts w:ascii="Times New Roman" w:hAnsi="Times New Roman"/>
          <w:sz w:val="24"/>
        </w:rPr>
        <w:t>与《产业结构调整指导目录（2019年本）》的相符性</w:t>
      </w:r>
    </w:p>
    <w:p>
      <w:pPr>
        <w:adjustRightInd w:val="0"/>
        <w:snapToGrid w:val="0"/>
        <w:spacing w:line="540" w:lineRule="exact"/>
        <w:ind w:firstLine="480" w:firstLineChars="200"/>
        <w:rPr>
          <w:rFonts w:ascii="Times New Roman" w:hAnsi="Times New Roman"/>
          <w:sz w:val="24"/>
          <w:lang w:val="zh-CN"/>
        </w:rPr>
      </w:pPr>
      <w:r>
        <w:rPr>
          <w:rFonts w:ascii="Times New Roman" w:hAnsi="Times New Roman"/>
          <w:sz w:val="24"/>
          <w:lang w:val="zh-CN"/>
        </w:rPr>
        <w:t>本项目属于畜禽标准化规模养殖</w:t>
      </w:r>
      <w:r>
        <w:rPr>
          <w:rFonts w:ascii="Times New Roman" w:hAnsi="Times New Roman"/>
          <w:sz w:val="24"/>
        </w:rPr>
        <w:t>场建设</w:t>
      </w:r>
      <w:r>
        <w:rPr>
          <w:rFonts w:ascii="Times New Roman" w:hAnsi="Times New Roman"/>
          <w:sz w:val="24"/>
          <w:lang w:val="zh-CN"/>
        </w:rPr>
        <w:t>，根据《产业结构调整指导目录（201</w:t>
      </w:r>
      <w:r>
        <w:rPr>
          <w:rFonts w:ascii="Times New Roman" w:hAnsi="Times New Roman"/>
          <w:sz w:val="24"/>
        </w:rPr>
        <w:t>9</w:t>
      </w:r>
      <w:r>
        <w:rPr>
          <w:rFonts w:ascii="Times New Roman" w:hAnsi="Times New Roman"/>
          <w:sz w:val="24"/>
          <w:lang w:val="zh-CN"/>
        </w:rPr>
        <w:t>年本）》，本项目不属于鼓励、限制类、淘汰类，属于允许类项目，场区未使用淘汰类设备。因此本项目建设符合国家产业政策。</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lang w:val="zh-CN"/>
        </w:rPr>
        <w:t>⑵</w:t>
      </w:r>
      <w:r>
        <w:rPr>
          <w:rFonts w:ascii="Times New Roman" w:hAnsi="Times New Roman"/>
          <w:sz w:val="24"/>
        </w:rPr>
        <w:fldChar w:fldCharType="end"/>
      </w:r>
      <w:r>
        <w:rPr>
          <w:rFonts w:ascii="Times New Roman" w:hAnsi="Times New Roman"/>
          <w:sz w:val="24"/>
        </w:rPr>
        <w:t>本项目的建设符合</w:t>
      </w:r>
      <w:r>
        <w:rPr>
          <w:rFonts w:hint="eastAsia" w:ascii="Times New Roman" w:hAnsi="Times New Roman"/>
          <w:sz w:val="24"/>
        </w:rPr>
        <w:t>《“十四五”推进农业农村现代化规划》</w:t>
      </w:r>
      <w:r>
        <w:rPr>
          <w:rFonts w:ascii="Times New Roman" w:hAnsi="Times New Roman"/>
          <w:sz w:val="24"/>
        </w:rPr>
        <w:t>、</w:t>
      </w:r>
      <w:r>
        <w:rPr>
          <w:rFonts w:hint="eastAsia" w:ascii="Times New Roman" w:hAnsi="Times New Roman"/>
          <w:sz w:val="24"/>
        </w:rPr>
        <w:t>《宁夏回族自治区农业农村现代化发展“十四五”规划》</w:t>
      </w:r>
      <w:r>
        <w:rPr>
          <w:rFonts w:ascii="Times New Roman" w:hAnsi="Times New Roman"/>
          <w:sz w:val="24"/>
        </w:rPr>
        <w:t>、“三线一单”的相关要求。</w:t>
      </w:r>
    </w:p>
    <w:p>
      <w:pPr>
        <w:adjustRightInd w:val="0"/>
        <w:snapToGrid w:val="0"/>
        <w:spacing w:line="540" w:lineRule="exact"/>
        <w:ind w:firstLine="480" w:firstLineChars="200"/>
        <w:rPr>
          <w:rFonts w:ascii="Times New Roman" w:hAnsi="Times New Roman"/>
          <w:sz w:val="24"/>
          <w:lang w:val="zh-CN"/>
        </w:rPr>
      </w:pPr>
      <w:r>
        <w:rPr>
          <w:rFonts w:ascii="Times New Roman" w:hAnsi="Times New Roman"/>
          <w:sz w:val="24"/>
        </w:rPr>
        <w:t>综上所述，项目符合国家和地方产业政策。</w:t>
      </w:r>
    </w:p>
    <w:p>
      <w:pPr>
        <w:pStyle w:val="51"/>
        <w:snapToGrid w:val="0"/>
        <w:spacing w:before="120" w:beforeLines="50" w:after="120" w:afterLines="50" w:line="540" w:lineRule="exact"/>
        <w:contextualSpacing/>
        <w:rPr>
          <w:rFonts w:cs="Times New Roman"/>
          <w:bCs w:val="0"/>
          <w:snapToGrid w:val="0"/>
          <w:kern w:val="0"/>
        </w:rPr>
      </w:pPr>
      <w:bookmarkStart w:id="1046" w:name="_Toc29244"/>
      <w:bookmarkStart w:id="1047" w:name="_Toc12724"/>
      <w:bookmarkStart w:id="1048" w:name="_Toc24628"/>
      <w:bookmarkStart w:id="1049" w:name="_Toc1946"/>
      <w:bookmarkStart w:id="1050" w:name="_Toc11399"/>
      <w:bookmarkStart w:id="1051" w:name="_Toc22571"/>
      <w:bookmarkStart w:id="1052" w:name="_Toc25496"/>
      <w:bookmarkStart w:id="1053" w:name="_Toc6132"/>
      <w:r>
        <w:rPr>
          <w:rFonts w:cs="Times New Roman"/>
          <w:bCs w:val="0"/>
          <w:snapToGrid w:val="0"/>
          <w:kern w:val="0"/>
        </w:rPr>
        <w:t>10.3选址合理性分析</w:t>
      </w:r>
      <w:bookmarkEnd w:id="1046"/>
      <w:bookmarkEnd w:id="1047"/>
      <w:bookmarkEnd w:id="1048"/>
      <w:bookmarkEnd w:id="1049"/>
      <w:bookmarkEnd w:id="1050"/>
      <w:bookmarkEnd w:id="1051"/>
      <w:bookmarkEnd w:id="1052"/>
      <w:bookmarkEnd w:id="1053"/>
    </w:p>
    <w:p>
      <w:pPr>
        <w:adjustRightInd w:val="0"/>
        <w:snapToGrid w:val="0"/>
        <w:spacing w:line="540" w:lineRule="exact"/>
        <w:ind w:firstLine="480" w:firstLineChars="200"/>
        <w:rPr>
          <w:rFonts w:ascii="Times New Roman" w:hAnsi="Times New Roman"/>
          <w:bCs/>
          <w:sz w:val="24"/>
          <w:lang w:val="zh-CN"/>
        </w:rPr>
      </w:pPr>
      <w:bookmarkStart w:id="1054" w:name="_Toc7598"/>
      <w:bookmarkStart w:id="1055" w:name="_Toc7129"/>
      <w:bookmarkStart w:id="1056" w:name="_Toc13885"/>
      <w:bookmarkStart w:id="1057" w:name="_Toc20108"/>
      <w:r>
        <w:rPr>
          <w:rFonts w:ascii="Times New Roman" w:hAnsi="Times New Roman"/>
          <w:sz w:val="24"/>
          <w:lang w:val="zh-CN"/>
        </w:rPr>
        <w:t>本项目选址不属于禁建区域范围内或禁建区域附近；本项目规划设置养殖区、综合办公区、饲料加工区，场区内的道路按照净道和污道不交叉的原则进行布置，周边交通便利；本项目所在地不属于城市和城镇居民区，建设区域远离工业企业。符合《畜禽养殖业污染防治技术规范》（HJ/T81-2001）、《国务院办公厅关于加快推进畜禽养殖废弃物资源化利用的意见》（国办发【2017】48号）、《畜禽规模养殖污染防治条例》（2014年1月1日）、《畜禽养殖产地环境评价规范》（HJ568-2010）、《畜禽养殖业污染治理工程技术规范》（HJ497-2009）、《关于做好畜禽规模养殖项目环境影响评价管理工作的通知》（环办环评【2018】31号）及《农业农村部关于调整动物防疫条件审查有关规定的通知》（2019年12月18日）中的要求，因此本项目的选址合理。</w:t>
      </w:r>
    </w:p>
    <w:p>
      <w:pPr>
        <w:pStyle w:val="51"/>
        <w:snapToGrid w:val="0"/>
        <w:spacing w:before="120" w:beforeLines="50" w:after="120" w:afterLines="50" w:line="540" w:lineRule="exact"/>
        <w:contextualSpacing/>
        <w:rPr>
          <w:rFonts w:cs="Times New Roman"/>
          <w:bCs w:val="0"/>
          <w:snapToGrid w:val="0"/>
          <w:kern w:val="0"/>
        </w:rPr>
      </w:pPr>
      <w:bookmarkStart w:id="1058" w:name="_Toc27991"/>
      <w:bookmarkStart w:id="1059" w:name="_Toc241"/>
      <w:bookmarkStart w:id="1060" w:name="_Toc4075"/>
      <w:bookmarkStart w:id="1061" w:name="_Toc22261"/>
      <w:r>
        <w:rPr>
          <w:rFonts w:cs="Times New Roman"/>
          <w:bCs w:val="0"/>
          <w:snapToGrid w:val="0"/>
          <w:kern w:val="0"/>
        </w:rPr>
        <w:t>10.4平面布置合理性分析</w:t>
      </w:r>
      <w:bookmarkEnd w:id="1054"/>
      <w:bookmarkEnd w:id="1055"/>
      <w:bookmarkEnd w:id="1056"/>
      <w:bookmarkEnd w:id="1057"/>
      <w:bookmarkEnd w:id="1058"/>
      <w:bookmarkEnd w:id="1059"/>
      <w:bookmarkEnd w:id="1060"/>
      <w:bookmarkEnd w:id="1061"/>
    </w:p>
    <w:p>
      <w:pPr>
        <w:adjustRightInd w:val="0"/>
        <w:snapToGrid w:val="0"/>
        <w:spacing w:line="540" w:lineRule="exact"/>
        <w:ind w:firstLine="480" w:firstLineChars="200"/>
        <w:rPr>
          <w:rFonts w:ascii="Times New Roman" w:hAnsi="Times New Roman"/>
          <w:sz w:val="24"/>
        </w:rPr>
      </w:pPr>
      <w:bookmarkStart w:id="1062" w:name="_Toc10324"/>
      <w:r>
        <w:rPr>
          <w:rFonts w:ascii="Times New Roman" w:hAnsi="Times New Roman"/>
          <w:sz w:val="24"/>
        </w:rPr>
        <w:t>本项目建设地点位于</w:t>
      </w:r>
      <w:r>
        <w:rPr>
          <w:rFonts w:hint="eastAsia" w:ascii="Times New Roman" w:hAnsi="Times New Roman"/>
          <w:bCs/>
          <w:iCs/>
          <w:color w:val="000000"/>
        </w:rPr>
        <w:t>固原市隆德县神林乡神林村</w:t>
      </w:r>
      <w:r>
        <w:rPr>
          <w:rFonts w:ascii="Times New Roman" w:hAnsi="Times New Roman"/>
          <w:sz w:val="24"/>
        </w:rPr>
        <w:t>，总平面布置根据养殖场各组成部门的性质、使用功能和卫生要求等因素，将性质相同、功能相近、联系密切、对环境要求相对一致的建筑物、构筑物及设施，分为若干组并结合用地的具体条件，进行功能分区，主要分为养殖区、生活管理区、辅助生产区、粪污处理区四大区。</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⑴养殖区：养殖区位于整个场区中部，建设有</w:t>
      </w:r>
      <w:r>
        <w:rPr>
          <w:rFonts w:hint="eastAsia" w:ascii="Times New Roman" w:hAnsi="Times New Roman"/>
          <w:sz w:val="24"/>
        </w:rPr>
        <w:t>牛舍</w:t>
      </w:r>
      <w:r>
        <w:rPr>
          <w:rFonts w:ascii="Times New Roman" w:hAnsi="Times New Roman"/>
          <w:sz w:val="24"/>
        </w:rPr>
        <w:t>、</w:t>
      </w:r>
      <w:r>
        <w:rPr>
          <w:rFonts w:hint="eastAsia" w:ascii="Times New Roman" w:hAnsi="Times New Roman"/>
          <w:sz w:val="24"/>
        </w:rPr>
        <w:t>封闭式牛舍，</w:t>
      </w:r>
      <w:r>
        <w:rPr>
          <w:rFonts w:ascii="Times New Roman" w:hAnsi="Times New Roman"/>
          <w:sz w:val="24"/>
        </w:rPr>
        <w:t>共</w:t>
      </w:r>
      <w:r>
        <w:rPr>
          <w:rFonts w:hint="eastAsia" w:ascii="Times New Roman" w:hAnsi="Times New Roman"/>
          <w:sz w:val="24"/>
        </w:rPr>
        <w:t>计10</w:t>
      </w:r>
      <w:r>
        <w:rPr>
          <w:rFonts w:ascii="Times New Roman" w:hAnsi="Times New Roman"/>
          <w:sz w:val="24"/>
        </w:rPr>
        <w:t>座</w:t>
      </w:r>
      <w:r>
        <w:rPr>
          <w:rFonts w:hint="eastAsia" w:ascii="Times New Roman" w:hAnsi="Times New Roman"/>
          <w:sz w:val="24"/>
          <w:lang w:eastAsia="zh-CN"/>
        </w:rPr>
        <w:t>（其中犊牛舍一栋，产房一栋）</w:t>
      </w:r>
      <w:r>
        <w:rPr>
          <w:rFonts w:hint="eastAsia" w:ascii="Times New Roman" w:hAnsi="Times New Roman"/>
          <w:sz w:val="24"/>
        </w:rPr>
        <w:t>，</w:t>
      </w:r>
      <w:r>
        <w:rPr>
          <w:rFonts w:ascii="Times New Roman" w:hAnsi="Times New Roman"/>
          <w:sz w:val="24"/>
        </w:rPr>
        <w:t>牛场整体布局设净道（即牛群周转、饲养员行走、场内运送饲料的专用道路）与污道（即粪便等废弃物、淘汰牛出场的道路），污道在下风向，雨水和污水分开。</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(2)辅助生产区：建设有</w:t>
      </w:r>
      <w:r>
        <w:rPr>
          <w:rFonts w:hint="eastAsia" w:ascii="Times New Roman" w:hAnsi="Times New Roman"/>
          <w:sz w:val="24"/>
        </w:rPr>
        <w:t>饲料库，消毒室</w:t>
      </w:r>
      <w:r>
        <w:rPr>
          <w:rFonts w:ascii="Times New Roman" w:hAnsi="Times New Roman"/>
          <w:sz w:val="24"/>
        </w:rPr>
        <w:t>位于厂区</w:t>
      </w:r>
      <w:r>
        <w:rPr>
          <w:rFonts w:hint="eastAsia" w:ascii="Times New Roman" w:hAnsi="Times New Roman"/>
          <w:sz w:val="24"/>
        </w:rPr>
        <w:t>东北</w:t>
      </w:r>
      <w:r>
        <w:rPr>
          <w:rFonts w:ascii="Times New Roman" w:hAnsi="Times New Roman"/>
          <w:sz w:val="24"/>
        </w:rPr>
        <w:t>侧</w:t>
      </w:r>
      <w:r>
        <w:rPr>
          <w:rFonts w:hint="eastAsia" w:ascii="Times New Roman" w:hAnsi="Times New Roman"/>
          <w:sz w:val="24"/>
          <w:lang w:eastAsia="zh-CN"/>
        </w:rPr>
        <w:t>；冷配室位于牛舍东侧；病牛隔离室和病死牛暂存间位于牛舍东侧</w:t>
      </w:r>
      <w:r>
        <w:rPr>
          <w:rFonts w:ascii="Times New Roman" w:hAnsi="Times New Roman"/>
          <w:sz w:val="24"/>
        </w:rPr>
        <w:t>。</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(3)粪污处理区：厂区</w:t>
      </w:r>
      <w:r>
        <w:rPr>
          <w:rFonts w:hint="eastAsia" w:ascii="Times New Roman" w:hAnsi="Times New Roman"/>
          <w:sz w:val="24"/>
        </w:rPr>
        <w:t>南</w:t>
      </w:r>
      <w:r>
        <w:rPr>
          <w:rFonts w:ascii="Times New Roman" w:hAnsi="Times New Roman"/>
          <w:sz w:val="24"/>
        </w:rPr>
        <w:t>侧设置一座</w:t>
      </w:r>
      <w:r>
        <w:rPr>
          <w:rFonts w:hint="eastAsia" w:ascii="Times New Roman" w:hAnsi="Times New Roman"/>
          <w:sz w:val="24"/>
        </w:rPr>
        <w:t>积粪场</w:t>
      </w:r>
      <w:r>
        <w:rPr>
          <w:rFonts w:ascii="Times New Roman" w:hAnsi="Times New Roman"/>
          <w:sz w:val="24"/>
        </w:rPr>
        <w:t>，处于项目生活管理区的下风向(项目所在区域主导风向为</w:t>
      </w:r>
      <w:r>
        <w:rPr>
          <w:rFonts w:hint="eastAsia" w:ascii="Times New Roman" w:hAnsi="Times New Roman"/>
          <w:sz w:val="24"/>
        </w:rPr>
        <w:t>东南</w:t>
      </w:r>
      <w:r>
        <w:rPr>
          <w:rFonts w:ascii="Times New Roman" w:hAnsi="Times New Roman"/>
          <w:sz w:val="24"/>
        </w:rPr>
        <w:t>)，有效防止了恶臭气体对于项目生活管理区的影响。项目使用</w:t>
      </w:r>
      <w:r>
        <w:rPr>
          <w:rFonts w:hint="eastAsia" w:ascii="Times New Roman" w:hAnsi="Times New Roman"/>
          <w:sz w:val="24"/>
        </w:rPr>
        <w:t>积</w:t>
      </w:r>
      <w:r>
        <w:rPr>
          <w:rFonts w:ascii="Times New Roman" w:hAnsi="Times New Roman"/>
          <w:sz w:val="24"/>
        </w:rPr>
        <w:t>粪场对粪便进行临时贮存，项目</w:t>
      </w:r>
      <w:r>
        <w:rPr>
          <w:rFonts w:hint="eastAsia" w:ascii="Times New Roman" w:hAnsi="Times New Roman"/>
          <w:sz w:val="24"/>
        </w:rPr>
        <w:t>积粪场</w:t>
      </w:r>
      <w:r>
        <w:rPr>
          <w:rFonts w:ascii="Times New Roman" w:hAnsi="Times New Roman"/>
          <w:sz w:val="24"/>
        </w:rPr>
        <w:t>位于场区</w:t>
      </w:r>
      <w:r>
        <w:rPr>
          <w:rFonts w:hint="eastAsia" w:ascii="Times New Roman" w:hAnsi="Times New Roman"/>
          <w:sz w:val="24"/>
        </w:rPr>
        <w:t>南</w:t>
      </w:r>
      <w:r>
        <w:rPr>
          <w:rFonts w:ascii="Times New Roman" w:hAnsi="Times New Roman"/>
          <w:sz w:val="24"/>
        </w:rPr>
        <w:t>侧，位于生活管理区常年主导风向的下风向，养殖区的侧风向。</w:t>
      </w:r>
      <w:r>
        <w:rPr>
          <w:rFonts w:hint="eastAsia" w:ascii="Times New Roman" w:hAnsi="Times New Roman"/>
          <w:sz w:val="24"/>
        </w:rPr>
        <w:t>根据</w:t>
      </w:r>
      <w:r>
        <w:rPr>
          <w:rFonts w:ascii="Times New Roman" w:hAnsi="Times New Roman"/>
          <w:sz w:val="24"/>
        </w:rPr>
        <w:t>《畜禽养殖业污染防治技术规范》（HJ/T81-2001）中：“5畜禽粪便的贮存/5.2：贮存设施的位置必须远离各类功能地表水体（距离不得小于400m），并应设在养殖场生产及生活管理区的常年主导风向的下风向或侧风向处”的规定</w:t>
      </w:r>
      <w:r>
        <w:rPr>
          <w:rFonts w:hint="eastAsia" w:ascii="Times New Roman" w:hAnsi="Times New Roman"/>
          <w:sz w:val="24"/>
        </w:rPr>
        <w:t>，贮存设施应采取有效的防渗、防雨、防泄漏处理工艺，本</w:t>
      </w:r>
      <w:r>
        <w:rPr>
          <w:rFonts w:ascii="Times New Roman" w:hAnsi="Times New Roman"/>
          <w:sz w:val="24"/>
        </w:rPr>
        <w:t>项目</w:t>
      </w:r>
      <w:r>
        <w:rPr>
          <w:rFonts w:hint="eastAsia" w:ascii="Times New Roman" w:hAnsi="Times New Roman"/>
          <w:sz w:val="24"/>
        </w:rPr>
        <w:t>积粪场</w:t>
      </w:r>
      <w:r>
        <w:rPr>
          <w:rFonts w:ascii="Times New Roman" w:hAnsi="Times New Roman"/>
          <w:sz w:val="24"/>
        </w:rPr>
        <w:t>距离</w:t>
      </w:r>
      <w:r>
        <w:rPr>
          <w:rFonts w:hint="eastAsia" w:ascii="Times New Roman" w:hAnsi="Times New Roman"/>
          <w:sz w:val="24"/>
        </w:rPr>
        <w:t>北</w:t>
      </w:r>
      <w:r>
        <w:rPr>
          <w:rFonts w:ascii="Times New Roman" w:hAnsi="Times New Roman"/>
          <w:sz w:val="24"/>
        </w:rPr>
        <w:t>侧最近地表水体</w:t>
      </w:r>
      <w:r>
        <w:rPr>
          <w:rFonts w:hint="eastAsia" w:ascii="Times New Roman" w:hAnsi="Times New Roman"/>
          <w:sz w:val="24"/>
        </w:rPr>
        <w:t>渝</w:t>
      </w:r>
      <w:r>
        <w:rPr>
          <w:rFonts w:ascii="Times New Roman" w:hAnsi="Times New Roman"/>
          <w:sz w:val="24"/>
        </w:rPr>
        <w:t>河距离为</w:t>
      </w:r>
      <w:r>
        <w:rPr>
          <w:rFonts w:hint="eastAsia" w:ascii="Times New Roman" w:hAnsi="Times New Roman"/>
          <w:sz w:val="24"/>
        </w:rPr>
        <w:t>200</w:t>
      </w:r>
      <w:r>
        <w:rPr>
          <w:rFonts w:ascii="Times New Roman" w:hAnsi="Times New Roman"/>
          <w:sz w:val="24"/>
        </w:rPr>
        <w:t>m</w:t>
      </w:r>
      <w:r>
        <w:rPr>
          <w:rFonts w:hint="eastAsia" w:ascii="Times New Roman" w:hAnsi="Times New Roman"/>
          <w:sz w:val="24"/>
        </w:rPr>
        <w:t>，本项目对积粪场设施采取重点防渗处理，</w:t>
      </w:r>
      <w:r>
        <w:rPr>
          <w:rFonts w:ascii="Times New Roman" w:hAnsi="Times New Roman"/>
          <w:sz w:val="24"/>
        </w:rPr>
        <w:t>顶部设防雨顶棚、四周设挡雨墙，地面采取硬化防渗处理</w:t>
      </w:r>
      <w:r>
        <w:rPr>
          <w:rFonts w:hint="eastAsia" w:ascii="Times New Roman" w:hAnsi="Times New Roman"/>
          <w:sz w:val="24"/>
        </w:rPr>
        <w:t>，并对产生的分辨实现日产日清，最多堆放时间不超过三天。</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(4)生活管理区：建设有办公生活用房及职工生活区，整体位于场区最</w:t>
      </w:r>
      <w:r>
        <w:rPr>
          <w:rFonts w:hint="eastAsia" w:ascii="Times New Roman" w:hAnsi="Times New Roman"/>
          <w:sz w:val="24"/>
        </w:rPr>
        <w:t>北</w:t>
      </w:r>
      <w:r>
        <w:rPr>
          <w:rFonts w:ascii="Times New Roman" w:hAnsi="Times New Roman"/>
          <w:sz w:val="24"/>
        </w:rPr>
        <w:t>侧，生活区与养殖区之间由绿化带相隔，有效地降低了养殖废气对于项目生活管理区的影响。</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本项目总平面布置根据本项目的工艺流程，充分考虑自然地形地貌条件，满足生产和方便管理及消防等规范、标准要求。合理布置场区的建筑物、运输线路，使场内的物料运输路径短捷，提高了生产效率，降低了运输成本。从环保角度分析，本项目平面布局基本合理。</w:t>
      </w:r>
    </w:p>
    <w:p>
      <w:pPr>
        <w:pStyle w:val="51"/>
        <w:snapToGrid w:val="0"/>
        <w:spacing w:before="120" w:beforeLines="50" w:after="120" w:afterLines="50" w:line="540" w:lineRule="exact"/>
        <w:contextualSpacing/>
        <w:rPr>
          <w:rFonts w:cs="Times New Roman"/>
          <w:bCs w:val="0"/>
          <w:snapToGrid w:val="0"/>
          <w:kern w:val="0"/>
        </w:rPr>
      </w:pPr>
      <w:bookmarkStart w:id="1063" w:name="_Toc10582"/>
      <w:bookmarkStart w:id="1064" w:name="_Toc26779"/>
      <w:bookmarkStart w:id="1065" w:name="_Toc17337"/>
      <w:r>
        <w:rPr>
          <w:rFonts w:cs="Times New Roman"/>
          <w:bCs w:val="0"/>
          <w:snapToGrid w:val="0"/>
          <w:kern w:val="0"/>
        </w:rPr>
        <w:t>10.5环境质量现状评价结论</w:t>
      </w:r>
      <w:bookmarkEnd w:id="1062"/>
      <w:bookmarkEnd w:id="1063"/>
      <w:bookmarkEnd w:id="1064"/>
      <w:bookmarkEnd w:id="1065"/>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rPr>
        <w:t>⑴</w:t>
      </w:r>
      <w:r>
        <w:rPr>
          <w:rFonts w:ascii="Times New Roman" w:hAnsi="Times New Roman"/>
          <w:sz w:val="24"/>
        </w:rPr>
        <w:fldChar w:fldCharType="end"/>
      </w:r>
      <w:r>
        <w:rPr>
          <w:rFonts w:ascii="Times New Roman" w:hAnsi="Times New Roman"/>
          <w:sz w:val="24"/>
        </w:rPr>
        <w:t>环境空气质量现状：从监测结果可以看出，“环境空气质量模型技术支持服务系统”公布的20</w:t>
      </w:r>
      <w:r>
        <w:rPr>
          <w:rFonts w:hint="eastAsia" w:ascii="Times New Roman" w:hAnsi="Times New Roman"/>
          <w:sz w:val="24"/>
        </w:rPr>
        <w:t>21</w:t>
      </w:r>
      <w:r>
        <w:rPr>
          <w:rFonts w:ascii="Times New Roman" w:hAnsi="Times New Roman"/>
          <w:sz w:val="24"/>
        </w:rPr>
        <w:t>年</w:t>
      </w:r>
      <w:r>
        <w:rPr>
          <w:rFonts w:hint="eastAsia" w:ascii="Times New Roman" w:hAnsi="Times New Roman"/>
          <w:sz w:val="24"/>
        </w:rPr>
        <w:t>固原市</w:t>
      </w:r>
      <w:r>
        <w:rPr>
          <w:rFonts w:ascii="Times New Roman" w:hAnsi="Times New Roman"/>
          <w:sz w:val="24"/>
        </w:rPr>
        <w:t>的监测数据可以看出，各项因子均满足《环境空气质量标准》（GB3095-2012）二级标准；H</w:t>
      </w:r>
      <w:r>
        <w:rPr>
          <w:rFonts w:ascii="Times New Roman" w:hAnsi="Times New Roman"/>
          <w:sz w:val="24"/>
          <w:vertAlign w:val="subscript"/>
        </w:rPr>
        <w:t>2</w:t>
      </w:r>
      <w:r>
        <w:rPr>
          <w:rFonts w:ascii="Times New Roman" w:hAnsi="Times New Roman"/>
          <w:sz w:val="24"/>
        </w:rPr>
        <w:t>S、NH</w:t>
      </w:r>
      <w:r>
        <w:rPr>
          <w:rFonts w:ascii="Times New Roman" w:hAnsi="Times New Roman"/>
          <w:sz w:val="24"/>
          <w:vertAlign w:val="subscript"/>
        </w:rPr>
        <w:t>3</w:t>
      </w:r>
      <w:r>
        <w:rPr>
          <w:rFonts w:ascii="Times New Roman" w:hAnsi="Times New Roman"/>
          <w:sz w:val="24"/>
        </w:rPr>
        <w:t>满足《环境影响评价技术导则 大气环境》（HJ2.2-2018）中附录D中其他污染物空气质量浓度限值要求。</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rPr>
        <w:t>⑵</w:t>
      </w:r>
      <w:r>
        <w:rPr>
          <w:rFonts w:ascii="Times New Roman" w:hAnsi="Times New Roman"/>
          <w:sz w:val="24"/>
        </w:rPr>
        <w:fldChar w:fldCharType="end"/>
      </w:r>
      <w:r>
        <w:rPr>
          <w:rFonts w:ascii="Times New Roman" w:hAnsi="Times New Roman"/>
          <w:sz w:val="24"/>
        </w:rPr>
        <w:t>地表水环境质量现状：</w:t>
      </w:r>
      <w:r>
        <w:rPr>
          <w:rFonts w:hint="eastAsia" w:ascii="Times New Roman" w:hAnsi="Times New Roman"/>
          <w:sz w:val="24"/>
        </w:rPr>
        <w:t>渝河峰台和联财断面</w:t>
      </w:r>
      <w:r>
        <w:rPr>
          <w:rFonts w:ascii="Times New Roman" w:hAnsi="Times New Roman"/>
          <w:sz w:val="24"/>
        </w:rPr>
        <w:t>水质</w:t>
      </w:r>
      <w:r>
        <w:rPr>
          <w:rFonts w:hint="eastAsia" w:ascii="Times New Roman" w:hAnsi="Times New Roman"/>
          <w:sz w:val="24"/>
        </w:rPr>
        <w:t>情况，根据固原市政府官网2021年度地表水监测数据可知，峰台和联财断面</w:t>
      </w:r>
      <w:r>
        <w:rPr>
          <w:rFonts w:ascii="Times New Roman" w:hAnsi="Times New Roman"/>
          <w:sz w:val="24"/>
        </w:rPr>
        <w:t>水质</w:t>
      </w:r>
      <w:r>
        <w:rPr>
          <w:rFonts w:hint="eastAsia" w:ascii="Times New Roman" w:hAnsi="Times New Roman"/>
          <w:sz w:val="24"/>
        </w:rPr>
        <w:t>均满足</w:t>
      </w:r>
      <w:r>
        <w:rPr>
          <w:rFonts w:ascii="Times New Roman" w:hAnsi="Times New Roman"/>
          <w:sz w:val="24"/>
        </w:rPr>
        <w:t>《地表水环境质量标准》（GB3838-2002）中Ⅲ类标准。</w:t>
      </w:r>
    </w:p>
    <w:p>
      <w:pPr>
        <w:widowControl/>
        <w:spacing w:line="540" w:lineRule="exact"/>
        <w:ind w:firstLine="480" w:firstLineChars="200"/>
        <w:rPr>
          <w:rFonts w:hint="eastAsia" w:ascii="Times New Roman" w:hAnsi="Times New Roman" w:eastAsia="宋体"/>
          <w:color w:val="FF0000"/>
          <w:sz w:val="24"/>
          <w:lang w:eastAsia="zh-CN"/>
        </w:rPr>
      </w:pPr>
      <w:r>
        <w:rPr>
          <w:rFonts w:ascii="Times New Roman" w:hAnsi="Times New Roman"/>
          <w:sz w:val="24"/>
        </w:rPr>
        <w:fldChar w:fldCharType="begin"/>
      </w:r>
      <w:r>
        <w:rPr>
          <w:rFonts w:ascii="Times New Roman" w:hAnsi="Times New Roman"/>
          <w:sz w:val="24"/>
        </w:rPr>
        <w:instrText xml:space="preserve"> = 3 \* GB2 \* MERGEFORMAT </w:instrText>
      </w:r>
      <w:r>
        <w:rPr>
          <w:rFonts w:ascii="Times New Roman" w:hAnsi="Times New Roman"/>
          <w:sz w:val="24"/>
        </w:rPr>
        <w:fldChar w:fldCharType="separate"/>
      </w:r>
      <w:r>
        <w:rPr>
          <w:rFonts w:ascii="Times New Roman" w:hAnsi="Times New Roman"/>
          <w:sz w:val="24"/>
        </w:rPr>
        <w:t>⑶</w:t>
      </w:r>
      <w:r>
        <w:rPr>
          <w:rFonts w:ascii="Times New Roman" w:hAnsi="Times New Roman"/>
          <w:sz w:val="24"/>
        </w:rPr>
        <w:fldChar w:fldCharType="end"/>
      </w:r>
      <w:r>
        <w:rPr>
          <w:rFonts w:ascii="Times New Roman" w:hAnsi="Times New Roman"/>
          <w:sz w:val="24"/>
        </w:rPr>
        <w:t>地下水环境质量现状：由监测结果可知</w:t>
      </w:r>
      <w:r>
        <w:rPr>
          <w:rFonts w:hint="eastAsia" w:ascii="Times New Roman" w:hAnsi="Times New Roman"/>
          <w:sz w:val="24"/>
        </w:rPr>
        <w:t>，本项目地下水除硫酸盐外均符合《地下水质量标准》（GB/T14848-2017）Ⅲ类标准限值要求</w:t>
      </w:r>
      <w:r>
        <w:rPr>
          <w:rFonts w:hint="eastAsia" w:ascii="Times New Roman" w:hAnsi="Times New Roman"/>
          <w:sz w:val="24"/>
          <w:lang w:eastAsia="zh-CN"/>
        </w:rPr>
        <w:t>。</w:t>
      </w:r>
    </w:p>
    <w:p>
      <w:pPr>
        <w:adjustRightInd w:val="0"/>
        <w:snapToGrid w:val="0"/>
        <w:spacing w:line="540" w:lineRule="exact"/>
        <w:ind w:firstLine="480" w:firstLineChars="200"/>
        <w:rPr>
          <w:rFonts w:hint="eastAsia" w:ascii="Times New Roman" w:hAnsi="Times New Roman" w:eastAsia="宋体"/>
          <w:sz w:val="24"/>
          <w:lang w:eastAsia="zh-CN"/>
        </w:rPr>
      </w:pPr>
      <w:r>
        <w:rPr>
          <w:rFonts w:ascii="Times New Roman" w:hAnsi="Times New Roman"/>
          <w:sz w:val="24"/>
        </w:rPr>
        <w:fldChar w:fldCharType="begin"/>
      </w:r>
      <w:r>
        <w:rPr>
          <w:rFonts w:ascii="Times New Roman" w:hAnsi="Times New Roman"/>
          <w:sz w:val="24"/>
        </w:rPr>
        <w:instrText xml:space="preserve"> = 4 \* GB2 \* MERGEFORMAT </w:instrText>
      </w:r>
      <w:r>
        <w:rPr>
          <w:rFonts w:ascii="Times New Roman" w:hAnsi="Times New Roman"/>
          <w:sz w:val="24"/>
        </w:rPr>
        <w:fldChar w:fldCharType="separate"/>
      </w:r>
      <w:r>
        <w:rPr>
          <w:rFonts w:ascii="Times New Roman" w:hAnsi="Times New Roman"/>
          <w:sz w:val="24"/>
        </w:rPr>
        <w:t>⑷</w:t>
      </w:r>
      <w:r>
        <w:rPr>
          <w:rFonts w:ascii="Times New Roman" w:hAnsi="Times New Roman"/>
          <w:sz w:val="24"/>
        </w:rPr>
        <w:fldChar w:fldCharType="end"/>
      </w:r>
      <w:r>
        <w:rPr>
          <w:rFonts w:ascii="Times New Roman" w:hAnsi="Times New Roman"/>
          <w:sz w:val="24"/>
        </w:rPr>
        <w:t>声环境质量现状：项目厂界各监测点昼间等效连续A声级在</w:t>
      </w:r>
      <w:r>
        <w:rPr>
          <w:rFonts w:hint="eastAsia" w:ascii="Times New Roman" w:hAnsi="Times New Roman"/>
          <w:sz w:val="24"/>
        </w:rPr>
        <w:t>53.8～57.7</w:t>
      </w:r>
      <w:r>
        <w:rPr>
          <w:rFonts w:ascii="Times New Roman" w:hAnsi="Times New Roman"/>
          <w:sz w:val="24"/>
        </w:rPr>
        <w:t>dB</w:t>
      </w:r>
      <w:r>
        <w:rPr>
          <w:rFonts w:hint="eastAsia" w:ascii="Times New Roman" w:hAnsi="Times New Roman"/>
          <w:sz w:val="24"/>
        </w:rPr>
        <w:t>（A</w:t>
      </w:r>
      <w:r>
        <w:rPr>
          <w:rFonts w:ascii="Times New Roman" w:hAnsi="Times New Roman"/>
          <w:sz w:val="24"/>
        </w:rPr>
        <w:t>)，夜间噪声值范围为</w:t>
      </w:r>
      <w:r>
        <w:rPr>
          <w:rFonts w:hint="eastAsia" w:ascii="Times New Roman" w:hAnsi="Times New Roman"/>
          <w:sz w:val="24"/>
        </w:rPr>
        <w:t>47.1～49.7</w:t>
      </w:r>
      <w:r>
        <w:rPr>
          <w:rFonts w:ascii="Times New Roman" w:hAnsi="Times New Roman"/>
          <w:sz w:val="24"/>
        </w:rPr>
        <w:t>dB(A)，均符合</w:t>
      </w:r>
      <w:r>
        <w:rPr>
          <w:rFonts w:ascii="Times New Roman" w:hAnsi="Times New Roman"/>
          <w:snapToGrid w:val="0"/>
          <w:sz w:val="24"/>
          <w:szCs w:val="32"/>
        </w:rPr>
        <w:t>《声环境质量标准》（GB3096-2008）规定的</w:t>
      </w:r>
      <w:r>
        <w:rPr>
          <w:rFonts w:hint="eastAsia" w:ascii="Times New Roman" w:hAnsi="Times New Roman"/>
          <w:snapToGrid w:val="0"/>
          <w:sz w:val="24"/>
          <w:szCs w:val="32"/>
        </w:rPr>
        <w:t>2</w:t>
      </w:r>
      <w:r>
        <w:rPr>
          <w:rFonts w:ascii="Times New Roman" w:hAnsi="Times New Roman"/>
          <w:snapToGrid w:val="0"/>
          <w:sz w:val="24"/>
          <w:szCs w:val="32"/>
        </w:rPr>
        <w:t>类区标准</w:t>
      </w:r>
      <w:r>
        <w:rPr>
          <w:rFonts w:hint="eastAsia" w:ascii="Times New Roman" w:hAnsi="Times New Roman"/>
          <w:snapToGrid w:val="0"/>
          <w:sz w:val="24"/>
          <w:szCs w:val="32"/>
          <w:lang w:eastAsia="zh-CN"/>
        </w:rPr>
        <w:t>。</w:t>
      </w:r>
    </w:p>
    <w:p>
      <w:pPr>
        <w:pStyle w:val="41"/>
        <w:adjustRightInd w:val="0"/>
        <w:snapToGrid w:val="0"/>
        <w:spacing w:line="540" w:lineRule="exact"/>
        <w:ind w:firstLine="480" w:firstLineChars="200"/>
        <w:rPr>
          <w:rFonts w:eastAsia="宋体"/>
          <w:sz w:val="24"/>
          <w:szCs w:val="24"/>
        </w:rPr>
      </w:pPr>
      <w:r>
        <w:rPr>
          <w:rFonts w:eastAsia="宋体"/>
          <w:sz w:val="24"/>
          <w:szCs w:val="24"/>
        </w:rPr>
        <w:t>⑸土壤环境质量现状：</w:t>
      </w:r>
      <w:r>
        <w:rPr>
          <w:rFonts w:eastAsia="宋体"/>
          <w:bCs/>
          <w:sz w:val="24"/>
        </w:rPr>
        <w:t>由监测结果可知，项目区域各监测点土壤监测值均低于</w:t>
      </w:r>
      <w:r>
        <w:rPr>
          <w:rFonts w:eastAsia="宋体"/>
          <w:sz w:val="24"/>
          <w:szCs w:val="24"/>
        </w:rPr>
        <w:t>《土壤环境质量农用地土壤污染风险管控标准》（试行）（GB15618-2018）风险筛选值。</w:t>
      </w:r>
    </w:p>
    <w:p>
      <w:pPr>
        <w:pStyle w:val="51"/>
        <w:snapToGrid w:val="0"/>
        <w:spacing w:before="120" w:beforeLines="50" w:after="120" w:afterLines="50" w:line="540" w:lineRule="exact"/>
        <w:contextualSpacing/>
        <w:rPr>
          <w:rFonts w:cs="Times New Roman"/>
          <w:bCs w:val="0"/>
          <w:snapToGrid w:val="0"/>
          <w:kern w:val="0"/>
        </w:rPr>
      </w:pPr>
      <w:bookmarkStart w:id="1066" w:name="_Toc14623"/>
      <w:bookmarkStart w:id="1067" w:name="_Toc12832"/>
      <w:bookmarkStart w:id="1068" w:name="_Toc26524"/>
      <w:bookmarkStart w:id="1069" w:name="_Toc20293"/>
      <w:bookmarkStart w:id="1070" w:name="_Toc15824"/>
      <w:r>
        <w:rPr>
          <w:rFonts w:cs="Times New Roman"/>
          <w:bCs w:val="0"/>
          <w:snapToGrid w:val="0"/>
          <w:kern w:val="0"/>
        </w:rPr>
        <w:t>10.6污染防治与达标排放可行性</w:t>
      </w:r>
      <w:bookmarkEnd w:id="1066"/>
      <w:bookmarkEnd w:id="1067"/>
      <w:bookmarkEnd w:id="1068"/>
      <w:bookmarkEnd w:id="1069"/>
      <w:bookmarkEnd w:id="1070"/>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1071" w:name="_Toc30592"/>
      <w:bookmarkStart w:id="1072" w:name="_Toc28702"/>
      <w:bookmarkStart w:id="1073" w:name="_Toc21363"/>
      <w:bookmarkStart w:id="1074" w:name="_Toc387745804"/>
      <w:bookmarkStart w:id="1075" w:name="_Toc388620215"/>
      <w:bookmarkStart w:id="1076" w:name="_Toc491610175"/>
      <w:bookmarkStart w:id="1077" w:name="_Toc318043720"/>
      <w:bookmarkStart w:id="1078" w:name="_Toc332203467"/>
      <w:r>
        <w:rPr>
          <w:rFonts w:cs="Times New Roman"/>
          <w:bCs w:val="0"/>
          <w:snapToGrid w:val="0"/>
          <w:kern w:val="0"/>
          <w:sz w:val="28"/>
          <w:szCs w:val="28"/>
        </w:rPr>
        <w:t>10.6.1废气污防治措施与达标排放可行性</w:t>
      </w:r>
      <w:bookmarkEnd w:id="1071"/>
      <w:bookmarkEnd w:id="1072"/>
      <w:bookmarkEnd w:id="1073"/>
      <w:bookmarkEnd w:id="1074"/>
      <w:bookmarkEnd w:id="1075"/>
      <w:bookmarkEnd w:id="1076"/>
      <w:bookmarkEnd w:id="1077"/>
      <w:bookmarkEnd w:id="1078"/>
    </w:p>
    <w:bookmarkEnd w:id="1029"/>
    <w:p>
      <w:pPr>
        <w:pStyle w:val="68"/>
        <w:spacing w:line="540" w:lineRule="exact"/>
        <w:ind w:firstLine="480"/>
        <w:rPr>
          <w:rFonts w:ascii="Times New Roman" w:hAnsi="Times New Roman" w:eastAsia="宋体"/>
        </w:rPr>
      </w:pPr>
      <w:r>
        <w:rPr>
          <w:rFonts w:ascii="Times New Roman" w:hAnsi="Times New Roman" w:eastAsia="宋体"/>
        </w:rPr>
        <w:fldChar w:fldCharType="begin"/>
      </w:r>
      <w:r>
        <w:rPr>
          <w:rFonts w:ascii="Times New Roman" w:hAnsi="Times New Roman" w:eastAsia="宋体"/>
        </w:rPr>
        <w:instrText xml:space="preserve"> = 1 \* GB2 \* MERGEFORMAT </w:instrText>
      </w:r>
      <w:r>
        <w:rPr>
          <w:rFonts w:ascii="Times New Roman" w:hAnsi="Times New Roman" w:eastAsia="宋体"/>
        </w:rPr>
        <w:fldChar w:fldCharType="separate"/>
      </w:r>
      <w:r>
        <w:rPr>
          <w:rFonts w:ascii="Times New Roman" w:hAnsi="Times New Roman" w:eastAsia="宋体"/>
          <w:lang w:val="zh-CN"/>
        </w:rPr>
        <w:t>⑴</w:t>
      </w:r>
      <w:r>
        <w:rPr>
          <w:rFonts w:ascii="Times New Roman" w:hAnsi="Times New Roman" w:eastAsia="宋体"/>
        </w:rPr>
        <w:fldChar w:fldCharType="end"/>
      </w:r>
      <w:r>
        <w:rPr>
          <w:rFonts w:ascii="Times New Roman" w:hAnsi="Times New Roman" w:eastAsia="宋体"/>
        </w:rPr>
        <w:t>恶臭气体</w:t>
      </w:r>
    </w:p>
    <w:p>
      <w:pPr>
        <w:pStyle w:val="68"/>
        <w:spacing w:line="540" w:lineRule="exact"/>
        <w:ind w:firstLine="480"/>
        <w:rPr>
          <w:rFonts w:ascii="Times New Roman" w:hAnsi="Times New Roman" w:eastAsia="宋体"/>
        </w:rPr>
      </w:pPr>
      <w:r>
        <w:rPr>
          <w:rFonts w:ascii="Times New Roman" w:hAnsi="Times New Roman" w:eastAsia="宋体"/>
          <w:kern w:val="2"/>
          <w:szCs w:val="24"/>
        </w:rPr>
        <w:t>本项目对牛棚及运动场的牛粪，采用干清粪方式及时进行清理，定期消毒，喷洒除臭剂（生石灰）等；</w:t>
      </w:r>
      <w:r>
        <w:rPr>
          <w:rFonts w:hint="eastAsia" w:ascii="Times New Roman" w:hAnsi="Times New Roman" w:eastAsia="宋体"/>
          <w:kern w:val="2"/>
          <w:szCs w:val="24"/>
          <w:lang w:eastAsia="zh-CN"/>
        </w:rPr>
        <w:t>积粪场</w:t>
      </w:r>
      <w:r>
        <w:rPr>
          <w:rFonts w:ascii="Times New Roman" w:hAnsi="Times New Roman" w:eastAsia="宋体"/>
          <w:kern w:val="2"/>
          <w:szCs w:val="24"/>
        </w:rPr>
        <w:t>加强过程控制和清运管理，减少牛粪和污泥堆存，定期消毒，在牛粪干湿分离、</w:t>
      </w:r>
      <w:r>
        <w:rPr>
          <w:rFonts w:hint="eastAsia" w:ascii="Times New Roman" w:hAnsi="Times New Roman" w:eastAsia="宋体"/>
          <w:kern w:val="2"/>
          <w:szCs w:val="24"/>
          <w:lang w:eastAsia="zh-CN"/>
        </w:rPr>
        <w:t>积粪场</w:t>
      </w:r>
      <w:r>
        <w:rPr>
          <w:rFonts w:ascii="Times New Roman" w:hAnsi="Times New Roman" w:eastAsia="宋体"/>
          <w:kern w:val="2"/>
          <w:szCs w:val="24"/>
        </w:rPr>
        <w:t>等加入对粪污进行降解除臭的特定微生物菌；加强周边绿化、喷洒除臭剂；饲养过程需科学管理、调配饲料等措施治理恶臭。</w:t>
      </w:r>
      <w:r>
        <w:rPr>
          <w:rFonts w:ascii="Times New Roman" w:hAnsi="Times New Roman" w:eastAsia="宋体"/>
        </w:rPr>
        <w:t>通过对同类别企业废气污染物产生情况的调查，项目臭气污染排放以NH</w:t>
      </w:r>
      <w:r>
        <w:rPr>
          <w:rFonts w:ascii="Times New Roman" w:hAnsi="Times New Roman" w:eastAsia="宋体"/>
          <w:vertAlign w:val="subscript"/>
        </w:rPr>
        <w:t>3</w:t>
      </w:r>
      <w:r>
        <w:rPr>
          <w:rFonts w:ascii="Times New Roman" w:hAnsi="Times New Roman" w:eastAsia="宋体"/>
        </w:rPr>
        <w:t>和H</w:t>
      </w:r>
      <w:r>
        <w:rPr>
          <w:rFonts w:ascii="Times New Roman" w:hAnsi="Times New Roman" w:eastAsia="宋体"/>
          <w:vertAlign w:val="subscript"/>
        </w:rPr>
        <w:t>2</w:t>
      </w:r>
      <w:r>
        <w:rPr>
          <w:rFonts w:ascii="Times New Roman" w:hAnsi="Times New Roman" w:eastAsia="宋体"/>
        </w:rPr>
        <w:t>S浓度为有效源强计算，</w:t>
      </w:r>
      <w:r>
        <w:rPr>
          <w:rFonts w:ascii="Times New Roman" w:hAnsi="Times New Roman" w:eastAsia="宋体"/>
          <w:szCs w:val="24"/>
        </w:rPr>
        <w:t>恶臭气体</w:t>
      </w:r>
      <w:r>
        <w:rPr>
          <w:rFonts w:ascii="Times New Roman" w:hAnsi="Times New Roman" w:eastAsia="宋体"/>
          <w:snapToGrid w:val="0"/>
          <w:szCs w:val="24"/>
        </w:rPr>
        <w:t>NH</w:t>
      </w:r>
      <w:r>
        <w:rPr>
          <w:rFonts w:ascii="Times New Roman" w:hAnsi="Times New Roman" w:eastAsia="宋体"/>
          <w:snapToGrid w:val="0"/>
          <w:szCs w:val="24"/>
          <w:vertAlign w:val="subscript"/>
        </w:rPr>
        <w:t>3</w:t>
      </w:r>
      <w:r>
        <w:rPr>
          <w:rFonts w:ascii="Times New Roman" w:hAnsi="Times New Roman" w:eastAsia="宋体"/>
          <w:snapToGrid w:val="0"/>
          <w:szCs w:val="24"/>
        </w:rPr>
        <w:t>、H</w:t>
      </w:r>
      <w:r>
        <w:rPr>
          <w:rFonts w:ascii="Times New Roman" w:hAnsi="Times New Roman" w:eastAsia="宋体"/>
          <w:snapToGrid w:val="0"/>
          <w:szCs w:val="24"/>
          <w:vertAlign w:val="subscript"/>
        </w:rPr>
        <w:t>2</w:t>
      </w:r>
      <w:r>
        <w:rPr>
          <w:rFonts w:ascii="Times New Roman" w:hAnsi="Times New Roman" w:eastAsia="宋体"/>
          <w:snapToGrid w:val="0"/>
          <w:szCs w:val="24"/>
        </w:rPr>
        <w:t>S可</w:t>
      </w:r>
      <w:r>
        <w:rPr>
          <w:rFonts w:ascii="Times New Roman" w:hAnsi="Times New Roman" w:eastAsia="宋体"/>
          <w:lang w:val="zh-CN"/>
        </w:rPr>
        <w:t>满足《恶臭污染物排放标准》（GB14554-93）表1中的二级标准（新改扩建）</w:t>
      </w:r>
      <w:r>
        <w:rPr>
          <w:rFonts w:ascii="Times New Roman" w:hAnsi="Times New Roman" w:eastAsia="宋体"/>
          <w:snapToGrid w:val="0"/>
          <w:szCs w:val="24"/>
        </w:rPr>
        <w:t>，臭气浓度可满足《畜禽养殖业污染物排放标准》（GB18596-2001）的标准</w:t>
      </w:r>
      <w:r>
        <w:rPr>
          <w:rFonts w:ascii="Times New Roman" w:hAnsi="Times New Roman" w:eastAsia="宋体"/>
        </w:rPr>
        <w:t>。</w:t>
      </w:r>
    </w:p>
    <w:p>
      <w:pPr>
        <w:pStyle w:val="68"/>
        <w:spacing w:line="540" w:lineRule="exact"/>
        <w:ind w:firstLine="480"/>
        <w:rPr>
          <w:rFonts w:ascii="Times New Roman" w:hAnsi="Times New Roman" w:eastAsia="宋体"/>
        </w:rPr>
      </w:pPr>
      <w:r>
        <w:rPr>
          <w:rFonts w:ascii="Times New Roman" w:hAnsi="Times New Roman" w:eastAsia="宋体"/>
        </w:rPr>
        <w:t>⑵饲料加工粉尘</w:t>
      </w:r>
    </w:p>
    <w:p>
      <w:pPr>
        <w:pStyle w:val="68"/>
        <w:spacing w:line="540" w:lineRule="exact"/>
        <w:ind w:firstLine="480"/>
        <w:rPr>
          <w:rFonts w:ascii="Times New Roman" w:hAnsi="Times New Roman" w:eastAsia="宋体"/>
          <w:bCs/>
        </w:rPr>
      </w:pPr>
      <w:r>
        <w:rPr>
          <w:rFonts w:ascii="Times New Roman" w:hAnsi="Times New Roman" w:eastAsia="宋体"/>
          <w:bCs/>
        </w:rPr>
        <w:t>本项目粉尘主要来自于厂内饲料加工，饲料加工粉碎在半封闭式厂房内进行，采用日粮混合机进行湿润搅拌，设备自带除尘设施，因此，饲料加工过程中产生的粉尘量极少，对周围环境影响较小。满足《大气污染物综合排放标准》（GB16297-1996）中二级标准。</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1079" w:name="_Toc2133"/>
      <w:bookmarkStart w:id="1080" w:name="_Toc5166"/>
      <w:bookmarkStart w:id="1081" w:name="_Toc21177"/>
      <w:r>
        <w:rPr>
          <w:rFonts w:cs="Times New Roman"/>
          <w:bCs w:val="0"/>
          <w:snapToGrid w:val="0"/>
          <w:kern w:val="0"/>
          <w:sz w:val="28"/>
          <w:szCs w:val="28"/>
        </w:rPr>
        <w:t>10.6.2废水治理措施与达标排放可行性</w:t>
      </w:r>
      <w:bookmarkEnd w:id="1079"/>
      <w:bookmarkEnd w:id="1080"/>
      <w:bookmarkEnd w:id="1081"/>
    </w:p>
    <w:p>
      <w:pPr>
        <w:pStyle w:val="2"/>
        <w:adjustRightInd w:val="0"/>
        <w:spacing w:line="540" w:lineRule="exact"/>
        <w:ind w:firstLine="480" w:firstLineChars="200"/>
        <w:jc w:val="both"/>
        <w:rPr>
          <w:rFonts w:hint="eastAsia" w:ascii="Times New Roman" w:hAnsi="Times New Roman"/>
          <w:sz w:val="24"/>
          <w:lang w:val="zh-CN"/>
        </w:rPr>
      </w:pPr>
      <w:r>
        <w:rPr>
          <w:rFonts w:ascii="Times New Roman" w:hAnsi="Times New Roman"/>
          <w:sz w:val="24"/>
          <w:lang w:val="zh-CN"/>
        </w:rPr>
        <w:t>本项目废水主要为职工生活污水</w:t>
      </w:r>
      <w:r>
        <w:rPr>
          <w:rFonts w:hint="eastAsia" w:ascii="Times New Roman" w:hAnsi="Times New Roman"/>
          <w:sz w:val="24"/>
          <w:lang w:val="zh-CN"/>
        </w:rPr>
        <w:t>，职工生活污水主要为员工盥洗废水，用于厂区的洒水降尘；厂区建有卫生旱厕，用于员工生活卫生，旱厕定期由附近农户清掏还田。</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1082" w:name="_Toc32658"/>
      <w:bookmarkStart w:id="1083" w:name="_Toc6273"/>
      <w:r>
        <w:rPr>
          <w:rFonts w:cs="Times New Roman"/>
          <w:bCs w:val="0"/>
          <w:snapToGrid w:val="0"/>
          <w:kern w:val="0"/>
          <w:sz w:val="28"/>
          <w:szCs w:val="28"/>
        </w:rPr>
        <w:t>10.6.3环境噪声污染防治措施与达标排放的可行性</w:t>
      </w:r>
      <w:bookmarkEnd w:id="1082"/>
      <w:bookmarkEnd w:id="1083"/>
    </w:p>
    <w:p>
      <w:pPr>
        <w:pStyle w:val="68"/>
        <w:spacing w:line="540" w:lineRule="exact"/>
        <w:ind w:firstLine="480"/>
        <w:rPr>
          <w:rFonts w:ascii="Times New Roman" w:hAnsi="Times New Roman" w:eastAsia="宋体"/>
          <w:kern w:val="2"/>
          <w:szCs w:val="24"/>
          <w:lang w:val="zh-CN"/>
        </w:rPr>
      </w:pPr>
      <w:r>
        <w:rPr>
          <w:rFonts w:ascii="Times New Roman" w:hAnsi="Times New Roman" w:eastAsia="宋体"/>
          <w:kern w:val="2"/>
          <w:szCs w:val="22"/>
        </w:rPr>
        <w:t>本项目噪声主要来自TMR搅拌站内饲料配料混合设备、粉碎机、水泵及牛群活动叫声等。</w:t>
      </w:r>
      <w:r>
        <w:rPr>
          <w:rFonts w:ascii="Times New Roman" w:hAnsi="Times New Roman" w:eastAsia="宋体"/>
          <w:kern w:val="2"/>
          <w:szCs w:val="24"/>
        </w:rPr>
        <w:t>噪声声级在60~90dB（A）。</w:t>
      </w:r>
      <w:r>
        <w:rPr>
          <w:rFonts w:ascii="Times New Roman" w:hAnsi="Times New Roman" w:eastAsia="宋体"/>
          <w:kern w:val="2"/>
          <w:szCs w:val="24"/>
          <w:lang w:val="zh-CN"/>
        </w:rPr>
        <w:t>针对不同噪声源采用隔声、消声、合理布局等治理措施。</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根据监测结果，采取有效的减振降噪措施后，前述主要生产设备噪声源衰减至厂界外1m的噪声值，噪声符合《工业企业厂界环境噪声排放标准》（GB12348-2008）</w:t>
      </w:r>
      <w:r>
        <w:rPr>
          <w:rFonts w:hint="eastAsia" w:ascii="Times New Roman" w:hAnsi="Times New Roman"/>
          <w:sz w:val="24"/>
        </w:rPr>
        <w:t>2</w:t>
      </w:r>
      <w:r>
        <w:rPr>
          <w:rFonts w:ascii="Times New Roman" w:hAnsi="Times New Roman"/>
          <w:sz w:val="24"/>
        </w:rPr>
        <w:t>类声环境功能区标准要求。</w:t>
      </w:r>
    </w:p>
    <w:p>
      <w:pPr>
        <w:pStyle w:val="52"/>
        <w:tabs>
          <w:tab w:val="left" w:pos="284"/>
        </w:tabs>
        <w:snapToGrid w:val="0"/>
        <w:spacing w:before="120" w:beforeLines="50" w:after="120" w:afterLines="50" w:line="540" w:lineRule="exact"/>
        <w:contextualSpacing/>
        <w:rPr>
          <w:rFonts w:cs="Times New Roman"/>
          <w:bCs w:val="0"/>
          <w:snapToGrid w:val="0"/>
          <w:kern w:val="0"/>
          <w:sz w:val="28"/>
          <w:szCs w:val="28"/>
        </w:rPr>
      </w:pPr>
      <w:bookmarkStart w:id="1084" w:name="_Toc18430"/>
      <w:bookmarkStart w:id="1085" w:name="_Toc5551"/>
      <w:r>
        <w:rPr>
          <w:rFonts w:cs="Times New Roman"/>
          <w:bCs w:val="0"/>
          <w:snapToGrid w:val="0"/>
          <w:kern w:val="0"/>
          <w:sz w:val="28"/>
          <w:szCs w:val="28"/>
        </w:rPr>
        <w:t>10.6.4固体废物产生及处理、处置情况</w:t>
      </w:r>
      <w:bookmarkEnd w:id="1084"/>
      <w:bookmarkEnd w:id="1085"/>
    </w:p>
    <w:p>
      <w:pPr>
        <w:adjustRightInd w:val="0"/>
        <w:snapToGrid w:val="0"/>
        <w:spacing w:line="540" w:lineRule="exact"/>
        <w:ind w:firstLine="480" w:firstLineChars="200"/>
        <w:rPr>
          <w:rFonts w:ascii="Times New Roman" w:hAnsi="Times New Roman"/>
          <w:sz w:val="24"/>
          <w:szCs w:val="22"/>
        </w:rPr>
      </w:pPr>
      <w:r>
        <w:rPr>
          <w:rFonts w:ascii="Times New Roman" w:hAnsi="Times New Roman"/>
          <w:sz w:val="24"/>
          <w:szCs w:val="22"/>
        </w:rPr>
        <w:t>本项目运营后，固体废物主要有牛粪、病死牛尸体</w:t>
      </w:r>
      <w:r>
        <w:rPr>
          <w:rFonts w:hint="eastAsia" w:ascii="Times New Roman" w:hAnsi="Times New Roman"/>
          <w:sz w:val="24"/>
          <w:szCs w:val="22"/>
          <w:lang w:eastAsia="zh-CN"/>
        </w:rPr>
        <w:t>及胎盘</w:t>
      </w:r>
      <w:r>
        <w:rPr>
          <w:rFonts w:ascii="Times New Roman" w:hAnsi="Times New Roman"/>
          <w:sz w:val="24"/>
          <w:szCs w:val="22"/>
        </w:rPr>
        <w:t>、兽医站少量医疗废物及生活垃圾。</w:t>
      </w:r>
    </w:p>
    <w:p>
      <w:pPr>
        <w:pStyle w:val="2"/>
        <w:adjustRightInd w:val="0"/>
        <w:spacing w:line="540" w:lineRule="exact"/>
        <w:ind w:firstLine="480" w:firstLineChars="200"/>
        <w:jc w:val="both"/>
        <w:rPr>
          <w:rFonts w:ascii="Times New Roman" w:hAnsi="Times New Roman"/>
          <w:sz w:val="24"/>
          <w:szCs w:val="22"/>
        </w:rPr>
      </w:pPr>
      <w:r>
        <w:rPr>
          <w:rFonts w:ascii="Times New Roman" w:hAnsi="Times New Roman"/>
          <w:sz w:val="24"/>
          <w:szCs w:val="22"/>
        </w:rPr>
        <w:t>牛粪采取人工机械+人工干法清粪方式将粪便及时、单独清出，做到日产日清，处理后的牛粪存放于</w:t>
      </w:r>
      <w:r>
        <w:rPr>
          <w:rFonts w:hint="eastAsia" w:ascii="Times New Roman" w:hAnsi="Times New Roman"/>
          <w:sz w:val="24"/>
          <w:szCs w:val="22"/>
          <w:lang w:eastAsia="zh-CN"/>
        </w:rPr>
        <w:t>定期由隆德县腾发牧草专业合作社运走</w:t>
      </w:r>
      <w:r>
        <w:rPr>
          <w:rFonts w:ascii="Times New Roman" w:hAnsi="Times New Roman"/>
          <w:sz w:val="24"/>
          <w:szCs w:val="22"/>
        </w:rPr>
        <w:t>，将其变废为宝，实现粪便无害化处置；运营期将病死牛尸体</w:t>
      </w:r>
      <w:r>
        <w:rPr>
          <w:rFonts w:hint="eastAsia" w:ascii="Times New Roman" w:hAnsi="Times New Roman"/>
          <w:sz w:val="24"/>
          <w:szCs w:val="22"/>
          <w:lang w:eastAsia="zh-CN"/>
        </w:rPr>
        <w:t>及胎盘</w:t>
      </w:r>
      <w:r>
        <w:rPr>
          <w:rFonts w:hint="eastAsia" w:ascii="Times New Roman" w:hAnsi="Times New Roman"/>
          <w:sz w:val="24"/>
        </w:rPr>
        <w:t>由隆德县神林畜牧兽医站监督运送到隆德县定点无害化处理场所焚烧；</w:t>
      </w:r>
      <w:r>
        <w:rPr>
          <w:rFonts w:ascii="Times New Roman" w:hAnsi="Times New Roman"/>
          <w:sz w:val="24"/>
          <w:szCs w:val="22"/>
        </w:rPr>
        <w:t>医疗废物属于危险废物，集中收集后委托有危废处理资质的单位集中处理；生活垃圾收集后送至</w:t>
      </w:r>
      <w:r>
        <w:rPr>
          <w:rFonts w:hint="eastAsia" w:ascii="Times New Roman" w:hAnsi="Times New Roman"/>
          <w:sz w:val="24"/>
          <w:szCs w:val="22"/>
          <w:lang w:eastAsia="zh-CN"/>
        </w:rPr>
        <w:t>环卫部门统一处理</w:t>
      </w:r>
      <w:r>
        <w:rPr>
          <w:rFonts w:ascii="Times New Roman" w:hAnsi="Times New Roman"/>
          <w:sz w:val="24"/>
          <w:szCs w:val="22"/>
        </w:rPr>
        <w:t>。</w:t>
      </w:r>
    </w:p>
    <w:p>
      <w:pPr>
        <w:adjustRightInd w:val="0"/>
        <w:snapToGrid w:val="0"/>
        <w:spacing w:line="540" w:lineRule="exact"/>
        <w:ind w:firstLine="480" w:firstLineChars="200"/>
        <w:rPr>
          <w:rFonts w:ascii="Times New Roman" w:hAnsi="Times New Roman"/>
          <w:sz w:val="24"/>
        </w:rPr>
      </w:pPr>
      <w:r>
        <w:rPr>
          <w:rFonts w:ascii="Times New Roman" w:hAnsi="Times New Roman"/>
          <w:sz w:val="24"/>
        </w:rPr>
        <w:t>综上所述，本项目固体废物均综合利用或无害化处理，不外排。</w:t>
      </w:r>
    </w:p>
    <w:p>
      <w:pPr>
        <w:pStyle w:val="51"/>
        <w:snapToGrid w:val="0"/>
        <w:spacing w:before="120" w:beforeLines="50" w:after="120" w:afterLines="50" w:line="540" w:lineRule="exact"/>
        <w:contextualSpacing/>
        <w:rPr>
          <w:rFonts w:cs="Times New Roman"/>
          <w:bCs w:val="0"/>
          <w:snapToGrid w:val="0"/>
          <w:kern w:val="0"/>
        </w:rPr>
      </w:pPr>
      <w:bookmarkStart w:id="1086" w:name="_Toc23079"/>
      <w:bookmarkStart w:id="1087" w:name="_Toc19888"/>
      <w:bookmarkStart w:id="1088" w:name="_Toc7914"/>
      <w:bookmarkStart w:id="1089" w:name="_Toc11427"/>
      <w:r>
        <w:rPr>
          <w:rFonts w:cs="Times New Roman"/>
          <w:bCs w:val="0"/>
          <w:snapToGrid w:val="0"/>
          <w:kern w:val="0"/>
        </w:rPr>
        <w:t>10.7公众参与</w:t>
      </w:r>
      <w:bookmarkEnd w:id="1086"/>
      <w:bookmarkEnd w:id="1087"/>
      <w:bookmarkEnd w:id="1088"/>
      <w:bookmarkEnd w:id="1089"/>
    </w:p>
    <w:p>
      <w:pPr>
        <w:adjustRightInd w:val="0"/>
        <w:snapToGrid w:val="0"/>
        <w:spacing w:line="540" w:lineRule="exact"/>
        <w:ind w:firstLine="480" w:firstLineChars="200"/>
        <w:rPr>
          <w:rFonts w:hint="eastAsia" w:ascii="Times New Roman" w:hAnsi="Times New Roman"/>
          <w:color w:val="FF0000"/>
          <w:sz w:val="24"/>
          <w:szCs w:val="20"/>
          <w:lang w:eastAsia="zh-CN"/>
        </w:rPr>
      </w:pPr>
      <w:bookmarkStart w:id="1090" w:name="_Toc21310"/>
      <w:bookmarkStart w:id="1091" w:name="_Toc14850"/>
      <w:bookmarkStart w:id="1092" w:name="_Toc18685"/>
      <w:bookmarkStart w:id="1093" w:name="_Toc21797"/>
      <w:r>
        <w:rPr>
          <w:rFonts w:ascii="Times New Roman" w:hAnsi="Times New Roman"/>
          <w:sz w:val="24"/>
          <w:szCs w:val="20"/>
        </w:rPr>
        <w:t>本次公众参与严格按照《环境影响评价公众参与办法》有关规定进行，通过报纸发布公告信</w:t>
      </w:r>
      <w:r>
        <w:rPr>
          <w:rFonts w:ascii="Times New Roman" w:hAnsi="Times New Roman"/>
          <w:color w:val="FF0000"/>
          <w:sz w:val="24"/>
          <w:szCs w:val="20"/>
        </w:rPr>
        <w:t>息及张贴公示等形式，广泛公告项目建设的基本情况及环境影响评价情况。</w:t>
      </w:r>
      <w:r>
        <w:rPr>
          <w:rFonts w:hint="eastAsia" w:ascii="Times New Roman" w:hAnsi="Times New Roman"/>
          <w:color w:val="FF0000"/>
          <w:sz w:val="24"/>
          <w:szCs w:val="20"/>
        </w:rPr>
        <w:t>2022</w:t>
      </w:r>
      <w:r>
        <w:rPr>
          <w:rFonts w:ascii="Times New Roman" w:hAnsi="Times New Roman"/>
          <w:color w:val="FF0000"/>
          <w:sz w:val="24"/>
          <w:szCs w:val="20"/>
        </w:rPr>
        <w:t>年</w:t>
      </w:r>
      <w:r>
        <w:rPr>
          <w:rFonts w:hint="eastAsia" w:ascii="Times New Roman" w:hAnsi="Times New Roman"/>
          <w:color w:val="FF0000"/>
          <w:sz w:val="24"/>
          <w:szCs w:val="20"/>
        </w:rPr>
        <w:t>4</w:t>
      </w:r>
      <w:r>
        <w:rPr>
          <w:rFonts w:ascii="Times New Roman" w:hAnsi="Times New Roman"/>
          <w:color w:val="FF0000"/>
          <w:sz w:val="24"/>
          <w:szCs w:val="20"/>
        </w:rPr>
        <w:t>月</w:t>
      </w:r>
      <w:r>
        <w:rPr>
          <w:rFonts w:hint="eastAsia" w:ascii="Times New Roman" w:hAnsi="Times New Roman"/>
          <w:color w:val="FF0000"/>
          <w:sz w:val="24"/>
          <w:szCs w:val="20"/>
        </w:rPr>
        <w:t>26</w:t>
      </w:r>
      <w:r>
        <w:rPr>
          <w:rFonts w:ascii="Times New Roman" w:hAnsi="Times New Roman"/>
          <w:color w:val="FF0000"/>
          <w:sz w:val="24"/>
          <w:szCs w:val="20"/>
        </w:rPr>
        <w:t>日在</w:t>
      </w:r>
      <w:r>
        <w:rPr>
          <w:rFonts w:hint="eastAsia" w:ascii="Times New Roman" w:hAnsi="Times New Roman"/>
          <w:color w:val="FF0000"/>
          <w:sz w:val="24"/>
          <w:szCs w:val="20"/>
        </w:rPr>
        <w:t>固原市政府网站http://www.nxgy.gov.cn/zwgk/zfxxgkml/jgzn_38938/hjbh/hbgs/202204/t20220426_3471749.html</w:t>
      </w:r>
      <w:r>
        <w:rPr>
          <w:rFonts w:ascii="Times New Roman" w:hAnsi="Times New Roman"/>
          <w:color w:val="FF0000"/>
          <w:sz w:val="24"/>
          <w:szCs w:val="20"/>
        </w:rPr>
        <w:t>发布了本项目第一次环境影响评价信息公示</w:t>
      </w:r>
      <w:r>
        <w:rPr>
          <w:rFonts w:hint="eastAsia" w:ascii="Times New Roman" w:hAnsi="Times New Roman"/>
          <w:color w:val="FF0000"/>
          <w:sz w:val="24"/>
          <w:szCs w:val="20"/>
          <w:lang w:eastAsia="zh-CN"/>
        </w:rPr>
        <w:t>。</w:t>
      </w:r>
    </w:p>
    <w:p>
      <w:pPr>
        <w:adjustRightInd w:val="0"/>
        <w:snapToGrid w:val="0"/>
        <w:spacing w:line="540" w:lineRule="exact"/>
        <w:ind w:firstLine="480" w:firstLineChars="200"/>
        <w:rPr>
          <w:rFonts w:hint="eastAsia" w:ascii="Times New Roman" w:hAnsi="Times New Roman"/>
          <w:color w:val="FF0000"/>
          <w:sz w:val="24"/>
          <w:szCs w:val="20"/>
          <w:lang w:val="en-US" w:eastAsia="zh-CN"/>
        </w:rPr>
      </w:pPr>
      <w:r>
        <w:rPr>
          <w:rFonts w:hint="eastAsia" w:ascii="Times New Roman" w:hAnsi="Times New Roman"/>
          <w:color w:val="FF0000"/>
          <w:sz w:val="24"/>
          <w:szCs w:val="20"/>
          <w:lang w:val="en-US" w:eastAsia="zh-CN"/>
        </w:rPr>
        <w:t>2022年7月11日在企业家日报进行了第二次公示，</w:t>
      </w:r>
      <w:r>
        <w:rPr>
          <w:rFonts w:hint="eastAsia" w:ascii="Times New Roman" w:hAnsi="Times New Roman"/>
          <w:color w:val="FF0000"/>
          <w:sz w:val="24"/>
          <w:szCs w:val="20"/>
        </w:rPr>
        <w:t>并分别在隆德县</w:t>
      </w:r>
      <w:r>
        <w:rPr>
          <w:rFonts w:hint="eastAsia" w:ascii="Times New Roman" w:hAnsi="Times New Roman"/>
          <w:color w:val="FF0000"/>
          <w:sz w:val="24"/>
          <w:szCs w:val="20"/>
          <w:lang w:eastAsia="zh-CN"/>
        </w:rPr>
        <w:t>神林乡</w:t>
      </w:r>
      <w:r>
        <w:rPr>
          <w:rFonts w:hint="eastAsia" w:ascii="Times New Roman" w:hAnsi="Times New Roman"/>
          <w:color w:val="FF0000"/>
          <w:sz w:val="24"/>
          <w:szCs w:val="20"/>
        </w:rPr>
        <w:t>社会工作服务站、隆德县</w:t>
      </w:r>
      <w:r>
        <w:rPr>
          <w:rFonts w:hint="eastAsia" w:ascii="Times New Roman" w:hAnsi="Times New Roman"/>
          <w:color w:val="FF0000"/>
          <w:sz w:val="24"/>
          <w:szCs w:val="20"/>
          <w:lang w:eastAsia="zh-CN"/>
        </w:rPr>
        <w:t>神林乡神林村</w:t>
      </w:r>
      <w:r>
        <w:rPr>
          <w:rFonts w:hint="eastAsia" w:ascii="Times New Roman" w:hAnsi="Times New Roman"/>
          <w:color w:val="FF0000"/>
          <w:sz w:val="24"/>
          <w:szCs w:val="20"/>
        </w:rPr>
        <w:t>村民委员会进行了公告张贴及公众意见调查。</w:t>
      </w:r>
    </w:p>
    <w:p>
      <w:pPr>
        <w:adjustRightInd w:val="0"/>
        <w:snapToGrid w:val="0"/>
        <w:spacing w:line="540" w:lineRule="exact"/>
        <w:ind w:firstLine="480" w:firstLineChars="200"/>
        <w:rPr>
          <w:rFonts w:hint="eastAsia" w:ascii="Times New Roman" w:hAnsi="Times New Roman"/>
          <w:sz w:val="24"/>
          <w:szCs w:val="20"/>
          <w:lang w:val="en-US" w:eastAsia="zh-CN"/>
        </w:rPr>
      </w:pPr>
      <w:r>
        <w:rPr>
          <w:rFonts w:hint="eastAsia" w:ascii="Times New Roman" w:hAnsi="Times New Roman"/>
          <w:color w:val="FF0000"/>
          <w:sz w:val="24"/>
          <w:szCs w:val="20"/>
          <w:lang w:val="en-US" w:eastAsia="zh-CN"/>
        </w:rPr>
        <w:t>截止公示期结束，建设单位未收到任何关于本项目的信件、电子邮件、电话等反馈信息，也未收到“建设项目环境影响评价公众意见表</w:t>
      </w:r>
      <w:r>
        <w:rPr>
          <w:rFonts w:hint="eastAsia" w:ascii="Times New Roman" w:hAnsi="Times New Roman"/>
          <w:sz w:val="24"/>
          <w:szCs w:val="20"/>
          <w:lang w:val="en-US" w:eastAsia="zh-CN"/>
        </w:rPr>
        <w:t>”。</w:t>
      </w:r>
    </w:p>
    <w:p>
      <w:pPr>
        <w:pStyle w:val="51"/>
        <w:snapToGrid w:val="0"/>
        <w:spacing w:before="120" w:beforeLines="50" w:after="120" w:afterLines="50" w:line="540" w:lineRule="exact"/>
        <w:contextualSpacing/>
        <w:rPr>
          <w:rFonts w:cs="Times New Roman"/>
          <w:bCs w:val="0"/>
          <w:snapToGrid w:val="0"/>
          <w:kern w:val="0"/>
        </w:rPr>
      </w:pPr>
      <w:bookmarkStart w:id="1094" w:name="_Toc30081"/>
      <w:bookmarkStart w:id="1095" w:name="_Toc20306"/>
      <w:bookmarkStart w:id="1096" w:name="_Toc13662"/>
      <w:bookmarkStart w:id="1097" w:name="_Toc28865"/>
      <w:r>
        <w:rPr>
          <w:rFonts w:cs="Times New Roman"/>
          <w:bCs w:val="0"/>
          <w:snapToGrid w:val="0"/>
          <w:kern w:val="0"/>
        </w:rPr>
        <w:t>10.8结论</w:t>
      </w:r>
      <w:bookmarkEnd w:id="1090"/>
      <w:bookmarkEnd w:id="1091"/>
      <w:bookmarkEnd w:id="1092"/>
      <w:bookmarkEnd w:id="1093"/>
      <w:bookmarkEnd w:id="1094"/>
      <w:bookmarkEnd w:id="1095"/>
      <w:bookmarkEnd w:id="1096"/>
      <w:bookmarkEnd w:id="1097"/>
    </w:p>
    <w:p>
      <w:pPr>
        <w:adjustRightInd w:val="0"/>
        <w:snapToGrid w:val="0"/>
        <w:spacing w:line="540" w:lineRule="exact"/>
        <w:ind w:firstLine="480" w:firstLineChars="200"/>
        <w:rPr>
          <w:rFonts w:ascii="Times New Roman" w:hAnsi="Times New Roman"/>
          <w:sz w:val="24"/>
          <w:lang w:val="zh-CN"/>
        </w:rPr>
      </w:pPr>
      <w:r>
        <w:rPr>
          <w:rFonts w:ascii="Times New Roman" w:hAnsi="Times New Roman"/>
          <w:sz w:val="24"/>
          <w:lang w:val="zh-CN"/>
        </w:rPr>
        <w:t>综上所述，本项目建设符合国家及地方有关产业政策，选址合理。其污染防治措施比较完善可行并达标排放，项目的实施对周围环境影响较小；污染物排放总量能够满足环境容量要求；具有较好的社会效益和经济效益，有利于带动地方经济的发展。在严格执行“三同时”制度、落实本报告书提出的各项环保措施的前提下，从环境保护角度分析，本项目的建设是可行的。</w:t>
      </w:r>
    </w:p>
    <w:p>
      <w:pPr>
        <w:pStyle w:val="51"/>
        <w:snapToGrid w:val="0"/>
        <w:spacing w:before="120" w:beforeLines="50" w:after="120" w:afterLines="50" w:line="540" w:lineRule="exact"/>
        <w:contextualSpacing/>
        <w:rPr>
          <w:rFonts w:cs="Times New Roman"/>
          <w:bCs w:val="0"/>
          <w:snapToGrid w:val="0"/>
          <w:kern w:val="0"/>
        </w:rPr>
      </w:pPr>
      <w:bookmarkStart w:id="1098" w:name="_Toc15802"/>
      <w:bookmarkStart w:id="1099" w:name="_Toc9988"/>
      <w:bookmarkStart w:id="1100" w:name="_Toc18974"/>
      <w:bookmarkStart w:id="1101" w:name="_Toc25454"/>
      <w:bookmarkStart w:id="1102" w:name="_Toc1576"/>
      <w:bookmarkStart w:id="1103" w:name="_Toc9237"/>
      <w:bookmarkStart w:id="1104" w:name="_Toc14498"/>
      <w:bookmarkStart w:id="1105" w:name="_Toc15743"/>
      <w:r>
        <w:rPr>
          <w:rFonts w:cs="Times New Roman"/>
          <w:bCs w:val="0"/>
          <w:snapToGrid w:val="0"/>
          <w:kern w:val="0"/>
        </w:rPr>
        <w:t>10.9建议</w:t>
      </w:r>
      <w:bookmarkEnd w:id="1098"/>
      <w:bookmarkEnd w:id="1099"/>
      <w:bookmarkEnd w:id="1100"/>
      <w:bookmarkEnd w:id="1101"/>
      <w:bookmarkEnd w:id="1102"/>
      <w:bookmarkEnd w:id="1103"/>
      <w:bookmarkEnd w:id="1104"/>
      <w:bookmarkEnd w:id="1105"/>
    </w:p>
    <w:p>
      <w:pPr>
        <w:adjustRightInd w:val="0"/>
        <w:snapToGrid w:val="0"/>
        <w:spacing w:line="540" w:lineRule="exact"/>
        <w:ind w:firstLine="480" w:firstLineChars="200"/>
        <w:rPr>
          <w:rFonts w:ascii="Times New Roman" w:hAnsi="Times New Roman"/>
          <w:sz w:val="24"/>
          <w:lang w:val="zh-CN"/>
        </w:rPr>
      </w:pPr>
      <w:r>
        <w:rPr>
          <w:rFonts w:ascii="Times New Roman" w:hAnsi="Times New Roman"/>
          <w:sz w:val="24"/>
        </w:rPr>
        <w:fldChar w:fldCharType="begin"/>
      </w:r>
      <w:r>
        <w:rPr>
          <w:rFonts w:ascii="Times New Roman" w:hAnsi="Times New Roman"/>
          <w:sz w:val="24"/>
        </w:rPr>
        <w:instrText xml:space="preserve"> = 1 \* GB2 \* MERGEFORMAT </w:instrText>
      </w:r>
      <w:r>
        <w:rPr>
          <w:rFonts w:ascii="Times New Roman" w:hAnsi="Times New Roman"/>
          <w:sz w:val="24"/>
        </w:rPr>
        <w:fldChar w:fldCharType="separate"/>
      </w:r>
      <w:r>
        <w:rPr>
          <w:rFonts w:ascii="Times New Roman" w:hAnsi="Times New Roman"/>
          <w:sz w:val="24"/>
          <w:lang w:val="zh-CN"/>
        </w:rPr>
        <w:t>⑴</w:t>
      </w:r>
      <w:r>
        <w:rPr>
          <w:rFonts w:ascii="Times New Roman" w:hAnsi="Times New Roman"/>
          <w:sz w:val="24"/>
        </w:rPr>
        <w:fldChar w:fldCharType="end"/>
      </w:r>
      <w:r>
        <w:rPr>
          <w:rFonts w:ascii="Times New Roman" w:hAnsi="Times New Roman"/>
          <w:sz w:val="24"/>
          <w:lang w:val="zh-CN"/>
        </w:rPr>
        <w:t>制定全厂环境管理和生产制度章程；设专职环境管理人员，按本报告书中的要求认真落实环境监测计划，负责开展日常的环境监测工作，统计整理有关环境监测资料，并上报地方环保部门，若发现问题，及时采取措施，防止发生环境污染；检查监督污染治理处理装置的运行、维修等管理情况；</w:t>
      </w:r>
    </w:p>
    <w:p>
      <w:pPr>
        <w:adjustRightInd w:val="0"/>
        <w:snapToGrid w:val="0"/>
        <w:spacing w:line="540" w:lineRule="exact"/>
        <w:ind w:firstLine="480" w:firstLineChars="200"/>
        <w:rPr>
          <w:rFonts w:ascii="Times New Roman" w:hAnsi="Times New Roman"/>
          <w:sz w:val="24"/>
          <w:lang w:val="zh-CN"/>
        </w:rPr>
      </w:pPr>
      <w:r>
        <w:rPr>
          <w:rFonts w:ascii="Times New Roman" w:hAnsi="Times New Roman"/>
          <w:sz w:val="24"/>
        </w:rPr>
        <w:fldChar w:fldCharType="begin"/>
      </w:r>
      <w:r>
        <w:rPr>
          <w:rFonts w:ascii="Times New Roman" w:hAnsi="Times New Roman"/>
          <w:sz w:val="24"/>
        </w:rPr>
        <w:instrText xml:space="preserve"> = 2 \* GB2 \* MERGEFORMAT </w:instrText>
      </w:r>
      <w:r>
        <w:rPr>
          <w:rFonts w:ascii="Times New Roman" w:hAnsi="Times New Roman"/>
          <w:sz w:val="24"/>
        </w:rPr>
        <w:fldChar w:fldCharType="separate"/>
      </w:r>
      <w:r>
        <w:rPr>
          <w:rFonts w:ascii="Times New Roman" w:hAnsi="Times New Roman"/>
          <w:sz w:val="24"/>
          <w:lang w:val="zh-CN"/>
        </w:rPr>
        <w:t>⑵</w:t>
      </w:r>
      <w:r>
        <w:rPr>
          <w:rFonts w:ascii="Times New Roman" w:hAnsi="Times New Roman"/>
          <w:sz w:val="24"/>
        </w:rPr>
        <w:fldChar w:fldCharType="end"/>
      </w:r>
      <w:r>
        <w:rPr>
          <w:rFonts w:ascii="Times New Roman" w:hAnsi="Times New Roman"/>
          <w:sz w:val="24"/>
          <w:lang w:val="zh-CN"/>
        </w:rPr>
        <w:t>在设备选型上，要认真考查和论证，选用先进的低噪声设备，保证工程正常运行的同时，最大限度地减少各种污染物的产生，减轻项目对环境的影响；</w:t>
      </w:r>
    </w:p>
    <w:p>
      <w:pPr>
        <w:pStyle w:val="11"/>
        <w:adjustRightInd w:val="0"/>
        <w:snapToGrid w:val="0"/>
        <w:spacing w:after="0" w:line="540" w:lineRule="exact"/>
        <w:ind w:firstLine="480" w:firstLineChars="200"/>
        <w:rPr>
          <w:rFonts w:ascii="Times New Roman" w:hAnsi="Times New Roman"/>
          <w:sz w:val="24"/>
          <w:szCs w:val="22"/>
        </w:rPr>
      </w:pPr>
      <w:r>
        <w:rPr>
          <w:rFonts w:ascii="Times New Roman" w:hAnsi="Times New Roman"/>
          <w:sz w:val="24"/>
        </w:rPr>
        <w:fldChar w:fldCharType="begin"/>
      </w:r>
      <w:r>
        <w:rPr>
          <w:rFonts w:ascii="Times New Roman" w:hAnsi="Times New Roman"/>
          <w:sz w:val="24"/>
        </w:rPr>
        <w:instrText xml:space="preserve"> = 3 \* GB2 \* MERGEFORMAT </w:instrText>
      </w:r>
      <w:r>
        <w:rPr>
          <w:rFonts w:ascii="Times New Roman" w:hAnsi="Times New Roman"/>
          <w:sz w:val="24"/>
        </w:rPr>
        <w:fldChar w:fldCharType="separate"/>
      </w:r>
      <w:r>
        <w:rPr>
          <w:rFonts w:ascii="Times New Roman" w:hAnsi="Times New Roman"/>
          <w:sz w:val="24"/>
          <w:lang w:val="zh-CN"/>
        </w:rPr>
        <w:t>⑶</w:t>
      </w:r>
      <w:r>
        <w:rPr>
          <w:rFonts w:ascii="Times New Roman" w:hAnsi="Times New Roman"/>
          <w:sz w:val="24"/>
        </w:rPr>
        <w:fldChar w:fldCharType="end"/>
      </w:r>
      <w:r>
        <w:rPr>
          <w:rFonts w:ascii="Times New Roman" w:hAnsi="Times New Roman"/>
          <w:sz w:val="24"/>
          <w:lang w:val="zh-CN"/>
        </w:rPr>
        <w:t>搞好牛棚内卫生，发现有牛病死或因其它意外致死的，要及时清理消毒，并设置专用防疫通道输送，防止牛群交叉感染。</w:t>
      </w:r>
    </w:p>
    <w:sectPr>
      <w:headerReference r:id="rId13" w:type="default"/>
      <w:pgSz w:w="11911" w:h="16838"/>
      <w:pgMar w:top="1701" w:right="1417" w:bottom="1701" w:left="1417" w:header="1134" w:footer="1134"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01"/>
    <w:family w:val="auto"/>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Cambria">
    <w:altName w:val="FreeSerif"/>
    <w:panose1 w:val="02040503050406030204"/>
    <w:charset w:val="00"/>
    <w:family w:val="roman"/>
    <w:pitch w:val="default"/>
    <w:sig w:usb0="00000000" w:usb1="00000000" w:usb2="00000000" w:usb3="00000000" w:csb0="2000019F" w:csb1="00000000"/>
  </w:font>
  <w:font w:name="仿宋">
    <w:panose1 w:val="02010609060101010101"/>
    <w:charset w:val="86"/>
    <w:family w:val="auto"/>
    <w:pitch w:val="default"/>
    <w:sig w:usb0="800002BF" w:usb1="38CF7CFA" w:usb2="00000016" w:usb3="00000000" w:csb0="00040001" w:csb1="00000000"/>
  </w:font>
  <w:font w:name="ˎ̥">
    <w:altName w:val="华文仿宋"/>
    <w:panose1 w:val="00000000000000000000"/>
    <w:charset w:val="00"/>
    <w:family w:val="roman"/>
    <w:pitch w:val="default"/>
    <w:sig w:usb0="00000000" w:usb1="00000000" w:usb2="00000000" w:usb3="00000000" w:csb0="00040001" w:csb1="00000000"/>
  </w:font>
  <w:font w:name="Calibri Light">
    <w:altName w:val="DejaVu Sans"/>
    <w:panose1 w:val="020F0302020204030204"/>
    <w:charset w:val="00"/>
    <w:family w:val="swiss"/>
    <w:pitch w:val="default"/>
    <w:sig w:usb0="00000000" w:usb1="00000000" w:usb2="00000000" w:usb3="00000000" w:csb0="2000019F" w:csb1="00000000"/>
  </w:font>
  <w:font w:name="等线">
    <w:altName w:val="仿宋"/>
    <w:panose1 w:val="00000000000000000000"/>
    <w:charset w:val="86"/>
    <w:family w:val="auto"/>
    <w:pitch w:val="default"/>
    <w:sig w:usb0="00000000" w:usb1="00000000" w:usb2="00000016" w:usb3="00000000" w:csb0="0004000F" w:csb1="00000000"/>
  </w:font>
  <w:font w:name="Wingdings 2">
    <w:panose1 w:val="05020102010507070707"/>
    <w:charset w:val="02"/>
    <w:family w:val="roman"/>
    <w:pitch w:val="default"/>
    <w:sig w:usb0="00000000" w:usb1="00000000" w:usb2="00000000" w:usb3="00000000" w:csb0="80000000" w:csb1="00000000"/>
  </w:font>
  <w:font w:name="Segoe UI Emoji">
    <w:altName w:val="Noto Sans"/>
    <w:panose1 w:val="020B0502040204020203"/>
    <w:charset w:val="00"/>
    <w:family w:val="swiss"/>
    <w:pitch w:val="default"/>
    <w:sig w:usb0="00000000" w:usb1="00000000" w:usb2="00000000" w:usb3="00000000" w:csb0="00000001" w:csb1="00000000"/>
  </w:font>
  <w:font w:name="方正书宋_GBK">
    <w:panose1 w:val="02000000000000000000"/>
    <w:charset w:val="86"/>
    <w:family w:val="auto"/>
    <w:pitch w:val="default"/>
    <w:sig w:usb0="00000001" w:usb1="08000000" w:usb2="00000000" w:usb3="00000000" w:csb0="00040000" w:csb1="00000000"/>
  </w:font>
  <w:font w:name="FreeSerif">
    <w:panose1 w:val="02020603050405020304"/>
    <w:charset w:val="00"/>
    <w:family w:val="auto"/>
    <w:pitch w:val="default"/>
    <w:sig w:usb0="E59FAFFF" w:usb1="C200FDFF" w:usb2="43501B29" w:usb3="04000043" w:csb0="600101FF" w:csb1="FFFF0000"/>
  </w:font>
  <w:font w:name="Nimbus Roman No9 L">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 w:name="方正宋体S-超大字符集">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Bdr>
        <w:top w:val="thickThinSmallGap" w:color="auto" w:sz="12" w:space="1"/>
        <w:left w:val="none" w:color="auto" w:sz="0" w:space="4"/>
        <w:bottom w:val="none" w:color="auto" w:sz="0" w:space="1"/>
        <w:right w:val="none" w:color="auto" w:sz="0" w:space="4"/>
      </w:pBdr>
    </w:pPr>
    <w:r>
      <w:rPr>
        <w:sz w:val="21"/>
      </w:rPr>
      <mc:AlternateContent>
        <mc:Choice Requires="wps">
          <w:drawing>
            <wp:anchor distT="0" distB="0" distL="114300" distR="114300" simplePos="0" relativeHeight="251660288" behindDoc="0" locked="0" layoutInCell="1" allowOverlap="1">
              <wp:simplePos x="0" y="0"/>
              <wp:positionH relativeFrom="margin">
                <wp:posOffset>55880</wp:posOffset>
              </wp:positionH>
              <wp:positionV relativeFrom="paragraph">
                <wp:posOffset>73025</wp:posOffset>
              </wp:positionV>
              <wp:extent cx="5728970" cy="227330"/>
              <wp:effectExtent l="0" t="0" r="5080" b="1270"/>
              <wp:wrapNone/>
              <wp:docPr id="70" name="文本框 70"/>
              <wp:cNvGraphicFramePr/>
              <a:graphic xmlns:a="http://schemas.openxmlformats.org/drawingml/2006/main">
                <a:graphicData uri="http://schemas.microsoft.com/office/word/2010/wordprocessingShape">
                  <wps:wsp>
                    <wps:cNvSpPr txBox="1"/>
                    <wps:spPr>
                      <a:xfrm>
                        <a:off x="0" y="0"/>
                        <a:ext cx="5728970" cy="227330"/>
                      </a:xfrm>
                      <a:prstGeom prst="rect">
                        <a:avLst/>
                      </a:prstGeom>
                      <a:noFill/>
                      <a:ln w="6350">
                        <a:noFill/>
                      </a:ln>
                      <a:effectLst/>
                    </wps:spPr>
                    <wps:txbx>
                      <w:txbxContent>
                        <w:p>
                          <w:pPr>
                            <w:pStyle w:val="2"/>
                          </w:pPr>
                          <w:r>
                            <w:rPr>
                              <w:rFonts w:hint="eastAsia" w:ascii="Calibri Light" w:hAnsi="Calibri Light"/>
                              <w:b/>
                              <w:sz w:val="21"/>
                              <w:szCs w:val="21"/>
                            </w:rPr>
                            <w:t xml:space="preserve">宁夏盛博恒环保工程有限公司                                                   </w:t>
                          </w:r>
                          <w:r>
                            <w:t xml:space="preserve">第 </w:t>
                          </w:r>
                          <w:r>
                            <w:fldChar w:fldCharType="begin"/>
                          </w:r>
                          <w:r>
                            <w:instrText xml:space="preserve"> PAGE  \* MERGEFORMAT </w:instrText>
                          </w:r>
                          <w:r>
                            <w:fldChar w:fldCharType="separate"/>
                          </w:r>
                          <w:r>
                            <w:t>73</w:t>
                          </w:r>
                          <w:r>
                            <w:fldChar w:fldCharType="end"/>
                          </w:r>
                          <w:r>
                            <w:t xml:space="preserve"> 页</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4.4pt;margin-top:5.75pt;height:17.9pt;width:451.1pt;mso-position-horizontal-relative:margin;z-index:251660288;mso-width-relative:page;mso-height-relative:page;" filled="f" stroked="f" coordsize="21600,21600" o:gfxdata="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FgAAAGRycy9QSwECFAAUAAAACACHTuJAhxdMbtUAAAAHAQAADwAAAAAA&#10;AAABACAAAAA4AAAAZHJzL2Rvd25yZXYueG1sUEsBAhQAFAAAAAgAh07iQAdzgRI5AgAAZgQAAA4A&#10;AAAAAAAAAQAgAAAAOgEAAGRycy9lMm9Eb2MueG1sUEsFBgAAAAAGAAYAWQEAAOUFAAAAAA==&#10;">
              <v:fill on="f" focussize="0,0"/>
              <v:stroke on="f" weight="0.5pt"/>
              <v:imagedata o:title=""/>
              <o:lock v:ext="edit" aspectratio="f"/>
              <v:textbox inset="0mm,0mm,0mm,0mm">
                <w:txbxContent>
                  <w:p>
                    <w:pPr>
                      <w:pStyle w:val="2"/>
                    </w:pPr>
                    <w:r>
                      <w:rPr>
                        <w:rFonts w:hint="eastAsia" w:ascii="Calibri Light" w:hAnsi="Calibri Light"/>
                        <w:b/>
                        <w:sz w:val="21"/>
                        <w:szCs w:val="21"/>
                      </w:rPr>
                      <w:t xml:space="preserve">宁夏盛博恒环保工程有限公司                                                   </w:t>
                    </w:r>
                    <w:r>
                      <w:t xml:space="preserve">第 </w:t>
                    </w:r>
                    <w:r>
                      <w:fldChar w:fldCharType="begin"/>
                    </w:r>
                    <w:r>
                      <w:instrText xml:space="preserve"> PAGE  \* MERGEFORMAT </w:instrText>
                    </w:r>
                    <w:r>
                      <w:fldChar w:fldCharType="separate"/>
                    </w:r>
                    <w:r>
                      <w:t>73</w:t>
                    </w:r>
                    <w:r>
                      <w:fldChar w:fldCharType="end"/>
                    </w:r>
                    <w:r>
                      <w:t xml:space="preserve"> 页</w:t>
                    </w:r>
                  </w:p>
                </w:txbxContent>
              </v:textbox>
            </v:shape>
          </w:pict>
        </mc:Fallback>
      </mc:AlternateContent>
    </w:r>
    <w:r>
      <w:rPr>
        <w:rFonts w:hint="eastAsia"/>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Bdr>
        <w:top w:val="thickThinSmallGap" w:color="auto" w:sz="12" w:space="1"/>
        <w:left w:val="none" w:color="auto" w:sz="0" w:space="4"/>
        <w:bottom w:val="none" w:color="auto" w:sz="0" w:space="1"/>
        <w:right w:val="none" w:color="auto" w:sz="0" w:space="4"/>
      </w:pBdr>
    </w:pPr>
    <w:r>
      <w:rPr>
        <w:sz w:val="21"/>
      </w:rPr>
      <mc:AlternateContent>
        <mc:Choice Requires="wps">
          <w:drawing>
            <wp:anchor distT="0" distB="0" distL="114300" distR="114300" simplePos="0" relativeHeight="251664384" behindDoc="0" locked="0" layoutInCell="1" allowOverlap="1">
              <wp:simplePos x="0" y="0"/>
              <wp:positionH relativeFrom="margin">
                <wp:posOffset>55880</wp:posOffset>
              </wp:positionH>
              <wp:positionV relativeFrom="paragraph">
                <wp:posOffset>73025</wp:posOffset>
              </wp:positionV>
              <wp:extent cx="5728970" cy="227330"/>
              <wp:effectExtent l="0" t="0" r="5080" b="1270"/>
              <wp:wrapNone/>
              <wp:docPr id="46" name="文本框 46"/>
              <wp:cNvGraphicFramePr/>
              <a:graphic xmlns:a="http://schemas.openxmlformats.org/drawingml/2006/main">
                <a:graphicData uri="http://schemas.microsoft.com/office/word/2010/wordprocessingShape">
                  <wps:wsp>
                    <wps:cNvSpPr txBox="1"/>
                    <wps:spPr>
                      <a:xfrm>
                        <a:off x="0" y="0"/>
                        <a:ext cx="5728970" cy="227330"/>
                      </a:xfrm>
                      <a:prstGeom prst="rect">
                        <a:avLst/>
                      </a:prstGeom>
                      <a:noFill/>
                      <a:ln w="6350">
                        <a:noFill/>
                      </a:ln>
                      <a:effectLst/>
                    </wps:spPr>
                    <wps:txbx>
                      <w:txbxContent>
                        <w:p>
                          <w:pPr>
                            <w:pStyle w:val="2"/>
                          </w:pPr>
                          <w:r>
                            <w:rPr>
                              <w:rFonts w:hint="eastAsia" w:ascii="Calibri Light" w:hAnsi="Calibri Light"/>
                              <w:b/>
                              <w:sz w:val="21"/>
                              <w:szCs w:val="21"/>
                            </w:rPr>
                            <w:t xml:space="preserve">宁夏盛博恒环保工程有限公司                                                   </w:t>
                          </w:r>
                          <w:r>
                            <w:t xml:space="preserve">第 </w:t>
                          </w:r>
                          <w:r>
                            <w:fldChar w:fldCharType="begin"/>
                          </w:r>
                          <w:r>
                            <w:instrText xml:space="preserve"> PAGE  \* MERGEFORMAT </w:instrText>
                          </w:r>
                          <w:r>
                            <w:fldChar w:fldCharType="separate"/>
                          </w:r>
                          <w:r>
                            <w:t>90</w:t>
                          </w:r>
                          <w:r>
                            <w:fldChar w:fldCharType="end"/>
                          </w:r>
                          <w:r>
                            <w:t xml:space="preserve"> 页</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4.4pt;margin-top:5.75pt;height:17.9pt;width:451.1pt;mso-position-horizontal-relative:margin;z-index:251664384;mso-width-relative:page;mso-height-relative:page;" filled="f" stroked="f" coordsize="21600,21600" o:gfxdata="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WAAAAZHJzL1BLAQIUABQAAAAIAIdO4kCHF0xu1QAAAAcBAAAPAAAA&#10;AAAAAAEAIAAAADgAAABkcnMvZG93bnJldi54bWxQSwECFAAUAAAACACHTuJAe4U/MjsCAABmBAAA&#10;DgAAAAAAAAABACAAAAA6AQAAZHJzL2Uyb0RvYy54bWxQSwUGAAAAAAYABgBZAQAA5wUAAAAA&#10;">
              <v:fill on="f" focussize="0,0"/>
              <v:stroke on="f" weight="0.5pt"/>
              <v:imagedata o:title=""/>
              <o:lock v:ext="edit" aspectratio="f"/>
              <v:textbox inset="0mm,0mm,0mm,0mm">
                <w:txbxContent>
                  <w:p>
                    <w:pPr>
                      <w:pStyle w:val="2"/>
                    </w:pPr>
                    <w:r>
                      <w:rPr>
                        <w:rFonts w:hint="eastAsia" w:ascii="Calibri Light" w:hAnsi="Calibri Light"/>
                        <w:b/>
                        <w:sz w:val="21"/>
                        <w:szCs w:val="21"/>
                      </w:rPr>
                      <w:t xml:space="preserve">宁夏盛博恒环保工程有限公司                                                   </w:t>
                    </w:r>
                    <w:r>
                      <w:t xml:space="preserve">第 </w:t>
                    </w:r>
                    <w:r>
                      <w:fldChar w:fldCharType="begin"/>
                    </w:r>
                    <w:r>
                      <w:instrText xml:space="preserve"> PAGE  \* MERGEFORMAT </w:instrText>
                    </w:r>
                    <w:r>
                      <w:fldChar w:fldCharType="separate"/>
                    </w:r>
                    <w:r>
                      <w:t>90</w:t>
                    </w:r>
                    <w:r>
                      <w:fldChar w:fldCharType="end"/>
                    </w:r>
                    <w:r>
                      <w:t xml:space="preserve"> 页</w:t>
                    </w:r>
                  </w:p>
                </w:txbxContent>
              </v:textbox>
            </v:shape>
          </w:pict>
        </mc:Fallback>
      </mc:AlternateContent>
    </w:r>
    <w:r>
      <w:rPr>
        <w:rFonts w:hint="eastAsia"/>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000000" w:sz="24" w:space="0"/>
      </w:pBdr>
    </w:pPr>
  </w:p>
  <w:p>
    <w:pPr>
      <w:pStyle w:val="2"/>
    </w:pPr>
    <w:r>
      <w:rPr>
        <w:rFonts w:hint="eastAsia" w:ascii="Calibri Light" w:hAnsi="Calibri Light"/>
        <w:b/>
        <w:sz w:val="21"/>
        <w:szCs w:val="21"/>
      </w:rPr>
      <w:t xml:space="preserve">宁夏盛博恒环保工程有限公司                                                   </w:t>
    </w:r>
    <w:r>
      <w:t xml:space="preserve">第 </w:t>
    </w:r>
    <w:r>
      <w:fldChar w:fldCharType="begin"/>
    </w:r>
    <w:r>
      <w:instrText xml:space="preserve"> PAGE  \* MERGEFORMAT </w:instrText>
    </w:r>
    <w:r>
      <w:fldChar w:fldCharType="separate"/>
    </w:r>
    <w:r>
      <w:t>104</w:t>
    </w:r>
    <w:r>
      <w:fldChar w:fldCharType="end"/>
    </w:r>
    <w:r>
      <w:t xml:space="preserve"> 页</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thinThickSmallGap" w:color="000000" w:sz="12" w:space="1"/>
      </w:pBdr>
      <w:rPr>
        <w:rFonts w:asciiTheme="minorEastAsia" w:hAnsiTheme="minorEastAsia" w:eastAsiaTheme="minorEastAsia"/>
        <w:sz w:val="21"/>
        <w:szCs w:val="21"/>
      </w:rPr>
    </w:pPr>
    <w:r>
      <w:rPr>
        <w:rFonts w:hint="eastAsia" w:cs="仿宋" w:asciiTheme="minorEastAsia" w:hAnsiTheme="minorEastAsia" w:eastAsiaTheme="minorEastAsia"/>
        <w:b/>
        <w:iCs/>
        <w:kern w:val="0"/>
        <w:sz w:val="21"/>
        <w:szCs w:val="21"/>
      </w:rPr>
      <w:t xml:space="preserve">宁夏腾发农业科技有限公司千头基础母牛养殖场建设项目                    </w:t>
    </w:r>
    <w:r>
      <w:rPr>
        <w:rFonts w:cs="仿宋" w:asciiTheme="minorEastAsia" w:hAnsiTheme="minorEastAsia" w:eastAsiaTheme="minorEastAsia"/>
        <w:b/>
        <w:iCs/>
        <w:kern w:val="0"/>
        <w:sz w:val="21"/>
        <w:szCs w:val="21"/>
      </w:rPr>
      <w:t xml:space="preserve">  </w:t>
    </w:r>
    <w:r>
      <w:rPr>
        <w:rFonts w:hint="eastAsia" w:cs="仿宋" w:asciiTheme="minorEastAsia" w:hAnsiTheme="minorEastAsia" w:eastAsiaTheme="minorEastAsia"/>
        <w:b/>
        <w:iCs/>
        <w:kern w:val="0"/>
        <w:sz w:val="21"/>
        <w:szCs w:val="21"/>
      </w:rPr>
      <w:t>环境影响报告书</w:t>
    </w:r>
  </w:p>
  <w:p>
    <w:pPr>
      <w:spacing w:before="54"/>
      <w:rPr>
        <w:rFonts w:ascii="仿宋" w:hAnsi="仿宋" w:eastAsia="仿宋" w:cs="仿宋"/>
        <w:iCs/>
        <w:kern w:val="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thinThickSmallGap" w:color="000000" w:sz="12" w:space="1"/>
      </w:pBdr>
      <w:rPr>
        <w:rFonts w:asciiTheme="minorEastAsia" w:hAnsiTheme="minorEastAsia" w:eastAsiaTheme="minorEastAsia"/>
        <w:sz w:val="21"/>
        <w:szCs w:val="21"/>
      </w:rPr>
    </w:pPr>
    <w:r>
      <w:rPr>
        <w:rFonts w:hint="eastAsia" w:cs="仿宋" w:asciiTheme="minorEastAsia" w:hAnsiTheme="minorEastAsia" w:eastAsiaTheme="minorEastAsia"/>
        <w:b/>
        <w:iCs/>
        <w:kern w:val="0"/>
        <w:sz w:val="21"/>
        <w:szCs w:val="21"/>
      </w:rPr>
      <w:t xml:space="preserve">宁夏腾发农业科技有限公司千头基础母牛养殖场建设项目                    </w:t>
    </w:r>
    <w:r>
      <w:rPr>
        <w:rFonts w:cs="仿宋" w:asciiTheme="minorEastAsia" w:hAnsiTheme="minorEastAsia" w:eastAsiaTheme="minorEastAsia"/>
        <w:b/>
        <w:iCs/>
        <w:kern w:val="0"/>
        <w:sz w:val="21"/>
        <w:szCs w:val="21"/>
      </w:rPr>
      <w:t xml:space="preserve">  </w:t>
    </w:r>
    <w:r>
      <w:rPr>
        <w:rFonts w:hint="eastAsia" w:cs="仿宋" w:asciiTheme="minorEastAsia" w:hAnsiTheme="minorEastAsia" w:eastAsiaTheme="minorEastAsia"/>
        <w:b/>
        <w:iCs/>
        <w:kern w:val="0"/>
        <w:sz w:val="21"/>
        <w:szCs w:val="21"/>
      </w:rPr>
      <w:t>环境影响报告书</w:t>
    </w:r>
  </w:p>
  <w:p>
    <w:pPr>
      <w:spacing w:before="54"/>
      <w:rPr>
        <w:rFonts w:ascii="仿宋" w:hAnsi="仿宋" w:eastAsia="仿宋" w:cs="仿宋"/>
        <w:iCs/>
        <w:kern w:val="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thinThickSmallGap" w:color="000000" w:sz="12" w:space="1"/>
      </w:pBdr>
      <w:rPr>
        <w:rFonts w:hint="eastAsia" w:asciiTheme="minorEastAsia" w:hAnsiTheme="minorEastAsia" w:eastAsiaTheme="minorEastAsia"/>
        <w:sz w:val="21"/>
        <w:szCs w:val="21"/>
      </w:rPr>
    </w:pPr>
    <w:r>
      <w:rPr>
        <w:rFonts w:hint="eastAsia" w:cs="仿宋" w:asciiTheme="minorEastAsia" w:hAnsiTheme="minorEastAsia" w:eastAsiaTheme="minorEastAsia"/>
        <w:b/>
        <w:iCs/>
        <w:kern w:val="0"/>
        <w:sz w:val="21"/>
        <w:szCs w:val="21"/>
      </w:rPr>
      <w:t xml:space="preserve">宁夏腾发农业科技有限公司千头基础母牛养殖场建设项目                 </w:t>
    </w:r>
    <w:r>
      <w:rPr>
        <w:rFonts w:cs="仿宋" w:asciiTheme="minorEastAsia" w:hAnsiTheme="minorEastAsia" w:eastAsiaTheme="minorEastAsia"/>
        <w:b/>
        <w:iCs/>
        <w:kern w:val="0"/>
        <w:sz w:val="21"/>
        <w:szCs w:val="21"/>
      </w:rPr>
      <w:t xml:space="preserve">     </w:t>
    </w:r>
    <w:r>
      <w:rPr>
        <w:rFonts w:hint="eastAsia" w:cs="仿宋" w:asciiTheme="minorEastAsia" w:hAnsiTheme="minorEastAsia" w:eastAsiaTheme="minorEastAsia"/>
        <w:b/>
        <w:iCs/>
        <w:kern w:val="0"/>
        <w:sz w:val="21"/>
        <w:szCs w:val="21"/>
      </w:rPr>
      <w:t>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thinThickSmallGap" w:color="000000" w:sz="12" w:space="1"/>
      </w:pBdr>
      <w:rPr>
        <w:rFonts w:hint="eastAsia" w:asciiTheme="minorEastAsia" w:hAnsiTheme="minorEastAsia" w:eastAsiaTheme="minorEastAsia"/>
        <w:sz w:val="21"/>
        <w:szCs w:val="21"/>
      </w:rPr>
    </w:pPr>
    <w:r>
      <w:rPr>
        <w:rFonts w:hint="eastAsia" w:cs="仿宋" w:asciiTheme="minorEastAsia" w:hAnsiTheme="minorEastAsia" w:eastAsiaTheme="minorEastAsia"/>
        <w:b/>
        <w:iCs/>
        <w:kern w:val="0"/>
        <w:sz w:val="21"/>
        <w:szCs w:val="21"/>
      </w:rPr>
      <w:t xml:space="preserve">宁夏腾发农业科技有限公司千头基础母牛养殖场建设项目                 </w:t>
    </w:r>
    <w:r>
      <w:rPr>
        <w:rFonts w:cs="仿宋" w:asciiTheme="minorEastAsia" w:hAnsiTheme="minorEastAsia" w:eastAsiaTheme="minorEastAsia"/>
        <w:b/>
        <w:iCs/>
        <w:kern w:val="0"/>
        <w:sz w:val="21"/>
        <w:szCs w:val="21"/>
      </w:rPr>
      <w:t xml:space="preserve">  </w:t>
    </w:r>
    <w:r>
      <w:rPr>
        <w:rFonts w:hint="eastAsia" w:cs="仿宋" w:asciiTheme="minorEastAsia" w:hAnsiTheme="minorEastAsia" w:eastAsiaTheme="minorEastAsia"/>
        <w:b/>
        <w:iCs/>
        <w:kern w:val="0"/>
        <w:sz w:val="21"/>
        <w:szCs w:val="21"/>
        <w:lang w:val="en-US" w:eastAsia="zh-CN"/>
      </w:rPr>
      <w:t xml:space="preserve">                                         </w:t>
    </w:r>
    <w:r>
      <w:rPr>
        <w:rFonts w:cs="仿宋" w:asciiTheme="minorEastAsia" w:hAnsiTheme="minorEastAsia" w:eastAsiaTheme="minorEastAsia"/>
        <w:b/>
        <w:iCs/>
        <w:kern w:val="0"/>
        <w:sz w:val="21"/>
        <w:szCs w:val="21"/>
      </w:rPr>
      <w:t xml:space="preserve">   </w:t>
    </w:r>
    <w:r>
      <w:rPr>
        <w:rFonts w:hint="eastAsia" w:cs="仿宋" w:asciiTheme="minorEastAsia" w:hAnsiTheme="minorEastAsia" w:eastAsiaTheme="minorEastAsia"/>
        <w:b/>
        <w:iCs/>
        <w:kern w:val="0"/>
        <w:sz w:val="21"/>
        <w:szCs w:val="21"/>
      </w:rPr>
      <w:t>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thinThickSmallGap" w:color="000000" w:sz="12" w:space="1"/>
      </w:pBdr>
      <w:rPr>
        <w:rFonts w:asciiTheme="minorEastAsia" w:hAnsiTheme="minorEastAsia" w:eastAsiaTheme="minorEastAsia"/>
        <w:sz w:val="21"/>
        <w:szCs w:val="21"/>
      </w:rPr>
    </w:pPr>
    <w:r>
      <w:rPr>
        <w:rFonts w:hint="eastAsia" w:cs="仿宋" w:asciiTheme="minorEastAsia" w:hAnsiTheme="minorEastAsia" w:eastAsiaTheme="minorEastAsia"/>
        <w:b/>
        <w:iCs/>
        <w:kern w:val="0"/>
        <w:sz w:val="21"/>
        <w:szCs w:val="21"/>
      </w:rPr>
      <w:t xml:space="preserve">宁夏腾发农业科技有限公司千头基础母牛养殖场建设项目                    </w:t>
    </w:r>
    <w:r>
      <w:rPr>
        <w:rFonts w:cs="仿宋" w:asciiTheme="minorEastAsia" w:hAnsiTheme="minorEastAsia" w:eastAsiaTheme="minorEastAsia"/>
        <w:b/>
        <w:iCs/>
        <w:kern w:val="0"/>
        <w:sz w:val="21"/>
        <w:szCs w:val="21"/>
      </w:rPr>
      <w:t xml:space="preserve">  </w:t>
    </w:r>
    <w:r>
      <w:rPr>
        <w:rFonts w:hint="eastAsia" w:cs="仿宋" w:asciiTheme="minorEastAsia" w:hAnsiTheme="minorEastAsia" w:eastAsiaTheme="minorEastAsia"/>
        <w:b/>
        <w:iCs/>
        <w:kern w:val="0"/>
        <w:sz w:val="21"/>
        <w:szCs w:val="21"/>
      </w:rPr>
      <w:t>环境影响报告书</w:t>
    </w:r>
  </w:p>
  <w:p>
    <w:pPr>
      <w:spacing w:before="54"/>
      <w:rPr>
        <w:rFonts w:ascii="仿宋" w:hAnsi="仿宋" w:eastAsia="仿宋" w:cs="仿宋"/>
        <w:iCs/>
        <w:kern w:val="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thinThickSmallGap" w:color="000000" w:sz="12" w:space="1"/>
      </w:pBdr>
      <w:rPr>
        <w:rFonts w:asciiTheme="minorEastAsia" w:hAnsiTheme="minorEastAsia" w:eastAsiaTheme="minorEastAsia"/>
        <w:sz w:val="21"/>
        <w:szCs w:val="21"/>
      </w:rPr>
    </w:pPr>
    <w:r>
      <w:rPr>
        <w:rFonts w:hint="eastAsia" w:cs="仿宋" w:asciiTheme="minorEastAsia" w:hAnsiTheme="minorEastAsia" w:eastAsiaTheme="minorEastAsia"/>
        <w:b/>
        <w:iCs/>
        <w:kern w:val="0"/>
        <w:sz w:val="21"/>
        <w:szCs w:val="21"/>
      </w:rPr>
      <w:t xml:space="preserve">宁夏腾发农业科技有限公司千头基础母牛养殖场建设项目                    </w:t>
    </w:r>
    <w:r>
      <w:rPr>
        <w:rFonts w:cs="仿宋" w:asciiTheme="minorEastAsia" w:hAnsiTheme="minorEastAsia" w:eastAsiaTheme="minorEastAsia"/>
        <w:b/>
        <w:iCs/>
        <w:kern w:val="0"/>
        <w:sz w:val="21"/>
        <w:szCs w:val="21"/>
      </w:rPr>
      <w:t xml:space="preserve">  </w:t>
    </w:r>
    <w:r>
      <w:rPr>
        <w:rFonts w:hint="eastAsia" w:cs="仿宋" w:asciiTheme="minorEastAsia" w:hAnsiTheme="minorEastAsia" w:eastAsiaTheme="minorEastAsia"/>
        <w:b/>
        <w:iCs/>
        <w:kern w:val="0"/>
        <w:sz w:val="21"/>
        <w:szCs w:val="21"/>
      </w:rPr>
      <w:t>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thinThickSmallGap" w:color="000000" w:sz="12" w:space="1"/>
      </w:pBdr>
      <w:rPr>
        <w:rFonts w:asciiTheme="minorEastAsia" w:hAnsiTheme="minorEastAsia" w:eastAsiaTheme="minorEastAsia"/>
        <w:sz w:val="21"/>
        <w:szCs w:val="21"/>
      </w:rPr>
    </w:pPr>
    <w:r>
      <w:rPr>
        <w:rFonts w:hint="eastAsia" w:cs="仿宋" w:asciiTheme="minorEastAsia" w:hAnsiTheme="minorEastAsia" w:eastAsiaTheme="minorEastAsia"/>
        <w:b/>
        <w:iCs/>
        <w:kern w:val="0"/>
        <w:sz w:val="21"/>
        <w:szCs w:val="21"/>
      </w:rPr>
      <w:t xml:space="preserve">宁夏腾发农业科技有限公司千头基础母牛养殖场建设项目                 </w:t>
    </w:r>
    <w:r>
      <w:rPr>
        <w:rFonts w:cs="仿宋" w:asciiTheme="minorEastAsia" w:hAnsiTheme="minorEastAsia" w:eastAsiaTheme="minorEastAsia"/>
        <w:b/>
        <w:iCs/>
        <w:kern w:val="0"/>
        <w:sz w:val="21"/>
        <w:szCs w:val="21"/>
      </w:rPr>
      <w:t xml:space="preserve">                                        </w:t>
    </w:r>
    <w:r>
      <w:rPr>
        <w:rFonts w:hint="eastAsia" w:cs="仿宋" w:asciiTheme="minorEastAsia" w:hAnsiTheme="minorEastAsia" w:eastAsiaTheme="minorEastAsia"/>
        <w:b/>
        <w:iCs/>
        <w:kern w:val="0"/>
        <w:sz w:val="21"/>
        <w:szCs w:val="21"/>
      </w:rPr>
      <w:t xml:space="preserve">   </w:t>
    </w:r>
    <w:r>
      <w:rPr>
        <w:rFonts w:cs="仿宋" w:asciiTheme="minorEastAsia" w:hAnsiTheme="minorEastAsia" w:eastAsiaTheme="minorEastAsia"/>
        <w:b/>
        <w:iCs/>
        <w:kern w:val="0"/>
        <w:sz w:val="21"/>
        <w:szCs w:val="21"/>
      </w:rPr>
      <w:t xml:space="preserve">  </w:t>
    </w:r>
    <w:r>
      <w:rPr>
        <w:rFonts w:hint="eastAsia" w:cs="仿宋" w:asciiTheme="minorEastAsia" w:hAnsiTheme="minorEastAsia" w:eastAsiaTheme="minorEastAsia"/>
        <w:b/>
        <w:iCs/>
        <w:kern w:val="0"/>
        <w:sz w:val="21"/>
        <w:szCs w:val="21"/>
      </w:rPr>
      <w:t>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thinThickSmallGap" w:color="000000" w:sz="12" w:space="1"/>
      </w:pBdr>
      <w:rPr>
        <w:rFonts w:asciiTheme="minorEastAsia" w:hAnsiTheme="minorEastAsia" w:eastAsiaTheme="minorEastAsia"/>
        <w:sz w:val="21"/>
        <w:szCs w:val="21"/>
      </w:rPr>
    </w:pPr>
    <w:r>
      <w:rPr>
        <w:rFonts w:hint="eastAsia" w:cs="仿宋" w:asciiTheme="minorEastAsia" w:hAnsiTheme="minorEastAsia" w:eastAsiaTheme="minorEastAsia"/>
        <w:b/>
        <w:iCs/>
        <w:kern w:val="0"/>
        <w:sz w:val="21"/>
        <w:szCs w:val="21"/>
      </w:rPr>
      <w:t xml:space="preserve">宁夏腾发农业科技有限公司千头基础母牛养殖场建设项目                    </w:t>
    </w:r>
    <w:r>
      <w:rPr>
        <w:rFonts w:cs="仿宋" w:asciiTheme="minorEastAsia" w:hAnsiTheme="minorEastAsia" w:eastAsiaTheme="minorEastAsia"/>
        <w:b/>
        <w:iCs/>
        <w:kern w:val="0"/>
        <w:sz w:val="21"/>
        <w:szCs w:val="21"/>
      </w:rPr>
      <w:t xml:space="preserve">  </w:t>
    </w:r>
    <w:r>
      <w:rPr>
        <w:rFonts w:hint="eastAsia" w:cs="仿宋" w:asciiTheme="minorEastAsia" w:hAnsiTheme="minorEastAsia" w:eastAsiaTheme="minorEastAsia"/>
        <w:b/>
        <w:iCs/>
        <w:kern w:val="0"/>
        <w:sz w:val="21"/>
        <w:szCs w:val="21"/>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FA8E5F"/>
    <w:multiLevelType w:val="singleLevel"/>
    <w:tmpl w:val="82FA8E5F"/>
    <w:lvl w:ilvl="0" w:tentative="0">
      <w:start w:val="1"/>
      <w:numFmt w:val="upperLetter"/>
      <w:suff w:val="nothing"/>
      <w:lvlText w:val="%1、"/>
      <w:lvlJc w:val="left"/>
    </w:lvl>
  </w:abstractNum>
  <w:abstractNum w:abstractNumId="1">
    <w:nsid w:val="C8C6E011"/>
    <w:multiLevelType w:val="singleLevel"/>
    <w:tmpl w:val="C8C6E011"/>
    <w:lvl w:ilvl="0" w:tentative="0">
      <w:start w:val="2"/>
      <w:numFmt w:val="decimal"/>
      <w:lvlText w:val="(%1)"/>
      <w:lvlJc w:val="left"/>
      <w:pPr>
        <w:tabs>
          <w:tab w:val="left" w:pos="312"/>
        </w:tabs>
      </w:pPr>
    </w:lvl>
  </w:abstractNum>
  <w:abstractNum w:abstractNumId="2">
    <w:nsid w:val="079E9E4F"/>
    <w:multiLevelType w:val="singleLevel"/>
    <w:tmpl w:val="079E9E4F"/>
    <w:lvl w:ilvl="0" w:tentative="0">
      <w:start w:val="6"/>
      <w:numFmt w:val="decimal"/>
      <w:suff w:val="nothing"/>
      <w:lvlText w:val="（%1）"/>
      <w:lvlJc w:val="left"/>
    </w:lvl>
  </w:abstractNum>
  <w:abstractNum w:abstractNumId="3">
    <w:nsid w:val="08D5EF6B"/>
    <w:multiLevelType w:val="singleLevel"/>
    <w:tmpl w:val="08D5EF6B"/>
    <w:lvl w:ilvl="0" w:tentative="0">
      <w:start w:val="7"/>
      <w:numFmt w:val="decimal"/>
      <w:suff w:val="nothing"/>
      <w:lvlText w:val="（%1）"/>
      <w:lvlJc w:val="left"/>
    </w:lvl>
  </w:abstractNum>
  <w:abstractNum w:abstractNumId="4">
    <w:nsid w:val="3B6B3E8C"/>
    <w:multiLevelType w:val="singleLevel"/>
    <w:tmpl w:val="3B6B3E8C"/>
    <w:lvl w:ilvl="0" w:tentative="0">
      <w:start w:val="1"/>
      <w:numFmt w:val="decimal"/>
      <w:suff w:val="nothing"/>
      <w:lvlText w:val="（%1）"/>
      <w:lvlJc w:val="left"/>
      <w:pPr>
        <w:ind w:left="210"/>
      </w:p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210"/>
  <w:drawingGridVerticalSpacing w:val="-794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BhMzdmOTY4ZDc3ZGVmZWVkNjQ3OTE5ZjMwOTExNjUifQ=="/>
  </w:docVars>
  <w:rsids>
    <w:rsidRoot w:val="00172A27"/>
    <w:rsid w:val="00025C85"/>
    <w:rsid w:val="000268D1"/>
    <w:rsid w:val="00037186"/>
    <w:rsid w:val="0009451D"/>
    <w:rsid w:val="00172A27"/>
    <w:rsid w:val="001939B3"/>
    <w:rsid w:val="001A33F6"/>
    <w:rsid w:val="0020109B"/>
    <w:rsid w:val="00213D1A"/>
    <w:rsid w:val="00225E81"/>
    <w:rsid w:val="00234B0F"/>
    <w:rsid w:val="002511C8"/>
    <w:rsid w:val="00261A55"/>
    <w:rsid w:val="00270FD8"/>
    <w:rsid w:val="002B4CAE"/>
    <w:rsid w:val="002D5CAC"/>
    <w:rsid w:val="0030302F"/>
    <w:rsid w:val="00370C77"/>
    <w:rsid w:val="00374C02"/>
    <w:rsid w:val="003B1352"/>
    <w:rsid w:val="003D403E"/>
    <w:rsid w:val="0041477F"/>
    <w:rsid w:val="00496230"/>
    <w:rsid w:val="005670D1"/>
    <w:rsid w:val="00584AEB"/>
    <w:rsid w:val="0061197A"/>
    <w:rsid w:val="00715F2A"/>
    <w:rsid w:val="00772E6E"/>
    <w:rsid w:val="0077365A"/>
    <w:rsid w:val="007B5AA0"/>
    <w:rsid w:val="008A42B9"/>
    <w:rsid w:val="008C5332"/>
    <w:rsid w:val="008D438A"/>
    <w:rsid w:val="00967028"/>
    <w:rsid w:val="00997D4C"/>
    <w:rsid w:val="009A64D7"/>
    <w:rsid w:val="009B7DE6"/>
    <w:rsid w:val="009D13FD"/>
    <w:rsid w:val="009E2B9C"/>
    <w:rsid w:val="00A032F2"/>
    <w:rsid w:val="00A707C2"/>
    <w:rsid w:val="00A97848"/>
    <w:rsid w:val="00AF178C"/>
    <w:rsid w:val="00B712BE"/>
    <w:rsid w:val="00B81874"/>
    <w:rsid w:val="00BA3CAA"/>
    <w:rsid w:val="00BD5139"/>
    <w:rsid w:val="00BE1532"/>
    <w:rsid w:val="00BE25A6"/>
    <w:rsid w:val="00C7569A"/>
    <w:rsid w:val="00CF408A"/>
    <w:rsid w:val="00D300F2"/>
    <w:rsid w:val="00D50BFF"/>
    <w:rsid w:val="00D5289C"/>
    <w:rsid w:val="00D64E6E"/>
    <w:rsid w:val="00E34979"/>
    <w:rsid w:val="00EE44E5"/>
    <w:rsid w:val="00EF712F"/>
    <w:rsid w:val="00F366B3"/>
    <w:rsid w:val="00F70A51"/>
    <w:rsid w:val="00FC235D"/>
    <w:rsid w:val="00FE01B9"/>
    <w:rsid w:val="00FF795E"/>
    <w:rsid w:val="01230B73"/>
    <w:rsid w:val="0133119E"/>
    <w:rsid w:val="01360324"/>
    <w:rsid w:val="015C540B"/>
    <w:rsid w:val="015F6DEC"/>
    <w:rsid w:val="01652031"/>
    <w:rsid w:val="0167398B"/>
    <w:rsid w:val="016757B7"/>
    <w:rsid w:val="017020D6"/>
    <w:rsid w:val="018C2AC9"/>
    <w:rsid w:val="018C73E4"/>
    <w:rsid w:val="01A37DA0"/>
    <w:rsid w:val="01AA0F86"/>
    <w:rsid w:val="01AD312C"/>
    <w:rsid w:val="01BA3EE4"/>
    <w:rsid w:val="01CB7163"/>
    <w:rsid w:val="01F401EE"/>
    <w:rsid w:val="01F66528"/>
    <w:rsid w:val="0206113B"/>
    <w:rsid w:val="020B2AC2"/>
    <w:rsid w:val="0218672A"/>
    <w:rsid w:val="02284B9B"/>
    <w:rsid w:val="022D2817"/>
    <w:rsid w:val="02433614"/>
    <w:rsid w:val="024F4B48"/>
    <w:rsid w:val="02580F3F"/>
    <w:rsid w:val="025F4662"/>
    <w:rsid w:val="02A804EF"/>
    <w:rsid w:val="02B7624C"/>
    <w:rsid w:val="02BF0D84"/>
    <w:rsid w:val="02C9225A"/>
    <w:rsid w:val="02D2160B"/>
    <w:rsid w:val="02DD31C8"/>
    <w:rsid w:val="02EE7509"/>
    <w:rsid w:val="02F27E8A"/>
    <w:rsid w:val="02F32B6F"/>
    <w:rsid w:val="02F665CE"/>
    <w:rsid w:val="0300341C"/>
    <w:rsid w:val="030342AA"/>
    <w:rsid w:val="03167177"/>
    <w:rsid w:val="032558AB"/>
    <w:rsid w:val="032C5BCB"/>
    <w:rsid w:val="03421D62"/>
    <w:rsid w:val="039B3575"/>
    <w:rsid w:val="03D1219A"/>
    <w:rsid w:val="040248FD"/>
    <w:rsid w:val="040C549D"/>
    <w:rsid w:val="0433224A"/>
    <w:rsid w:val="04532F1C"/>
    <w:rsid w:val="04597E80"/>
    <w:rsid w:val="04600C9E"/>
    <w:rsid w:val="0470429A"/>
    <w:rsid w:val="04821C93"/>
    <w:rsid w:val="04836CC4"/>
    <w:rsid w:val="048D30FC"/>
    <w:rsid w:val="04A544CE"/>
    <w:rsid w:val="04AB2E05"/>
    <w:rsid w:val="04AD2032"/>
    <w:rsid w:val="04B00FF1"/>
    <w:rsid w:val="04B3407B"/>
    <w:rsid w:val="04B67222"/>
    <w:rsid w:val="04C65814"/>
    <w:rsid w:val="04C84DC0"/>
    <w:rsid w:val="04EA6CA8"/>
    <w:rsid w:val="04EF6373"/>
    <w:rsid w:val="05020960"/>
    <w:rsid w:val="050941F3"/>
    <w:rsid w:val="050967F0"/>
    <w:rsid w:val="05121B55"/>
    <w:rsid w:val="05253CEA"/>
    <w:rsid w:val="052C6E70"/>
    <w:rsid w:val="052F61F2"/>
    <w:rsid w:val="052F7210"/>
    <w:rsid w:val="053303D6"/>
    <w:rsid w:val="05363E9D"/>
    <w:rsid w:val="053F5171"/>
    <w:rsid w:val="054B180F"/>
    <w:rsid w:val="05653FF1"/>
    <w:rsid w:val="056A57F8"/>
    <w:rsid w:val="056E00CB"/>
    <w:rsid w:val="056F5169"/>
    <w:rsid w:val="057228FE"/>
    <w:rsid w:val="05771DDF"/>
    <w:rsid w:val="05953557"/>
    <w:rsid w:val="05C56DC9"/>
    <w:rsid w:val="05CB60BC"/>
    <w:rsid w:val="05D16F08"/>
    <w:rsid w:val="05F538BF"/>
    <w:rsid w:val="061D290A"/>
    <w:rsid w:val="062D24E3"/>
    <w:rsid w:val="064C385E"/>
    <w:rsid w:val="06532776"/>
    <w:rsid w:val="065C1F8B"/>
    <w:rsid w:val="065C61C2"/>
    <w:rsid w:val="06683420"/>
    <w:rsid w:val="067965E6"/>
    <w:rsid w:val="067D659B"/>
    <w:rsid w:val="0683122F"/>
    <w:rsid w:val="06862AEF"/>
    <w:rsid w:val="068C4258"/>
    <w:rsid w:val="06A22FCB"/>
    <w:rsid w:val="06F524F0"/>
    <w:rsid w:val="06FE59E6"/>
    <w:rsid w:val="072C683D"/>
    <w:rsid w:val="07451C75"/>
    <w:rsid w:val="07702E6D"/>
    <w:rsid w:val="07713F56"/>
    <w:rsid w:val="07890110"/>
    <w:rsid w:val="07B73B91"/>
    <w:rsid w:val="07D6200D"/>
    <w:rsid w:val="07EB194D"/>
    <w:rsid w:val="07EF4CEE"/>
    <w:rsid w:val="07F878C0"/>
    <w:rsid w:val="07F912BB"/>
    <w:rsid w:val="08097AFE"/>
    <w:rsid w:val="08174028"/>
    <w:rsid w:val="08436EF6"/>
    <w:rsid w:val="085662A4"/>
    <w:rsid w:val="085E1934"/>
    <w:rsid w:val="088712AC"/>
    <w:rsid w:val="08954AC3"/>
    <w:rsid w:val="089B48CA"/>
    <w:rsid w:val="08B74D8D"/>
    <w:rsid w:val="08D70685"/>
    <w:rsid w:val="08DF02AB"/>
    <w:rsid w:val="08F22781"/>
    <w:rsid w:val="08F27E80"/>
    <w:rsid w:val="09150170"/>
    <w:rsid w:val="091F6088"/>
    <w:rsid w:val="09282452"/>
    <w:rsid w:val="092D7E77"/>
    <w:rsid w:val="095008D3"/>
    <w:rsid w:val="095F13EB"/>
    <w:rsid w:val="0990268D"/>
    <w:rsid w:val="09903D66"/>
    <w:rsid w:val="099646A9"/>
    <w:rsid w:val="09AD30CD"/>
    <w:rsid w:val="09D324CC"/>
    <w:rsid w:val="09F12799"/>
    <w:rsid w:val="09F24C85"/>
    <w:rsid w:val="09FC4409"/>
    <w:rsid w:val="0A1C5443"/>
    <w:rsid w:val="0A293AD8"/>
    <w:rsid w:val="0A5520A2"/>
    <w:rsid w:val="0A6D707A"/>
    <w:rsid w:val="0A790EB7"/>
    <w:rsid w:val="0A887EBF"/>
    <w:rsid w:val="0A8A2498"/>
    <w:rsid w:val="0A8B76EA"/>
    <w:rsid w:val="0A8C667C"/>
    <w:rsid w:val="0A9520B9"/>
    <w:rsid w:val="0A9A2901"/>
    <w:rsid w:val="0A9E1641"/>
    <w:rsid w:val="0ABE4424"/>
    <w:rsid w:val="0AD71714"/>
    <w:rsid w:val="0AE82907"/>
    <w:rsid w:val="0B1A609F"/>
    <w:rsid w:val="0B2F79E5"/>
    <w:rsid w:val="0B307BBF"/>
    <w:rsid w:val="0B36513F"/>
    <w:rsid w:val="0B3A7FF1"/>
    <w:rsid w:val="0B420FC5"/>
    <w:rsid w:val="0B4C3267"/>
    <w:rsid w:val="0B4C6EC7"/>
    <w:rsid w:val="0B941BA6"/>
    <w:rsid w:val="0B955598"/>
    <w:rsid w:val="0B9A79AB"/>
    <w:rsid w:val="0BCE59C8"/>
    <w:rsid w:val="0BDA11D1"/>
    <w:rsid w:val="0BFF5852"/>
    <w:rsid w:val="0C0A67DD"/>
    <w:rsid w:val="0C0E0276"/>
    <w:rsid w:val="0C1B0D64"/>
    <w:rsid w:val="0C2030B4"/>
    <w:rsid w:val="0C227204"/>
    <w:rsid w:val="0C3124AA"/>
    <w:rsid w:val="0C424121"/>
    <w:rsid w:val="0C4274CE"/>
    <w:rsid w:val="0C5C0698"/>
    <w:rsid w:val="0C6B64B8"/>
    <w:rsid w:val="0C957A4B"/>
    <w:rsid w:val="0C9660A2"/>
    <w:rsid w:val="0CED0EB9"/>
    <w:rsid w:val="0CF6241F"/>
    <w:rsid w:val="0CFA3588"/>
    <w:rsid w:val="0CFD33F5"/>
    <w:rsid w:val="0D05416D"/>
    <w:rsid w:val="0D0C3638"/>
    <w:rsid w:val="0D341E18"/>
    <w:rsid w:val="0D385489"/>
    <w:rsid w:val="0D40569F"/>
    <w:rsid w:val="0D455585"/>
    <w:rsid w:val="0D4D5B8A"/>
    <w:rsid w:val="0D6009FA"/>
    <w:rsid w:val="0D6830AD"/>
    <w:rsid w:val="0D692F45"/>
    <w:rsid w:val="0D6E3C20"/>
    <w:rsid w:val="0D804640"/>
    <w:rsid w:val="0D8250FD"/>
    <w:rsid w:val="0D86517C"/>
    <w:rsid w:val="0D876BD6"/>
    <w:rsid w:val="0D8F45FB"/>
    <w:rsid w:val="0D9B0825"/>
    <w:rsid w:val="0DC258F4"/>
    <w:rsid w:val="0DC261FD"/>
    <w:rsid w:val="0DD334F3"/>
    <w:rsid w:val="0DD53BA9"/>
    <w:rsid w:val="0DD869BB"/>
    <w:rsid w:val="0DEF3A29"/>
    <w:rsid w:val="0E234455"/>
    <w:rsid w:val="0E520A66"/>
    <w:rsid w:val="0E5626C5"/>
    <w:rsid w:val="0E707BF7"/>
    <w:rsid w:val="0E9919B5"/>
    <w:rsid w:val="0E993E66"/>
    <w:rsid w:val="0EB80997"/>
    <w:rsid w:val="0EC2339A"/>
    <w:rsid w:val="0EE65F4F"/>
    <w:rsid w:val="0F337F0D"/>
    <w:rsid w:val="0F617BEB"/>
    <w:rsid w:val="0F623093"/>
    <w:rsid w:val="0F712260"/>
    <w:rsid w:val="0F75375F"/>
    <w:rsid w:val="0F815014"/>
    <w:rsid w:val="0F8375F4"/>
    <w:rsid w:val="0FB17F3D"/>
    <w:rsid w:val="0FB767C8"/>
    <w:rsid w:val="0FCD2EE2"/>
    <w:rsid w:val="0FD26626"/>
    <w:rsid w:val="0FD41CA9"/>
    <w:rsid w:val="0FD83518"/>
    <w:rsid w:val="0FFE52F1"/>
    <w:rsid w:val="10122845"/>
    <w:rsid w:val="101F050B"/>
    <w:rsid w:val="10211D79"/>
    <w:rsid w:val="10456495"/>
    <w:rsid w:val="104A18C6"/>
    <w:rsid w:val="106C2D6C"/>
    <w:rsid w:val="10765F14"/>
    <w:rsid w:val="10A04800"/>
    <w:rsid w:val="10B77FD0"/>
    <w:rsid w:val="10BF4D05"/>
    <w:rsid w:val="10CE3AB4"/>
    <w:rsid w:val="10D4100B"/>
    <w:rsid w:val="10DE1DDF"/>
    <w:rsid w:val="10E579D1"/>
    <w:rsid w:val="10F5298D"/>
    <w:rsid w:val="110A75D6"/>
    <w:rsid w:val="1123076D"/>
    <w:rsid w:val="11755C50"/>
    <w:rsid w:val="11863CCA"/>
    <w:rsid w:val="11A17964"/>
    <w:rsid w:val="11C34FED"/>
    <w:rsid w:val="11E06E41"/>
    <w:rsid w:val="120B0362"/>
    <w:rsid w:val="12110333"/>
    <w:rsid w:val="121A6F69"/>
    <w:rsid w:val="122541B7"/>
    <w:rsid w:val="123D121E"/>
    <w:rsid w:val="12645DF3"/>
    <w:rsid w:val="126E231E"/>
    <w:rsid w:val="12722FD0"/>
    <w:rsid w:val="12B67CEC"/>
    <w:rsid w:val="12EC3A22"/>
    <w:rsid w:val="12ED5CD3"/>
    <w:rsid w:val="12F03E8A"/>
    <w:rsid w:val="12FA486F"/>
    <w:rsid w:val="13054F30"/>
    <w:rsid w:val="131A716C"/>
    <w:rsid w:val="134558CA"/>
    <w:rsid w:val="137D4761"/>
    <w:rsid w:val="13B60B2E"/>
    <w:rsid w:val="13B7269F"/>
    <w:rsid w:val="13C62793"/>
    <w:rsid w:val="13C63832"/>
    <w:rsid w:val="13C967ED"/>
    <w:rsid w:val="13D741A7"/>
    <w:rsid w:val="13E473A5"/>
    <w:rsid w:val="13E6257C"/>
    <w:rsid w:val="13EA7C8C"/>
    <w:rsid w:val="13F15682"/>
    <w:rsid w:val="13F7656C"/>
    <w:rsid w:val="14046505"/>
    <w:rsid w:val="1419370A"/>
    <w:rsid w:val="14256630"/>
    <w:rsid w:val="144612D6"/>
    <w:rsid w:val="14827538"/>
    <w:rsid w:val="14881609"/>
    <w:rsid w:val="148D24A7"/>
    <w:rsid w:val="148D5BF6"/>
    <w:rsid w:val="148D6B19"/>
    <w:rsid w:val="14A32B4E"/>
    <w:rsid w:val="14A4488B"/>
    <w:rsid w:val="14A67AFB"/>
    <w:rsid w:val="14AC4851"/>
    <w:rsid w:val="14B85E79"/>
    <w:rsid w:val="14DD277A"/>
    <w:rsid w:val="1501355D"/>
    <w:rsid w:val="15261DD6"/>
    <w:rsid w:val="15292732"/>
    <w:rsid w:val="152E2E1C"/>
    <w:rsid w:val="15604C28"/>
    <w:rsid w:val="15610288"/>
    <w:rsid w:val="156179A4"/>
    <w:rsid w:val="15757998"/>
    <w:rsid w:val="157A1B6D"/>
    <w:rsid w:val="159D6CD0"/>
    <w:rsid w:val="15BF261E"/>
    <w:rsid w:val="15DE4F72"/>
    <w:rsid w:val="15EC2259"/>
    <w:rsid w:val="16020419"/>
    <w:rsid w:val="16107A89"/>
    <w:rsid w:val="1617341B"/>
    <w:rsid w:val="161C6F50"/>
    <w:rsid w:val="163360DA"/>
    <w:rsid w:val="166D0C96"/>
    <w:rsid w:val="16871329"/>
    <w:rsid w:val="16AA103B"/>
    <w:rsid w:val="16BB3700"/>
    <w:rsid w:val="16C0276A"/>
    <w:rsid w:val="171F5C0C"/>
    <w:rsid w:val="17215198"/>
    <w:rsid w:val="173B60AF"/>
    <w:rsid w:val="174C1BFC"/>
    <w:rsid w:val="17564A19"/>
    <w:rsid w:val="17575B87"/>
    <w:rsid w:val="176A78D9"/>
    <w:rsid w:val="17771FF6"/>
    <w:rsid w:val="17B83851"/>
    <w:rsid w:val="17D57DB5"/>
    <w:rsid w:val="17E567D0"/>
    <w:rsid w:val="17EE06D0"/>
    <w:rsid w:val="18265924"/>
    <w:rsid w:val="183F4953"/>
    <w:rsid w:val="18486795"/>
    <w:rsid w:val="185522B9"/>
    <w:rsid w:val="18581E27"/>
    <w:rsid w:val="18671E60"/>
    <w:rsid w:val="1884605B"/>
    <w:rsid w:val="189226E2"/>
    <w:rsid w:val="189409F0"/>
    <w:rsid w:val="18A62B93"/>
    <w:rsid w:val="18B129F8"/>
    <w:rsid w:val="18B2101E"/>
    <w:rsid w:val="18CD0120"/>
    <w:rsid w:val="18F90E28"/>
    <w:rsid w:val="18FC0A05"/>
    <w:rsid w:val="19037FE5"/>
    <w:rsid w:val="190D34C1"/>
    <w:rsid w:val="191729E2"/>
    <w:rsid w:val="191E1B31"/>
    <w:rsid w:val="19212D53"/>
    <w:rsid w:val="193D6541"/>
    <w:rsid w:val="19466C37"/>
    <w:rsid w:val="19616ABA"/>
    <w:rsid w:val="196640D0"/>
    <w:rsid w:val="196F39F6"/>
    <w:rsid w:val="19831DDA"/>
    <w:rsid w:val="19902B4B"/>
    <w:rsid w:val="19A27DDC"/>
    <w:rsid w:val="19A37743"/>
    <w:rsid w:val="19AA40B9"/>
    <w:rsid w:val="19BB266E"/>
    <w:rsid w:val="19C05993"/>
    <w:rsid w:val="19CB7CAF"/>
    <w:rsid w:val="19D95AB5"/>
    <w:rsid w:val="19F06151"/>
    <w:rsid w:val="19FF28B6"/>
    <w:rsid w:val="1A201C5F"/>
    <w:rsid w:val="1A2515A9"/>
    <w:rsid w:val="1A2710E9"/>
    <w:rsid w:val="1A3D4E36"/>
    <w:rsid w:val="1A4868C5"/>
    <w:rsid w:val="1A502013"/>
    <w:rsid w:val="1A564145"/>
    <w:rsid w:val="1A9F5E43"/>
    <w:rsid w:val="1AAB3397"/>
    <w:rsid w:val="1AB46179"/>
    <w:rsid w:val="1AB716B3"/>
    <w:rsid w:val="1AC57D2C"/>
    <w:rsid w:val="1AE1765E"/>
    <w:rsid w:val="1AEF38F6"/>
    <w:rsid w:val="1AFD4061"/>
    <w:rsid w:val="1AFE2AB0"/>
    <w:rsid w:val="1B0970B0"/>
    <w:rsid w:val="1B233506"/>
    <w:rsid w:val="1B287C75"/>
    <w:rsid w:val="1B45726E"/>
    <w:rsid w:val="1B4757DD"/>
    <w:rsid w:val="1B550C53"/>
    <w:rsid w:val="1B5F4259"/>
    <w:rsid w:val="1B6F6C9B"/>
    <w:rsid w:val="1B752599"/>
    <w:rsid w:val="1B897CAE"/>
    <w:rsid w:val="1BA62B7F"/>
    <w:rsid w:val="1BD4034B"/>
    <w:rsid w:val="1BD6374A"/>
    <w:rsid w:val="1BE14484"/>
    <w:rsid w:val="1BE22134"/>
    <w:rsid w:val="1C1370B4"/>
    <w:rsid w:val="1C261A27"/>
    <w:rsid w:val="1C59190E"/>
    <w:rsid w:val="1C5E0DDC"/>
    <w:rsid w:val="1C68517E"/>
    <w:rsid w:val="1C7B6ADF"/>
    <w:rsid w:val="1C803A37"/>
    <w:rsid w:val="1C8F393E"/>
    <w:rsid w:val="1CA55286"/>
    <w:rsid w:val="1CB0695D"/>
    <w:rsid w:val="1CCC4B92"/>
    <w:rsid w:val="1CF127B1"/>
    <w:rsid w:val="1CF97B46"/>
    <w:rsid w:val="1D050497"/>
    <w:rsid w:val="1D0F5B6A"/>
    <w:rsid w:val="1D140707"/>
    <w:rsid w:val="1D223931"/>
    <w:rsid w:val="1D261817"/>
    <w:rsid w:val="1D30674E"/>
    <w:rsid w:val="1D3F3159"/>
    <w:rsid w:val="1D595511"/>
    <w:rsid w:val="1D824800"/>
    <w:rsid w:val="1DB26E14"/>
    <w:rsid w:val="1DC13FCB"/>
    <w:rsid w:val="1DC65877"/>
    <w:rsid w:val="1DD12D17"/>
    <w:rsid w:val="1DDC7BE6"/>
    <w:rsid w:val="1DE704EB"/>
    <w:rsid w:val="1E040AF2"/>
    <w:rsid w:val="1E390C60"/>
    <w:rsid w:val="1E431833"/>
    <w:rsid w:val="1E4A7B38"/>
    <w:rsid w:val="1E53261D"/>
    <w:rsid w:val="1E650643"/>
    <w:rsid w:val="1E6842B0"/>
    <w:rsid w:val="1E72042D"/>
    <w:rsid w:val="1E781A2E"/>
    <w:rsid w:val="1E7B4C81"/>
    <w:rsid w:val="1E8E4E49"/>
    <w:rsid w:val="1E96019F"/>
    <w:rsid w:val="1EA62B5E"/>
    <w:rsid w:val="1EB33F60"/>
    <w:rsid w:val="1EC61640"/>
    <w:rsid w:val="1EC91E63"/>
    <w:rsid w:val="1EC96542"/>
    <w:rsid w:val="1EDE0B46"/>
    <w:rsid w:val="1F063356"/>
    <w:rsid w:val="1F1535AA"/>
    <w:rsid w:val="1F530443"/>
    <w:rsid w:val="1F5C3F88"/>
    <w:rsid w:val="1F5C4372"/>
    <w:rsid w:val="1F622E49"/>
    <w:rsid w:val="1F6828D4"/>
    <w:rsid w:val="1F6A2836"/>
    <w:rsid w:val="1F6A377D"/>
    <w:rsid w:val="1F902B40"/>
    <w:rsid w:val="1FA36733"/>
    <w:rsid w:val="1FA91FAC"/>
    <w:rsid w:val="1FBE493F"/>
    <w:rsid w:val="1FC63FCB"/>
    <w:rsid w:val="1FC67394"/>
    <w:rsid w:val="1FFA4BF5"/>
    <w:rsid w:val="1FFA719A"/>
    <w:rsid w:val="20063BE5"/>
    <w:rsid w:val="20067C13"/>
    <w:rsid w:val="203766CE"/>
    <w:rsid w:val="20474C5B"/>
    <w:rsid w:val="2048760B"/>
    <w:rsid w:val="20620CE1"/>
    <w:rsid w:val="206554A5"/>
    <w:rsid w:val="20713A86"/>
    <w:rsid w:val="209C0B1C"/>
    <w:rsid w:val="20B52314"/>
    <w:rsid w:val="20E27C8B"/>
    <w:rsid w:val="2107200E"/>
    <w:rsid w:val="21081C6C"/>
    <w:rsid w:val="21092289"/>
    <w:rsid w:val="210C6FFE"/>
    <w:rsid w:val="211A411E"/>
    <w:rsid w:val="212420F2"/>
    <w:rsid w:val="212F7F65"/>
    <w:rsid w:val="213E6A31"/>
    <w:rsid w:val="21447FE2"/>
    <w:rsid w:val="214A435B"/>
    <w:rsid w:val="21703D3E"/>
    <w:rsid w:val="219A54A2"/>
    <w:rsid w:val="21A17E75"/>
    <w:rsid w:val="21CB3543"/>
    <w:rsid w:val="21D6377A"/>
    <w:rsid w:val="21F303D4"/>
    <w:rsid w:val="21F941E1"/>
    <w:rsid w:val="2234115D"/>
    <w:rsid w:val="22495765"/>
    <w:rsid w:val="227F3BBF"/>
    <w:rsid w:val="229B6E0E"/>
    <w:rsid w:val="22A85C73"/>
    <w:rsid w:val="22AF254A"/>
    <w:rsid w:val="22BA7A6B"/>
    <w:rsid w:val="22C20A12"/>
    <w:rsid w:val="22CF4655"/>
    <w:rsid w:val="22EC23F6"/>
    <w:rsid w:val="23142C2E"/>
    <w:rsid w:val="2356527D"/>
    <w:rsid w:val="23645315"/>
    <w:rsid w:val="23700025"/>
    <w:rsid w:val="2375030C"/>
    <w:rsid w:val="23796B43"/>
    <w:rsid w:val="237D2742"/>
    <w:rsid w:val="238972A2"/>
    <w:rsid w:val="23B27998"/>
    <w:rsid w:val="23B74C1D"/>
    <w:rsid w:val="23CD6F19"/>
    <w:rsid w:val="240F3CE2"/>
    <w:rsid w:val="241543A5"/>
    <w:rsid w:val="24231E1A"/>
    <w:rsid w:val="242C39B0"/>
    <w:rsid w:val="24344017"/>
    <w:rsid w:val="2434567E"/>
    <w:rsid w:val="243B30A3"/>
    <w:rsid w:val="243D4A46"/>
    <w:rsid w:val="24484B1A"/>
    <w:rsid w:val="24485A8D"/>
    <w:rsid w:val="244C38AA"/>
    <w:rsid w:val="24716734"/>
    <w:rsid w:val="247F4733"/>
    <w:rsid w:val="248C3A6B"/>
    <w:rsid w:val="248F20E7"/>
    <w:rsid w:val="249B184E"/>
    <w:rsid w:val="24B1252D"/>
    <w:rsid w:val="24C124E5"/>
    <w:rsid w:val="24CE594B"/>
    <w:rsid w:val="24D40A88"/>
    <w:rsid w:val="24E707EB"/>
    <w:rsid w:val="25023DD2"/>
    <w:rsid w:val="25091DEC"/>
    <w:rsid w:val="25246410"/>
    <w:rsid w:val="25392964"/>
    <w:rsid w:val="254E7751"/>
    <w:rsid w:val="25602CAB"/>
    <w:rsid w:val="258157DC"/>
    <w:rsid w:val="25824EC6"/>
    <w:rsid w:val="258573E7"/>
    <w:rsid w:val="25A519D7"/>
    <w:rsid w:val="25D44C81"/>
    <w:rsid w:val="25D608FF"/>
    <w:rsid w:val="25FB6D37"/>
    <w:rsid w:val="260204BB"/>
    <w:rsid w:val="262F2B8F"/>
    <w:rsid w:val="26312597"/>
    <w:rsid w:val="2666098C"/>
    <w:rsid w:val="267A66C9"/>
    <w:rsid w:val="26A448C9"/>
    <w:rsid w:val="26C9348D"/>
    <w:rsid w:val="26D75676"/>
    <w:rsid w:val="26E45D76"/>
    <w:rsid w:val="26E96B11"/>
    <w:rsid w:val="26F649E5"/>
    <w:rsid w:val="27004070"/>
    <w:rsid w:val="270134B6"/>
    <w:rsid w:val="272228B7"/>
    <w:rsid w:val="2724172D"/>
    <w:rsid w:val="27304CDC"/>
    <w:rsid w:val="27474383"/>
    <w:rsid w:val="2758394D"/>
    <w:rsid w:val="2765670C"/>
    <w:rsid w:val="27996831"/>
    <w:rsid w:val="27A94A24"/>
    <w:rsid w:val="27B31E58"/>
    <w:rsid w:val="27B33828"/>
    <w:rsid w:val="27C1197F"/>
    <w:rsid w:val="27CB6172"/>
    <w:rsid w:val="27D82E88"/>
    <w:rsid w:val="27DC086D"/>
    <w:rsid w:val="28292DD1"/>
    <w:rsid w:val="283A63BD"/>
    <w:rsid w:val="28433F5A"/>
    <w:rsid w:val="28447D1E"/>
    <w:rsid w:val="284A67C3"/>
    <w:rsid w:val="2851024B"/>
    <w:rsid w:val="28636932"/>
    <w:rsid w:val="2866077C"/>
    <w:rsid w:val="286A5C4D"/>
    <w:rsid w:val="287209D4"/>
    <w:rsid w:val="287D7940"/>
    <w:rsid w:val="288D2683"/>
    <w:rsid w:val="28940B1E"/>
    <w:rsid w:val="28B10E44"/>
    <w:rsid w:val="28E2514B"/>
    <w:rsid w:val="291C1F6A"/>
    <w:rsid w:val="291C47AB"/>
    <w:rsid w:val="292C156E"/>
    <w:rsid w:val="293731BA"/>
    <w:rsid w:val="293A261D"/>
    <w:rsid w:val="2943195C"/>
    <w:rsid w:val="2945590A"/>
    <w:rsid w:val="296248B4"/>
    <w:rsid w:val="296603D5"/>
    <w:rsid w:val="2972282B"/>
    <w:rsid w:val="2979353F"/>
    <w:rsid w:val="29854D7F"/>
    <w:rsid w:val="29892D50"/>
    <w:rsid w:val="29A47CE4"/>
    <w:rsid w:val="29AC1272"/>
    <w:rsid w:val="29AE0CAF"/>
    <w:rsid w:val="29B63FED"/>
    <w:rsid w:val="29CE2B95"/>
    <w:rsid w:val="29D44D99"/>
    <w:rsid w:val="29D6000B"/>
    <w:rsid w:val="29D81D14"/>
    <w:rsid w:val="29DB3EC4"/>
    <w:rsid w:val="29EA0EDB"/>
    <w:rsid w:val="29F44134"/>
    <w:rsid w:val="2A097F8E"/>
    <w:rsid w:val="2A101875"/>
    <w:rsid w:val="2A2150A0"/>
    <w:rsid w:val="2A227DB5"/>
    <w:rsid w:val="2A274A0C"/>
    <w:rsid w:val="2A37143B"/>
    <w:rsid w:val="2A495E29"/>
    <w:rsid w:val="2A5826C4"/>
    <w:rsid w:val="2A603AFF"/>
    <w:rsid w:val="2A6B0C5E"/>
    <w:rsid w:val="2A7A5C2D"/>
    <w:rsid w:val="2A7F221C"/>
    <w:rsid w:val="2A8B7E3A"/>
    <w:rsid w:val="2A997587"/>
    <w:rsid w:val="2A9E6002"/>
    <w:rsid w:val="2AA36F32"/>
    <w:rsid w:val="2AB55489"/>
    <w:rsid w:val="2AC00175"/>
    <w:rsid w:val="2AEA683D"/>
    <w:rsid w:val="2AEB31EB"/>
    <w:rsid w:val="2AF52927"/>
    <w:rsid w:val="2B146082"/>
    <w:rsid w:val="2B2D77C4"/>
    <w:rsid w:val="2B350F6E"/>
    <w:rsid w:val="2B5258D7"/>
    <w:rsid w:val="2B5A2E86"/>
    <w:rsid w:val="2B7554B1"/>
    <w:rsid w:val="2B8134F3"/>
    <w:rsid w:val="2B8D1ACB"/>
    <w:rsid w:val="2B9F558D"/>
    <w:rsid w:val="2BAA6575"/>
    <w:rsid w:val="2BAB58B2"/>
    <w:rsid w:val="2BAD0EC4"/>
    <w:rsid w:val="2BB9320F"/>
    <w:rsid w:val="2BC83A70"/>
    <w:rsid w:val="2BCC417F"/>
    <w:rsid w:val="2BF45ACF"/>
    <w:rsid w:val="2C04777D"/>
    <w:rsid w:val="2C1312CD"/>
    <w:rsid w:val="2C1775AB"/>
    <w:rsid w:val="2C1E5300"/>
    <w:rsid w:val="2C3B6991"/>
    <w:rsid w:val="2C4B6D5F"/>
    <w:rsid w:val="2C7658AF"/>
    <w:rsid w:val="2C90798A"/>
    <w:rsid w:val="2CA630B3"/>
    <w:rsid w:val="2CB60909"/>
    <w:rsid w:val="2CBB6F8E"/>
    <w:rsid w:val="2CC07A27"/>
    <w:rsid w:val="2CE82D02"/>
    <w:rsid w:val="2CEF46B1"/>
    <w:rsid w:val="2D014861"/>
    <w:rsid w:val="2D033C32"/>
    <w:rsid w:val="2D0537EC"/>
    <w:rsid w:val="2D3E73E6"/>
    <w:rsid w:val="2D482013"/>
    <w:rsid w:val="2D674192"/>
    <w:rsid w:val="2D7D0F0C"/>
    <w:rsid w:val="2D7D51E9"/>
    <w:rsid w:val="2D806ADB"/>
    <w:rsid w:val="2D9055D6"/>
    <w:rsid w:val="2D9C62EF"/>
    <w:rsid w:val="2DA81F14"/>
    <w:rsid w:val="2DB36532"/>
    <w:rsid w:val="2DB43204"/>
    <w:rsid w:val="2DC035DF"/>
    <w:rsid w:val="2DC25AAD"/>
    <w:rsid w:val="2DD17946"/>
    <w:rsid w:val="2DD84A87"/>
    <w:rsid w:val="2DE41D3C"/>
    <w:rsid w:val="2DF36FD3"/>
    <w:rsid w:val="2E083FE4"/>
    <w:rsid w:val="2E2B48A5"/>
    <w:rsid w:val="2E3D4D32"/>
    <w:rsid w:val="2E4861AE"/>
    <w:rsid w:val="2E4B023D"/>
    <w:rsid w:val="2E4B3516"/>
    <w:rsid w:val="2E52196D"/>
    <w:rsid w:val="2E5228DC"/>
    <w:rsid w:val="2E5564BB"/>
    <w:rsid w:val="2E5F1A8F"/>
    <w:rsid w:val="2E61338C"/>
    <w:rsid w:val="2E734BBA"/>
    <w:rsid w:val="2E9A60E4"/>
    <w:rsid w:val="2EBE3FCD"/>
    <w:rsid w:val="2EC262B2"/>
    <w:rsid w:val="2ECD4C24"/>
    <w:rsid w:val="2EF62AA9"/>
    <w:rsid w:val="2EFD3E76"/>
    <w:rsid w:val="2F165B55"/>
    <w:rsid w:val="2F1F6EDA"/>
    <w:rsid w:val="2F661204"/>
    <w:rsid w:val="2F892CD6"/>
    <w:rsid w:val="2F925D55"/>
    <w:rsid w:val="2FA3126B"/>
    <w:rsid w:val="2FA94825"/>
    <w:rsid w:val="2FCB22CC"/>
    <w:rsid w:val="2FCE73C4"/>
    <w:rsid w:val="2FD137A9"/>
    <w:rsid w:val="2FD27D02"/>
    <w:rsid w:val="2FEF204D"/>
    <w:rsid w:val="2FF65D56"/>
    <w:rsid w:val="2FFE2011"/>
    <w:rsid w:val="30144D13"/>
    <w:rsid w:val="3025579A"/>
    <w:rsid w:val="303E7055"/>
    <w:rsid w:val="30410A0D"/>
    <w:rsid w:val="3047296B"/>
    <w:rsid w:val="30576CF6"/>
    <w:rsid w:val="30622F5D"/>
    <w:rsid w:val="306C460F"/>
    <w:rsid w:val="307E34BD"/>
    <w:rsid w:val="307F76F8"/>
    <w:rsid w:val="30821CC8"/>
    <w:rsid w:val="30A24F72"/>
    <w:rsid w:val="30A73D19"/>
    <w:rsid w:val="30B64EC5"/>
    <w:rsid w:val="30C167B5"/>
    <w:rsid w:val="30CD24C2"/>
    <w:rsid w:val="30FF76D3"/>
    <w:rsid w:val="31064A2E"/>
    <w:rsid w:val="310F35A6"/>
    <w:rsid w:val="31315075"/>
    <w:rsid w:val="314A470F"/>
    <w:rsid w:val="31532B81"/>
    <w:rsid w:val="317258B0"/>
    <w:rsid w:val="317C1415"/>
    <w:rsid w:val="31855410"/>
    <w:rsid w:val="318C3EF1"/>
    <w:rsid w:val="31970046"/>
    <w:rsid w:val="31A74C7F"/>
    <w:rsid w:val="31CF2D03"/>
    <w:rsid w:val="31D25512"/>
    <w:rsid w:val="31DF3B4D"/>
    <w:rsid w:val="31EC3472"/>
    <w:rsid w:val="31EE4365"/>
    <w:rsid w:val="32072158"/>
    <w:rsid w:val="32124FDD"/>
    <w:rsid w:val="322D3EDE"/>
    <w:rsid w:val="322F2C4A"/>
    <w:rsid w:val="323A644C"/>
    <w:rsid w:val="323B0209"/>
    <w:rsid w:val="324A134E"/>
    <w:rsid w:val="32544FB6"/>
    <w:rsid w:val="327837B5"/>
    <w:rsid w:val="327B5D4B"/>
    <w:rsid w:val="32866DDA"/>
    <w:rsid w:val="3292593E"/>
    <w:rsid w:val="32C10694"/>
    <w:rsid w:val="32D33BF7"/>
    <w:rsid w:val="32F41A65"/>
    <w:rsid w:val="32F76C69"/>
    <w:rsid w:val="32FA5FCA"/>
    <w:rsid w:val="3311559F"/>
    <w:rsid w:val="33160A19"/>
    <w:rsid w:val="33207AF9"/>
    <w:rsid w:val="33226F0C"/>
    <w:rsid w:val="332E4EA8"/>
    <w:rsid w:val="33382A78"/>
    <w:rsid w:val="33641229"/>
    <w:rsid w:val="336431A8"/>
    <w:rsid w:val="3369551E"/>
    <w:rsid w:val="33771523"/>
    <w:rsid w:val="338E62F8"/>
    <w:rsid w:val="33942B14"/>
    <w:rsid w:val="33B466E1"/>
    <w:rsid w:val="33D90832"/>
    <w:rsid w:val="33E43908"/>
    <w:rsid w:val="33E65C19"/>
    <w:rsid w:val="33F8069C"/>
    <w:rsid w:val="343D7470"/>
    <w:rsid w:val="345568DB"/>
    <w:rsid w:val="345611FF"/>
    <w:rsid w:val="345B2119"/>
    <w:rsid w:val="34624C73"/>
    <w:rsid w:val="34740060"/>
    <w:rsid w:val="347C348D"/>
    <w:rsid w:val="34806705"/>
    <w:rsid w:val="34880F47"/>
    <w:rsid w:val="348C1DC2"/>
    <w:rsid w:val="34A20FF1"/>
    <w:rsid w:val="34AD5825"/>
    <w:rsid w:val="34B10996"/>
    <w:rsid w:val="34B55A24"/>
    <w:rsid w:val="34C22B63"/>
    <w:rsid w:val="34C60FDF"/>
    <w:rsid w:val="34C63A26"/>
    <w:rsid w:val="35037180"/>
    <w:rsid w:val="35162A21"/>
    <w:rsid w:val="35180E84"/>
    <w:rsid w:val="35192164"/>
    <w:rsid w:val="3522586C"/>
    <w:rsid w:val="352564B1"/>
    <w:rsid w:val="354D064B"/>
    <w:rsid w:val="35523A2F"/>
    <w:rsid w:val="35613C72"/>
    <w:rsid w:val="35746E9D"/>
    <w:rsid w:val="35865726"/>
    <w:rsid w:val="35BF463D"/>
    <w:rsid w:val="35BF6BEA"/>
    <w:rsid w:val="35CD2B75"/>
    <w:rsid w:val="35CE5583"/>
    <w:rsid w:val="35EA430A"/>
    <w:rsid w:val="35F323E4"/>
    <w:rsid w:val="360665A6"/>
    <w:rsid w:val="36224070"/>
    <w:rsid w:val="36296122"/>
    <w:rsid w:val="363970D3"/>
    <w:rsid w:val="36580A05"/>
    <w:rsid w:val="367F2D0E"/>
    <w:rsid w:val="36820A38"/>
    <w:rsid w:val="36A24542"/>
    <w:rsid w:val="36A33609"/>
    <w:rsid w:val="36A53EF5"/>
    <w:rsid w:val="36A957AB"/>
    <w:rsid w:val="36CB3EBD"/>
    <w:rsid w:val="36DA14D2"/>
    <w:rsid w:val="36E6589A"/>
    <w:rsid w:val="36F82A4D"/>
    <w:rsid w:val="37016A0D"/>
    <w:rsid w:val="370D0678"/>
    <w:rsid w:val="37104F72"/>
    <w:rsid w:val="3718025E"/>
    <w:rsid w:val="371902B9"/>
    <w:rsid w:val="37270EEB"/>
    <w:rsid w:val="37466C9B"/>
    <w:rsid w:val="374D6BA3"/>
    <w:rsid w:val="376C0D90"/>
    <w:rsid w:val="376F1F5E"/>
    <w:rsid w:val="37722025"/>
    <w:rsid w:val="37727CC7"/>
    <w:rsid w:val="377A4FE0"/>
    <w:rsid w:val="37815619"/>
    <w:rsid w:val="37990F09"/>
    <w:rsid w:val="37A10C9D"/>
    <w:rsid w:val="37A16121"/>
    <w:rsid w:val="37AD651E"/>
    <w:rsid w:val="37C063AF"/>
    <w:rsid w:val="37C27A5C"/>
    <w:rsid w:val="37DF38E5"/>
    <w:rsid w:val="37E346A7"/>
    <w:rsid w:val="37F3318B"/>
    <w:rsid w:val="381D2F46"/>
    <w:rsid w:val="382B1D10"/>
    <w:rsid w:val="38311BDA"/>
    <w:rsid w:val="38371592"/>
    <w:rsid w:val="383A37AA"/>
    <w:rsid w:val="383B18FF"/>
    <w:rsid w:val="384446AF"/>
    <w:rsid w:val="38463D81"/>
    <w:rsid w:val="38493479"/>
    <w:rsid w:val="3851621F"/>
    <w:rsid w:val="38647AE1"/>
    <w:rsid w:val="387168C2"/>
    <w:rsid w:val="387B5470"/>
    <w:rsid w:val="387D24E7"/>
    <w:rsid w:val="389F5ECC"/>
    <w:rsid w:val="38A76418"/>
    <w:rsid w:val="38BD4FB7"/>
    <w:rsid w:val="38E218F6"/>
    <w:rsid w:val="391B3F5F"/>
    <w:rsid w:val="394D56EB"/>
    <w:rsid w:val="39666E40"/>
    <w:rsid w:val="396921CE"/>
    <w:rsid w:val="398664F3"/>
    <w:rsid w:val="39873EC3"/>
    <w:rsid w:val="399571E3"/>
    <w:rsid w:val="39A24859"/>
    <w:rsid w:val="39B332F1"/>
    <w:rsid w:val="39CB3DB0"/>
    <w:rsid w:val="39E37A7B"/>
    <w:rsid w:val="3A034FCC"/>
    <w:rsid w:val="3A120803"/>
    <w:rsid w:val="3A1D4274"/>
    <w:rsid w:val="3A212A3D"/>
    <w:rsid w:val="3A2150B8"/>
    <w:rsid w:val="3A38269B"/>
    <w:rsid w:val="3A3B5777"/>
    <w:rsid w:val="3A445910"/>
    <w:rsid w:val="3A534406"/>
    <w:rsid w:val="3A775E0C"/>
    <w:rsid w:val="3A7C04F1"/>
    <w:rsid w:val="3A7C3479"/>
    <w:rsid w:val="3A8873B6"/>
    <w:rsid w:val="3A887F69"/>
    <w:rsid w:val="3A8F1F99"/>
    <w:rsid w:val="3A91667B"/>
    <w:rsid w:val="3A947B69"/>
    <w:rsid w:val="3A9F6CBE"/>
    <w:rsid w:val="3AA2401C"/>
    <w:rsid w:val="3AA67BA4"/>
    <w:rsid w:val="3ACA6CAA"/>
    <w:rsid w:val="3AD47EF5"/>
    <w:rsid w:val="3B0F7BFE"/>
    <w:rsid w:val="3B3061FF"/>
    <w:rsid w:val="3B397B7B"/>
    <w:rsid w:val="3B7B3CBC"/>
    <w:rsid w:val="3B9135E0"/>
    <w:rsid w:val="3B936B4F"/>
    <w:rsid w:val="3BC60E0F"/>
    <w:rsid w:val="3BCE55CF"/>
    <w:rsid w:val="3BDD02C0"/>
    <w:rsid w:val="3BEA71C6"/>
    <w:rsid w:val="3BEE757F"/>
    <w:rsid w:val="3C0D6CB8"/>
    <w:rsid w:val="3C1A231B"/>
    <w:rsid w:val="3C1B2A7B"/>
    <w:rsid w:val="3C1F49FF"/>
    <w:rsid w:val="3C282938"/>
    <w:rsid w:val="3C4241BC"/>
    <w:rsid w:val="3C585836"/>
    <w:rsid w:val="3C7271B6"/>
    <w:rsid w:val="3C954B0B"/>
    <w:rsid w:val="3C9C6ACE"/>
    <w:rsid w:val="3CCF501C"/>
    <w:rsid w:val="3CD0189F"/>
    <w:rsid w:val="3CD157EA"/>
    <w:rsid w:val="3CD52F4C"/>
    <w:rsid w:val="3CD8720E"/>
    <w:rsid w:val="3CE11423"/>
    <w:rsid w:val="3CE34189"/>
    <w:rsid w:val="3CF5588C"/>
    <w:rsid w:val="3CF655E7"/>
    <w:rsid w:val="3CFC7720"/>
    <w:rsid w:val="3D0A75A1"/>
    <w:rsid w:val="3D1408BE"/>
    <w:rsid w:val="3D195899"/>
    <w:rsid w:val="3D2B1F8F"/>
    <w:rsid w:val="3D422B7E"/>
    <w:rsid w:val="3D4771DA"/>
    <w:rsid w:val="3D5E2E18"/>
    <w:rsid w:val="3D650DFD"/>
    <w:rsid w:val="3D7D5A4B"/>
    <w:rsid w:val="3D804754"/>
    <w:rsid w:val="3D836F51"/>
    <w:rsid w:val="3D8873C1"/>
    <w:rsid w:val="3D9A4C55"/>
    <w:rsid w:val="3D9B7756"/>
    <w:rsid w:val="3DA41822"/>
    <w:rsid w:val="3DAC5CA6"/>
    <w:rsid w:val="3DB62A00"/>
    <w:rsid w:val="3DC42977"/>
    <w:rsid w:val="3DCF2B38"/>
    <w:rsid w:val="3E070A6E"/>
    <w:rsid w:val="3E1E16C7"/>
    <w:rsid w:val="3E2534E4"/>
    <w:rsid w:val="3E3F608C"/>
    <w:rsid w:val="3E4B608B"/>
    <w:rsid w:val="3E523B49"/>
    <w:rsid w:val="3E776628"/>
    <w:rsid w:val="3E866031"/>
    <w:rsid w:val="3EA24165"/>
    <w:rsid w:val="3EAA182C"/>
    <w:rsid w:val="3EB32AA7"/>
    <w:rsid w:val="3EDB2CE7"/>
    <w:rsid w:val="3EE35AFF"/>
    <w:rsid w:val="3EF74C80"/>
    <w:rsid w:val="3F0A342A"/>
    <w:rsid w:val="3F2A5A1C"/>
    <w:rsid w:val="3F38150E"/>
    <w:rsid w:val="3F3C5986"/>
    <w:rsid w:val="3F4675EB"/>
    <w:rsid w:val="3F5D74FB"/>
    <w:rsid w:val="3F6A289A"/>
    <w:rsid w:val="3F8175EE"/>
    <w:rsid w:val="3F84568F"/>
    <w:rsid w:val="3F872A6E"/>
    <w:rsid w:val="3FD579F2"/>
    <w:rsid w:val="3FDD483D"/>
    <w:rsid w:val="3FE3153E"/>
    <w:rsid w:val="3FF059A0"/>
    <w:rsid w:val="3FF42607"/>
    <w:rsid w:val="3FF83425"/>
    <w:rsid w:val="40133158"/>
    <w:rsid w:val="40162C7B"/>
    <w:rsid w:val="402120C9"/>
    <w:rsid w:val="40217C23"/>
    <w:rsid w:val="402619E1"/>
    <w:rsid w:val="402B7782"/>
    <w:rsid w:val="40377287"/>
    <w:rsid w:val="40473580"/>
    <w:rsid w:val="40474FDB"/>
    <w:rsid w:val="40611331"/>
    <w:rsid w:val="406D570C"/>
    <w:rsid w:val="4077259B"/>
    <w:rsid w:val="409A5EC3"/>
    <w:rsid w:val="409C5CF2"/>
    <w:rsid w:val="40CE1373"/>
    <w:rsid w:val="40E30CC7"/>
    <w:rsid w:val="4117023D"/>
    <w:rsid w:val="413559E8"/>
    <w:rsid w:val="4148001B"/>
    <w:rsid w:val="41642004"/>
    <w:rsid w:val="41647133"/>
    <w:rsid w:val="4184167C"/>
    <w:rsid w:val="418C4869"/>
    <w:rsid w:val="419D663A"/>
    <w:rsid w:val="41B26228"/>
    <w:rsid w:val="41C757A4"/>
    <w:rsid w:val="41CE5F6F"/>
    <w:rsid w:val="41F158C6"/>
    <w:rsid w:val="41F537CC"/>
    <w:rsid w:val="42076802"/>
    <w:rsid w:val="42162569"/>
    <w:rsid w:val="42171CB7"/>
    <w:rsid w:val="42246753"/>
    <w:rsid w:val="422F3C95"/>
    <w:rsid w:val="423424C9"/>
    <w:rsid w:val="42395944"/>
    <w:rsid w:val="424310DD"/>
    <w:rsid w:val="426B388E"/>
    <w:rsid w:val="42CC2EE5"/>
    <w:rsid w:val="42D03CE2"/>
    <w:rsid w:val="42F14DE7"/>
    <w:rsid w:val="42F46564"/>
    <w:rsid w:val="42FC55B1"/>
    <w:rsid w:val="4309722E"/>
    <w:rsid w:val="431113D2"/>
    <w:rsid w:val="43364990"/>
    <w:rsid w:val="434B34AB"/>
    <w:rsid w:val="43570860"/>
    <w:rsid w:val="436C22A1"/>
    <w:rsid w:val="439F6541"/>
    <w:rsid w:val="43B835F7"/>
    <w:rsid w:val="43CB1944"/>
    <w:rsid w:val="43CF26EE"/>
    <w:rsid w:val="43E15F4B"/>
    <w:rsid w:val="43EE008E"/>
    <w:rsid w:val="43FA6A1B"/>
    <w:rsid w:val="4416031D"/>
    <w:rsid w:val="441C0538"/>
    <w:rsid w:val="44270C06"/>
    <w:rsid w:val="44283E8A"/>
    <w:rsid w:val="442938CC"/>
    <w:rsid w:val="442F1CAC"/>
    <w:rsid w:val="44325FEE"/>
    <w:rsid w:val="44407404"/>
    <w:rsid w:val="444C46FD"/>
    <w:rsid w:val="44585998"/>
    <w:rsid w:val="445A70C7"/>
    <w:rsid w:val="4462377B"/>
    <w:rsid w:val="44A1408B"/>
    <w:rsid w:val="44B14F5B"/>
    <w:rsid w:val="44B732BD"/>
    <w:rsid w:val="44B84003"/>
    <w:rsid w:val="44C54716"/>
    <w:rsid w:val="44D61B45"/>
    <w:rsid w:val="44DA134B"/>
    <w:rsid w:val="44DD72C2"/>
    <w:rsid w:val="44E3607B"/>
    <w:rsid w:val="44EB720F"/>
    <w:rsid w:val="44F21B80"/>
    <w:rsid w:val="45040694"/>
    <w:rsid w:val="45466A86"/>
    <w:rsid w:val="454E0945"/>
    <w:rsid w:val="45503E4D"/>
    <w:rsid w:val="45765517"/>
    <w:rsid w:val="457A64C4"/>
    <w:rsid w:val="458278D0"/>
    <w:rsid w:val="45DE2784"/>
    <w:rsid w:val="45E02753"/>
    <w:rsid w:val="45ED0D8B"/>
    <w:rsid w:val="46100E08"/>
    <w:rsid w:val="461D3BE5"/>
    <w:rsid w:val="46313DFC"/>
    <w:rsid w:val="463664AB"/>
    <w:rsid w:val="463B6EEA"/>
    <w:rsid w:val="4648029C"/>
    <w:rsid w:val="46565215"/>
    <w:rsid w:val="468B5401"/>
    <w:rsid w:val="469D67BC"/>
    <w:rsid w:val="46C27E9E"/>
    <w:rsid w:val="46C941ED"/>
    <w:rsid w:val="46DC7378"/>
    <w:rsid w:val="46EC4678"/>
    <w:rsid w:val="46F26E20"/>
    <w:rsid w:val="47017063"/>
    <w:rsid w:val="47247DD2"/>
    <w:rsid w:val="473810F6"/>
    <w:rsid w:val="4743705F"/>
    <w:rsid w:val="47552AE8"/>
    <w:rsid w:val="475B6DC3"/>
    <w:rsid w:val="475E6263"/>
    <w:rsid w:val="477925DF"/>
    <w:rsid w:val="477A400F"/>
    <w:rsid w:val="478B7215"/>
    <w:rsid w:val="47A9762D"/>
    <w:rsid w:val="47B430C1"/>
    <w:rsid w:val="47B65DFD"/>
    <w:rsid w:val="47BD3A73"/>
    <w:rsid w:val="47C86EB4"/>
    <w:rsid w:val="47E06A6D"/>
    <w:rsid w:val="47E32376"/>
    <w:rsid w:val="47E83FDE"/>
    <w:rsid w:val="47EB595B"/>
    <w:rsid w:val="48074054"/>
    <w:rsid w:val="48152645"/>
    <w:rsid w:val="48276A4A"/>
    <w:rsid w:val="482A2DBE"/>
    <w:rsid w:val="483E7E42"/>
    <w:rsid w:val="48517D3D"/>
    <w:rsid w:val="48617F66"/>
    <w:rsid w:val="486E20EC"/>
    <w:rsid w:val="486F624E"/>
    <w:rsid w:val="48776D58"/>
    <w:rsid w:val="48860C02"/>
    <w:rsid w:val="48865334"/>
    <w:rsid w:val="488B5F04"/>
    <w:rsid w:val="489562B0"/>
    <w:rsid w:val="48A31AE4"/>
    <w:rsid w:val="48A91954"/>
    <w:rsid w:val="48F337C3"/>
    <w:rsid w:val="48F65529"/>
    <w:rsid w:val="48F86243"/>
    <w:rsid w:val="49210CA0"/>
    <w:rsid w:val="4925588E"/>
    <w:rsid w:val="4927165E"/>
    <w:rsid w:val="493F650A"/>
    <w:rsid w:val="495D699C"/>
    <w:rsid w:val="496810E7"/>
    <w:rsid w:val="496F3EA2"/>
    <w:rsid w:val="49701AE3"/>
    <w:rsid w:val="49BE6613"/>
    <w:rsid w:val="49D054CC"/>
    <w:rsid w:val="49E40301"/>
    <w:rsid w:val="49EB6963"/>
    <w:rsid w:val="49FB0052"/>
    <w:rsid w:val="4A025972"/>
    <w:rsid w:val="4A184FB9"/>
    <w:rsid w:val="4A406D1D"/>
    <w:rsid w:val="4A4858D1"/>
    <w:rsid w:val="4A4F769E"/>
    <w:rsid w:val="4A643344"/>
    <w:rsid w:val="4A8707EC"/>
    <w:rsid w:val="4A922216"/>
    <w:rsid w:val="4AA91EEB"/>
    <w:rsid w:val="4AAF0462"/>
    <w:rsid w:val="4ABD508F"/>
    <w:rsid w:val="4AC141CC"/>
    <w:rsid w:val="4AD02407"/>
    <w:rsid w:val="4AE4235C"/>
    <w:rsid w:val="4AF86A5B"/>
    <w:rsid w:val="4AFA3638"/>
    <w:rsid w:val="4B084DEA"/>
    <w:rsid w:val="4B0A687F"/>
    <w:rsid w:val="4B2E6231"/>
    <w:rsid w:val="4B362D21"/>
    <w:rsid w:val="4B4060D6"/>
    <w:rsid w:val="4B41205F"/>
    <w:rsid w:val="4B56364E"/>
    <w:rsid w:val="4B5C4F54"/>
    <w:rsid w:val="4B5F0038"/>
    <w:rsid w:val="4B607FAB"/>
    <w:rsid w:val="4B633249"/>
    <w:rsid w:val="4B6A2134"/>
    <w:rsid w:val="4B6B5673"/>
    <w:rsid w:val="4B880730"/>
    <w:rsid w:val="4B8A23B7"/>
    <w:rsid w:val="4B8B1909"/>
    <w:rsid w:val="4B8F7AA2"/>
    <w:rsid w:val="4B961954"/>
    <w:rsid w:val="4B991B67"/>
    <w:rsid w:val="4BAA1A9E"/>
    <w:rsid w:val="4BBC7666"/>
    <w:rsid w:val="4BFD19CF"/>
    <w:rsid w:val="4C3552CD"/>
    <w:rsid w:val="4C426A22"/>
    <w:rsid w:val="4C4E579A"/>
    <w:rsid w:val="4C5C3CC5"/>
    <w:rsid w:val="4C6049D3"/>
    <w:rsid w:val="4C975DDA"/>
    <w:rsid w:val="4C994C69"/>
    <w:rsid w:val="4CB160A3"/>
    <w:rsid w:val="4CD45AFE"/>
    <w:rsid w:val="4D3A6D2F"/>
    <w:rsid w:val="4D616AAD"/>
    <w:rsid w:val="4D7F3043"/>
    <w:rsid w:val="4D81179A"/>
    <w:rsid w:val="4D856DF4"/>
    <w:rsid w:val="4DB21D81"/>
    <w:rsid w:val="4DC6015F"/>
    <w:rsid w:val="4DCA2E80"/>
    <w:rsid w:val="4DD25DDE"/>
    <w:rsid w:val="4DEE5E67"/>
    <w:rsid w:val="4E06458A"/>
    <w:rsid w:val="4E092126"/>
    <w:rsid w:val="4E2E26B7"/>
    <w:rsid w:val="4E2F5941"/>
    <w:rsid w:val="4E301B24"/>
    <w:rsid w:val="4E3072E6"/>
    <w:rsid w:val="4E436F0D"/>
    <w:rsid w:val="4E5841AF"/>
    <w:rsid w:val="4E596535"/>
    <w:rsid w:val="4E76263F"/>
    <w:rsid w:val="4EA5171B"/>
    <w:rsid w:val="4EB021C3"/>
    <w:rsid w:val="4EBA5C9A"/>
    <w:rsid w:val="4ED03731"/>
    <w:rsid w:val="4ED12CA2"/>
    <w:rsid w:val="4EDD5E20"/>
    <w:rsid w:val="4EE377CB"/>
    <w:rsid w:val="4EE40CDB"/>
    <w:rsid w:val="4EE6099A"/>
    <w:rsid w:val="4EEB5195"/>
    <w:rsid w:val="4EF76906"/>
    <w:rsid w:val="4F042A23"/>
    <w:rsid w:val="4F0A0BCF"/>
    <w:rsid w:val="4F11155E"/>
    <w:rsid w:val="4F1457C2"/>
    <w:rsid w:val="4F1D53E6"/>
    <w:rsid w:val="4F494444"/>
    <w:rsid w:val="4F5E275F"/>
    <w:rsid w:val="4F685C14"/>
    <w:rsid w:val="4F701836"/>
    <w:rsid w:val="4F9C7834"/>
    <w:rsid w:val="4FA435A5"/>
    <w:rsid w:val="4FAA694D"/>
    <w:rsid w:val="4FD4594E"/>
    <w:rsid w:val="4FE87E74"/>
    <w:rsid w:val="4FEA04C7"/>
    <w:rsid w:val="4FEA4A55"/>
    <w:rsid w:val="4FEC0D96"/>
    <w:rsid w:val="4FFE3473"/>
    <w:rsid w:val="4FFE6835"/>
    <w:rsid w:val="50083210"/>
    <w:rsid w:val="50214BB0"/>
    <w:rsid w:val="502B74BA"/>
    <w:rsid w:val="5032028D"/>
    <w:rsid w:val="50522525"/>
    <w:rsid w:val="5055199F"/>
    <w:rsid w:val="50634201"/>
    <w:rsid w:val="506B787E"/>
    <w:rsid w:val="50712708"/>
    <w:rsid w:val="507206D3"/>
    <w:rsid w:val="507B7E86"/>
    <w:rsid w:val="50910ADD"/>
    <w:rsid w:val="50924DF1"/>
    <w:rsid w:val="50BE4769"/>
    <w:rsid w:val="50EB0EA4"/>
    <w:rsid w:val="50EE1433"/>
    <w:rsid w:val="50EE3A6D"/>
    <w:rsid w:val="50F562B0"/>
    <w:rsid w:val="50F76CE1"/>
    <w:rsid w:val="50FC606E"/>
    <w:rsid w:val="50FE3910"/>
    <w:rsid w:val="51257C11"/>
    <w:rsid w:val="51531BCC"/>
    <w:rsid w:val="51642F1A"/>
    <w:rsid w:val="51644E28"/>
    <w:rsid w:val="5171228F"/>
    <w:rsid w:val="51750D61"/>
    <w:rsid w:val="5183769F"/>
    <w:rsid w:val="51A95B79"/>
    <w:rsid w:val="51BD2D93"/>
    <w:rsid w:val="51EE5DC4"/>
    <w:rsid w:val="52030F83"/>
    <w:rsid w:val="521562BD"/>
    <w:rsid w:val="52173BDE"/>
    <w:rsid w:val="521A3FCE"/>
    <w:rsid w:val="52286D2D"/>
    <w:rsid w:val="522D1654"/>
    <w:rsid w:val="523229B3"/>
    <w:rsid w:val="525543BD"/>
    <w:rsid w:val="527930EE"/>
    <w:rsid w:val="52876A65"/>
    <w:rsid w:val="528825FC"/>
    <w:rsid w:val="528D564C"/>
    <w:rsid w:val="52994715"/>
    <w:rsid w:val="52A901A9"/>
    <w:rsid w:val="52C1437C"/>
    <w:rsid w:val="532060F0"/>
    <w:rsid w:val="53264BB3"/>
    <w:rsid w:val="53422EDD"/>
    <w:rsid w:val="534523B5"/>
    <w:rsid w:val="534D0D89"/>
    <w:rsid w:val="53833274"/>
    <w:rsid w:val="53AA5012"/>
    <w:rsid w:val="53B22938"/>
    <w:rsid w:val="53B50416"/>
    <w:rsid w:val="53B73DEA"/>
    <w:rsid w:val="53C00EF5"/>
    <w:rsid w:val="53E61ABA"/>
    <w:rsid w:val="53EC2AFF"/>
    <w:rsid w:val="53FF2A1B"/>
    <w:rsid w:val="540641A7"/>
    <w:rsid w:val="54162250"/>
    <w:rsid w:val="54256512"/>
    <w:rsid w:val="54384545"/>
    <w:rsid w:val="54491E3F"/>
    <w:rsid w:val="544A52C0"/>
    <w:rsid w:val="545410CB"/>
    <w:rsid w:val="545C39EA"/>
    <w:rsid w:val="545D5AF4"/>
    <w:rsid w:val="547174B0"/>
    <w:rsid w:val="5479481C"/>
    <w:rsid w:val="548B776D"/>
    <w:rsid w:val="54972DB4"/>
    <w:rsid w:val="54A76860"/>
    <w:rsid w:val="54AD25D8"/>
    <w:rsid w:val="54B60481"/>
    <w:rsid w:val="54C5616D"/>
    <w:rsid w:val="54D321C6"/>
    <w:rsid w:val="54DA2414"/>
    <w:rsid w:val="54DF136D"/>
    <w:rsid w:val="54E93C77"/>
    <w:rsid w:val="54F2367C"/>
    <w:rsid w:val="54FD459D"/>
    <w:rsid w:val="5502085C"/>
    <w:rsid w:val="550D297C"/>
    <w:rsid w:val="551D66E8"/>
    <w:rsid w:val="55296859"/>
    <w:rsid w:val="554F0BCA"/>
    <w:rsid w:val="55506E42"/>
    <w:rsid w:val="55584AFC"/>
    <w:rsid w:val="55672CC2"/>
    <w:rsid w:val="558B5095"/>
    <w:rsid w:val="559273F6"/>
    <w:rsid w:val="559D70A2"/>
    <w:rsid w:val="55A75483"/>
    <w:rsid w:val="55B51FA2"/>
    <w:rsid w:val="55BB0D24"/>
    <w:rsid w:val="55D52F3D"/>
    <w:rsid w:val="55E63E6F"/>
    <w:rsid w:val="55F125F1"/>
    <w:rsid w:val="55F26958"/>
    <w:rsid w:val="55F66FA3"/>
    <w:rsid w:val="55F843F7"/>
    <w:rsid w:val="560935C0"/>
    <w:rsid w:val="561906C9"/>
    <w:rsid w:val="562444B2"/>
    <w:rsid w:val="564204C9"/>
    <w:rsid w:val="564C4ED7"/>
    <w:rsid w:val="564E38E0"/>
    <w:rsid w:val="565D347C"/>
    <w:rsid w:val="56635A68"/>
    <w:rsid w:val="566579BE"/>
    <w:rsid w:val="566B17E6"/>
    <w:rsid w:val="567D29CD"/>
    <w:rsid w:val="569A1662"/>
    <w:rsid w:val="56BF4844"/>
    <w:rsid w:val="56CA2E9A"/>
    <w:rsid w:val="572052E3"/>
    <w:rsid w:val="572753A8"/>
    <w:rsid w:val="57424DE6"/>
    <w:rsid w:val="575C5811"/>
    <w:rsid w:val="575D5EE9"/>
    <w:rsid w:val="578355AE"/>
    <w:rsid w:val="578365A7"/>
    <w:rsid w:val="578D2A69"/>
    <w:rsid w:val="57A43451"/>
    <w:rsid w:val="57AE6E27"/>
    <w:rsid w:val="57B402F1"/>
    <w:rsid w:val="57B40FD8"/>
    <w:rsid w:val="57DD18DE"/>
    <w:rsid w:val="57F57672"/>
    <w:rsid w:val="58094175"/>
    <w:rsid w:val="58175E2D"/>
    <w:rsid w:val="58257C49"/>
    <w:rsid w:val="582D12C0"/>
    <w:rsid w:val="583A6878"/>
    <w:rsid w:val="5851113E"/>
    <w:rsid w:val="58757D63"/>
    <w:rsid w:val="587758E8"/>
    <w:rsid w:val="58783461"/>
    <w:rsid w:val="589F36C3"/>
    <w:rsid w:val="58C85C32"/>
    <w:rsid w:val="58CE0646"/>
    <w:rsid w:val="58D30A33"/>
    <w:rsid w:val="58D65010"/>
    <w:rsid w:val="58DE343E"/>
    <w:rsid w:val="58DE4C91"/>
    <w:rsid w:val="590C29A5"/>
    <w:rsid w:val="590E18D6"/>
    <w:rsid w:val="591068AE"/>
    <w:rsid w:val="592643D7"/>
    <w:rsid w:val="59267823"/>
    <w:rsid w:val="593D0B63"/>
    <w:rsid w:val="59583656"/>
    <w:rsid w:val="59592D2E"/>
    <w:rsid w:val="59595B8B"/>
    <w:rsid w:val="596810D7"/>
    <w:rsid w:val="5971447C"/>
    <w:rsid w:val="59835237"/>
    <w:rsid w:val="59856B04"/>
    <w:rsid w:val="599614F9"/>
    <w:rsid w:val="59D16D68"/>
    <w:rsid w:val="59E52814"/>
    <w:rsid w:val="59EC09C6"/>
    <w:rsid w:val="59EF5369"/>
    <w:rsid w:val="5A02337C"/>
    <w:rsid w:val="5A046962"/>
    <w:rsid w:val="5A12092E"/>
    <w:rsid w:val="5A1E7572"/>
    <w:rsid w:val="5A2B7182"/>
    <w:rsid w:val="5A3357B5"/>
    <w:rsid w:val="5A417F8B"/>
    <w:rsid w:val="5A475EE7"/>
    <w:rsid w:val="5A533716"/>
    <w:rsid w:val="5A8747CB"/>
    <w:rsid w:val="5AAA2E19"/>
    <w:rsid w:val="5AAA3787"/>
    <w:rsid w:val="5ABC05C3"/>
    <w:rsid w:val="5AD14E61"/>
    <w:rsid w:val="5AE42ACB"/>
    <w:rsid w:val="5AF75E01"/>
    <w:rsid w:val="5AFD13F2"/>
    <w:rsid w:val="5B124F77"/>
    <w:rsid w:val="5B324C28"/>
    <w:rsid w:val="5B3B4379"/>
    <w:rsid w:val="5B4673D9"/>
    <w:rsid w:val="5B484E08"/>
    <w:rsid w:val="5B5605A4"/>
    <w:rsid w:val="5B591F3B"/>
    <w:rsid w:val="5B7D7491"/>
    <w:rsid w:val="5B9B73B0"/>
    <w:rsid w:val="5BA94AA4"/>
    <w:rsid w:val="5BAC1E98"/>
    <w:rsid w:val="5BAE0373"/>
    <w:rsid w:val="5BAE51F9"/>
    <w:rsid w:val="5BB13516"/>
    <w:rsid w:val="5BBA5090"/>
    <w:rsid w:val="5BC36ADC"/>
    <w:rsid w:val="5BC87241"/>
    <w:rsid w:val="5BE54D4D"/>
    <w:rsid w:val="5BF913D6"/>
    <w:rsid w:val="5C0A54BE"/>
    <w:rsid w:val="5C65505A"/>
    <w:rsid w:val="5C864FD3"/>
    <w:rsid w:val="5CA25FC1"/>
    <w:rsid w:val="5CA66DF2"/>
    <w:rsid w:val="5CB265F4"/>
    <w:rsid w:val="5CB52091"/>
    <w:rsid w:val="5CB97E40"/>
    <w:rsid w:val="5CE410E2"/>
    <w:rsid w:val="5CF660C9"/>
    <w:rsid w:val="5CF862B2"/>
    <w:rsid w:val="5CFC1FE3"/>
    <w:rsid w:val="5CFD10C9"/>
    <w:rsid w:val="5D080AE3"/>
    <w:rsid w:val="5D0E154D"/>
    <w:rsid w:val="5D1A2EA7"/>
    <w:rsid w:val="5D8F5656"/>
    <w:rsid w:val="5D967FBB"/>
    <w:rsid w:val="5DA276A2"/>
    <w:rsid w:val="5DAA3960"/>
    <w:rsid w:val="5DB21FE1"/>
    <w:rsid w:val="5DC90E21"/>
    <w:rsid w:val="5DE54048"/>
    <w:rsid w:val="5DF9063C"/>
    <w:rsid w:val="5E24019F"/>
    <w:rsid w:val="5E290562"/>
    <w:rsid w:val="5E4A7469"/>
    <w:rsid w:val="5E547F68"/>
    <w:rsid w:val="5E55197D"/>
    <w:rsid w:val="5E707C71"/>
    <w:rsid w:val="5E774E68"/>
    <w:rsid w:val="5E7B7824"/>
    <w:rsid w:val="5E7E7FDA"/>
    <w:rsid w:val="5E8425FB"/>
    <w:rsid w:val="5E8C08CE"/>
    <w:rsid w:val="5E8D03A3"/>
    <w:rsid w:val="5EB57CC7"/>
    <w:rsid w:val="5EC46E9C"/>
    <w:rsid w:val="5EE141DF"/>
    <w:rsid w:val="5EE15F9F"/>
    <w:rsid w:val="5EF04E88"/>
    <w:rsid w:val="5F1150EC"/>
    <w:rsid w:val="5F120B51"/>
    <w:rsid w:val="5F1368CB"/>
    <w:rsid w:val="5F196A3C"/>
    <w:rsid w:val="5F2B7E8E"/>
    <w:rsid w:val="5F2D4A41"/>
    <w:rsid w:val="5F2D7E85"/>
    <w:rsid w:val="5F371CDA"/>
    <w:rsid w:val="5F44634A"/>
    <w:rsid w:val="5F4D5EBB"/>
    <w:rsid w:val="5F6129C6"/>
    <w:rsid w:val="5F661DAD"/>
    <w:rsid w:val="5F6E258F"/>
    <w:rsid w:val="5F6E44CE"/>
    <w:rsid w:val="5F790107"/>
    <w:rsid w:val="5F901DC0"/>
    <w:rsid w:val="5F9101FC"/>
    <w:rsid w:val="5FA722B7"/>
    <w:rsid w:val="5FAE1160"/>
    <w:rsid w:val="5FB40CBE"/>
    <w:rsid w:val="5FCD56DB"/>
    <w:rsid w:val="5FD2011B"/>
    <w:rsid w:val="5FD3205D"/>
    <w:rsid w:val="5FD77D21"/>
    <w:rsid w:val="5FE03DE6"/>
    <w:rsid w:val="5FEB1C80"/>
    <w:rsid w:val="5FED2BD9"/>
    <w:rsid w:val="5FFB68ED"/>
    <w:rsid w:val="602D7A2E"/>
    <w:rsid w:val="602E73B7"/>
    <w:rsid w:val="606511BA"/>
    <w:rsid w:val="607E461C"/>
    <w:rsid w:val="60887B1D"/>
    <w:rsid w:val="609B7167"/>
    <w:rsid w:val="609C7093"/>
    <w:rsid w:val="60B53531"/>
    <w:rsid w:val="60C87559"/>
    <w:rsid w:val="60CE7D5B"/>
    <w:rsid w:val="60D30013"/>
    <w:rsid w:val="60D62F52"/>
    <w:rsid w:val="60E75AE7"/>
    <w:rsid w:val="610A46FB"/>
    <w:rsid w:val="610F0176"/>
    <w:rsid w:val="6112174F"/>
    <w:rsid w:val="6129383A"/>
    <w:rsid w:val="61591067"/>
    <w:rsid w:val="61703F9E"/>
    <w:rsid w:val="617A4FF5"/>
    <w:rsid w:val="61A9479C"/>
    <w:rsid w:val="61B064B3"/>
    <w:rsid w:val="61B168EA"/>
    <w:rsid w:val="61B30AEC"/>
    <w:rsid w:val="61CB3913"/>
    <w:rsid w:val="61E44BD6"/>
    <w:rsid w:val="61EC3281"/>
    <w:rsid w:val="61F05CAF"/>
    <w:rsid w:val="621748F2"/>
    <w:rsid w:val="62244A4B"/>
    <w:rsid w:val="623108F6"/>
    <w:rsid w:val="6244311C"/>
    <w:rsid w:val="62505533"/>
    <w:rsid w:val="625722B5"/>
    <w:rsid w:val="6279438B"/>
    <w:rsid w:val="627C4FF9"/>
    <w:rsid w:val="62862705"/>
    <w:rsid w:val="628D0A7C"/>
    <w:rsid w:val="62A776FA"/>
    <w:rsid w:val="62B57EFF"/>
    <w:rsid w:val="62DC4E1E"/>
    <w:rsid w:val="62EE2739"/>
    <w:rsid w:val="62F7394E"/>
    <w:rsid w:val="62F80829"/>
    <w:rsid w:val="63027F93"/>
    <w:rsid w:val="6309100B"/>
    <w:rsid w:val="632916B2"/>
    <w:rsid w:val="633401FA"/>
    <w:rsid w:val="63357504"/>
    <w:rsid w:val="63443D83"/>
    <w:rsid w:val="63540963"/>
    <w:rsid w:val="635F00BE"/>
    <w:rsid w:val="636617E0"/>
    <w:rsid w:val="63682CD7"/>
    <w:rsid w:val="63764EB5"/>
    <w:rsid w:val="63A20803"/>
    <w:rsid w:val="63AB11EF"/>
    <w:rsid w:val="63AC49CA"/>
    <w:rsid w:val="63B466A5"/>
    <w:rsid w:val="63C14CBD"/>
    <w:rsid w:val="63C96D02"/>
    <w:rsid w:val="63D412FA"/>
    <w:rsid w:val="63D5359C"/>
    <w:rsid w:val="63DB425F"/>
    <w:rsid w:val="63F20007"/>
    <w:rsid w:val="640E13FC"/>
    <w:rsid w:val="641338F4"/>
    <w:rsid w:val="64237ECC"/>
    <w:rsid w:val="64267715"/>
    <w:rsid w:val="642A5C87"/>
    <w:rsid w:val="64402966"/>
    <w:rsid w:val="64544C1B"/>
    <w:rsid w:val="64630C10"/>
    <w:rsid w:val="646F23D4"/>
    <w:rsid w:val="6484357B"/>
    <w:rsid w:val="64937D84"/>
    <w:rsid w:val="649F708D"/>
    <w:rsid w:val="64A77044"/>
    <w:rsid w:val="64C84D78"/>
    <w:rsid w:val="64ED542E"/>
    <w:rsid w:val="650469C1"/>
    <w:rsid w:val="6506332E"/>
    <w:rsid w:val="6525120D"/>
    <w:rsid w:val="65270184"/>
    <w:rsid w:val="653B0A07"/>
    <w:rsid w:val="653B642F"/>
    <w:rsid w:val="655412D0"/>
    <w:rsid w:val="655434D9"/>
    <w:rsid w:val="6560384B"/>
    <w:rsid w:val="659135DC"/>
    <w:rsid w:val="659342C4"/>
    <w:rsid w:val="65DA1EB9"/>
    <w:rsid w:val="65E4299B"/>
    <w:rsid w:val="65E72376"/>
    <w:rsid w:val="65E85892"/>
    <w:rsid w:val="65EC5A87"/>
    <w:rsid w:val="660B56B5"/>
    <w:rsid w:val="661103A7"/>
    <w:rsid w:val="661F6BCF"/>
    <w:rsid w:val="665A2B0E"/>
    <w:rsid w:val="666D5B9A"/>
    <w:rsid w:val="668F0A1B"/>
    <w:rsid w:val="6696280A"/>
    <w:rsid w:val="669C2849"/>
    <w:rsid w:val="66A549F0"/>
    <w:rsid w:val="66AE529C"/>
    <w:rsid w:val="66BB0770"/>
    <w:rsid w:val="66C51553"/>
    <w:rsid w:val="66C84183"/>
    <w:rsid w:val="66DA2D7D"/>
    <w:rsid w:val="66FD15AA"/>
    <w:rsid w:val="66FF4F46"/>
    <w:rsid w:val="671571A3"/>
    <w:rsid w:val="67181661"/>
    <w:rsid w:val="674D5324"/>
    <w:rsid w:val="675A68C8"/>
    <w:rsid w:val="67803B7C"/>
    <w:rsid w:val="678151A0"/>
    <w:rsid w:val="678F00FD"/>
    <w:rsid w:val="67B90D7A"/>
    <w:rsid w:val="67C73633"/>
    <w:rsid w:val="67E37B3E"/>
    <w:rsid w:val="67E4235D"/>
    <w:rsid w:val="67EE4F89"/>
    <w:rsid w:val="68330348"/>
    <w:rsid w:val="683834CD"/>
    <w:rsid w:val="68556D1B"/>
    <w:rsid w:val="687311D7"/>
    <w:rsid w:val="687C1A82"/>
    <w:rsid w:val="68CB2279"/>
    <w:rsid w:val="68DD41DE"/>
    <w:rsid w:val="68F20AA9"/>
    <w:rsid w:val="68F30B75"/>
    <w:rsid w:val="690F5317"/>
    <w:rsid w:val="692912E3"/>
    <w:rsid w:val="693B594B"/>
    <w:rsid w:val="695F1CD8"/>
    <w:rsid w:val="69665D24"/>
    <w:rsid w:val="696E73A0"/>
    <w:rsid w:val="698264A4"/>
    <w:rsid w:val="69842524"/>
    <w:rsid w:val="69B61AD7"/>
    <w:rsid w:val="69BF13EB"/>
    <w:rsid w:val="69DD0A91"/>
    <w:rsid w:val="69FB57D4"/>
    <w:rsid w:val="69FF77EC"/>
    <w:rsid w:val="6A0045C9"/>
    <w:rsid w:val="6A0B3E8B"/>
    <w:rsid w:val="6A0E6BB1"/>
    <w:rsid w:val="6A122CA0"/>
    <w:rsid w:val="6A156D16"/>
    <w:rsid w:val="6A240065"/>
    <w:rsid w:val="6A341739"/>
    <w:rsid w:val="6A366F4D"/>
    <w:rsid w:val="6A6652AB"/>
    <w:rsid w:val="6A74617D"/>
    <w:rsid w:val="6A7F11FC"/>
    <w:rsid w:val="6A8B2239"/>
    <w:rsid w:val="6AB96511"/>
    <w:rsid w:val="6AC56C14"/>
    <w:rsid w:val="6ACB5FE5"/>
    <w:rsid w:val="6ADF0C10"/>
    <w:rsid w:val="6AE8608E"/>
    <w:rsid w:val="6AEE5146"/>
    <w:rsid w:val="6AFC64DE"/>
    <w:rsid w:val="6B12511D"/>
    <w:rsid w:val="6B1758B1"/>
    <w:rsid w:val="6B186167"/>
    <w:rsid w:val="6B214A28"/>
    <w:rsid w:val="6B2944E4"/>
    <w:rsid w:val="6B44378D"/>
    <w:rsid w:val="6B5019E9"/>
    <w:rsid w:val="6B9B269C"/>
    <w:rsid w:val="6BB65351"/>
    <w:rsid w:val="6BBB2ADA"/>
    <w:rsid w:val="6BE00A80"/>
    <w:rsid w:val="6BEE37AA"/>
    <w:rsid w:val="6BF2733C"/>
    <w:rsid w:val="6BF32B6E"/>
    <w:rsid w:val="6BFA7E4A"/>
    <w:rsid w:val="6BFE3351"/>
    <w:rsid w:val="6C084298"/>
    <w:rsid w:val="6C0D7569"/>
    <w:rsid w:val="6C1D08EB"/>
    <w:rsid w:val="6C1E2D2E"/>
    <w:rsid w:val="6C3434DD"/>
    <w:rsid w:val="6C3D1D34"/>
    <w:rsid w:val="6C4C24DD"/>
    <w:rsid w:val="6C4C5394"/>
    <w:rsid w:val="6C502221"/>
    <w:rsid w:val="6C6801C5"/>
    <w:rsid w:val="6C6A134C"/>
    <w:rsid w:val="6C6F2922"/>
    <w:rsid w:val="6C8057E3"/>
    <w:rsid w:val="6C851907"/>
    <w:rsid w:val="6C971890"/>
    <w:rsid w:val="6CA25A52"/>
    <w:rsid w:val="6CAE2F39"/>
    <w:rsid w:val="6CCB3DC2"/>
    <w:rsid w:val="6CDA58CB"/>
    <w:rsid w:val="6CE214E7"/>
    <w:rsid w:val="6CE827E1"/>
    <w:rsid w:val="6CEA21C3"/>
    <w:rsid w:val="6CEA73C3"/>
    <w:rsid w:val="6CEB5BA2"/>
    <w:rsid w:val="6CF826CF"/>
    <w:rsid w:val="6D213498"/>
    <w:rsid w:val="6D286A0F"/>
    <w:rsid w:val="6D2A72DB"/>
    <w:rsid w:val="6D322D95"/>
    <w:rsid w:val="6D372C6C"/>
    <w:rsid w:val="6D3C752A"/>
    <w:rsid w:val="6D4627AE"/>
    <w:rsid w:val="6D7B345A"/>
    <w:rsid w:val="6D9263B7"/>
    <w:rsid w:val="6DAD15D9"/>
    <w:rsid w:val="6DC552B4"/>
    <w:rsid w:val="6DCB58EF"/>
    <w:rsid w:val="6DCC118E"/>
    <w:rsid w:val="6DD31078"/>
    <w:rsid w:val="6DD67030"/>
    <w:rsid w:val="6E0618B4"/>
    <w:rsid w:val="6E0A23F1"/>
    <w:rsid w:val="6E0B1AB8"/>
    <w:rsid w:val="6E0D6F64"/>
    <w:rsid w:val="6E282AAF"/>
    <w:rsid w:val="6E29691B"/>
    <w:rsid w:val="6E351617"/>
    <w:rsid w:val="6E693692"/>
    <w:rsid w:val="6E7C1DF7"/>
    <w:rsid w:val="6E844058"/>
    <w:rsid w:val="6E845857"/>
    <w:rsid w:val="6E9C21E0"/>
    <w:rsid w:val="6EA85EDD"/>
    <w:rsid w:val="6ECB7DD2"/>
    <w:rsid w:val="6ECC6569"/>
    <w:rsid w:val="6ED875B0"/>
    <w:rsid w:val="6EEF6889"/>
    <w:rsid w:val="6F21013B"/>
    <w:rsid w:val="6F341ED9"/>
    <w:rsid w:val="6F3A1148"/>
    <w:rsid w:val="6F3D0ED0"/>
    <w:rsid w:val="6F957612"/>
    <w:rsid w:val="6F9E5043"/>
    <w:rsid w:val="6FBB0AFD"/>
    <w:rsid w:val="6FD05799"/>
    <w:rsid w:val="6FD97350"/>
    <w:rsid w:val="6FEA5753"/>
    <w:rsid w:val="6FFC16DC"/>
    <w:rsid w:val="700C06A3"/>
    <w:rsid w:val="700F58E7"/>
    <w:rsid w:val="70125E53"/>
    <w:rsid w:val="70290746"/>
    <w:rsid w:val="702D6608"/>
    <w:rsid w:val="70400191"/>
    <w:rsid w:val="70410823"/>
    <w:rsid w:val="704716DB"/>
    <w:rsid w:val="704A2175"/>
    <w:rsid w:val="704A2267"/>
    <w:rsid w:val="70567DB1"/>
    <w:rsid w:val="705E68CE"/>
    <w:rsid w:val="706434C1"/>
    <w:rsid w:val="706D614E"/>
    <w:rsid w:val="70763028"/>
    <w:rsid w:val="708A3400"/>
    <w:rsid w:val="709E0D93"/>
    <w:rsid w:val="70AD66D3"/>
    <w:rsid w:val="70D165D4"/>
    <w:rsid w:val="71167E46"/>
    <w:rsid w:val="71230E49"/>
    <w:rsid w:val="7123136F"/>
    <w:rsid w:val="712A3DA9"/>
    <w:rsid w:val="712E37D4"/>
    <w:rsid w:val="71342558"/>
    <w:rsid w:val="715264B7"/>
    <w:rsid w:val="71756E7A"/>
    <w:rsid w:val="718B55F7"/>
    <w:rsid w:val="719003EA"/>
    <w:rsid w:val="71BC6D2B"/>
    <w:rsid w:val="71C01C57"/>
    <w:rsid w:val="71C07CDB"/>
    <w:rsid w:val="71CF07E4"/>
    <w:rsid w:val="71E23FB6"/>
    <w:rsid w:val="71E34B69"/>
    <w:rsid w:val="71EB0890"/>
    <w:rsid w:val="72046AF6"/>
    <w:rsid w:val="720F30B9"/>
    <w:rsid w:val="721F421B"/>
    <w:rsid w:val="722A53E1"/>
    <w:rsid w:val="722B3F49"/>
    <w:rsid w:val="72361D00"/>
    <w:rsid w:val="723F432B"/>
    <w:rsid w:val="726E05D8"/>
    <w:rsid w:val="727E2497"/>
    <w:rsid w:val="72820F19"/>
    <w:rsid w:val="72B90DFD"/>
    <w:rsid w:val="72C84AB9"/>
    <w:rsid w:val="72D006EC"/>
    <w:rsid w:val="72DA31A7"/>
    <w:rsid w:val="72DB08CC"/>
    <w:rsid w:val="72E15D65"/>
    <w:rsid w:val="72EE3894"/>
    <w:rsid w:val="72F81B46"/>
    <w:rsid w:val="72F929A5"/>
    <w:rsid w:val="73105394"/>
    <w:rsid w:val="732006D8"/>
    <w:rsid w:val="7329156C"/>
    <w:rsid w:val="73370AB3"/>
    <w:rsid w:val="73386087"/>
    <w:rsid w:val="733D14C6"/>
    <w:rsid w:val="734162D8"/>
    <w:rsid w:val="73701AA3"/>
    <w:rsid w:val="738243A3"/>
    <w:rsid w:val="73947DE2"/>
    <w:rsid w:val="739C29BE"/>
    <w:rsid w:val="739D1E38"/>
    <w:rsid w:val="73AA445A"/>
    <w:rsid w:val="740B2C62"/>
    <w:rsid w:val="74120DF6"/>
    <w:rsid w:val="742347B5"/>
    <w:rsid w:val="7432391A"/>
    <w:rsid w:val="743655D1"/>
    <w:rsid w:val="74483163"/>
    <w:rsid w:val="7448595E"/>
    <w:rsid w:val="744D7322"/>
    <w:rsid w:val="745F0B97"/>
    <w:rsid w:val="745F110F"/>
    <w:rsid w:val="746C7EB8"/>
    <w:rsid w:val="747746FB"/>
    <w:rsid w:val="747E12DE"/>
    <w:rsid w:val="7480141D"/>
    <w:rsid w:val="74836080"/>
    <w:rsid w:val="749507BC"/>
    <w:rsid w:val="749F1AE5"/>
    <w:rsid w:val="74A30443"/>
    <w:rsid w:val="74AE65E8"/>
    <w:rsid w:val="74B235C0"/>
    <w:rsid w:val="74BD443C"/>
    <w:rsid w:val="74C6041F"/>
    <w:rsid w:val="74DC3295"/>
    <w:rsid w:val="74E14E03"/>
    <w:rsid w:val="74E30A4E"/>
    <w:rsid w:val="7501454E"/>
    <w:rsid w:val="751945B3"/>
    <w:rsid w:val="752936EA"/>
    <w:rsid w:val="754F06AF"/>
    <w:rsid w:val="755833A3"/>
    <w:rsid w:val="755F2778"/>
    <w:rsid w:val="756C59F0"/>
    <w:rsid w:val="75820ABC"/>
    <w:rsid w:val="759A1170"/>
    <w:rsid w:val="75A231AB"/>
    <w:rsid w:val="75AF55E3"/>
    <w:rsid w:val="75B2159A"/>
    <w:rsid w:val="75BA782F"/>
    <w:rsid w:val="75E47FB9"/>
    <w:rsid w:val="761E6F7F"/>
    <w:rsid w:val="7627745C"/>
    <w:rsid w:val="762960AD"/>
    <w:rsid w:val="762C5EA6"/>
    <w:rsid w:val="76502DCD"/>
    <w:rsid w:val="76516F99"/>
    <w:rsid w:val="767215F5"/>
    <w:rsid w:val="76764D38"/>
    <w:rsid w:val="7677439C"/>
    <w:rsid w:val="76A6670F"/>
    <w:rsid w:val="77152627"/>
    <w:rsid w:val="77163BB5"/>
    <w:rsid w:val="77344CF3"/>
    <w:rsid w:val="77377AEB"/>
    <w:rsid w:val="773836C1"/>
    <w:rsid w:val="77576C00"/>
    <w:rsid w:val="776301E1"/>
    <w:rsid w:val="77743C44"/>
    <w:rsid w:val="7775671A"/>
    <w:rsid w:val="777A234C"/>
    <w:rsid w:val="77833064"/>
    <w:rsid w:val="77AB6E82"/>
    <w:rsid w:val="77C372AF"/>
    <w:rsid w:val="77C57118"/>
    <w:rsid w:val="77C94C8A"/>
    <w:rsid w:val="77DF669D"/>
    <w:rsid w:val="77E661CB"/>
    <w:rsid w:val="77E94973"/>
    <w:rsid w:val="780040C3"/>
    <w:rsid w:val="780A619C"/>
    <w:rsid w:val="780E45B8"/>
    <w:rsid w:val="78213506"/>
    <w:rsid w:val="78397FC3"/>
    <w:rsid w:val="783D2356"/>
    <w:rsid w:val="783D50F5"/>
    <w:rsid w:val="78496314"/>
    <w:rsid w:val="784C2AD0"/>
    <w:rsid w:val="786F0BEA"/>
    <w:rsid w:val="7883447D"/>
    <w:rsid w:val="788F6285"/>
    <w:rsid w:val="78B33DB1"/>
    <w:rsid w:val="78DE690E"/>
    <w:rsid w:val="78E54D13"/>
    <w:rsid w:val="78E90E66"/>
    <w:rsid w:val="78F57344"/>
    <w:rsid w:val="79182B9E"/>
    <w:rsid w:val="79241C14"/>
    <w:rsid w:val="79362787"/>
    <w:rsid w:val="793B2ACE"/>
    <w:rsid w:val="793F6AAD"/>
    <w:rsid w:val="794F5CC9"/>
    <w:rsid w:val="795245C6"/>
    <w:rsid w:val="795C2CB0"/>
    <w:rsid w:val="796C05B3"/>
    <w:rsid w:val="796C6572"/>
    <w:rsid w:val="799E4B1B"/>
    <w:rsid w:val="799F4E79"/>
    <w:rsid w:val="79AD3C34"/>
    <w:rsid w:val="79B7633D"/>
    <w:rsid w:val="79C21D16"/>
    <w:rsid w:val="79C67B14"/>
    <w:rsid w:val="79D23D37"/>
    <w:rsid w:val="79EC20C0"/>
    <w:rsid w:val="79F75CF1"/>
    <w:rsid w:val="79FC7DC0"/>
    <w:rsid w:val="7A0643B5"/>
    <w:rsid w:val="7A100D8F"/>
    <w:rsid w:val="7A104569"/>
    <w:rsid w:val="7A345ECF"/>
    <w:rsid w:val="7A4E0ADC"/>
    <w:rsid w:val="7A531AB0"/>
    <w:rsid w:val="7A7759B1"/>
    <w:rsid w:val="7A797CD0"/>
    <w:rsid w:val="7A7D394A"/>
    <w:rsid w:val="7A8613D5"/>
    <w:rsid w:val="7A973A09"/>
    <w:rsid w:val="7A9C5C3F"/>
    <w:rsid w:val="7AAD0390"/>
    <w:rsid w:val="7AAD7438"/>
    <w:rsid w:val="7ABE32A5"/>
    <w:rsid w:val="7AC04C43"/>
    <w:rsid w:val="7AD346A8"/>
    <w:rsid w:val="7ADA0916"/>
    <w:rsid w:val="7AEC1DE4"/>
    <w:rsid w:val="7AF82F68"/>
    <w:rsid w:val="7B146CA6"/>
    <w:rsid w:val="7B1761D5"/>
    <w:rsid w:val="7B206107"/>
    <w:rsid w:val="7B217D09"/>
    <w:rsid w:val="7B285161"/>
    <w:rsid w:val="7B2901E6"/>
    <w:rsid w:val="7B3B3A2B"/>
    <w:rsid w:val="7B3F2C61"/>
    <w:rsid w:val="7B4C46C3"/>
    <w:rsid w:val="7B671B78"/>
    <w:rsid w:val="7B745DB4"/>
    <w:rsid w:val="7B7D4E4A"/>
    <w:rsid w:val="7B9D48A5"/>
    <w:rsid w:val="7BA549C8"/>
    <w:rsid w:val="7BC3364D"/>
    <w:rsid w:val="7BE450E9"/>
    <w:rsid w:val="7BFA7C5E"/>
    <w:rsid w:val="7BFC5A6F"/>
    <w:rsid w:val="7C167365"/>
    <w:rsid w:val="7C1B4DE3"/>
    <w:rsid w:val="7C1F1468"/>
    <w:rsid w:val="7C445EDD"/>
    <w:rsid w:val="7C4633E6"/>
    <w:rsid w:val="7C4D5C32"/>
    <w:rsid w:val="7C5C2EC8"/>
    <w:rsid w:val="7C5E28A8"/>
    <w:rsid w:val="7C5F403B"/>
    <w:rsid w:val="7C78679C"/>
    <w:rsid w:val="7C7876B7"/>
    <w:rsid w:val="7C7A0128"/>
    <w:rsid w:val="7C7B171C"/>
    <w:rsid w:val="7C7C5215"/>
    <w:rsid w:val="7C7F64C2"/>
    <w:rsid w:val="7C922172"/>
    <w:rsid w:val="7C943EFA"/>
    <w:rsid w:val="7C9A3769"/>
    <w:rsid w:val="7C9A62BD"/>
    <w:rsid w:val="7CA42225"/>
    <w:rsid w:val="7CB9570E"/>
    <w:rsid w:val="7CC14C15"/>
    <w:rsid w:val="7CDE127B"/>
    <w:rsid w:val="7CED281C"/>
    <w:rsid w:val="7CF525A1"/>
    <w:rsid w:val="7D096827"/>
    <w:rsid w:val="7D1B6D44"/>
    <w:rsid w:val="7D2E41F8"/>
    <w:rsid w:val="7D351A5D"/>
    <w:rsid w:val="7D3A4925"/>
    <w:rsid w:val="7D425704"/>
    <w:rsid w:val="7D436632"/>
    <w:rsid w:val="7D4A612E"/>
    <w:rsid w:val="7D4D74CB"/>
    <w:rsid w:val="7D5B05EA"/>
    <w:rsid w:val="7D6A09C9"/>
    <w:rsid w:val="7D737E54"/>
    <w:rsid w:val="7D86100A"/>
    <w:rsid w:val="7D8D7609"/>
    <w:rsid w:val="7D936544"/>
    <w:rsid w:val="7DEC38C1"/>
    <w:rsid w:val="7DFE2FFC"/>
    <w:rsid w:val="7E3518D9"/>
    <w:rsid w:val="7E5133C1"/>
    <w:rsid w:val="7E69492F"/>
    <w:rsid w:val="7E760AC0"/>
    <w:rsid w:val="7E860858"/>
    <w:rsid w:val="7E8B7DAB"/>
    <w:rsid w:val="7E953214"/>
    <w:rsid w:val="7E9646E4"/>
    <w:rsid w:val="7E9C5D80"/>
    <w:rsid w:val="7EA4186F"/>
    <w:rsid w:val="7EB63282"/>
    <w:rsid w:val="7ED36F62"/>
    <w:rsid w:val="7EDF1494"/>
    <w:rsid w:val="7EE14DD4"/>
    <w:rsid w:val="7EE86378"/>
    <w:rsid w:val="7EEE4246"/>
    <w:rsid w:val="7F055F92"/>
    <w:rsid w:val="7F0A2251"/>
    <w:rsid w:val="7F1A22C3"/>
    <w:rsid w:val="7F2C2775"/>
    <w:rsid w:val="7F3869CB"/>
    <w:rsid w:val="7F5E3592"/>
    <w:rsid w:val="7F5E40E2"/>
    <w:rsid w:val="7F5E722E"/>
    <w:rsid w:val="7F742B4B"/>
    <w:rsid w:val="7F835481"/>
    <w:rsid w:val="7F9422B0"/>
    <w:rsid w:val="7FAA732A"/>
    <w:rsid w:val="7FB21419"/>
    <w:rsid w:val="7FB453D4"/>
    <w:rsid w:val="7FC30328"/>
    <w:rsid w:val="7FCA0E53"/>
    <w:rsid w:val="7FD71175"/>
    <w:rsid w:val="7FDA3324"/>
    <w:rsid w:val="7FE50979"/>
    <w:rsid w:val="7FFB227F"/>
    <w:rsid w:val="FF97B8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3">
    <w:name w:val="heading 1"/>
    <w:basedOn w:val="1"/>
    <w:next w:val="1"/>
    <w:qFormat/>
    <w:uiPriority w:val="0"/>
    <w:pPr>
      <w:keepNext/>
      <w:keepLines/>
      <w:spacing w:before="240" w:after="240" w:line="540" w:lineRule="exact"/>
      <w:outlineLvl w:val="0"/>
    </w:pPr>
    <w:rPr>
      <w:rFonts w:eastAsia="黑体"/>
      <w:b/>
      <w:bCs/>
      <w:kern w:val="44"/>
      <w:sz w:val="30"/>
      <w:szCs w:val="44"/>
    </w:rPr>
  </w:style>
  <w:style w:type="paragraph" w:styleId="4">
    <w:name w:val="heading 2"/>
    <w:basedOn w:val="1"/>
    <w:next w:val="1"/>
    <w:qFormat/>
    <w:uiPriority w:val="0"/>
    <w:pPr>
      <w:keepNext/>
      <w:keepLines/>
      <w:spacing w:before="260" w:after="260" w:line="415" w:lineRule="auto"/>
      <w:outlineLvl w:val="1"/>
    </w:pPr>
    <w:rPr>
      <w:rFonts w:ascii="Arial" w:hAnsi="Arial" w:eastAsia="黑体"/>
      <w:b/>
      <w:bCs/>
      <w:sz w:val="32"/>
      <w:szCs w:val="32"/>
    </w:rPr>
  </w:style>
  <w:style w:type="paragraph" w:styleId="5">
    <w:name w:val="heading 3"/>
    <w:basedOn w:val="1"/>
    <w:next w:val="1"/>
    <w:qFormat/>
    <w:uiPriority w:val="0"/>
    <w:pPr>
      <w:keepNext/>
      <w:keepLines/>
      <w:spacing w:before="260" w:after="260" w:line="416" w:lineRule="auto"/>
      <w:outlineLvl w:val="2"/>
    </w:pPr>
    <w:rPr>
      <w:b/>
      <w:bCs/>
      <w:sz w:val="32"/>
      <w:szCs w:val="32"/>
    </w:rPr>
  </w:style>
  <w:style w:type="paragraph" w:styleId="6">
    <w:name w:val="heading 4"/>
    <w:basedOn w:val="1"/>
    <w:next w:val="7"/>
    <w:qFormat/>
    <w:uiPriority w:val="0"/>
    <w:pPr>
      <w:keepNext/>
      <w:keepLines/>
      <w:spacing w:before="280" w:after="290" w:line="376" w:lineRule="auto"/>
      <w:outlineLvl w:val="3"/>
    </w:pPr>
    <w:rPr>
      <w:rFonts w:ascii="Arial" w:hAnsi="Arial" w:eastAsia="黑体"/>
      <w:b/>
      <w:bCs/>
      <w:sz w:val="28"/>
      <w:szCs w:val="28"/>
    </w:rPr>
  </w:style>
  <w:style w:type="paragraph" w:styleId="8">
    <w:name w:val="heading 5"/>
    <w:basedOn w:val="1"/>
    <w:next w:val="1"/>
    <w:link w:val="36"/>
    <w:qFormat/>
    <w:uiPriority w:val="0"/>
    <w:pPr>
      <w:autoSpaceDE w:val="0"/>
      <w:autoSpaceDN w:val="0"/>
      <w:ind w:left="1006"/>
      <w:jc w:val="left"/>
      <w:outlineLvl w:val="4"/>
    </w:pPr>
    <w:rPr>
      <w:rFonts w:hint="eastAsia" w:ascii="宋体" w:hAnsi="宋体"/>
      <w:b/>
      <w:kern w:val="0"/>
      <w:sz w:val="24"/>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2">
    <w:name w:val="footer"/>
    <w:basedOn w:val="1"/>
    <w:next w:val="1"/>
    <w:link w:val="40"/>
    <w:qFormat/>
    <w:uiPriority w:val="0"/>
    <w:pPr>
      <w:tabs>
        <w:tab w:val="center" w:pos="4153"/>
        <w:tab w:val="right" w:pos="8306"/>
      </w:tabs>
      <w:snapToGrid w:val="0"/>
      <w:jc w:val="left"/>
    </w:pPr>
    <w:rPr>
      <w:sz w:val="18"/>
    </w:rPr>
  </w:style>
  <w:style w:type="paragraph" w:customStyle="1" w:styleId="7">
    <w:name w:val="环评正文"/>
    <w:basedOn w:val="1"/>
    <w:next w:val="1"/>
    <w:qFormat/>
    <w:uiPriority w:val="0"/>
    <w:pPr>
      <w:adjustRightInd w:val="0"/>
      <w:spacing w:line="360" w:lineRule="auto"/>
      <w:ind w:firstLine="200" w:firstLineChars="200"/>
    </w:pPr>
    <w:rPr>
      <w:rFonts w:ascii="仿宋_GB2312" w:eastAsia="仿宋_GB2312"/>
      <w:bCs/>
      <w:sz w:val="24"/>
    </w:rPr>
  </w:style>
  <w:style w:type="paragraph" w:styleId="9">
    <w:name w:val="Normal Indent"/>
    <w:basedOn w:val="1"/>
    <w:next w:val="1"/>
    <w:qFormat/>
    <w:uiPriority w:val="0"/>
    <w:pPr>
      <w:ind w:firstLine="420"/>
    </w:pPr>
    <w:rPr>
      <w:szCs w:val="20"/>
    </w:rPr>
  </w:style>
  <w:style w:type="paragraph" w:styleId="10">
    <w:name w:val="annotation text"/>
    <w:basedOn w:val="1"/>
    <w:link w:val="37"/>
    <w:qFormat/>
    <w:uiPriority w:val="0"/>
    <w:pPr>
      <w:jc w:val="left"/>
    </w:pPr>
    <w:rPr>
      <w:rFonts w:ascii="Times New Roman" w:hAnsi="Times New Roman"/>
    </w:rPr>
  </w:style>
  <w:style w:type="paragraph" w:styleId="11">
    <w:name w:val="Body Text"/>
    <w:basedOn w:val="1"/>
    <w:next w:val="12"/>
    <w:link w:val="35"/>
    <w:qFormat/>
    <w:uiPriority w:val="0"/>
    <w:pPr>
      <w:spacing w:after="120"/>
    </w:pPr>
    <w:rPr>
      <w:rFonts w:ascii="Cambria" w:hAnsi="Cambria"/>
    </w:rPr>
  </w:style>
  <w:style w:type="paragraph" w:customStyle="1" w:styleId="12">
    <w:name w:val="Date1"/>
    <w:basedOn w:val="1"/>
    <w:next w:val="1"/>
    <w:qFormat/>
    <w:uiPriority w:val="0"/>
    <w:pPr>
      <w:adjustRightInd w:val="0"/>
      <w:jc w:val="left"/>
      <w:textAlignment w:val="baseline"/>
    </w:pPr>
    <w:rPr>
      <w:rFonts w:ascii="宋体" w:hAnsi="宋体"/>
      <w:sz w:val="28"/>
      <w:szCs w:val="20"/>
    </w:rPr>
  </w:style>
  <w:style w:type="paragraph" w:styleId="13">
    <w:name w:val="Body Text Indent"/>
    <w:basedOn w:val="1"/>
    <w:next w:val="14"/>
    <w:qFormat/>
    <w:uiPriority w:val="0"/>
    <w:pPr>
      <w:spacing w:line="500" w:lineRule="exact"/>
      <w:ind w:firstLine="560" w:firstLineChars="200"/>
    </w:pPr>
    <w:rPr>
      <w:rFonts w:ascii="宋体" w:hAnsi="宋体"/>
      <w:sz w:val="28"/>
    </w:rPr>
  </w:style>
  <w:style w:type="paragraph" w:styleId="14">
    <w:name w:val="Body Text First Indent 2"/>
    <w:basedOn w:val="13"/>
    <w:next w:val="15"/>
    <w:qFormat/>
    <w:uiPriority w:val="0"/>
    <w:pPr>
      <w:tabs>
        <w:tab w:val="left" w:pos="0"/>
      </w:tabs>
      <w:ind w:firstLine="200"/>
      <w:jc w:val="left"/>
    </w:pPr>
  </w:style>
  <w:style w:type="paragraph" w:styleId="15">
    <w:name w:val="Body Text First Indent"/>
    <w:basedOn w:val="11"/>
    <w:qFormat/>
    <w:uiPriority w:val="0"/>
    <w:pPr>
      <w:ind w:firstLine="420" w:firstLineChars="100"/>
    </w:pPr>
  </w:style>
  <w:style w:type="paragraph" w:styleId="16">
    <w:name w:val="toc 3"/>
    <w:basedOn w:val="1"/>
    <w:next w:val="1"/>
    <w:qFormat/>
    <w:uiPriority w:val="0"/>
    <w:pPr>
      <w:ind w:left="840" w:leftChars="400"/>
    </w:pPr>
  </w:style>
  <w:style w:type="paragraph" w:styleId="17">
    <w:name w:val="Plain Text"/>
    <w:basedOn w:val="1"/>
    <w:link w:val="38"/>
    <w:qFormat/>
    <w:uiPriority w:val="0"/>
    <w:rPr>
      <w:rFonts w:ascii="宋体" w:hAnsi="Courier New"/>
      <w:kern w:val="0"/>
      <w:szCs w:val="20"/>
    </w:rPr>
  </w:style>
  <w:style w:type="paragraph" w:styleId="18">
    <w:name w:val="Body Text Indent 2"/>
    <w:basedOn w:val="1"/>
    <w:qFormat/>
    <w:uiPriority w:val="0"/>
    <w:pPr>
      <w:autoSpaceDE w:val="0"/>
      <w:autoSpaceDN w:val="0"/>
      <w:adjustRightInd w:val="0"/>
      <w:spacing w:line="360" w:lineRule="auto"/>
      <w:ind w:firstLine="482"/>
    </w:pPr>
    <w:rPr>
      <w:sz w:val="24"/>
    </w:rPr>
  </w:style>
  <w:style w:type="paragraph" w:styleId="19">
    <w:name w:val="Balloon Text"/>
    <w:basedOn w:val="1"/>
    <w:link w:val="39"/>
    <w:qFormat/>
    <w:uiPriority w:val="0"/>
    <w:rPr>
      <w:sz w:val="18"/>
      <w:szCs w:val="18"/>
    </w:rPr>
  </w:style>
  <w:style w:type="paragraph" w:styleId="20">
    <w:name w:val="header"/>
    <w:basedOn w:val="1"/>
    <w:link w:val="78"/>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1">
    <w:name w:val="toc 1"/>
    <w:basedOn w:val="1"/>
    <w:next w:val="1"/>
    <w:qFormat/>
    <w:uiPriority w:val="0"/>
  </w:style>
  <w:style w:type="paragraph" w:styleId="22">
    <w:name w:val="List"/>
    <w:basedOn w:val="1"/>
    <w:qFormat/>
    <w:uiPriority w:val="0"/>
    <w:pPr>
      <w:adjustRightInd w:val="0"/>
      <w:spacing w:before="60" w:after="240" w:line="240" w:lineRule="atLeast"/>
      <w:ind w:left="360" w:hanging="360"/>
      <w:textAlignment w:val="baseline"/>
    </w:pPr>
    <w:rPr>
      <w:b/>
      <w:spacing w:val="20"/>
      <w:kern w:val="0"/>
      <w:sz w:val="28"/>
      <w:szCs w:val="20"/>
    </w:rPr>
  </w:style>
  <w:style w:type="paragraph" w:styleId="23">
    <w:name w:val="Body Text Indent 3"/>
    <w:basedOn w:val="1"/>
    <w:next w:val="24"/>
    <w:qFormat/>
    <w:uiPriority w:val="0"/>
    <w:pPr>
      <w:spacing w:after="120"/>
      <w:ind w:left="420" w:leftChars="200"/>
    </w:pPr>
    <w:rPr>
      <w:sz w:val="16"/>
      <w:szCs w:val="16"/>
    </w:rPr>
  </w:style>
  <w:style w:type="paragraph" w:customStyle="1" w:styleId="24">
    <w:name w:val="正文1"/>
    <w:basedOn w:val="1"/>
    <w:qFormat/>
    <w:uiPriority w:val="0"/>
    <w:pPr>
      <w:spacing w:line="480" w:lineRule="exact"/>
      <w:ind w:firstLine="200" w:firstLineChars="200"/>
    </w:pPr>
    <w:rPr>
      <w:sz w:val="24"/>
    </w:rPr>
  </w:style>
  <w:style w:type="paragraph" w:styleId="25">
    <w:name w:val="toc 2"/>
    <w:basedOn w:val="1"/>
    <w:next w:val="1"/>
    <w:qFormat/>
    <w:uiPriority w:val="0"/>
    <w:pPr>
      <w:ind w:left="420" w:leftChars="200"/>
    </w:pPr>
  </w:style>
  <w:style w:type="paragraph" w:styleId="26">
    <w:name w:val="Body Text 2"/>
    <w:basedOn w:val="1"/>
    <w:qFormat/>
    <w:uiPriority w:val="0"/>
    <w:pPr>
      <w:spacing w:after="120" w:line="480" w:lineRule="auto"/>
    </w:pPr>
    <w:rPr>
      <w:rFonts w:ascii="Times New Roman" w:hAnsi="Times New Roman"/>
    </w:rPr>
  </w:style>
  <w:style w:type="paragraph" w:styleId="27">
    <w:name w:val="Normal (Web)"/>
    <w:basedOn w:val="1"/>
    <w:qFormat/>
    <w:uiPriority w:val="0"/>
    <w:pPr>
      <w:widowControl/>
      <w:spacing w:before="100" w:beforeAutospacing="1" w:after="100" w:afterAutospacing="1"/>
      <w:jc w:val="left"/>
    </w:pPr>
    <w:rPr>
      <w:rFonts w:ascii="宋体" w:hAnsi="宋体"/>
      <w:kern w:val="0"/>
      <w:sz w:val="24"/>
    </w:rPr>
  </w:style>
  <w:style w:type="paragraph" w:styleId="28">
    <w:name w:val="Title"/>
    <w:basedOn w:val="1"/>
    <w:next w:val="1"/>
    <w:qFormat/>
    <w:uiPriority w:val="0"/>
    <w:pPr>
      <w:spacing w:before="240" w:after="60"/>
      <w:jc w:val="center"/>
      <w:outlineLvl w:val="0"/>
    </w:pPr>
    <w:rPr>
      <w:rFonts w:ascii="Cambria" w:hAnsi="Cambria"/>
      <w:b/>
      <w:bCs/>
      <w:sz w:val="32"/>
      <w:szCs w:val="32"/>
    </w:rPr>
  </w:style>
  <w:style w:type="table" w:styleId="30">
    <w:name w:val="Table Grid"/>
    <w:basedOn w:val="29"/>
    <w:qFormat/>
    <w:uiPriority w:val="0"/>
    <w:rPr>
      <w:rFonts w:cs="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2">
    <w:name w:val="Strong"/>
    <w:basedOn w:val="31"/>
    <w:qFormat/>
    <w:uiPriority w:val="0"/>
    <w:rPr>
      <w:b/>
    </w:rPr>
  </w:style>
  <w:style w:type="character" w:styleId="33">
    <w:name w:val="FollowedHyperlink"/>
    <w:basedOn w:val="31"/>
    <w:qFormat/>
    <w:uiPriority w:val="0"/>
    <w:rPr>
      <w:color w:val="333333"/>
      <w:u w:val="none"/>
    </w:rPr>
  </w:style>
  <w:style w:type="character" w:styleId="34">
    <w:name w:val="Hyperlink"/>
    <w:unhideWhenUsed/>
    <w:qFormat/>
    <w:uiPriority w:val="99"/>
    <w:rPr>
      <w:color w:val="0563C1"/>
      <w:u w:val="single"/>
    </w:rPr>
  </w:style>
  <w:style w:type="character" w:customStyle="1" w:styleId="35">
    <w:name w:val="正文文本 Char"/>
    <w:link w:val="11"/>
    <w:qFormat/>
    <w:uiPriority w:val="0"/>
    <w:rPr>
      <w:rFonts w:hint="eastAsia" w:ascii="仿宋" w:hAnsi="仿宋" w:eastAsia="仿宋" w:cs="仿宋"/>
      <w:sz w:val="24"/>
      <w:szCs w:val="24"/>
      <w:lang w:val="zh-CN" w:eastAsia="zh-CN" w:bidi="zh-CN"/>
    </w:rPr>
  </w:style>
  <w:style w:type="character" w:customStyle="1" w:styleId="36">
    <w:name w:val="标题 5 Char"/>
    <w:link w:val="8"/>
    <w:qFormat/>
    <w:uiPriority w:val="0"/>
    <w:rPr>
      <w:rFonts w:hint="eastAsia" w:ascii="宋体" w:hAnsi="宋体" w:eastAsia="宋体" w:cs="宋体"/>
      <w:b/>
      <w:sz w:val="24"/>
      <w:szCs w:val="24"/>
      <w:lang w:val="zh-CN" w:eastAsia="zh-CN" w:bidi="zh-CN"/>
    </w:rPr>
  </w:style>
  <w:style w:type="character" w:customStyle="1" w:styleId="37">
    <w:name w:val="批注文字 Char"/>
    <w:link w:val="10"/>
    <w:qFormat/>
    <w:uiPriority w:val="0"/>
    <w:rPr>
      <w:rFonts w:hint="default" w:ascii="Times New Roman" w:hAnsi="Times New Roman" w:cs="Times New Roman"/>
      <w:kern w:val="2"/>
      <w:sz w:val="21"/>
      <w:szCs w:val="24"/>
    </w:rPr>
  </w:style>
  <w:style w:type="character" w:customStyle="1" w:styleId="38">
    <w:name w:val="纯文本 Char"/>
    <w:link w:val="17"/>
    <w:qFormat/>
    <w:uiPriority w:val="0"/>
    <w:rPr>
      <w:rFonts w:hint="default" w:ascii="ˎ̥" w:hAnsi="ˎ̥" w:eastAsia="ˎ̥" w:cs="ˎ̥"/>
      <w:sz w:val="18"/>
      <w:szCs w:val="18"/>
    </w:rPr>
  </w:style>
  <w:style w:type="character" w:customStyle="1" w:styleId="39">
    <w:name w:val="批注框文本 Char"/>
    <w:link w:val="19"/>
    <w:qFormat/>
    <w:uiPriority w:val="0"/>
    <w:rPr>
      <w:rFonts w:ascii="Calibri" w:hAnsi="Calibri"/>
      <w:kern w:val="2"/>
      <w:sz w:val="18"/>
      <w:szCs w:val="18"/>
    </w:rPr>
  </w:style>
  <w:style w:type="character" w:customStyle="1" w:styleId="40">
    <w:name w:val="页脚 Char"/>
    <w:link w:val="2"/>
    <w:qFormat/>
    <w:uiPriority w:val="0"/>
    <w:rPr>
      <w:kern w:val="2"/>
      <w:sz w:val="18"/>
      <w:szCs w:val="18"/>
    </w:rPr>
  </w:style>
  <w:style w:type="paragraph" w:customStyle="1" w:styleId="41">
    <w:name w:val="表格"/>
    <w:basedOn w:val="9"/>
    <w:next w:val="1"/>
    <w:semiHidden/>
    <w:qFormat/>
    <w:uiPriority w:val="0"/>
    <w:rPr>
      <w:rFonts w:ascii="Times New Roman" w:hAnsi="Times New Roman" w:eastAsia="黑体"/>
      <w:szCs w:val="21"/>
    </w:rPr>
  </w:style>
  <w:style w:type="paragraph" w:customStyle="1" w:styleId="42">
    <w:name w:val="Char3"/>
    <w:basedOn w:val="1"/>
    <w:qFormat/>
    <w:uiPriority w:val="0"/>
    <w:rPr>
      <w:rFonts w:ascii="宋体"/>
      <w:kern w:val="0"/>
      <w:sz w:val="24"/>
      <w:szCs w:val="20"/>
    </w:rPr>
  </w:style>
  <w:style w:type="paragraph" w:customStyle="1" w:styleId="43">
    <w:name w:val="正文（缩进）"/>
    <w:basedOn w:val="1"/>
    <w:next w:val="1"/>
    <w:qFormat/>
    <w:uiPriority w:val="99"/>
    <w:pPr>
      <w:spacing w:line="360" w:lineRule="auto"/>
      <w:ind w:firstLine="480" w:firstLineChars="200"/>
    </w:pPr>
    <w:rPr>
      <w:rFonts w:ascii="Times New Roman" w:hAnsi="Times New Roman"/>
      <w:sz w:val="24"/>
    </w:rPr>
  </w:style>
  <w:style w:type="paragraph" w:customStyle="1" w:styleId="44">
    <w:name w:val="Default"/>
    <w:qFormat/>
    <w:uiPriority w:val="0"/>
    <w:pPr>
      <w:widowControl w:val="0"/>
      <w:autoSpaceDE w:val="0"/>
      <w:autoSpaceDN w:val="0"/>
      <w:adjustRightInd w:val="0"/>
    </w:pPr>
    <w:rPr>
      <w:rFonts w:ascii="宋体" w:hAnsi="Calibri" w:eastAsia="宋体" w:cs="Times New Roman"/>
      <w:color w:val="000000"/>
      <w:sz w:val="24"/>
      <w:szCs w:val="24"/>
      <w:lang w:val="en-US" w:eastAsia="zh-CN" w:bidi="ar-SA"/>
    </w:rPr>
  </w:style>
  <w:style w:type="paragraph" w:customStyle="1" w:styleId="45">
    <w:name w:val="样式 标题 1ChH1章标题 111标题 1章节标题b1标题 1 Char文章标题-*+heading 1..."/>
    <w:basedOn w:val="3"/>
    <w:qFormat/>
    <w:uiPriority w:val="0"/>
    <w:pPr>
      <w:spacing w:before="80" w:after="46" w:afterLines="10" w:line="360" w:lineRule="auto"/>
    </w:pPr>
    <w:rPr>
      <w:rFonts w:ascii="Times New Roman" w:hAnsi="Times New Roman" w:eastAsia="宋体"/>
      <w:kern w:val="2"/>
      <w:szCs w:val="20"/>
    </w:rPr>
  </w:style>
  <w:style w:type="paragraph" w:customStyle="1" w:styleId="46">
    <w:name w:val="Table Paragraph"/>
    <w:basedOn w:val="1"/>
    <w:qFormat/>
    <w:uiPriority w:val="0"/>
    <w:pPr>
      <w:overflowPunct w:val="0"/>
      <w:autoSpaceDE w:val="0"/>
      <w:autoSpaceDN w:val="0"/>
      <w:adjustRightInd w:val="0"/>
      <w:spacing w:line="360" w:lineRule="auto"/>
      <w:ind w:firstLine="200" w:firstLineChars="200"/>
      <w:jc w:val="left"/>
    </w:pPr>
    <w:rPr>
      <w:rFonts w:ascii="Times New Roman"/>
    </w:rPr>
  </w:style>
  <w:style w:type="paragraph" w:customStyle="1" w:styleId="47">
    <w:name w:val="样式5"/>
    <w:basedOn w:val="1"/>
    <w:qFormat/>
    <w:uiPriority w:val="0"/>
    <w:pPr>
      <w:snapToGrid w:val="0"/>
      <w:spacing w:line="360" w:lineRule="auto"/>
      <w:ind w:firstLine="510"/>
    </w:pPr>
    <w:rPr>
      <w:rFonts w:ascii="Cambria" w:hAnsi="Cambria"/>
      <w:kern w:val="0"/>
      <w:sz w:val="20"/>
      <w:szCs w:val="20"/>
    </w:rPr>
  </w:style>
  <w:style w:type="paragraph" w:customStyle="1" w:styleId="48">
    <w:name w:val="居中正文"/>
    <w:basedOn w:val="15"/>
    <w:qFormat/>
    <w:uiPriority w:val="0"/>
    <w:pPr>
      <w:adjustRightInd w:val="0"/>
      <w:spacing w:before="120" w:after="0" w:line="360" w:lineRule="auto"/>
      <w:ind w:firstLine="0" w:firstLineChars="0"/>
      <w:jc w:val="center"/>
      <w:textAlignment w:val="baseline"/>
    </w:pPr>
    <w:rPr>
      <w:kern w:val="28"/>
      <w:sz w:val="24"/>
    </w:rPr>
  </w:style>
  <w:style w:type="paragraph" w:customStyle="1" w:styleId="49">
    <w:name w:val="0正文中9.8新"/>
    <w:basedOn w:val="1"/>
    <w:qFormat/>
    <w:uiPriority w:val="0"/>
    <w:pPr>
      <w:spacing w:line="360" w:lineRule="auto"/>
      <w:ind w:firstLine="200" w:firstLineChars="200"/>
    </w:pPr>
    <w:rPr>
      <w:rFonts w:ascii="宋体" w:hAnsi="宋体" w:eastAsia="仿宋_GB2312"/>
      <w:sz w:val="24"/>
    </w:rPr>
  </w:style>
  <w:style w:type="paragraph" w:styleId="50">
    <w:name w:val="List Paragraph"/>
    <w:basedOn w:val="1"/>
    <w:qFormat/>
    <w:uiPriority w:val="34"/>
    <w:pPr>
      <w:ind w:firstLine="420" w:firstLineChars="200"/>
    </w:pPr>
    <w:rPr>
      <w:szCs w:val="22"/>
    </w:rPr>
  </w:style>
  <w:style w:type="paragraph" w:customStyle="1" w:styleId="51">
    <w:name w:val="样式 标题 2节SeH2节标题 1.1节标题 1.1 Char1.1标题2条标题h2l22nd level..."/>
    <w:basedOn w:val="4"/>
    <w:qFormat/>
    <w:uiPriority w:val="0"/>
    <w:pPr>
      <w:spacing w:before="10" w:beforeLines="10" w:after="10" w:afterLines="10" w:line="360" w:lineRule="auto"/>
    </w:pPr>
    <w:rPr>
      <w:rFonts w:ascii="Times New Roman" w:hAnsi="Times New Roman" w:eastAsia="宋体" w:cs="宋体"/>
      <w:sz w:val="28"/>
      <w:szCs w:val="28"/>
    </w:rPr>
  </w:style>
  <w:style w:type="paragraph" w:customStyle="1" w:styleId="52">
    <w:name w:val="样式 标题 3Re条标题1.1.1H33h33rd levell3CT标题 3 Char1标题 3 Char..."/>
    <w:basedOn w:val="5"/>
    <w:qFormat/>
    <w:uiPriority w:val="0"/>
    <w:pPr>
      <w:widowControl/>
      <w:spacing w:before="0" w:after="46" w:afterLines="10" w:line="360" w:lineRule="auto"/>
    </w:pPr>
    <w:rPr>
      <w:rFonts w:ascii="Times New Roman" w:hAnsi="Times New Roman" w:cs="宋体"/>
      <w:kern w:val="24"/>
      <w:sz w:val="26"/>
      <w:szCs w:val="20"/>
    </w:rPr>
  </w:style>
  <w:style w:type="character" w:customStyle="1" w:styleId="53">
    <w:name w:val="font21"/>
    <w:qFormat/>
    <w:uiPriority w:val="0"/>
    <w:rPr>
      <w:rFonts w:hint="eastAsia" w:ascii="宋体" w:hAnsi="宋体" w:eastAsia="宋体" w:cs="宋体"/>
      <w:b/>
      <w:color w:val="000000"/>
      <w:sz w:val="21"/>
      <w:szCs w:val="21"/>
      <w:u w:val="none"/>
    </w:rPr>
  </w:style>
  <w:style w:type="character" w:customStyle="1" w:styleId="54">
    <w:name w:val="font01"/>
    <w:qFormat/>
    <w:uiPriority w:val="0"/>
    <w:rPr>
      <w:rFonts w:hint="eastAsia" w:ascii="宋体" w:hAnsi="宋体" w:eastAsia="宋体" w:cs="宋体"/>
      <w:color w:val="000000"/>
      <w:sz w:val="24"/>
      <w:szCs w:val="24"/>
      <w:u w:val="none"/>
    </w:rPr>
  </w:style>
  <w:style w:type="character" w:customStyle="1" w:styleId="55">
    <w:name w:val="内容 Char"/>
    <w:link w:val="56"/>
    <w:qFormat/>
    <w:uiPriority w:val="0"/>
    <w:rPr>
      <w:color w:val="000000"/>
      <w:kern w:val="0"/>
      <w:sz w:val="24"/>
      <w:szCs w:val="20"/>
    </w:rPr>
  </w:style>
  <w:style w:type="paragraph" w:customStyle="1" w:styleId="56">
    <w:name w:val="内容"/>
    <w:basedOn w:val="1"/>
    <w:link w:val="55"/>
    <w:qFormat/>
    <w:uiPriority w:val="0"/>
    <w:pPr>
      <w:spacing w:beforeLines="50" w:afterLines="50"/>
      <w:ind w:firstLine="200" w:firstLineChars="200"/>
    </w:pPr>
    <w:rPr>
      <w:color w:val="000000"/>
      <w:kern w:val="0"/>
      <w:sz w:val="24"/>
      <w:szCs w:val="20"/>
    </w:rPr>
  </w:style>
  <w:style w:type="paragraph" w:customStyle="1" w:styleId="57">
    <w:name w:val="表格文字"/>
    <w:basedOn w:val="17"/>
    <w:next w:val="1"/>
    <w:qFormat/>
    <w:uiPriority w:val="0"/>
    <w:pPr>
      <w:autoSpaceDE w:val="0"/>
      <w:autoSpaceDN w:val="0"/>
      <w:adjustRightInd w:val="0"/>
      <w:jc w:val="center"/>
    </w:pPr>
    <w:rPr>
      <w:szCs w:val="21"/>
    </w:rPr>
  </w:style>
  <w:style w:type="paragraph" w:customStyle="1" w:styleId="58">
    <w:name w:val="报告表格内中"/>
    <w:basedOn w:val="1"/>
    <w:qFormat/>
    <w:uiPriority w:val="0"/>
    <w:pPr>
      <w:spacing w:before="100" w:beforeAutospacing="1"/>
      <w:jc w:val="center"/>
    </w:pPr>
    <w:rPr>
      <w:sz w:val="24"/>
    </w:rPr>
  </w:style>
  <w:style w:type="paragraph" w:customStyle="1" w:styleId="59">
    <w:name w:val="Body text|1"/>
    <w:basedOn w:val="1"/>
    <w:qFormat/>
    <w:uiPriority w:val="0"/>
    <w:pPr>
      <w:spacing w:line="436" w:lineRule="auto"/>
      <w:ind w:firstLine="400"/>
    </w:pPr>
    <w:rPr>
      <w:rFonts w:ascii="宋体" w:hAnsi="宋体" w:cs="宋体"/>
      <w:color w:val="000000"/>
      <w:kern w:val="0"/>
      <w:sz w:val="22"/>
      <w:szCs w:val="22"/>
    </w:rPr>
  </w:style>
  <w:style w:type="paragraph" w:customStyle="1" w:styleId="60">
    <w:name w:val="我的正文"/>
    <w:basedOn w:val="1"/>
    <w:qFormat/>
    <w:uiPriority w:val="0"/>
    <w:pPr>
      <w:adjustRightInd w:val="0"/>
      <w:snapToGrid w:val="0"/>
      <w:spacing w:line="360" w:lineRule="auto"/>
      <w:ind w:firstLine="200" w:firstLineChars="200"/>
    </w:pPr>
    <w:rPr>
      <w:rFonts w:eastAsia="仿宋_GB2312"/>
      <w:kern w:val="0"/>
      <w:sz w:val="28"/>
      <w:szCs w:val="28"/>
    </w:rPr>
  </w:style>
  <w:style w:type="paragraph" w:customStyle="1" w:styleId="61">
    <w:name w:val="夏氏正文"/>
    <w:basedOn w:val="1"/>
    <w:qFormat/>
    <w:uiPriority w:val="0"/>
    <w:pPr>
      <w:widowControl/>
      <w:adjustRightInd w:val="0"/>
      <w:snapToGrid w:val="0"/>
      <w:spacing w:line="360" w:lineRule="auto"/>
      <w:ind w:firstLine="482"/>
    </w:pPr>
    <w:rPr>
      <w:rFonts w:ascii="Times New Roman" w:hAnsi="Times New Roman"/>
      <w:kern w:val="0"/>
    </w:rPr>
  </w:style>
  <w:style w:type="paragraph" w:customStyle="1" w:styleId="62">
    <w:name w:val="样式，标题 3"/>
    <w:basedOn w:val="1"/>
    <w:qFormat/>
    <w:uiPriority w:val="0"/>
    <w:pPr>
      <w:keepNext/>
      <w:keepLines/>
      <w:spacing w:beforeLines="50" w:afterLines="50" w:line="360" w:lineRule="auto"/>
      <w:outlineLvl w:val="2"/>
    </w:pPr>
    <w:rPr>
      <w:rFonts w:eastAsia="黑体"/>
      <w:kern w:val="0"/>
      <w:sz w:val="28"/>
      <w:szCs w:val="20"/>
    </w:rPr>
  </w:style>
  <w:style w:type="paragraph" w:customStyle="1" w:styleId="63">
    <w:name w:val="书 正文"/>
    <w:basedOn w:val="1"/>
    <w:qFormat/>
    <w:uiPriority w:val="0"/>
    <w:pPr>
      <w:ind w:firstLine="514" w:firstLineChars="200"/>
    </w:pPr>
    <w:rPr>
      <w:rFonts w:ascii="宋体"/>
      <w:kern w:val="24"/>
      <w:sz w:val="24"/>
      <w:szCs w:val="20"/>
    </w:rPr>
  </w:style>
  <w:style w:type="paragraph" w:customStyle="1" w:styleId="64">
    <w:name w:val="正文(首行缩进)"/>
    <w:basedOn w:val="1"/>
    <w:qFormat/>
    <w:uiPriority w:val="0"/>
    <w:pPr>
      <w:adjustRightInd w:val="0"/>
      <w:snapToGrid w:val="0"/>
      <w:spacing w:line="360" w:lineRule="auto"/>
      <w:ind w:firstLine="200" w:firstLineChars="200"/>
    </w:pPr>
    <w:rPr>
      <w:snapToGrid w:val="0"/>
      <w:sz w:val="24"/>
    </w:rPr>
  </w:style>
  <w:style w:type="paragraph" w:customStyle="1" w:styleId="65">
    <w:name w:val="正文修改"/>
    <w:basedOn w:val="1"/>
    <w:qFormat/>
    <w:uiPriority w:val="0"/>
    <w:pPr>
      <w:ind w:firstLine="480"/>
    </w:pPr>
    <w:rPr>
      <w:kern w:val="0"/>
    </w:rPr>
  </w:style>
  <w:style w:type="paragraph" w:customStyle="1" w:styleId="66">
    <w:name w:val="【表头】"/>
    <w:basedOn w:val="1"/>
    <w:qFormat/>
    <w:uiPriority w:val="0"/>
    <w:pPr>
      <w:spacing w:line="460" w:lineRule="exact"/>
      <w:jc w:val="center"/>
    </w:pPr>
    <w:rPr>
      <w:rFonts w:eastAsia="黑体"/>
      <w:sz w:val="24"/>
    </w:rPr>
  </w:style>
  <w:style w:type="paragraph" w:styleId="67">
    <w:name w:val="No Spacing"/>
    <w:qFormat/>
    <w:uiPriority w:val="0"/>
    <w:pPr>
      <w:widowControl w:val="0"/>
      <w:ind w:firstLine="200" w:firstLineChars="200"/>
      <w:jc w:val="both"/>
    </w:pPr>
    <w:rPr>
      <w:rFonts w:ascii="宋体" w:hAnsi="Calibri" w:eastAsia="Times New Roman" w:cs="Times New Roman"/>
      <w:kern w:val="2"/>
      <w:sz w:val="28"/>
      <w:szCs w:val="24"/>
      <w:lang w:val="en-US" w:eastAsia="zh-CN" w:bidi="ar-SA"/>
    </w:rPr>
  </w:style>
  <w:style w:type="paragraph" w:customStyle="1" w:styleId="68">
    <w:name w:val="【正文】"/>
    <w:basedOn w:val="1"/>
    <w:qFormat/>
    <w:uiPriority w:val="0"/>
    <w:pPr>
      <w:adjustRightInd w:val="0"/>
      <w:snapToGrid w:val="0"/>
      <w:spacing w:line="600" w:lineRule="exact"/>
      <w:ind w:firstLine="200" w:firstLineChars="200"/>
    </w:pPr>
    <w:rPr>
      <w:rFonts w:eastAsia="仿宋_GB2312"/>
      <w:kern w:val="0"/>
      <w:sz w:val="24"/>
      <w:szCs w:val="20"/>
    </w:rPr>
  </w:style>
  <w:style w:type="paragraph" w:customStyle="1" w:styleId="69">
    <w:name w:val="B表格文字"/>
    <w:qFormat/>
    <w:uiPriority w:val="0"/>
    <w:pPr>
      <w:jc w:val="center"/>
    </w:pPr>
    <w:rPr>
      <w:rFonts w:ascii="Calibri" w:hAnsi="Calibri" w:eastAsia="宋体" w:cs="Times New Roman"/>
      <w:kern w:val="2"/>
      <w:sz w:val="21"/>
      <w:szCs w:val="24"/>
      <w:lang w:val="en-US" w:eastAsia="zh-CN" w:bidi="ar-SA"/>
    </w:rPr>
  </w:style>
  <w:style w:type="paragraph" w:customStyle="1" w:styleId="70">
    <w:name w:val="样式 书 正文 + (符号) 宋体"/>
    <w:basedOn w:val="63"/>
    <w:qFormat/>
    <w:uiPriority w:val="0"/>
    <w:rPr>
      <w:rFonts w:ascii="ˎ̥" w:hAnsi="ˎ̥" w:eastAsia="仿宋_GB2312" w:cs="ˎ̥"/>
      <w:snapToGrid w:val="0"/>
      <w:kern w:val="0"/>
      <w:szCs w:val="24"/>
    </w:rPr>
  </w:style>
  <w:style w:type="table" w:customStyle="1" w:styleId="71">
    <w:name w:val="Table Normal"/>
    <w:basedOn w:val="29"/>
    <w:semiHidden/>
    <w:qFormat/>
    <w:uiPriority w:val="0"/>
    <w:pPr>
      <w:widowControl w:val="0"/>
      <w:autoSpaceDE w:val="0"/>
      <w:autoSpaceDN w:val="0"/>
    </w:pPr>
    <w:rPr>
      <w:rFonts w:ascii="Calibri" w:hAnsi="Calibri" w:cs="Calibri"/>
      <w:sz w:val="22"/>
      <w:szCs w:val="22"/>
      <w:lang w:eastAsia="en-US"/>
    </w:rPr>
    <w:tblPr>
      <w:tblCellMar>
        <w:top w:w="0" w:type="dxa"/>
        <w:left w:w="0" w:type="dxa"/>
        <w:bottom w:w="0" w:type="dxa"/>
        <w:right w:w="0" w:type="dxa"/>
      </w:tblCellMar>
    </w:tblPr>
  </w:style>
  <w:style w:type="paragraph" w:customStyle="1" w:styleId="72">
    <w:name w:val="msolistparagraph"/>
    <w:basedOn w:val="1"/>
    <w:qFormat/>
    <w:uiPriority w:val="0"/>
    <w:pPr>
      <w:autoSpaceDE w:val="0"/>
      <w:autoSpaceDN w:val="0"/>
      <w:ind w:left="1078" w:hanging="602"/>
      <w:jc w:val="left"/>
    </w:pPr>
    <w:rPr>
      <w:rFonts w:hint="eastAsia" w:ascii="宋体" w:hAnsi="宋体"/>
      <w:kern w:val="0"/>
      <w:sz w:val="22"/>
      <w:szCs w:val="22"/>
    </w:rPr>
  </w:style>
  <w:style w:type="character" w:customStyle="1" w:styleId="73">
    <w:name w:val="font11"/>
    <w:qFormat/>
    <w:uiPriority w:val="0"/>
    <w:rPr>
      <w:rFonts w:hint="eastAsia" w:ascii="宋体" w:hAnsi="宋体" w:eastAsia="宋体" w:cs="宋体"/>
      <w:color w:val="000000"/>
      <w:sz w:val="22"/>
      <w:szCs w:val="22"/>
      <w:u w:val="none"/>
    </w:rPr>
  </w:style>
  <w:style w:type="character" w:customStyle="1" w:styleId="74">
    <w:name w:val="cur"/>
    <w:basedOn w:val="31"/>
    <w:qFormat/>
    <w:uiPriority w:val="0"/>
    <w:rPr>
      <w:color w:val="0E72CD"/>
    </w:rPr>
  </w:style>
  <w:style w:type="character" w:customStyle="1" w:styleId="75">
    <w:name w:val="cur1"/>
    <w:basedOn w:val="31"/>
    <w:qFormat/>
    <w:uiPriority w:val="0"/>
    <w:rPr>
      <w:color w:val="0E72CD"/>
    </w:rPr>
  </w:style>
  <w:style w:type="character" w:customStyle="1" w:styleId="76">
    <w:name w:val="cur3"/>
    <w:basedOn w:val="31"/>
    <w:qFormat/>
    <w:uiPriority w:val="0"/>
    <w:rPr>
      <w:color w:val="0E72CD"/>
    </w:rPr>
  </w:style>
  <w:style w:type="character" w:customStyle="1" w:styleId="77">
    <w:name w:val="cur2"/>
    <w:basedOn w:val="31"/>
    <w:qFormat/>
    <w:uiPriority w:val="0"/>
    <w:rPr>
      <w:color w:val="0E72CD"/>
    </w:rPr>
  </w:style>
  <w:style w:type="character" w:customStyle="1" w:styleId="78">
    <w:name w:val="页眉 Char"/>
    <w:basedOn w:val="31"/>
    <w:link w:val="20"/>
    <w:qFormat/>
    <w:uiPriority w:val="99"/>
    <w:rPr>
      <w:rFonts w:ascii="Calibri" w:hAnsi="Calibri"/>
      <w:kern w:val="2"/>
      <w:sz w:val="18"/>
      <w:szCs w:val="24"/>
    </w:rPr>
  </w:style>
  <w:style w:type="paragraph" w:customStyle="1" w:styleId="79">
    <w:name w:val="预测表格"/>
    <w:basedOn w:val="1"/>
    <w:qFormat/>
    <w:uiPriority w:val="0"/>
    <w:pPr>
      <w:spacing w:line="240" w:lineRule="auto"/>
      <w:ind w:left="-15" w:leftChars="-15" w:right="-15" w:rightChars="-15"/>
      <w:jc w:val="center"/>
    </w:pPr>
    <w:rPr>
      <w:rFonts w:ascii="宋体" w:hAnsi="宋体" w:cs="Times New Roman"/>
      <w:spacing w:val="-5"/>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header" Target="header5.xml"/><Relationship Id="rId7" Type="http://schemas.openxmlformats.org/officeDocument/2006/relationships/header" Target="header4.xml"/><Relationship Id="rId64" Type="http://schemas.openxmlformats.org/officeDocument/2006/relationships/fontTable" Target="fontTable.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44.png"/><Relationship Id="rId60" Type="http://schemas.openxmlformats.org/officeDocument/2006/relationships/image" Target="media/image43.jpeg"/><Relationship Id="rId6" Type="http://schemas.openxmlformats.org/officeDocument/2006/relationships/header" Target="header3.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jpeg"/><Relationship Id="rId51" Type="http://schemas.openxmlformats.org/officeDocument/2006/relationships/image" Target="media/image34.emf"/><Relationship Id="rId50" Type="http://schemas.openxmlformats.org/officeDocument/2006/relationships/image" Target="media/image33.wmf"/><Relationship Id="rId5" Type="http://schemas.openxmlformats.org/officeDocument/2006/relationships/header" Target="header2.xml"/><Relationship Id="rId49" Type="http://schemas.openxmlformats.org/officeDocument/2006/relationships/oleObject" Target="embeddings/oleObject3.bin"/><Relationship Id="rId48" Type="http://schemas.openxmlformats.org/officeDocument/2006/relationships/image" Target="media/image32.wmf"/><Relationship Id="rId47" Type="http://schemas.openxmlformats.org/officeDocument/2006/relationships/oleObject" Target="embeddings/oleObject2.bin"/><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footer" Target="footer1.xml"/><Relationship Id="rId39" Type="http://schemas.openxmlformats.org/officeDocument/2006/relationships/image" Target="media/image24.wmf"/><Relationship Id="rId38" Type="http://schemas.openxmlformats.org/officeDocument/2006/relationships/image" Target="media/image23.wmf"/><Relationship Id="rId37" Type="http://schemas.openxmlformats.org/officeDocument/2006/relationships/image" Target="media/image22.wmf"/><Relationship Id="rId36" Type="http://schemas.openxmlformats.org/officeDocument/2006/relationships/oleObject" Target="embeddings/oleObject1.bin"/><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header" Target="header1.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NULL"/><Relationship Id="rId22" Type="http://schemas.openxmlformats.org/officeDocument/2006/relationships/image" Target="media/image8.png"/><Relationship Id="rId21" Type="http://schemas.openxmlformats.org/officeDocument/2006/relationships/image" Target="media/image7.jpe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jpe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header" Target="header8.xml"/><Relationship Id="rId12" Type="http://schemas.openxmlformats.org/officeDocument/2006/relationships/header" Target="header7.xml"/><Relationship Id="rId11" Type="http://schemas.openxmlformats.org/officeDocument/2006/relationships/header" Target="header6.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extobjs>
    <extobj name="ECB019B1-382A-4266-B25C-5B523AA43C14-1">
      <extobjdata type="ECB019B1-382A-4266-B25C-5B523AA43C14" data="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"/>
    </extobj>
    <extobj name="ECB019B1-382A-4266-B25C-5B523AA43C14-2">
      <extobjdata type="ECB019B1-382A-4266-B25C-5B523AA43C14" data="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181</Pages>
  <Words>87703</Words>
  <Characters>107778</Characters>
  <Lines>288</Lines>
  <Paragraphs>237</Paragraphs>
  <TotalTime>417</TotalTime>
  <ScaleCrop>false</ScaleCrop>
  <LinksUpToDate>false</LinksUpToDate>
  <CharactersWithSpaces>111326</CharactersWithSpaces>
  <Application>WPS Office_11.8.2.10912_F1E327BC-269C-435d-A152-05C5408002CA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2020-07-01T20:10:00Z</dcterms:created>
  <dc:creator>(╯3╰) LJ</dc:creator>
  <cp:lastModifiedBy>guyuan</cp:lastModifiedBy>
  <cp:lastPrinted>2022-11-07T16:45:00Z</cp:lastPrinted>
  <dcterms:modified xsi:type="dcterms:W3CDTF">2022-11-14T16:49:49Z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2052-11.8.2.10912</vt:lpwstr>
  </property>
  <property fmtid="{D5CDD505-2E9C-101B-9397-08002B2CF9AE}" pid="3" name="ICV">
    <vt:lpwstr>139802B2D1FE49219C8A5012538DD87C</vt:lpwstr>
  </property>
</Properties>
</file>