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color w:val="000000" w:themeColor="text1"/>
          <w:sz w:val="36"/>
          <w:szCs w:val="36"/>
          <w14:textFill>
            <w14:solidFill>
              <w14:schemeClr w14:val="tx1"/>
            </w14:solidFill>
          </w14:textFill>
        </w:rPr>
      </w:pPr>
      <w:bookmarkStart w:id="0" w:name="_Hlk57883707"/>
    </w:p>
    <w:p>
      <w:pPr>
        <w:rPr>
          <w:rFonts w:ascii="Times New Roman" w:hAnsi="Times New Roman" w:eastAsia="仿宋_GB2312" w:cs="Times New Roman"/>
          <w:color w:val="000000" w:themeColor="text1"/>
          <w:sz w:val="36"/>
          <w:szCs w:val="36"/>
          <w14:textFill>
            <w14:solidFill>
              <w14:schemeClr w14:val="tx1"/>
            </w14:solidFill>
          </w14:textFill>
        </w:rPr>
      </w:pPr>
    </w:p>
    <w:p>
      <w:pPr>
        <w:rPr>
          <w:rFonts w:ascii="Times New Roman" w:hAnsi="Times New Roman" w:eastAsia="仿宋_GB2312" w:cs="Times New Roman"/>
          <w:color w:val="000000" w:themeColor="text1"/>
          <w:sz w:val="36"/>
          <w:szCs w:val="36"/>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bookmarkEnd w:id="0"/>
    <w:p>
      <w:pPr>
        <w:adjustRightInd w:val="0"/>
        <w:snapToGrid w:val="0"/>
        <w:jc w:val="center"/>
        <w:outlineLvl w:val="0"/>
        <w:rPr>
          <w:rFonts w:ascii="Times New Roman" w:hAnsi="Times New Roman" w:cs="Times New Roman" w:eastAsiaTheme="minorEastAsia"/>
          <w:bCs/>
          <w:color w:val="000000" w:themeColor="text1"/>
          <w:sz w:val="72"/>
          <w:szCs w:val="72"/>
          <w14:textFill>
            <w14:solidFill>
              <w14:schemeClr w14:val="tx1"/>
            </w14:solidFill>
          </w14:textFill>
        </w:rPr>
      </w:pPr>
      <w:r>
        <w:rPr>
          <w:rFonts w:ascii="Times New Roman" w:hAnsi="Times New Roman" w:cs="Times New Roman" w:eastAsiaTheme="minorEastAsia"/>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 w:hAnsi="楷体" w:eastAsia="楷体" w:cs="Times New Roman"/>
          <w:bCs/>
          <w:color w:val="000000" w:themeColor="text1"/>
          <w:sz w:val="48"/>
          <w:szCs w:val="48"/>
          <w14:textFill>
            <w14:solidFill>
              <w14:schemeClr w14:val="tx1"/>
            </w14:solidFill>
          </w14:textFill>
        </w:rPr>
      </w:pPr>
      <w:r>
        <w:rPr>
          <w:rFonts w:ascii="楷体" w:hAnsi="楷体" w:eastAsia="楷体" w:cs="Times New Roman"/>
          <w:bCs/>
          <w:color w:val="000000" w:themeColor="text1"/>
          <w:sz w:val="48"/>
          <w:szCs w:val="48"/>
          <w14:textFill>
            <w14:solidFill>
              <w14:schemeClr w14:val="tx1"/>
            </w14:solidFill>
          </w14:textFill>
        </w:rPr>
        <w:t>（生态影响类）</w:t>
      </w:r>
    </w:p>
    <w:p>
      <w:pPr>
        <w:pStyle w:val="59"/>
        <w:ind w:firstLine="480"/>
        <w:rPr>
          <w:color w:val="000000" w:themeColor="text1"/>
          <w14:textFill>
            <w14:solidFill>
              <w14:schemeClr w14:val="tx1"/>
            </w14:solidFill>
          </w14:textFill>
        </w:rPr>
      </w:pPr>
      <w:bookmarkStart w:id="1" w:name="_Hlk57883728"/>
    </w:p>
    <w:p>
      <w:pPr>
        <w:jc w:val="center"/>
        <w:rPr>
          <w:rFonts w:ascii="Times New Roman" w:hAnsi="Times New Roman" w:eastAsia="仿宋" w:cs="Times New Roman"/>
          <w:color w:val="000000" w:themeColor="text1"/>
          <w:sz w:val="52"/>
          <w:szCs w:val="52"/>
          <w14:textFill>
            <w14:solidFill>
              <w14:schemeClr w14:val="tx1"/>
            </w14:solidFill>
          </w14:textFill>
        </w:rPr>
      </w:pPr>
    </w:p>
    <w:p>
      <w:pPr>
        <w:ind w:firstLine="1040"/>
        <w:rPr>
          <w:rFonts w:ascii="Times New Roman" w:hAnsi="Times New Roman" w:eastAsia="仿宋" w:cs="Times New Roman"/>
          <w:color w:val="000000" w:themeColor="text1"/>
          <w:sz w:val="44"/>
          <w:szCs w:val="44"/>
          <w14:textFill>
            <w14:solidFill>
              <w14:schemeClr w14:val="tx1"/>
            </w14:solidFill>
          </w14:textFill>
        </w:rPr>
      </w:pPr>
    </w:p>
    <w:p>
      <w:pPr>
        <w:ind w:firstLine="1040"/>
        <w:rPr>
          <w:rFonts w:ascii="Times New Roman" w:hAnsi="Times New Roman" w:eastAsia="仿宋" w:cs="Times New Roman"/>
          <w:color w:val="000000" w:themeColor="text1"/>
          <w:sz w:val="44"/>
          <w:szCs w:val="44"/>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pStyle w:val="4"/>
        <w:ind w:firstLine="440"/>
        <w:rPr>
          <w:rFonts w:ascii="Times New Roman" w:hAnsi="Times New Roman" w:eastAsia="仿宋" w:cs="Times New Roman"/>
          <w:color w:val="000000" w:themeColor="text1"/>
          <w:sz w:val="44"/>
          <w:szCs w:val="44"/>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tbl>
      <w:tblPr>
        <w:tblStyle w:val="27"/>
        <w:tblW w:w="8385" w:type="dxa"/>
        <w:tblInd w:w="675" w:type="dxa"/>
        <w:tblLayout w:type="fixed"/>
        <w:tblCellMar>
          <w:top w:w="0" w:type="dxa"/>
          <w:left w:w="108" w:type="dxa"/>
          <w:bottom w:w="0" w:type="dxa"/>
          <w:right w:w="108" w:type="dxa"/>
        </w:tblCellMar>
      </w:tblPr>
      <w:tblGrid>
        <w:gridCol w:w="1877"/>
        <w:gridCol w:w="1417"/>
        <w:gridCol w:w="5091"/>
      </w:tblGrid>
      <w:tr>
        <w:tblPrEx>
          <w:tblLayout w:type="fixed"/>
          <w:tblCellMar>
            <w:top w:w="0" w:type="dxa"/>
            <w:left w:w="108" w:type="dxa"/>
            <w:bottom w:w="0" w:type="dxa"/>
            <w:right w:w="108" w:type="dxa"/>
          </w:tblCellMar>
        </w:tblPrEx>
        <w:tc>
          <w:tcPr>
            <w:tcW w:w="1877" w:type="dxa"/>
            <w:shd w:val="clear" w:color="auto" w:fill="auto"/>
          </w:tcPr>
          <w:p>
            <w:pPr>
              <w:adjustRightInd w:val="0"/>
              <w:snapToGrid w:val="0"/>
              <w:spacing w:line="288" w:lineRule="auto"/>
              <w:jc w:val="left"/>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项目名称:</w:t>
            </w:r>
          </w:p>
        </w:tc>
        <w:tc>
          <w:tcPr>
            <w:tcW w:w="6508" w:type="dxa"/>
            <w:gridSpan w:val="2"/>
            <w:shd w:val="clear" w:color="auto" w:fill="auto"/>
          </w:tcPr>
          <w:p>
            <w:pPr>
              <w:adjustRightInd w:val="0"/>
              <w:snapToGrid w:val="0"/>
              <w:spacing w:line="288" w:lineRule="auto"/>
              <w:rPr>
                <w:rFonts w:ascii="Times New Roman" w:hAnsi="Times New Roman" w:eastAsia="仿宋_GB2312" w:cs="Times New Roman"/>
                <w:color w:val="000000" w:themeColor="text1"/>
                <w:sz w:val="36"/>
                <w:szCs w:val="36"/>
                <w:u w:val="single"/>
                <w14:textFill>
                  <w14:solidFill>
                    <w14:schemeClr w14:val="tx1"/>
                  </w14:solidFill>
                </w14:textFill>
              </w:rPr>
            </w:pPr>
            <w:r>
              <w:rPr>
                <w:rFonts w:ascii="Times New Roman" w:hAnsi="Times New Roman" w:eastAsia="仿宋_GB2312" w:cs="Times New Roman"/>
                <w:color w:val="000000" w:themeColor="text1"/>
                <w:sz w:val="36"/>
                <w:szCs w:val="36"/>
                <w:u w:val="single"/>
                <w14:textFill>
                  <w14:solidFill>
                    <w14:schemeClr w14:val="tx1"/>
                  </w14:solidFill>
                </w14:textFill>
              </w:rPr>
              <w:t xml:space="preserve">     隆德县朱庄河流域国土空间      </w:t>
            </w:r>
          </w:p>
          <w:p>
            <w:pPr>
              <w:adjustRightInd w:val="0"/>
              <w:snapToGrid w:val="0"/>
              <w:spacing w:line="288" w:lineRule="auto"/>
              <w:ind w:left="1440" w:hanging="1440" w:hangingChars="400"/>
              <w:rPr>
                <w:rFonts w:ascii="Times New Roman" w:hAnsi="Times New Roman" w:eastAsia="仿宋_GB2312" w:cs="Times New Roman"/>
                <w:color w:val="000000" w:themeColor="text1"/>
                <w:sz w:val="36"/>
                <w:szCs w:val="36"/>
                <w:u w:val="single"/>
                <w14:textFill>
                  <w14:solidFill>
                    <w14:schemeClr w14:val="tx1"/>
                  </w14:solidFill>
                </w14:textFill>
              </w:rPr>
            </w:pPr>
            <w:r>
              <w:rPr>
                <w:rFonts w:ascii="Times New Roman" w:hAnsi="Times New Roman" w:eastAsia="仿宋_GB2312" w:cs="Times New Roman"/>
                <w:color w:val="000000" w:themeColor="text1"/>
                <w:sz w:val="36"/>
                <w:szCs w:val="36"/>
                <w:u w:val="single"/>
                <w14:textFill>
                  <w14:solidFill>
                    <w14:schemeClr w14:val="tx1"/>
                  </w14:solidFill>
                </w14:textFill>
              </w:rPr>
              <w:t xml:space="preserve">           生态修复项目                   </w:t>
            </w:r>
          </w:p>
        </w:tc>
      </w:tr>
      <w:tr>
        <w:tblPrEx>
          <w:tblLayout w:type="fixed"/>
          <w:tblCellMar>
            <w:top w:w="0" w:type="dxa"/>
            <w:left w:w="108" w:type="dxa"/>
            <w:bottom w:w="0" w:type="dxa"/>
            <w:right w:w="108" w:type="dxa"/>
          </w:tblCellMar>
        </w:tblPrEx>
        <w:tc>
          <w:tcPr>
            <w:tcW w:w="3294" w:type="dxa"/>
            <w:gridSpan w:val="2"/>
            <w:shd w:val="clear" w:color="auto" w:fill="auto"/>
          </w:tcPr>
          <w:p>
            <w:pPr>
              <w:adjustRightInd w:val="0"/>
              <w:snapToGrid w:val="0"/>
              <w:spacing w:line="288" w:lineRule="auto"/>
              <w:jc w:val="left"/>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建设单位（盖章）:</w:t>
            </w:r>
          </w:p>
        </w:tc>
        <w:tc>
          <w:tcPr>
            <w:tcW w:w="5091" w:type="dxa"/>
            <w:shd w:val="clear" w:color="auto" w:fill="auto"/>
          </w:tcPr>
          <w:p>
            <w:pPr>
              <w:adjustRightInd w:val="0"/>
              <w:snapToGrid w:val="0"/>
              <w:spacing w:line="288" w:lineRule="auto"/>
              <w:rPr>
                <w:rFonts w:ascii="Times New Roman" w:hAnsi="Times New Roman" w:eastAsia="仿宋_GB2312" w:cs="Times New Roman"/>
                <w:color w:val="000000" w:themeColor="text1"/>
                <w:sz w:val="36"/>
                <w:szCs w:val="36"/>
                <w:u w:val="single"/>
                <w14:textFill>
                  <w14:solidFill>
                    <w14:schemeClr w14:val="tx1"/>
                  </w14:solidFill>
                </w14:textFill>
              </w:rPr>
            </w:pPr>
            <w:r>
              <w:rPr>
                <w:rFonts w:ascii="Times New Roman" w:hAnsi="Times New Roman" w:eastAsia="仿宋_GB2312" w:cs="Times New Roman"/>
                <w:color w:val="000000" w:themeColor="text1"/>
                <w:sz w:val="36"/>
                <w:szCs w:val="36"/>
                <w:u w:val="single"/>
                <w14:textFill>
                  <w14:solidFill>
                    <w14:schemeClr w14:val="tx1"/>
                  </w14:solidFill>
                </w14:textFill>
              </w:rPr>
              <w:t xml:space="preserve">     隆德县自然资源局      </w:t>
            </w:r>
          </w:p>
        </w:tc>
      </w:tr>
      <w:tr>
        <w:tblPrEx>
          <w:tblLayout w:type="fixed"/>
          <w:tblCellMar>
            <w:top w:w="0" w:type="dxa"/>
            <w:left w:w="108" w:type="dxa"/>
            <w:bottom w:w="0" w:type="dxa"/>
            <w:right w:w="108" w:type="dxa"/>
          </w:tblCellMar>
        </w:tblPrEx>
        <w:tc>
          <w:tcPr>
            <w:tcW w:w="1877" w:type="dxa"/>
            <w:shd w:val="clear" w:color="auto" w:fill="auto"/>
          </w:tcPr>
          <w:p>
            <w:pPr>
              <w:adjustRightInd w:val="0"/>
              <w:snapToGrid w:val="0"/>
              <w:spacing w:line="288" w:lineRule="auto"/>
              <w:jc w:val="left"/>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14:textFill>
                  <w14:solidFill>
                    <w14:schemeClr w14:val="tx1"/>
                  </w14:solidFill>
                </w14:textFill>
              </w:rPr>
              <w:t>编制日期:</w:t>
            </w:r>
          </w:p>
        </w:tc>
        <w:tc>
          <w:tcPr>
            <w:tcW w:w="6508" w:type="dxa"/>
            <w:gridSpan w:val="2"/>
            <w:shd w:val="clear" w:color="auto" w:fill="auto"/>
          </w:tcPr>
          <w:p>
            <w:pPr>
              <w:adjustRightInd w:val="0"/>
              <w:snapToGrid w:val="0"/>
              <w:spacing w:line="288" w:lineRule="auto"/>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color w:val="000000" w:themeColor="text1"/>
                <w:sz w:val="36"/>
                <w:szCs w:val="36"/>
                <w:u w:val="single"/>
                <w14:textFill>
                  <w14:solidFill>
                    <w14:schemeClr w14:val="tx1"/>
                  </w14:solidFill>
                </w14:textFill>
              </w:rPr>
              <w:t xml:space="preserve">          2022年12月              </w:t>
            </w:r>
          </w:p>
        </w:tc>
      </w:tr>
    </w:tbl>
    <w:p>
      <w:pPr>
        <w:ind w:firstLine="1040"/>
        <w:rPr>
          <w:rFonts w:ascii="Times New Roman" w:hAnsi="Times New Roman" w:eastAsia="仿宋" w:cs="Times New Roman"/>
          <w:color w:val="000000" w:themeColor="text1"/>
          <w:sz w:val="44"/>
          <w:szCs w:val="44"/>
          <w14:textFill>
            <w14:solidFill>
              <w14:schemeClr w14:val="tx1"/>
            </w14:solidFill>
          </w14:textFill>
        </w:rPr>
      </w:pPr>
    </w:p>
    <w:p>
      <w:pPr>
        <w:ind w:firstLine="1040"/>
        <w:rPr>
          <w:rFonts w:ascii="Times New Roman" w:hAnsi="Times New Roman" w:eastAsia="仿宋" w:cs="Times New Roman"/>
          <w:color w:val="000000" w:themeColor="text1"/>
          <w:sz w:val="44"/>
          <w:szCs w:val="44"/>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bookmarkEnd w:id="1"/>
    <w:p>
      <w:pPr>
        <w:adjustRightInd w:val="0"/>
        <w:snapToGrid w:val="0"/>
        <w:spacing w:line="288" w:lineRule="auto"/>
        <w:ind w:left="1800" w:hanging="1800" w:hangingChars="500"/>
        <w:rPr>
          <w:rFonts w:ascii="Times New Roman" w:hAnsi="Times New Roman" w:eastAsia="仿宋_GB2312" w:cs="Times New Roman"/>
          <w:color w:val="000000" w:themeColor="text1"/>
          <w:sz w:val="36"/>
          <w:szCs w:val="36"/>
          <w:u w:val="single"/>
          <w14:textFill>
            <w14:solidFill>
              <w14:schemeClr w14:val="tx1"/>
            </w14:solidFill>
          </w14:textFill>
        </w:rPr>
      </w:pPr>
    </w:p>
    <w:p>
      <w:pPr>
        <w:adjustRightInd w:val="0"/>
        <w:snapToGrid w:val="0"/>
        <w:spacing w:line="288" w:lineRule="auto"/>
        <w:jc w:val="center"/>
        <w:rPr>
          <w:rFonts w:ascii="楷体" w:hAnsi="楷体" w:eastAsia="楷体" w:cs="Times New Roman"/>
          <w:color w:val="000000" w:themeColor="text1"/>
          <w:sz w:val="36"/>
          <w:szCs w:val="36"/>
          <w14:textFill>
            <w14:solidFill>
              <w14:schemeClr w14:val="tx1"/>
            </w14:solidFill>
          </w14:textFill>
        </w:rPr>
      </w:pPr>
      <w:r>
        <w:rPr>
          <w:rFonts w:ascii="楷体" w:hAnsi="楷体" w:eastAsia="楷体" w:cs="Times New Roman"/>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一、建设项目基本情况</w:t>
      </w:r>
    </w:p>
    <w:tbl>
      <w:tblPr>
        <w:tblStyle w:val="27"/>
        <w:tblW w:w="8824"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36"/>
        <w:gridCol w:w="2821"/>
        <w:gridCol w:w="2162"/>
        <w:gridCol w:w="10"/>
        <w:gridCol w:w="24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名称</w:t>
            </w:r>
          </w:p>
        </w:tc>
        <w:tc>
          <w:tcPr>
            <w:tcW w:w="7488" w:type="dxa"/>
            <w:gridSpan w:val="4"/>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隆德县朱庄河流域国土空间生态修复项目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项目代码</w:t>
            </w:r>
          </w:p>
        </w:tc>
        <w:tc>
          <w:tcPr>
            <w:tcW w:w="7488" w:type="dxa"/>
            <w:gridSpan w:val="4"/>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2202-640423-15-01-655657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建设单位</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联系人</w:t>
            </w:r>
          </w:p>
        </w:tc>
        <w:tc>
          <w:tcPr>
            <w:tcW w:w="2821"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赵军</w:t>
            </w:r>
          </w:p>
        </w:tc>
        <w:tc>
          <w:tcPr>
            <w:tcW w:w="2172" w:type="dxa"/>
            <w:gridSpan w:val="2"/>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联系方式</w:t>
            </w:r>
          </w:p>
        </w:tc>
        <w:tc>
          <w:tcPr>
            <w:tcW w:w="2495"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13629546289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建设地点</w:t>
            </w:r>
          </w:p>
        </w:tc>
        <w:tc>
          <w:tcPr>
            <w:tcW w:w="7488" w:type="dxa"/>
            <w:gridSpan w:val="4"/>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u w:val="single"/>
                <w14:textFill>
                  <w14:solidFill>
                    <w14:schemeClr w14:val="tx1"/>
                  </w14:solidFill>
                </w14:textFill>
              </w:rPr>
              <w:t xml:space="preserve"> 宁夏 </w:t>
            </w:r>
            <w:r>
              <w:rPr>
                <w:rFonts w:ascii="Times New Roman" w:hAnsi="Times New Roman" w:cs="Times New Roman"/>
                <w:color w:val="000000" w:themeColor="text1"/>
                <w:sz w:val="24"/>
                <w14:textFill>
                  <w14:solidFill>
                    <w14:schemeClr w14:val="tx1"/>
                  </w14:solidFill>
                </w14:textFill>
              </w:rPr>
              <w:t>省（自治区）</w:t>
            </w:r>
            <w:r>
              <w:rPr>
                <w:rFonts w:ascii="Times New Roman" w:hAnsi="Times New Roman" w:cs="Times New Roman"/>
                <w:color w:val="000000" w:themeColor="text1"/>
                <w:sz w:val="24"/>
                <w:u w:val="single"/>
                <w14:textFill>
                  <w14:solidFill>
                    <w14:schemeClr w14:val="tx1"/>
                  </w14:solidFill>
                </w14:textFill>
              </w:rPr>
              <w:t xml:space="preserve"> 固原 </w:t>
            </w:r>
            <w:r>
              <w:rPr>
                <w:rFonts w:ascii="Times New Roman" w:hAnsi="Times New Roman" w:cs="Times New Roman"/>
                <w:color w:val="000000" w:themeColor="text1"/>
                <w:sz w:val="24"/>
                <w14:textFill>
                  <w14:solidFill>
                    <w14:schemeClr w14:val="tx1"/>
                  </w14:solidFill>
                </w14:textFill>
              </w:rPr>
              <w:t>市</w:t>
            </w:r>
            <w:r>
              <w:rPr>
                <w:rFonts w:ascii="Times New Roman" w:hAnsi="Times New Roman" w:cs="Times New Roman"/>
                <w:color w:val="000000" w:themeColor="text1"/>
                <w:sz w:val="24"/>
                <w:u w:val="single"/>
                <w14:textFill>
                  <w14:solidFill>
                    <w14:schemeClr w14:val="tx1"/>
                  </w14:solidFill>
                </w14:textFill>
              </w:rPr>
              <w:t xml:space="preserve"> 隆德 </w:t>
            </w:r>
            <w:r>
              <w:rPr>
                <w:rFonts w:ascii="Times New Roman" w:hAnsi="Times New Roman" w:cs="Times New Roman"/>
                <w:color w:val="000000" w:themeColor="text1"/>
                <w:sz w:val="24"/>
                <w14:textFill>
                  <w14:solidFill>
                    <w14:schemeClr w14:val="tx1"/>
                  </w14:solidFill>
                </w14:textFill>
              </w:rPr>
              <w:t>县（区）</w:t>
            </w:r>
            <w:r>
              <w:rPr>
                <w:rFonts w:ascii="Times New Roman" w:hAnsi="Times New Roman" w:cs="Times New Roman"/>
                <w:color w:val="000000" w:themeColor="text1"/>
                <w:sz w:val="24"/>
                <w:u w:val="single"/>
                <w14:textFill>
                  <w14:solidFill>
                    <w14:schemeClr w14:val="tx1"/>
                  </w14:solidFill>
                </w14:textFill>
              </w:rPr>
              <w:t xml:space="preserve"> 凤岭乡冯碑村、于河村、巩龙村，神林乡杨野河村，联财镇张楼村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地理坐标</w:t>
            </w:r>
          </w:p>
        </w:tc>
        <w:tc>
          <w:tcPr>
            <w:tcW w:w="7488" w:type="dxa"/>
            <w:gridSpan w:val="4"/>
            <w:vAlign w:val="center"/>
          </w:tcPr>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朱庄河上游段：</w:t>
            </w:r>
          </w:p>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起点坐标（东经：106度3分42.159秒，北纬：35度32分11.992秒）；</w:t>
            </w:r>
          </w:p>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终点坐标（东经：106度0分34.293秒，北纬：35度32分26.205秒）</w:t>
            </w:r>
          </w:p>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朱庄河下游段：</w:t>
            </w:r>
          </w:p>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起点坐标（东经：105度57分9.741秒，北纬：35度33分5.138秒）；</w:t>
            </w:r>
          </w:p>
          <w:p>
            <w:pPr>
              <w:widowControl/>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终点坐标（东经：105度54分13.129秒，北纬：35度33分32.956秒）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行业类别</w:t>
            </w:r>
          </w:p>
        </w:tc>
        <w:tc>
          <w:tcPr>
            <w:tcW w:w="2821"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五十一、水利-128河湖整治（不含农村塘堰、水渠）、其他</w:t>
            </w:r>
          </w:p>
        </w:tc>
        <w:tc>
          <w:tcPr>
            <w:tcW w:w="216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用地（用海）面积（m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）/长度（km）</w:t>
            </w:r>
          </w:p>
        </w:tc>
        <w:tc>
          <w:tcPr>
            <w:tcW w:w="2505" w:type="dxa"/>
            <w:gridSpan w:val="2"/>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长度13.31km</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治理面积240hm²</w:t>
            </w: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建设性质</w:t>
            </w:r>
          </w:p>
        </w:tc>
        <w:tc>
          <w:tcPr>
            <w:tcW w:w="2821" w:type="dxa"/>
            <w:vAlign w:val="center"/>
          </w:tcPr>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52"/>
            </w:r>
            <w:r>
              <w:rPr>
                <w:rFonts w:ascii="Times New Roman" w:hAnsi="Times New Roman" w:cs="Times New Roman"/>
                <w:color w:val="000000" w:themeColor="text1"/>
                <w:sz w:val="24"/>
                <w14:textFill>
                  <w14:solidFill>
                    <w14:schemeClr w14:val="tx1"/>
                  </w14:solidFill>
                </w14:textFill>
              </w:rPr>
              <w:t>新建（迁建）</w:t>
            </w:r>
          </w:p>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改建</w:t>
            </w:r>
          </w:p>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扩建</w:t>
            </w:r>
          </w:p>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技术改造</w:t>
            </w:r>
          </w:p>
        </w:tc>
        <w:tc>
          <w:tcPr>
            <w:tcW w:w="216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申报情形</w:t>
            </w:r>
          </w:p>
        </w:tc>
        <w:tc>
          <w:tcPr>
            <w:tcW w:w="2505" w:type="dxa"/>
            <w:gridSpan w:val="2"/>
            <w:vAlign w:val="center"/>
          </w:tcPr>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52"/>
            </w:r>
            <w:r>
              <w:rPr>
                <w:rFonts w:ascii="Times New Roman" w:hAnsi="Times New Roman" w:cs="Times New Roman"/>
                <w:color w:val="000000" w:themeColor="text1"/>
                <w:sz w:val="24"/>
                <w14:textFill>
                  <w14:solidFill>
                    <w14:schemeClr w14:val="tx1"/>
                  </w14:solidFill>
                </w14:textFill>
              </w:rPr>
              <w:t>首次申报项目</w:t>
            </w:r>
          </w:p>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不予批准后再次申报项目</w:t>
            </w:r>
          </w:p>
          <w:p>
            <w:pPr>
              <w:adjustRightInd w:val="0"/>
              <w:snapToGrid w:val="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超五年重新审核项目</w:t>
            </w:r>
          </w:p>
          <w:p>
            <w:pPr>
              <w:adjustRightInd w:val="0"/>
              <w:snapToGrid w:val="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项目审批（核准/备案）部门（选填）</w:t>
            </w:r>
          </w:p>
        </w:tc>
        <w:tc>
          <w:tcPr>
            <w:tcW w:w="2821"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隆德县发展和改革局</w:t>
            </w:r>
          </w:p>
        </w:tc>
        <w:tc>
          <w:tcPr>
            <w:tcW w:w="216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项目审批（核准/备案）文号（选填）</w:t>
            </w:r>
          </w:p>
        </w:tc>
        <w:tc>
          <w:tcPr>
            <w:tcW w:w="2505" w:type="dxa"/>
            <w:gridSpan w:val="2"/>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隆发改审﹝2022﹞156号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总投资</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（万元）</w:t>
            </w:r>
          </w:p>
        </w:tc>
        <w:tc>
          <w:tcPr>
            <w:tcW w:w="2821"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3328.62</w:t>
            </w:r>
          </w:p>
        </w:tc>
        <w:tc>
          <w:tcPr>
            <w:tcW w:w="2162"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环保投资（万元）</w:t>
            </w:r>
          </w:p>
        </w:tc>
        <w:tc>
          <w:tcPr>
            <w:tcW w:w="2505" w:type="dxa"/>
            <w:gridSpan w:val="2"/>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环保投资占比（%）</w:t>
            </w:r>
          </w:p>
        </w:tc>
        <w:tc>
          <w:tcPr>
            <w:tcW w:w="2821"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0.97</w:t>
            </w:r>
          </w:p>
        </w:tc>
        <w:tc>
          <w:tcPr>
            <w:tcW w:w="2162"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施工工期</w:t>
            </w:r>
          </w:p>
        </w:tc>
        <w:tc>
          <w:tcPr>
            <w:tcW w:w="2505" w:type="dxa"/>
            <w:gridSpan w:val="2"/>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是否开工</w:t>
            </w:r>
          </w:p>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w:t>
            </w:r>
          </w:p>
        </w:tc>
        <w:tc>
          <w:tcPr>
            <w:tcW w:w="7488" w:type="dxa"/>
            <w:gridSpan w:val="4"/>
            <w:vAlign w:val="center"/>
          </w:tcPr>
          <w:p>
            <w:pPr>
              <w:adjustRightInd w:val="0"/>
              <w:snapToGrid w:val="0"/>
              <w:ind w:firstLine="105"/>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52"/>
            </w:r>
            <w:r>
              <w:rPr>
                <w:rFonts w:ascii="Times New Roman" w:hAnsi="Times New Roman" w:cs="Times New Roman"/>
                <w:color w:val="000000" w:themeColor="text1"/>
                <w:sz w:val="24"/>
                <w14:textFill>
                  <w14:solidFill>
                    <w14:schemeClr w14:val="tx1"/>
                  </w14:solidFill>
                </w14:textFill>
              </w:rPr>
              <w:t>否</w:t>
            </w:r>
          </w:p>
          <w:p>
            <w:pPr>
              <w:adjustRightInd w:val="0"/>
              <w:snapToGrid w:val="0"/>
              <w:ind w:firstLine="92"/>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sym w:font="Wingdings 2" w:char="00A3"/>
            </w:r>
            <w:r>
              <w:rPr>
                <w:rFonts w:ascii="Times New Roman" w:hAnsi="Times New Roman" w:cs="Times New Roman"/>
                <w:color w:val="000000" w:themeColor="text1"/>
                <w:sz w:val="24"/>
                <w14:textFill>
                  <w14:solidFill>
                    <w14:schemeClr w14:val="tx1"/>
                  </w14:solidFill>
                </w14:textFill>
              </w:rPr>
              <w:t>是：</w:t>
            </w:r>
            <w:r>
              <w:rPr>
                <w:rFonts w:ascii="Times New Roman" w:hAnsi="Times New Roman" w:cs="Times New Roman"/>
                <w:color w:val="000000" w:themeColor="text1"/>
                <w:sz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专项评价设置情况</w:t>
            </w:r>
          </w:p>
        </w:tc>
        <w:tc>
          <w:tcPr>
            <w:tcW w:w="7488" w:type="dxa"/>
            <w:gridSpan w:val="4"/>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规划情况</w:t>
            </w:r>
          </w:p>
        </w:tc>
        <w:tc>
          <w:tcPr>
            <w:tcW w:w="7488"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1、《宁夏回族自治区水安全保障“十四五”规划》</w:t>
            </w:r>
          </w:p>
          <w:p>
            <w:pPr>
              <w:autoSpaceDE w:val="0"/>
              <w:autoSpaceDN w:val="0"/>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规划名称：《宁夏回族自治区水安全保障“十四五”规划》</w:t>
            </w:r>
          </w:p>
          <w:p>
            <w:pPr>
              <w:autoSpaceDE w:val="0"/>
              <w:autoSpaceDN w:val="0"/>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审批机关：宁夏回族自治区人民政府；</w:t>
            </w:r>
          </w:p>
          <w:p>
            <w:pPr>
              <w:autoSpaceDE w:val="0"/>
              <w:autoSpaceDN w:val="0"/>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审批文件：《关于印发宁夏回族自治区水安全保障“十四五”规划的通知》；宁政办发【2021】82号。</w:t>
            </w:r>
          </w:p>
          <w:p>
            <w:pPr>
              <w:autoSpaceDE w:val="0"/>
              <w:autoSpaceDN w:val="0"/>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2、《六盘山生态保护修复专项规划（2020-2025）》</w:t>
            </w:r>
          </w:p>
          <w:p>
            <w:pPr>
              <w:autoSpaceDE w:val="0"/>
              <w:autoSpaceDN w:val="0"/>
              <w:adjustRightInd w:val="0"/>
              <w:snapToGrid w:val="0"/>
              <w:spacing w:line="360" w:lineRule="auto"/>
              <w:ind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规划名称：</w:t>
            </w:r>
            <w:r>
              <w:rPr>
                <w:rFonts w:ascii="Times New Roman" w:hAnsi="Times New Roman" w:cs="Times New Roman"/>
                <w:color w:val="000000" w:themeColor="text1"/>
                <w:sz w:val="24"/>
                <w14:textFill>
                  <w14:solidFill>
                    <w14:schemeClr w14:val="tx1"/>
                  </w14:solidFill>
                </w14:textFill>
              </w:rPr>
              <w:t>《六盘山生态保护修复专项规划（2020-2025）》；</w:t>
            </w:r>
          </w:p>
          <w:p>
            <w:pPr>
              <w:autoSpaceDE w:val="0"/>
              <w:autoSpaceDN w:val="0"/>
              <w:adjustRightInd w:val="0"/>
              <w:snapToGrid w:val="0"/>
              <w:spacing w:line="360" w:lineRule="auto"/>
              <w:ind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审批单位：</w:t>
            </w:r>
            <w:r>
              <w:rPr>
                <w:rFonts w:ascii="Times New Roman" w:hAnsi="Times New Roman" w:cs="Times New Roman"/>
                <w:color w:val="000000" w:themeColor="text1"/>
                <w:sz w:val="24"/>
                <w14:textFill>
                  <w14:solidFill>
                    <w14:schemeClr w14:val="tx1"/>
                  </w14:solidFill>
                </w14:textFill>
              </w:rPr>
              <w:t>中国共产党宁夏回族自治区委员会；</w:t>
            </w:r>
          </w:p>
          <w:p>
            <w:pPr>
              <w:autoSpaceDE w:val="0"/>
              <w:autoSpaceDN w:val="0"/>
              <w:adjustRightInd w:val="0"/>
              <w:snapToGrid w:val="0"/>
              <w:spacing w:line="360" w:lineRule="auto"/>
              <w:ind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审批文件：</w:t>
            </w:r>
            <w:r>
              <w:rPr>
                <w:rFonts w:ascii="Times New Roman" w:hAnsi="Times New Roman" w:cs="Times New Roman"/>
                <w:color w:val="000000" w:themeColor="text1"/>
                <w:sz w:val="24"/>
                <w14:textFill>
                  <w14:solidFill>
                    <w14:schemeClr w14:val="tx1"/>
                  </w14:solidFill>
                </w14:textFill>
              </w:rPr>
              <w:t>关于《黄河宁夏段生态保护治理规划（2020-2025年）》等五个专项规划的批复；</w:t>
            </w:r>
            <w:r>
              <w:rPr>
                <w:rFonts w:ascii="Times New Roman" w:hAnsi="Times New Roman" w:cs="Times New Roman"/>
                <w:bCs/>
                <w:color w:val="000000" w:themeColor="text1"/>
                <w:sz w:val="24"/>
                <w14:textFill>
                  <w14:solidFill>
                    <w14:schemeClr w14:val="tx1"/>
                  </w14:solidFill>
                </w14:textFill>
              </w:rPr>
              <w:t>宁党发</w:t>
            </w:r>
            <w:r>
              <w:rPr>
                <w:rFonts w:ascii="Times New Roman" w:hAnsi="Times New Roman" w:cs="Times New Roman"/>
                <w:color w:val="000000" w:themeColor="text1"/>
                <w:sz w:val="24"/>
                <w14:textFill>
                  <w14:solidFill>
                    <w14:schemeClr w14:val="tx1"/>
                  </w14:solidFill>
                </w14:textFill>
              </w:rPr>
              <w:t>〔2020〕28号。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规划环境影响评价情况</w:t>
            </w:r>
          </w:p>
        </w:tc>
        <w:tc>
          <w:tcPr>
            <w:tcW w:w="7488" w:type="dxa"/>
            <w:gridSpan w:val="4"/>
            <w:tcMar>
              <w:top w:w="16" w:type="dxa"/>
              <w:left w:w="16" w:type="dxa"/>
              <w:right w:w="16" w:type="dxa"/>
            </w:tcMar>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规划及</w:t>
            </w:r>
            <w:r>
              <w:rPr>
                <w:rFonts w:ascii="Times New Roman" w:hAnsi="Times New Roman" w:cs="Times New Roman"/>
                <w:color w:val="000000" w:themeColor="text1"/>
                <w:sz w:val="24"/>
                <w14:textFill>
                  <w14:solidFill>
                    <w14:schemeClr w14:val="tx1"/>
                  </w14:solidFill>
                </w14:textFill>
              </w:rPr>
              <w:t>规划环境影响评价</w:t>
            </w:r>
            <w:r>
              <w:rPr>
                <w:rFonts w:ascii="Times New Roman" w:hAnsi="Times New Roman" w:cs="Times New Roman"/>
                <w:color w:val="000000" w:themeColor="text1"/>
                <w:kern w:val="0"/>
                <w:sz w:val="24"/>
                <w14:textFill>
                  <w14:solidFill>
                    <w14:schemeClr w14:val="tx1"/>
                  </w14:solidFill>
                </w14:textFill>
              </w:rPr>
              <w:t>符合性分析</w:t>
            </w:r>
          </w:p>
        </w:tc>
        <w:tc>
          <w:tcPr>
            <w:tcW w:w="7488" w:type="dxa"/>
            <w:gridSpan w:val="4"/>
            <w:tcMar>
              <w:top w:w="16" w:type="dxa"/>
              <w:left w:w="16" w:type="dxa"/>
              <w:right w:w="16" w:type="dxa"/>
            </w:tcMar>
            <w:vAlign w:val="center"/>
          </w:tcPr>
          <w:p>
            <w:pPr>
              <w:pStyle w:val="5"/>
              <w:spacing w:before="0" w:after="0" w:line="360" w:lineRule="auto"/>
              <w:ind w:right="0"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1、与《宁夏回族自治区水安全保障“十四五”规划》符合性分析</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根据《宁夏回族自治区水安全保障“十四五”规划》第四章第四节“</w:t>
            </w:r>
            <w:r>
              <w:rPr>
                <w:rFonts w:ascii="Times New Roman" w:hAnsi="Times New Roman" w:cs="Times New Roman"/>
                <w:bCs/>
                <w:color w:val="000000" w:themeColor="text1"/>
                <w:sz w:val="24"/>
                <w:szCs w:val="24"/>
                <w14:textFill>
                  <w14:solidFill>
                    <w14:schemeClr w14:val="tx1"/>
                  </w14:solidFill>
                </w14:textFill>
              </w:rPr>
              <w:t>水系连通及水美乡村建设：</w:t>
            </w:r>
            <w:r>
              <w:rPr>
                <w:rFonts w:ascii="Times New Roman" w:hAnsi="Times New Roman" w:cs="Times New Roman"/>
                <w:color w:val="000000" w:themeColor="text1"/>
                <w:sz w:val="24"/>
                <w:szCs w:val="24"/>
                <w14:textFill>
                  <w14:solidFill>
                    <w14:schemeClr w14:val="tx1"/>
                  </w14:solidFill>
                </w14:textFill>
              </w:rPr>
              <w:t>以县域为单元、河流为脉络、村庄为节点，全面实施清淤疏浚、岸坡整治、水源涵养与水土保持等措施，开展水系连通及水美乡村建设，提高农村水系防洪、排涝、灌溉、供水、生态功能，提升农村人居环境质量，不断增强农村群众的获得感、幸福感、安全感”。</w:t>
            </w:r>
          </w:p>
          <w:p>
            <w:pPr>
              <w:pStyle w:val="5"/>
              <w:spacing w:before="0" w:after="0" w:line="360" w:lineRule="auto"/>
              <w:ind w:right="0"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项目位于固原市隆德县凤岭乡冯碑村、于河村、巩龙村，神林乡杨野河村，联财镇张楼村，通过对陡坎削坡、护岸砌筑、坡面绿植等措施，对朱庄河流域上游及下游进行修复，消除因洪水冲刷造成的陡坡、凸坎、高悬崖等潜在的地质灾害隐患，极大的改善项目区生态环境，确保周边人民群众的生命财产安全。</w:t>
            </w:r>
            <w:r>
              <w:rPr>
                <w:rFonts w:ascii="Times New Roman" w:hAnsi="Times New Roman" w:cs="Times New Roman"/>
                <w:color w:val="000000" w:themeColor="text1"/>
                <w:sz w:val="24"/>
                <w:szCs w:val="24"/>
                <w14:textFill>
                  <w14:solidFill>
                    <w14:schemeClr w14:val="tx1"/>
                  </w14:solidFill>
                </w14:textFill>
              </w:rPr>
              <w:t>符合《宁夏回族自治区水安全保障“十四五”规划》</w:t>
            </w:r>
            <w:r>
              <w:rPr>
                <w:rFonts w:ascii="Times New Roman" w:hAnsi="Times New Roman" w:cs="Times New Roman"/>
                <w:bCs/>
                <w:color w:val="000000" w:themeColor="text1"/>
                <w:sz w:val="24"/>
                <w:szCs w:val="24"/>
                <w14:textFill>
                  <w14:solidFill>
                    <w14:schemeClr w14:val="tx1"/>
                  </w14:solidFill>
                </w14:textFill>
              </w:rPr>
              <w:t>水系连通及水美乡村建设中的</w:t>
            </w:r>
            <w:r>
              <w:rPr>
                <w:rFonts w:ascii="Times New Roman" w:hAnsi="Times New Roman" w:cs="Times New Roman"/>
                <w:color w:val="000000" w:themeColor="text1"/>
                <w:sz w:val="24"/>
                <w:szCs w:val="24"/>
                <w14:textFill>
                  <w14:solidFill>
                    <w14:schemeClr w14:val="tx1"/>
                  </w14:solidFill>
                </w14:textFill>
              </w:rPr>
              <w:t>相关要求。</w:t>
            </w:r>
          </w:p>
          <w:p>
            <w:pPr>
              <w:pStyle w:val="8"/>
              <w:ind w:firstLine="482" w:firstLineChars="200"/>
              <w:rPr>
                <w:rFonts w:ascii="Times New Roman" w:hAnsi="Times New Roman" w:cs="Times New Roman"/>
                <w:b w:val="0"/>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2、本项目与</w:t>
            </w:r>
            <w:r>
              <w:rPr>
                <w:rFonts w:ascii="Times New Roman" w:hAnsi="Times New Roman" w:cs="Times New Roman"/>
                <w:color w:val="000000" w:themeColor="text1"/>
                <w:kern w:val="0"/>
                <w:sz w:val="24"/>
                <w:lang w:bidi="ar"/>
                <w14:textFill>
                  <w14:solidFill>
                    <w14:schemeClr w14:val="tx1"/>
                  </w14:solidFill>
                </w14:textFill>
              </w:rPr>
              <w:t>《六盘山生态保护修复专项规划（2020-2025）》符合性分析</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bidi="ar"/>
                <w14:textFill>
                  <w14:solidFill>
                    <w14:schemeClr w14:val="tx1"/>
                  </w14:solidFill>
                </w14:textFill>
              </w:rPr>
              <w:t>《六盘山生态保护修复专项规划（2020-2025）》总体目标</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到2022年，六盘山自然保护区森林覆盖率从61.2%提高到61.7%；生态关联区完成水源涵养及水土保持林建设122536公顷，新增小流域综合治理62380公顷，保护修复湿地5220公顷，矿山地质环境及国土综合整治13919公顷，历史遗留矿山治理率达到100%；生态拓展区完成水源涵养林及水土保持林建设4332公顷，新增小流域综合治理13650公顷，矿山地质环境及国土综合整治746公顷。</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到2025年，六盘山自然保护区森林覆盖率提高到63.4%；生态关联区水源涵养林及水土保持林建设121300公顷，小流域综合治理55850公顷，保护修复湿地2660公顷，矿山地质环境及国土综合整治7420公顷，生态拓展区完成水源涵养及水土保持林建设4332公顷，小流域综合治理13650 公顷。</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（2）小流域综合治理工程</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聚焦水土流失严重、水质污染恶化、水资源质量差等问题，</w:t>
            </w:r>
            <w:r>
              <w:rPr>
                <w:rFonts w:ascii="Times New Roman" w:hAnsi="Times New Roman" w:cs="Times New Roman"/>
                <w:color w:val="000000" w:themeColor="text1"/>
                <w:spacing w:val="-153"/>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在生态关联区、生态拓展区，推广彭阳县小流域治理经验，采取筑堤打坝、砌护岸坡、疏浚河道、建植植被等工程措施，推进清水河、葫芦河、渝河、泾河、茹河上下游、干支流、左右岸协同治理，建设适生经济林、水土保持林，提高植被覆盖度，遏制水</w:t>
            </w:r>
            <w:r>
              <w:rPr>
                <w:rFonts w:ascii="Times New Roman" w:hAnsi="Times New Roman" w:cs="Times New Roman"/>
                <w:color w:val="000000" w:themeColor="text1"/>
                <w:spacing w:val="1"/>
                <w:sz w:val="24"/>
                <w:szCs w:val="24"/>
                <w14:textFill>
                  <w14:solidFill>
                    <w14:schemeClr w14:val="tx1"/>
                  </w14:solidFill>
                </w14:textFill>
              </w:rPr>
              <w:t>土流失，发展生态经济。</w:t>
            </w:r>
          </w:p>
          <w:p>
            <w:pPr>
              <w:pStyle w:val="5"/>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2020-2025</w:t>
            </w:r>
            <w:r>
              <w:rPr>
                <w:rFonts w:ascii="Times New Roman" w:hAnsi="Times New Roman" w:cs="Times New Roman"/>
                <w:color w:val="000000" w:themeColor="text1"/>
                <w:spacing w:val="-4"/>
                <w:sz w:val="24"/>
                <w:szCs w:val="24"/>
                <w14:textFill>
                  <w14:solidFill>
                    <w14:schemeClr w14:val="tx1"/>
                  </w14:solidFill>
                </w14:textFill>
              </w:rPr>
              <w:t>年，实施项目</w:t>
            </w:r>
            <w:r>
              <w:rPr>
                <w:rFonts w:ascii="Times New Roman" w:hAnsi="Times New Roman" w:cs="Times New Roman"/>
                <w:color w:val="000000" w:themeColor="text1"/>
                <w:sz w:val="24"/>
                <w:szCs w:val="24"/>
                <w14:textFill>
                  <w14:solidFill>
                    <w14:schemeClr w14:val="tx1"/>
                  </w14:solidFill>
                </w14:textFill>
              </w:rPr>
              <w:t>7</w:t>
            </w:r>
            <w:r>
              <w:rPr>
                <w:rFonts w:ascii="Times New Roman" w:hAnsi="Times New Roman" w:cs="Times New Roman"/>
                <w:color w:val="000000" w:themeColor="text1"/>
                <w:spacing w:val="-8"/>
                <w:sz w:val="24"/>
                <w:szCs w:val="24"/>
                <w14:textFill>
                  <w14:solidFill>
                    <w14:schemeClr w14:val="tx1"/>
                  </w14:solidFill>
                </w14:textFill>
              </w:rPr>
              <w:t>个，建设规模</w:t>
            </w:r>
            <w:r>
              <w:rPr>
                <w:rFonts w:ascii="Times New Roman" w:hAnsi="Times New Roman" w:cs="Times New Roman"/>
                <w:color w:val="000000" w:themeColor="text1"/>
                <w:sz w:val="24"/>
                <w:szCs w:val="24"/>
                <w14:textFill>
                  <w14:solidFill>
                    <w14:schemeClr w14:val="tx1"/>
                  </w14:solidFill>
                </w14:textFill>
              </w:rPr>
              <w:t>145530公顷，资金</w:t>
            </w:r>
            <w:r>
              <w:rPr>
                <w:rFonts w:ascii="Times New Roman" w:hAnsi="Times New Roman" w:cs="Times New Roman"/>
                <w:color w:val="000000" w:themeColor="text1"/>
                <w:spacing w:val="-6"/>
                <w:sz w:val="24"/>
                <w:szCs w:val="24"/>
                <w14:textFill>
                  <w14:solidFill>
                    <w14:schemeClr w14:val="tx1"/>
                  </w14:solidFill>
                </w14:textFill>
              </w:rPr>
              <w:t>概算</w:t>
            </w:r>
            <w:r>
              <w:rPr>
                <w:rFonts w:ascii="Times New Roman" w:hAnsi="Times New Roman" w:cs="Times New Roman"/>
                <w:color w:val="000000" w:themeColor="text1"/>
                <w:sz w:val="24"/>
                <w:szCs w:val="24"/>
                <w14:textFill>
                  <w14:solidFill>
                    <w14:schemeClr w14:val="tx1"/>
                  </w14:solidFill>
                </w14:textFill>
              </w:rPr>
              <w:t>13.91</w:t>
            </w:r>
            <w:r>
              <w:rPr>
                <w:rFonts w:ascii="Times New Roman" w:hAnsi="Times New Roman" w:cs="Times New Roman"/>
                <w:color w:val="000000" w:themeColor="text1"/>
                <w:spacing w:val="38"/>
                <w:sz w:val="24"/>
                <w:szCs w:val="24"/>
                <w14:textFill>
                  <w14:solidFill>
                    <w14:schemeClr w14:val="tx1"/>
                  </w14:solidFill>
                </w14:textFill>
              </w:rPr>
              <w:t xml:space="preserve"> </w:t>
            </w:r>
            <w:r>
              <w:rPr>
                <w:rFonts w:ascii="Times New Roman" w:hAnsi="Times New Roman" w:cs="Times New Roman"/>
                <w:color w:val="000000" w:themeColor="text1"/>
                <w:spacing w:val="9"/>
                <w:sz w:val="24"/>
                <w:szCs w:val="24"/>
                <w14:textFill>
                  <w14:solidFill>
                    <w14:schemeClr w14:val="tx1"/>
                  </w14:solidFill>
                </w14:textFill>
              </w:rPr>
              <w:t>亿元。其中，</w:t>
            </w:r>
            <w:r>
              <w:rPr>
                <w:rFonts w:ascii="Times New Roman" w:hAnsi="Times New Roman" w:cs="Times New Roman"/>
                <w:color w:val="000000" w:themeColor="text1"/>
                <w:sz w:val="24"/>
                <w:szCs w:val="24"/>
                <w14:textFill>
                  <w14:solidFill>
                    <w14:schemeClr w14:val="tx1"/>
                  </w14:solidFill>
                </w14:textFill>
              </w:rPr>
              <w:t>2020-2022</w:t>
            </w:r>
            <w:r>
              <w:rPr>
                <w:rFonts w:ascii="Times New Roman" w:hAnsi="Times New Roman" w:cs="Times New Roman"/>
                <w:color w:val="000000" w:themeColor="text1"/>
                <w:spacing w:val="3"/>
                <w:sz w:val="24"/>
                <w:szCs w:val="24"/>
                <w14:textFill>
                  <w14:solidFill>
                    <w14:schemeClr w14:val="tx1"/>
                  </w14:solidFill>
                </w14:textFill>
              </w:rPr>
              <w:t>年，完成项目</w:t>
            </w:r>
            <w:r>
              <w:rPr>
                <w:rFonts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pacing w:val="11"/>
                <w:sz w:val="24"/>
                <w:szCs w:val="24"/>
                <w14:textFill>
                  <w14:solidFill>
                    <w14:schemeClr w14:val="tx1"/>
                  </w14:solidFill>
                </w14:textFill>
              </w:rPr>
              <w:t>个，建设规</w:t>
            </w:r>
            <w:r>
              <w:rPr>
                <w:rFonts w:ascii="Times New Roman" w:hAnsi="Times New Roman" w:cs="Times New Roman"/>
                <w:color w:val="000000" w:themeColor="text1"/>
                <w:spacing w:val="-30"/>
                <w:sz w:val="24"/>
                <w:szCs w:val="24"/>
                <w14:textFill>
                  <w14:solidFill>
                    <w14:schemeClr w14:val="tx1"/>
                  </w14:solidFill>
                </w14:textFill>
              </w:rPr>
              <w:t xml:space="preserve">模 </w:t>
            </w:r>
            <w:r>
              <w:rPr>
                <w:rFonts w:ascii="Times New Roman" w:hAnsi="Times New Roman" w:cs="Times New Roman"/>
                <w:color w:val="000000" w:themeColor="text1"/>
                <w:sz w:val="24"/>
                <w:szCs w:val="24"/>
                <w14:textFill>
                  <w14:solidFill>
                    <w14:schemeClr w14:val="tx1"/>
                  </w14:solidFill>
                </w14:textFill>
              </w:rPr>
              <w:t>12250</w:t>
            </w:r>
            <w:r>
              <w:rPr>
                <w:rFonts w:ascii="Times New Roman" w:hAnsi="Times New Roman" w:cs="Times New Roman"/>
                <w:color w:val="000000" w:themeColor="text1"/>
                <w:spacing w:val="-3"/>
                <w:sz w:val="24"/>
                <w:szCs w:val="24"/>
                <w14:textFill>
                  <w14:solidFill>
                    <w14:schemeClr w14:val="tx1"/>
                  </w14:solidFill>
                </w14:textFill>
              </w:rPr>
              <w:t>公顷，资金概算</w:t>
            </w:r>
            <w:r>
              <w:rPr>
                <w:rFonts w:ascii="Times New Roman" w:hAnsi="Times New Roman" w:cs="Times New Roman"/>
                <w:color w:val="000000" w:themeColor="text1"/>
                <w:sz w:val="24"/>
                <w:szCs w:val="24"/>
                <w14:textFill>
                  <w14:solidFill>
                    <w14:schemeClr w14:val="tx1"/>
                  </w14:solidFill>
                </w14:textFill>
              </w:rPr>
              <w:t>1.84</w:t>
            </w:r>
            <w:r>
              <w:rPr>
                <w:rFonts w:ascii="Times New Roman" w:hAnsi="Times New Roman" w:cs="Times New Roman"/>
                <w:color w:val="000000" w:themeColor="text1"/>
                <w:spacing w:val="4"/>
                <w:sz w:val="24"/>
                <w:szCs w:val="24"/>
                <w14:textFill>
                  <w14:solidFill>
                    <w14:schemeClr w14:val="tx1"/>
                  </w14:solidFill>
                </w14:textFill>
              </w:rPr>
              <w:t>亿元；</w:t>
            </w:r>
            <w:r>
              <w:rPr>
                <w:rFonts w:ascii="Times New Roman" w:hAnsi="Times New Roman" w:cs="Times New Roman"/>
                <w:color w:val="000000" w:themeColor="text1"/>
                <w:sz w:val="24"/>
                <w:szCs w:val="24"/>
                <w14:textFill>
                  <w14:solidFill>
                    <w14:schemeClr w14:val="tx1"/>
                  </w14:solidFill>
                </w14:textFill>
              </w:rPr>
              <w:t>2023-2025</w:t>
            </w:r>
            <w:r>
              <w:rPr>
                <w:rFonts w:ascii="Times New Roman" w:hAnsi="Times New Roman" w:cs="Times New Roman"/>
                <w:color w:val="000000" w:themeColor="text1"/>
                <w:spacing w:val="-2"/>
                <w:sz w:val="24"/>
                <w:szCs w:val="24"/>
                <w14:textFill>
                  <w14:solidFill>
                    <w14:schemeClr w14:val="tx1"/>
                  </w14:solidFill>
                </w14:textFill>
              </w:rPr>
              <w:t>年，完成项目</w:t>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pacing w:val="-7"/>
                <w:sz w:val="24"/>
                <w:szCs w:val="24"/>
                <w14:textFill>
                  <w14:solidFill>
                    <w14:schemeClr w14:val="tx1"/>
                  </w14:solidFill>
                </w14:textFill>
              </w:rPr>
              <w:t>个，建设规模</w:t>
            </w:r>
            <w:r>
              <w:rPr>
                <w:rFonts w:ascii="Times New Roman" w:hAnsi="Times New Roman" w:cs="Times New Roman"/>
                <w:color w:val="000000" w:themeColor="text1"/>
                <w:sz w:val="24"/>
                <w:szCs w:val="24"/>
                <w14:textFill>
                  <w14:solidFill>
                    <w14:schemeClr w14:val="tx1"/>
                  </w14:solidFill>
                </w14:textFill>
              </w:rPr>
              <w:t>5720</w:t>
            </w:r>
            <w:r>
              <w:rPr>
                <w:rFonts w:ascii="Times New Roman" w:hAnsi="Times New Roman" w:cs="Times New Roman"/>
                <w:color w:val="000000" w:themeColor="text1"/>
                <w:spacing w:val="-2"/>
                <w:sz w:val="24"/>
                <w:szCs w:val="24"/>
                <w14:textFill>
                  <w14:solidFill>
                    <w14:schemeClr w14:val="tx1"/>
                  </w14:solidFill>
                </w14:textFill>
              </w:rPr>
              <w:t>公顷，资金概算</w:t>
            </w:r>
            <w:r>
              <w:rPr>
                <w:rFonts w:ascii="Times New Roman" w:hAnsi="Times New Roman" w:cs="Times New Roman"/>
                <w:color w:val="000000" w:themeColor="text1"/>
                <w:sz w:val="24"/>
                <w:szCs w:val="24"/>
                <w14:textFill>
                  <w14:solidFill>
                    <w14:schemeClr w14:val="tx1"/>
                  </w14:solidFill>
                </w14:textFill>
              </w:rPr>
              <w:t>1.21</w:t>
            </w:r>
            <w:r>
              <w:rPr>
                <w:rFonts w:ascii="Times New Roman" w:hAnsi="Times New Roman" w:cs="Times New Roman"/>
                <w:color w:val="000000" w:themeColor="text1"/>
                <w:spacing w:val="-3"/>
                <w:sz w:val="24"/>
                <w:szCs w:val="24"/>
                <w14:textFill>
                  <w14:solidFill>
                    <w14:schemeClr w14:val="tx1"/>
                  </w14:solidFill>
                </w14:textFill>
              </w:rPr>
              <w:t>亿元；实施周期为</w:t>
            </w:r>
            <w:r>
              <w:rPr>
                <w:rFonts w:ascii="Times New Roman" w:hAnsi="Times New Roman" w:cs="Times New Roman"/>
                <w:color w:val="000000" w:themeColor="text1"/>
                <w:sz w:val="24"/>
                <w:szCs w:val="24"/>
                <w14:textFill>
                  <w14:solidFill>
                    <w14:schemeClr w14:val="tx1"/>
                  </w14:solidFill>
                </w14:textFill>
              </w:rPr>
              <w:t>5年</w:t>
            </w:r>
            <w:r>
              <w:rPr>
                <w:rFonts w:ascii="Times New Roman" w:hAnsi="Times New Roman" w:cs="Times New Roman"/>
                <w:color w:val="000000" w:themeColor="text1"/>
                <w:spacing w:val="-14"/>
                <w:sz w:val="24"/>
                <w:szCs w:val="24"/>
                <w14:textFill>
                  <w14:solidFill>
                    <w14:schemeClr w14:val="tx1"/>
                  </w14:solidFill>
                </w14:textFill>
              </w:rPr>
              <w:t>的项目</w:t>
            </w: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pacing w:val="-9"/>
                <w:sz w:val="24"/>
                <w:szCs w:val="24"/>
                <w14:textFill>
                  <w14:solidFill>
                    <w14:schemeClr w14:val="tx1"/>
                  </w14:solidFill>
                </w14:textFill>
              </w:rPr>
              <w:t xml:space="preserve">个，建设规模 </w:t>
            </w:r>
            <w:r>
              <w:rPr>
                <w:rFonts w:ascii="Times New Roman" w:hAnsi="Times New Roman" w:cs="Times New Roman"/>
                <w:color w:val="000000" w:themeColor="text1"/>
                <w:sz w:val="24"/>
                <w:szCs w:val="24"/>
                <w14:textFill>
                  <w14:solidFill>
                    <w14:schemeClr w14:val="tx1"/>
                  </w14:solidFill>
                </w14:textFill>
              </w:rPr>
              <w:t>127560</w:t>
            </w:r>
            <w:r>
              <w:rPr>
                <w:rFonts w:ascii="Times New Roman" w:hAnsi="Times New Roman" w:cs="Times New Roman"/>
                <w:color w:val="000000" w:themeColor="text1"/>
                <w:spacing w:val="17"/>
                <w:sz w:val="24"/>
                <w:szCs w:val="24"/>
                <w14:textFill>
                  <w14:solidFill>
                    <w14:schemeClr w14:val="tx1"/>
                  </w14:solidFill>
                </w14:textFill>
              </w:rPr>
              <w:t xml:space="preserve"> </w:t>
            </w:r>
            <w:r>
              <w:rPr>
                <w:rFonts w:ascii="Times New Roman" w:hAnsi="Times New Roman" w:cs="Times New Roman"/>
                <w:color w:val="000000" w:themeColor="text1"/>
                <w:spacing w:val="-7"/>
                <w:sz w:val="24"/>
                <w:szCs w:val="24"/>
                <w14:textFill>
                  <w14:solidFill>
                    <w14:schemeClr w14:val="tx1"/>
                  </w14:solidFill>
                </w14:textFill>
              </w:rPr>
              <w:t>公顷，资金概算</w:t>
            </w:r>
            <w:r>
              <w:rPr>
                <w:rFonts w:ascii="Times New Roman" w:hAnsi="Times New Roman" w:cs="Times New Roman"/>
                <w:color w:val="000000" w:themeColor="text1"/>
                <w:sz w:val="24"/>
                <w:szCs w:val="24"/>
                <w14:textFill>
                  <w14:solidFill>
                    <w14:schemeClr w14:val="tx1"/>
                  </w14:solidFill>
                </w14:textFill>
              </w:rPr>
              <w:t>10.86亿元。实施</w:t>
            </w:r>
            <w:r>
              <w:rPr>
                <w:rFonts w:ascii="Times New Roman" w:hAnsi="Times New Roman" w:cs="Times New Roman"/>
                <w:color w:val="000000" w:themeColor="text1"/>
                <w:spacing w:val="-10"/>
                <w:sz w:val="24"/>
                <w:szCs w:val="24"/>
                <w14:textFill>
                  <w14:solidFill>
                    <w14:schemeClr w14:val="tx1"/>
                  </w14:solidFill>
                </w14:textFill>
              </w:rPr>
              <w:t xml:space="preserve">项目详见表 </w:t>
            </w:r>
            <w:r>
              <w:rPr>
                <w:rFonts w:ascii="Times New Roman" w:hAnsi="Times New Roman" w:cs="Times New Roman"/>
                <w:color w:val="000000" w:themeColor="text1"/>
                <w:sz w:val="24"/>
                <w:szCs w:val="24"/>
                <w14:textFill>
                  <w14:solidFill>
                    <w14:schemeClr w14:val="tx1"/>
                  </w14:solidFill>
                </w14:textFill>
              </w:rPr>
              <w:t>1-1。</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表1-1  小流域综合治理工程</w:t>
            </w:r>
          </w:p>
          <w:tbl>
            <w:tblPr>
              <w:tblStyle w:val="27"/>
              <w:tblW w:w="743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0"/>
              <w:gridCol w:w="818"/>
              <w:gridCol w:w="2762"/>
              <w:gridCol w:w="697"/>
              <w:gridCol w:w="684"/>
              <w:gridCol w:w="596"/>
              <w:gridCol w:w="725"/>
              <w:gridCol w:w="8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290"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818"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项目名称</w:t>
                  </w:r>
                </w:p>
              </w:tc>
              <w:tc>
                <w:tcPr>
                  <w:tcW w:w="2762"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建设内容</w:t>
                  </w:r>
                </w:p>
              </w:tc>
              <w:tc>
                <w:tcPr>
                  <w:tcW w:w="697"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建规模</w:t>
                  </w:r>
                </w:p>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1"/>
                      <w:szCs w:val="21"/>
                      <w14:textFill>
                        <w14:solidFill>
                          <w14:schemeClr w14:val="tx1"/>
                        </w14:solidFill>
                      </w14:textFill>
                    </w:rPr>
                    <w:t>公顷</w:t>
                  </w:r>
                </w:p>
              </w:tc>
              <w:tc>
                <w:tcPr>
                  <w:tcW w:w="684" w:type="dxa"/>
                  <w:vAlign w:val="center"/>
                </w:tcPr>
                <w:p>
                  <w:pPr>
                    <w:pStyle w:val="57"/>
                    <w:jc w:val="center"/>
                    <w:rPr>
                      <w:rFonts w:ascii="Times New Roman" w:hAnsi="Times New Roman" w:cs="Times New Roman"/>
                      <w:color w:val="000000" w:themeColor="text1"/>
                      <w:spacing w:val="-3"/>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概算</w:t>
                  </w:r>
                </w:p>
                <w:p>
                  <w:pPr>
                    <w:pStyle w:val="57"/>
                    <w:jc w:val="center"/>
                    <w:rPr>
                      <w:rFonts w:ascii="Times New Roman" w:hAnsi="Times New Roman" w:cs="Times New Roman"/>
                      <w:color w:val="000000" w:themeColor="text1"/>
                      <w:spacing w:val="-3"/>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投资</w:t>
                  </w:r>
                </w:p>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万元</w:t>
                  </w:r>
                </w:p>
              </w:tc>
              <w:tc>
                <w:tcPr>
                  <w:tcW w:w="596"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实施年限</w:t>
                  </w:r>
                </w:p>
              </w:tc>
              <w:tc>
                <w:tcPr>
                  <w:tcW w:w="725"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主管部门</w:t>
                  </w:r>
                </w:p>
              </w:tc>
              <w:tc>
                <w:tcPr>
                  <w:tcW w:w="867"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3"/>
                      <w:szCs w:val="21"/>
                      <w14:textFill>
                        <w14:solidFill>
                          <w14:schemeClr w14:val="tx1"/>
                        </w14:solidFill>
                      </w14:textFill>
                    </w:rPr>
                    <w:t>责任单位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290"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818"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20"/>
                      <w:szCs w:val="21"/>
                      <w14:textFill>
                        <w14:solidFill>
                          <w14:schemeClr w14:val="tx1"/>
                        </w14:solidFill>
                      </w14:textFill>
                    </w:rPr>
                    <w:t>隆德</w:t>
                  </w:r>
                  <w:r>
                    <w:rPr>
                      <w:rFonts w:ascii="Times New Roman" w:hAnsi="Times New Roman" w:cs="Times New Roman"/>
                      <w:color w:val="000000" w:themeColor="text1"/>
                      <w:spacing w:val="6"/>
                      <w:szCs w:val="21"/>
                      <w14:textFill>
                        <w14:solidFill>
                          <w14:schemeClr w14:val="tx1"/>
                        </w14:solidFill>
                      </w14:textFill>
                    </w:rPr>
                    <w:t>县小流域综合治理</w:t>
                  </w:r>
                  <w:r>
                    <w:rPr>
                      <w:rFonts w:ascii="Times New Roman" w:hAnsi="Times New Roman" w:cs="Times New Roman"/>
                      <w:color w:val="000000" w:themeColor="text1"/>
                      <w:szCs w:val="21"/>
                      <w14:textFill>
                        <w14:solidFill>
                          <w14:schemeClr w14:val="tx1"/>
                        </w14:solidFill>
                      </w14:textFill>
                    </w:rPr>
                    <w:t>项目</w:t>
                  </w:r>
                </w:p>
              </w:tc>
              <w:tc>
                <w:tcPr>
                  <w:tcW w:w="2762" w:type="dxa"/>
                  <w:vAlign w:val="center"/>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治理312国道南片、观庄乡后窑、筛子河等流域水土流失，建设谷坊583座， 营造水土保持林1145.78hm²，营造生态经济林1042.86hm²，封禁治理2608hm²，完善相关配套设施。</w:t>
                  </w:r>
                </w:p>
              </w:tc>
              <w:tc>
                <w:tcPr>
                  <w:tcW w:w="697"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4050</w:t>
                  </w:r>
                </w:p>
              </w:tc>
              <w:tc>
                <w:tcPr>
                  <w:tcW w:w="684"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6020</w:t>
                  </w:r>
                </w:p>
              </w:tc>
              <w:tc>
                <w:tcPr>
                  <w:tcW w:w="596"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725"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水利厅</w:t>
                  </w:r>
                </w:p>
              </w:tc>
              <w:tc>
                <w:tcPr>
                  <w:tcW w:w="867" w:type="dxa"/>
                  <w:vAlign w:val="center"/>
                </w:tcPr>
                <w:p>
                  <w:pPr>
                    <w:pStyle w:val="57"/>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隆德县</w:t>
                  </w:r>
                  <w:r>
                    <w:rPr>
                      <w:rFonts w:ascii="Times New Roman" w:hAnsi="Times New Roman" w:cs="Times New Roman"/>
                      <w:color w:val="000000" w:themeColor="text1"/>
                      <w:spacing w:val="-2"/>
                      <w:szCs w:val="21"/>
                      <w14:textFill>
                        <w14:solidFill>
                          <w14:schemeClr w14:val="tx1"/>
                        </w14:solidFill>
                      </w14:textFill>
                    </w:rPr>
                    <w:t>人民政府</w:t>
                  </w:r>
                </w:p>
              </w:tc>
            </w:tr>
          </w:tbl>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本项目位于固原市隆德县312国道南片，属于隆德县朱庄河流域国土空间生态修复项目，在“一河三山”生态保护治理规划项目中的“六盘山生态保护修复专项规划（2020—2025）规划”范围区内。 </w:t>
            </w:r>
          </w:p>
          <w:p>
            <w:pPr>
              <w:pStyle w:val="21"/>
              <w:spacing w:line="360" w:lineRule="auto"/>
              <w:ind w:firstLine="480" w:firstLineChars="200"/>
              <w:rPr>
                <w:color w:val="000000" w:themeColor="text1"/>
                <w:kern w:val="0"/>
                <w:sz w:val="24"/>
                <w:lang w:bidi="ar"/>
                <w14:textFill>
                  <w14:solidFill>
                    <w14:schemeClr w14:val="tx1"/>
                  </w14:solidFill>
                </w14:textFill>
              </w:rPr>
            </w:pPr>
            <w:r>
              <w:rPr>
                <w:bCs/>
                <w:color w:val="000000" w:themeColor="text1"/>
                <w:sz w:val="24"/>
                <w14:textFill>
                  <w14:solidFill>
                    <w14:schemeClr w14:val="tx1"/>
                  </w14:solidFill>
                </w14:textFill>
              </w:rPr>
              <w:t>本项目通过对项目区范围内的陡坎进行的削坡、坡面绿植工作，消除因洪水冲刷造成的陡坡、凸坎、高悬崖等潜在的地质灾害隐患，使河岸岸坡坡体稳定，坡面灌木、草皮覆盖，坡顶绿树成林，极大的改善项目区生态环境，确保周边人民群众的生命财产安全；在保护生态环境的前提下，通过河堤生态修复和陡坎生态修复的实施，可以防护、强化河岸边界，提高岸线抗水流冲淘能力，消除塌岸险情，对陡坎进行削坡，减缓边坡，提高岸坡的稳定性，并且岸边种植了防护林；通过湿地生态修复建设的两处深潭，栽植水生生物，岸上种植树林，不仅为浮游生物和鱼类等其他动植物提供栖息地，使河流、绿地、树木之间形成网格，营造数量多、空间广、连续性强、物种丰富的生态空间，构建生物多样性；生态经济林工程的实施，种植大量的乔木及经果林。农业用地和经果林用地结构的合理搭配，将使项目区的农业生态系统大为改观，发挥明显的保水、保湿、保肥效益，有利于建立新的农业生态系统，也可以提高居民经济收入，更加可以起到水土保持、调节气温、净化空气、美化环境的作用。</w:t>
            </w:r>
          </w:p>
          <w:p>
            <w:pPr>
              <w:widowControl/>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综上，本项目符合规划的相关要求，项目地理位置图见附图1。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36" w:type="dxa"/>
            <w:tcMar>
              <w:top w:w="16" w:type="dxa"/>
              <w:left w:w="16" w:type="dxa"/>
              <w:right w:w="16" w:type="dxa"/>
            </w:tcMar>
            <w:vAlign w:val="center"/>
          </w:tcPr>
          <w:p>
            <w:pPr>
              <w:autoSpaceDE w:val="0"/>
              <w:autoSpaceDN w:val="0"/>
              <w:adjustRightInd w:val="0"/>
              <w:snapToGrid w:val="0"/>
              <w:jc w:val="center"/>
              <w:rPr>
                <w:rFonts w:ascii="Times New Roman" w:hAnsi="Times New Roman" w:cs="Times New Roman"/>
                <w:color w:val="000000" w:themeColor="text1"/>
                <w:kern w:val="0"/>
                <w:sz w:val="24"/>
                <w14:textFill>
                  <w14:solidFill>
                    <w14:schemeClr w14:val="tx1"/>
                  </w14:solidFill>
                </w14:textFill>
              </w:rPr>
            </w:pPr>
            <w:bookmarkStart w:id="2" w:name="_Hlk56690880"/>
            <w:r>
              <w:rPr>
                <w:rFonts w:ascii="Times New Roman" w:hAnsi="Times New Roman" w:cs="Times New Roman"/>
                <w:color w:val="000000" w:themeColor="text1"/>
                <w:kern w:val="0"/>
                <w:sz w:val="24"/>
                <w14:textFill>
                  <w14:solidFill>
                    <w14:schemeClr w14:val="tx1"/>
                  </w14:solidFill>
                </w14:textFill>
              </w:rPr>
              <w:t>其他符合性分析</w:t>
            </w:r>
            <w:bookmarkEnd w:id="2"/>
          </w:p>
        </w:tc>
        <w:tc>
          <w:tcPr>
            <w:tcW w:w="7488" w:type="dxa"/>
            <w:gridSpan w:val="4"/>
            <w:tcMar>
              <w:top w:w="16" w:type="dxa"/>
              <w:left w:w="16" w:type="dxa"/>
              <w:right w:w="16" w:type="dxa"/>
            </w:tcMar>
            <w:vAlign w:val="center"/>
          </w:tcPr>
          <w:p>
            <w:pPr>
              <w:widowControl/>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 xml:space="preserve">1、产业政策符合性分析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中华人民共和国国家发展和改革委员会2019年第29号令《产业结构调整指导目录（2019年本）》及中华人民共和国国家发展和改革委员会第49号令《国家发展改革委关于修改&lt;产业结构调整指导目录（2019年本）&gt;的决定》可知</w:t>
            </w:r>
            <w:r>
              <w:rPr>
                <w:rFonts w:ascii="Times New Roman" w:hAnsi="Times New Roman" w:cs="Times New Roman"/>
                <w:color w:val="000000" w:themeColor="text1"/>
                <w:kern w:val="0"/>
                <w:sz w:val="24"/>
                <w:lang w:bidi="ar"/>
                <w14:textFill>
                  <w14:solidFill>
                    <w14:schemeClr w14:val="tx1"/>
                  </w14:solidFill>
                </w14:textFill>
              </w:rPr>
              <w:t>，本项目属于“鼓励类”第二项“水利”第1条“江河湖海堤防建设及河道治理工程”。因此，本项目符合国家相关产业政策。</w:t>
            </w:r>
          </w:p>
          <w:p>
            <w:pPr>
              <w:widowControl/>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2、与固原市“三线一单”符合性分析</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fldChar w:fldCharType="begin"/>
            </w:r>
            <w:r>
              <w:rPr>
                <w:rFonts w:ascii="Times New Roman" w:hAnsi="Times New Roman" w:cs="Times New Roman"/>
                <w:color w:val="000000" w:themeColor="text1"/>
                <w:kern w:val="0"/>
                <w:sz w:val="24"/>
                <w:lang w:bidi="ar"/>
                <w14:textFill>
                  <w14:solidFill>
                    <w14:schemeClr w14:val="tx1"/>
                  </w14:solidFill>
                </w14:textFill>
              </w:rPr>
              <w:instrText xml:space="preserve"> = 1 \* GB2 \* MERGEFORMAT </w:instrText>
            </w:r>
            <w:r>
              <w:rPr>
                <w:rFonts w:ascii="Times New Roman" w:hAnsi="Times New Roman" w:cs="Times New Roman"/>
                <w:color w:val="000000" w:themeColor="text1"/>
                <w:kern w:val="0"/>
                <w:sz w:val="24"/>
                <w:lang w:bidi="ar"/>
                <w14:textFill>
                  <w14:solidFill>
                    <w14:schemeClr w14:val="tx1"/>
                  </w14:solidFill>
                </w14:textFill>
              </w:rPr>
              <w:fldChar w:fldCharType="separate"/>
            </w:r>
            <w:r>
              <w:rPr>
                <w:rFonts w:hint="eastAsia" w:ascii="宋体" w:hAnsi="宋体" w:cs="宋体"/>
                <w:color w:val="000000" w:themeColor="text1"/>
                <w:kern w:val="0"/>
                <w:sz w:val="24"/>
                <w:lang w:bidi="ar"/>
                <w14:textFill>
                  <w14:solidFill>
                    <w14:schemeClr w14:val="tx1"/>
                  </w14:solidFill>
                </w14:textFill>
              </w:rPr>
              <w:t>⑴</w:t>
            </w:r>
            <w:r>
              <w:rPr>
                <w:rFonts w:ascii="Times New Roman" w:hAnsi="Times New Roman" w:cs="Times New Roman"/>
                <w:color w:val="000000" w:themeColor="text1"/>
                <w:kern w:val="0"/>
                <w:sz w:val="24"/>
                <w:lang w:bidi="ar"/>
                <w14:textFill>
                  <w14:solidFill>
                    <w14:schemeClr w14:val="tx1"/>
                  </w14:solidFill>
                </w14:textFill>
              </w:rPr>
              <w:fldChar w:fldCharType="end"/>
            </w:r>
            <w:r>
              <w:rPr>
                <w:rFonts w:ascii="Times New Roman" w:hAnsi="Times New Roman" w:cs="Times New Roman"/>
                <w:color w:val="000000" w:themeColor="text1"/>
                <w:kern w:val="0"/>
                <w:sz w:val="24"/>
                <w:lang w:bidi="ar"/>
                <w14:textFill>
                  <w14:solidFill>
                    <w14:schemeClr w14:val="tx1"/>
                  </w14:solidFill>
                </w14:textFill>
              </w:rPr>
              <w:t>生态保护红线</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衔接落实《宁夏回族自治区生态保护红线》（宁政发〔2018〕23号）及《</w:t>
            </w:r>
            <w:r>
              <w:rPr>
                <w:rFonts w:ascii="Times New Roman" w:hAnsi="Times New Roman" w:cs="Times New Roman"/>
                <w:bCs/>
                <w:color w:val="000000" w:themeColor="text1"/>
                <w:kern w:val="0"/>
                <w:sz w:val="24"/>
                <w:lang w:bidi="ar"/>
                <w14:textFill>
                  <w14:solidFill>
                    <w14:schemeClr w14:val="tx1"/>
                  </w14:solidFill>
                </w14:textFill>
              </w:rPr>
              <w:t>固原市人民政府关于实施“三线一单”生态环境分区管控的意见</w:t>
            </w:r>
            <w:r>
              <w:rPr>
                <w:rFonts w:ascii="Times New Roman" w:hAnsi="Times New Roman" w:cs="Times New Roman"/>
                <w:color w:val="000000" w:themeColor="text1"/>
                <w:kern w:val="0"/>
                <w:sz w:val="24"/>
                <w:lang w:bidi="ar"/>
                <w14:textFill>
                  <w14:solidFill>
                    <w14:schemeClr w14:val="tx1"/>
                  </w14:solidFill>
                </w14:textFill>
              </w:rPr>
              <w:t>》（固政发〔2021〕6号），基于生态保护红线划定评估工作，划定固原市生态空间总面积4171.22 平方公里，其中生态保护红线面积为3302.06平方公里，占全市国土总面积的31.37%。</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位于固原市隆德县，固原市涉及生态红线范围主要是西南黄土高原丘陵水土保持生态保护红线-森林生态系统及六盘山水源涵养、生物多样性维护生态保护红线-黄土丘陵沟壑区林农复合生态系统，本项目不在划定的生态红线范围内，项目与生态红线位置关系见附图2。</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(2)环境质量底线 </w:t>
            </w:r>
          </w:p>
          <w:p>
            <w:pPr>
              <w:spacing w:line="360" w:lineRule="auto"/>
              <w:ind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水环境质量底线：</w:t>
            </w:r>
            <w:r>
              <w:rPr>
                <w:rFonts w:ascii="Times New Roman" w:hAnsi="Times New Roman" w:cs="Times New Roman"/>
                <w:color w:val="000000" w:themeColor="text1"/>
                <w:sz w:val="24"/>
                <w14:textFill>
                  <w14:solidFill>
                    <w14:schemeClr w14:val="tx1"/>
                  </w14:solidFill>
                </w14:textFill>
              </w:rPr>
              <w:t>固原市水环境管控区分为水环境优先保护区、水环境重点管控区（含水环境工业污染源重点管控区、水环境农业污染源重点管控区、水环境城镇生活污染源重点管控区）和水环境一般管控区。对照固原市水环境分区管控图，本项目位于水环境一般管控区，</w:t>
            </w:r>
            <w:r>
              <w:rPr>
                <w:rFonts w:ascii="Times New Roman" w:hAnsi="Times New Roman" w:cs="Times New Roman"/>
                <w:bCs/>
                <w:color w:val="000000" w:themeColor="text1"/>
                <w:sz w:val="24"/>
                <w14:textFill>
                  <w14:solidFill>
                    <w14:schemeClr w14:val="tx1"/>
                  </w14:solidFill>
                </w14:textFill>
              </w:rPr>
              <w:t>项目与固原市水环境分区管控图位置关系图</w:t>
            </w:r>
            <w:r>
              <w:rPr>
                <w:rFonts w:ascii="Times New Roman" w:hAnsi="Times New Roman" w:cs="Times New Roman"/>
                <w:color w:val="000000" w:themeColor="text1"/>
                <w:sz w:val="24"/>
                <w14:textFill>
                  <w14:solidFill>
                    <w14:schemeClr w14:val="tx1"/>
                  </w14:solidFill>
                </w14:textFill>
              </w:rPr>
              <w:t>见附图3。水环境一般管控区管控要求为：应落实《中华人民共和国水污染防治法》等相关法律法规的总体要求，加强水资源节约和保护，积极推动水生态修复治理，持续深入推进水污染防治，改善水环境质量。</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本项目位于</w:t>
            </w:r>
            <w:r>
              <w:rPr>
                <w:rFonts w:ascii="Times New Roman" w:hAnsi="Times New Roman" w:cs="Times New Roman"/>
                <w:color w:val="000000" w:themeColor="text1"/>
                <w:kern w:val="0"/>
                <w:sz w:val="24"/>
                <w14:textFill>
                  <w14:solidFill>
                    <w14:schemeClr w14:val="tx1"/>
                  </w14:solidFill>
                </w14:textFill>
              </w:rPr>
              <w:t>隆德县凤岭乡冯碑村、于河村、巩龙村，神林乡杨野河村，联财镇张楼村，</w:t>
            </w:r>
            <w:r>
              <w:rPr>
                <w:rFonts w:ascii="Times New Roman" w:hAnsi="Times New Roman" w:cs="Times New Roman"/>
                <w:color w:val="000000" w:themeColor="text1"/>
                <w:sz w:val="24"/>
                <w14:textFill>
                  <w14:solidFill>
                    <w14:schemeClr w14:val="tx1"/>
                  </w14:solidFill>
                </w14:textFill>
              </w:rPr>
              <w:t>主要对朱庄河上游及下游进行生态修复，可以有效改善区域生态环境</w:t>
            </w:r>
            <w:r>
              <w:rPr>
                <w:rFonts w:ascii="Times New Roman" w:hAnsi="Times New Roman" w:cs="Times New Roman"/>
                <w:snapToGrid w:val="0"/>
                <w:color w:val="000000" w:themeColor="text1"/>
                <w:kern w:val="0"/>
                <w:sz w:val="24"/>
                <w14:textFill>
                  <w14:solidFill>
                    <w14:schemeClr w14:val="tx1"/>
                  </w14:solidFill>
                </w14:textFill>
              </w:rPr>
              <w:t>，水资源用量较少，符合水环境一般管控区管控要求。</w:t>
            </w:r>
          </w:p>
          <w:p>
            <w:pPr>
              <w:pStyle w:val="60"/>
              <w:ind w:firstLine="482"/>
              <w:rPr>
                <w:rFonts w:eastAsia="宋体"/>
                <w:color w:val="000000" w:themeColor="text1"/>
                <w:kern w:val="2"/>
                <w:sz w:val="24"/>
                <w14:textFill>
                  <w14:solidFill>
                    <w14:schemeClr w14:val="tx1"/>
                  </w14:solidFill>
                </w14:textFill>
              </w:rPr>
            </w:pPr>
            <w:r>
              <w:rPr>
                <w:rFonts w:eastAsia="宋体"/>
                <w:b/>
                <w:color w:val="000000" w:themeColor="text1"/>
                <w:kern w:val="2"/>
                <w:sz w:val="24"/>
                <w14:textFill>
                  <w14:solidFill>
                    <w14:schemeClr w14:val="tx1"/>
                  </w14:solidFill>
                </w14:textFill>
              </w:rPr>
              <w:t>大气环境质量底线：</w:t>
            </w:r>
            <w:r>
              <w:rPr>
                <w:rFonts w:eastAsia="宋体"/>
                <w:color w:val="000000" w:themeColor="text1"/>
                <w:kern w:val="2"/>
                <w:sz w:val="24"/>
                <w14:textFill>
                  <w14:solidFill>
                    <w14:schemeClr w14:val="tx1"/>
                  </w14:solidFill>
                </w14:textFill>
              </w:rPr>
              <w:t>固原市大气环境管控区分为大气环境优先保护区、大气环境重点管控区和大气环境一般管控区。对照固原市大气环境分区管控图，本项目位于大气环境一般管控区，</w:t>
            </w:r>
            <w:r>
              <w:rPr>
                <w:rFonts w:eastAsia="宋体"/>
                <w:bCs/>
                <w:color w:val="000000" w:themeColor="text1"/>
                <w:kern w:val="2"/>
                <w:sz w:val="24"/>
                <w14:textFill>
                  <w14:solidFill>
                    <w14:schemeClr w14:val="tx1"/>
                  </w14:solidFill>
                </w14:textFill>
              </w:rPr>
              <w:t>项目与固原市大气环境分区管控图位置关系图</w:t>
            </w:r>
            <w:r>
              <w:rPr>
                <w:rFonts w:eastAsia="宋体"/>
                <w:color w:val="000000" w:themeColor="text1"/>
                <w:kern w:val="2"/>
                <w:sz w:val="24"/>
                <w14:textFill>
                  <w14:solidFill>
                    <w14:schemeClr w14:val="tx1"/>
                  </w14:solidFill>
                </w14:textFill>
              </w:rPr>
              <w:t>见附图4。大气环境一般管控区管控要求为：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本项目位于</w:t>
            </w:r>
            <w:r>
              <w:rPr>
                <w:rFonts w:ascii="Times New Roman" w:hAnsi="Times New Roman" w:cs="Times New Roman"/>
                <w:color w:val="000000" w:themeColor="text1"/>
                <w:kern w:val="0"/>
                <w:sz w:val="24"/>
                <w14:textFill>
                  <w14:solidFill>
                    <w14:schemeClr w14:val="tx1"/>
                  </w14:solidFill>
                </w14:textFill>
              </w:rPr>
              <w:t>隆德县凤岭乡冯碑村、于河村、巩龙村，神林乡杨野河村，联财镇张楼村，</w:t>
            </w:r>
            <w:r>
              <w:rPr>
                <w:rFonts w:ascii="Times New Roman" w:hAnsi="Times New Roman" w:cs="Times New Roman"/>
                <w:color w:val="000000" w:themeColor="text1"/>
                <w:sz w:val="24"/>
                <w14:textFill>
                  <w14:solidFill>
                    <w14:schemeClr w14:val="tx1"/>
                  </w14:solidFill>
                </w14:textFill>
              </w:rPr>
              <w:t>周边无环境空气质量一类区，项目仅施工期产生扬尘等废气污染，在采取合理有效的废气治理措施后对大气环境影响较小，符合大气环境一般管控区管控要求</w:t>
            </w:r>
            <w:r>
              <w:rPr>
                <w:rFonts w:ascii="Times New Roman" w:hAnsi="Times New Roman" w:cs="Times New Roman"/>
                <w:snapToGrid w:val="0"/>
                <w:color w:val="000000" w:themeColor="text1"/>
                <w:kern w:val="0"/>
                <w:sz w:val="24"/>
                <w14:textFill>
                  <w14:solidFill>
                    <w14:schemeClr w14:val="tx1"/>
                  </w14:solidFill>
                </w14:textFill>
              </w:rPr>
              <w:t>。</w:t>
            </w:r>
          </w:p>
          <w:p>
            <w:pPr>
              <w:pStyle w:val="61"/>
              <w:spacing w:before="0" w:beforeAutospacing="0" w:after="0" w:afterAutospacing="0" w:line="360" w:lineRule="auto"/>
              <w:ind w:firstLine="482"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kern w:val="2"/>
                <w14:textFill>
                  <w14:solidFill>
                    <w14:schemeClr w14:val="tx1"/>
                  </w14:solidFill>
                </w14:textFill>
              </w:rPr>
              <w:t>土壤污染风险防控底线：</w:t>
            </w:r>
            <w:r>
              <w:rPr>
                <w:rFonts w:ascii="Times New Roman" w:hAnsi="Times New Roman" w:cs="Times New Roman"/>
                <w:color w:val="000000" w:themeColor="text1"/>
                <w14:textFill>
                  <w14:solidFill>
                    <w14:schemeClr w14:val="tx1"/>
                  </w14:solidFill>
                </w14:textFill>
              </w:rPr>
              <w:t>固原市土壤污染管控区分为农用地优先保护区、建设用地污染风险重点管控区和土壤污染风险一般管控区。对照固原市土壤污染风险分区管控图，本项目位于土壤污染风险一般管控区，</w:t>
            </w:r>
            <w:r>
              <w:rPr>
                <w:rFonts w:ascii="Times New Roman" w:hAnsi="Times New Roman" w:cs="Times New Roman"/>
                <w:bCs/>
                <w:color w:val="000000" w:themeColor="text1"/>
                <w14:textFill>
                  <w14:solidFill>
                    <w14:schemeClr w14:val="tx1"/>
                  </w14:solidFill>
                </w14:textFill>
              </w:rPr>
              <w:t>项目与固原市土壤污染风险分区管控图位置关系图</w:t>
            </w:r>
            <w:r>
              <w:rPr>
                <w:rFonts w:ascii="Times New Roman" w:hAnsi="Times New Roman" w:cs="Times New Roman"/>
                <w:color w:val="000000" w:themeColor="text1"/>
                <w14:textFill>
                  <w14:solidFill>
                    <w14:schemeClr w14:val="tx1"/>
                  </w14:solidFill>
                </w14:textFill>
              </w:rPr>
              <w:t>见附图5。土壤污染风险一般管控区管控要求为：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pStyle w:val="2"/>
              <w:spacing w:after="0" w:line="360" w:lineRule="auto"/>
              <w:ind w:left="0" w:leftChars="0"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w:t>
            </w:r>
            <w:r>
              <w:rPr>
                <w:rFonts w:hint="eastAsia" w:ascii="Times New Roman" w:hAnsi="Times New Roman" w:cs="Times New Roman"/>
                <w:color w:val="000000" w:themeColor="text1"/>
                <w:sz w:val="24"/>
                <w14:textFill>
                  <w14:solidFill>
                    <w14:schemeClr w14:val="tx1"/>
                  </w14:solidFill>
                </w14:textFill>
              </w:rPr>
              <w:t>不涉及</w:t>
            </w:r>
            <w:r>
              <w:rPr>
                <w:rFonts w:ascii="Times New Roman" w:hAnsi="Times New Roman" w:cs="Times New Roman"/>
                <w:color w:val="000000" w:themeColor="text1"/>
                <w:sz w:val="24"/>
                <w14:textFill>
                  <w14:solidFill>
                    <w14:schemeClr w14:val="tx1"/>
                  </w14:solidFill>
                </w14:textFill>
              </w:rPr>
              <w:t>土壤污染风险一般管控区防控要求中禁止建设的内容，项目施工期会对建设地址的土壤造成扰动，施工结束后进行生态复绿，对所在地的土壤环境影响较小，符合土壤污染风险一般管控区的管控要求。</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fldChar w:fldCharType="begin"/>
            </w:r>
            <w:r>
              <w:rPr>
                <w:rFonts w:ascii="Times New Roman" w:hAnsi="Times New Roman" w:cs="Times New Roman"/>
                <w:color w:val="000000" w:themeColor="text1"/>
                <w:sz w:val="24"/>
                <w14:textFill>
                  <w14:solidFill>
                    <w14:schemeClr w14:val="tx1"/>
                  </w14:solidFill>
                </w14:textFill>
              </w:rPr>
              <w:instrText xml:space="preserve"> = 3 \* GB2 \* MERGEFORMAT </w:instrText>
            </w:r>
            <w:r>
              <w:rPr>
                <w:rFonts w:ascii="Times New Roman" w:hAnsi="Times New Roman" w:cs="Times New Roman"/>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⑶</w:t>
            </w:r>
            <w:r>
              <w:rPr>
                <w:rFonts w:ascii="Times New Roman" w:hAnsi="Times New Roman" w:cs="Times New Roman"/>
                <w:color w:val="000000" w:themeColor="text1"/>
                <w:sz w:val="24"/>
                <w14:textFill>
                  <w14:solidFill>
                    <w14:schemeClr w14:val="tx1"/>
                  </w14:solidFill>
                </w14:textFill>
              </w:rPr>
              <w:fldChar w:fldCharType="end"/>
            </w:r>
            <w:r>
              <w:rPr>
                <w:rFonts w:ascii="Times New Roman" w:hAnsi="Times New Roman" w:cs="Times New Roman"/>
                <w:color w:val="000000" w:themeColor="text1"/>
                <w:kern w:val="0"/>
                <w:sz w:val="24"/>
                <w:lang w:bidi="ar"/>
                <w14:textFill>
                  <w14:solidFill>
                    <w14:schemeClr w14:val="tx1"/>
                  </w14:solidFill>
                </w14:textFill>
              </w:rPr>
              <w:t>资源利用上线</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本项目在现有沟道占地内进行治理，不新增用地；施工过程中资源消耗主要为水、电，生活用水及施工用水就近取用农户家自来水，</w:t>
            </w:r>
            <w:r>
              <w:rPr>
                <w:rFonts w:ascii="Times New Roman" w:hAnsi="Times New Roman" w:cs="Times New Roman"/>
                <w:color w:val="000000" w:themeColor="text1"/>
                <w:kern w:val="0"/>
                <w:sz w:val="24"/>
                <w:lang w:val="zh-CN" w:bidi="ar"/>
                <w14:textFill>
                  <w14:solidFill>
                    <w14:schemeClr w14:val="tx1"/>
                  </w14:solidFill>
                </w14:textFill>
              </w:rPr>
              <w:t>可根据施工现场的地点管道接至施工用水处</w:t>
            </w:r>
            <w:r>
              <w:rPr>
                <w:rFonts w:ascii="Times New Roman" w:hAnsi="Times New Roman" w:cs="Times New Roman"/>
                <w:color w:val="000000" w:themeColor="text1"/>
                <w:kern w:val="0"/>
                <w:sz w:val="24"/>
                <w:lang w:bidi="ar"/>
                <w14:textFill>
                  <w14:solidFill>
                    <w14:schemeClr w14:val="tx1"/>
                  </w14:solidFill>
                </w14:textFill>
              </w:rPr>
              <w:t>，施工用电取自沿线村镇输电线网</w:t>
            </w:r>
            <w:r>
              <w:rPr>
                <w:rFonts w:hint="eastAsia" w:ascii="Times New Roman" w:hAnsi="Times New Roman" w:cs="Times New Roman"/>
                <w:color w:val="000000" w:themeColor="text1"/>
                <w:kern w:val="0"/>
                <w:sz w:val="24"/>
                <w:lang w:bidi="ar"/>
                <w14:textFill>
                  <w14:solidFill>
                    <w14:schemeClr w14:val="tx1"/>
                  </w14:solidFill>
                </w14:textFill>
              </w:rPr>
              <w:t>，</w:t>
            </w:r>
            <w:r>
              <w:rPr>
                <w:rFonts w:ascii="Times New Roman" w:hAnsi="Times New Roman" w:cs="Times New Roman"/>
                <w:color w:val="000000" w:themeColor="text1"/>
                <w:kern w:val="0"/>
                <w:sz w:val="24"/>
                <w:lang w:bidi="ar"/>
                <w14:textFill>
                  <w14:solidFill>
                    <w14:schemeClr w14:val="tx1"/>
                  </w14:solidFill>
                </w14:textFill>
              </w:rPr>
              <w:t>消耗量较少，不触及资源利用上线。</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⑷</w:t>
            </w:r>
            <w:r>
              <w:rPr>
                <w:rFonts w:ascii="Times New Roman" w:hAnsi="Times New Roman" w:cs="Times New Roman"/>
                <w:color w:val="000000" w:themeColor="text1"/>
                <w:kern w:val="0"/>
                <w:sz w:val="24"/>
                <w:lang w:bidi="ar"/>
                <w14:textFill>
                  <w14:solidFill>
                    <w14:schemeClr w14:val="tx1"/>
                  </w14:solidFill>
                </w14:textFill>
              </w:rPr>
              <w:t>生态环境准入清单</w:t>
            </w:r>
          </w:p>
          <w:p>
            <w:pPr>
              <w:pStyle w:val="61"/>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固原市共划定环境管控单元49个，其中优先保护单元25个，优先保护单元个数占全市总单元个数的51.02%，优先保护单元面积为6103.96平方公里，其面积占全市总面积的44.71%。重点管控单元个数为12个，占全市总单元个数的24.49%，重点管控单元面积为 945.59平方公里，占全市总面积的6.93%。一般管控单元个数为12个，占全市总单元个数的24.49%，其面积为6601.82平方公里，占全市总面积的48.36%。</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本项目位于隆德县凤岭乡冯碑村、于河村、巩龙村，神林乡杨野河村，联财镇张楼村，对照固原市环境管控单元图，本项目位于一般管控单元，</w:t>
            </w:r>
            <w:r>
              <w:rPr>
                <w:rFonts w:ascii="Times New Roman" w:hAnsi="Times New Roman" w:cs="Times New Roman"/>
                <w:bCs/>
                <w:color w:val="000000" w:themeColor="text1"/>
                <w:kern w:val="0"/>
                <w:sz w:val="24"/>
                <w:lang w:bidi="ar"/>
                <w14:textFill>
                  <w14:solidFill>
                    <w14:schemeClr w14:val="tx1"/>
                  </w14:solidFill>
                </w14:textFill>
              </w:rPr>
              <w:t>项目与固原市环境管控单元图位置关系图</w:t>
            </w:r>
            <w:r>
              <w:rPr>
                <w:rFonts w:ascii="Times New Roman" w:hAnsi="Times New Roman" w:cs="Times New Roman"/>
                <w:color w:val="000000" w:themeColor="text1"/>
                <w:kern w:val="0"/>
                <w:sz w:val="24"/>
                <w:lang w:bidi="ar"/>
                <w14:textFill>
                  <w14:solidFill>
                    <w14:schemeClr w14:val="tx1"/>
                  </w14:solidFill>
                </w14:textFill>
              </w:rPr>
              <w:t>见附图6，与《固原市环境管控单元生态环境准入清单》符合性判定情况见表1-2。</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 1-2生态环境准入清单</w:t>
            </w:r>
          </w:p>
          <w:tbl>
            <w:tblPr>
              <w:tblStyle w:val="27"/>
              <w:tblW w:w="7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3"/>
              <w:gridCol w:w="3851"/>
              <w:gridCol w:w="15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003" w:type="dxa"/>
                  <w:vAlign w:val="center"/>
                </w:tcPr>
                <w:p>
                  <w:pPr>
                    <w:pStyle w:val="38"/>
                    <w:spacing w:line="240" w:lineRule="auto"/>
                    <w:ind w:firstLine="0" w:firstLineChars="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管控单元</w:t>
                  </w:r>
                </w:p>
              </w:tc>
              <w:tc>
                <w:tcPr>
                  <w:tcW w:w="3851" w:type="dxa"/>
                  <w:vAlign w:val="center"/>
                </w:tcPr>
                <w:p>
                  <w:pPr>
                    <w:pStyle w:val="38"/>
                    <w:spacing w:line="240" w:lineRule="auto"/>
                    <w:ind w:firstLine="0" w:firstLineChars="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管控要求</w:t>
                  </w:r>
                </w:p>
              </w:tc>
              <w:tc>
                <w:tcPr>
                  <w:tcW w:w="1560" w:type="dxa"/>
                  <w:vAlign w:val="center"/>
                </w:tcPr>
                <w:p>
                  <w:pPr>
                    <w:pStyle w:val="38"/>
                    <w:spacing w:line="240" w:lineRule="auto"/>
                    <w:ind w:firstLine="0" w:firstLineChars="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本项目情况</w:t>
                  </w:r>
                </w:p>
              </w:tc>
              <w:tc>
                <w:tcPr>
                  <w:tcW w:w="850" w:type="dxa"/>
                  <w:vAlign w:val="center"/>
                </w:tcPr>
                <w:p>
                  <w:pPr>
                    <w:pStyle w:val="38"/>
                    <w:spacing w:line="240" w:lineRule="auto"/>
                    <w:ind w:firstLine="0" w:firstLineChars="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003" w:type="dxa"/>
                  <w:vAlign w:val="center"/>
                </w:tcPr>
                <w:p>
                  <w:pPr>
                    <w:pStyle w:val="38"/>
                    <w:spacing w:line="240" w:lineRule="auto"/>
                    <w:ind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一般管控单元</w:t>
                  </w:r>
                </w:p>
              </w:tc>
              <w:tc>
                <w:tcPr>
                  <w:tcW w:w="3851" w:type="dxa"/>
                  <w:vAlign w:val="center"/>
                </w:tcPr>
                <w:p>
                  <w:pPr>
                    <w:pStyle w:val="38"/>
                    <w:spacing w:line="240" w:lineRule="auto"/>
                    <w:ind w:firstLine="42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1.禁止在水源涵养地、天然林地、草原等植被覆盖度在40%以上和治理程度达70%以上的小流域进行开发建设。</w:t>
                  </w:r>
                </w:p>
                <w:p>
                  <w:pPr>
                    <w:pStyle w:val="38"/>
                    <w:spacing w:line="240" w:lineRule="auto"/>
                    <w:ind w:firstLine="42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2.严格限制占用林地、草地及清水河等河流沿线湿地进行开发建设活动。</w:t>
                  </w:r>
                </w:p>
                <w:p>
                  <w:pPr>
                    <w:pStyle w:val="38"/>
                    <w:spacing w:line="240" w:lineRule="auto"/>
                    <w:ind w:firstLine="42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3.在满足产业准入、总量控制、排放标准等国家和地方相关管理制度要求的前提下，集约发展。</w:t>
                  </w:r>
                </w:p>
              </w:tc>
              <w:tc>
                <w:tcPr>
                  <w:tcW w:w="15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本项目属于生态恢复项目，项目建成后，不会对环境产生不利影响。</w:t>
                  </w:r>
                </w:p>
              </w:tc>
              <w:tc>
                <w:tcPr>
                  <w:tcW w:w="850" w:type="dxa"/>
                  <w:vAlign w:val="center"/>
                </w:tcPr>
                <w:p>
                  <w:pPr>
                    <w:pStyle w:val="38"/>
                    <w:spacing w:line="240" w:lineRule="auto"/>
                    <w:ind w:firstLine="0" w:firstLineChars="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w:t>
                  </w:r>
                </w:p>
              </w:tc>
            </w:tr>
          </w:tbl>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综上所述，本项目为生态恢复项目，不属于生态环境准入清单内禁止的项目，项目建成后，不会对环境产生不利影响，符合《固原市人民政府关于实施“三线一单”生态环境分区管控的意见》中生态环境分区管控的要求。</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pStyle w:val="4"/>
              <w:ind w:firstLine="180"/>
              <w:rPr>
                <w:rFonts w:ascii="Times New Roman" w:hAnsi="Times New Roman" w:cs="Times New Roman"/>
                <w:color w:val="000000" w:themeColor="text1"/>
                <w:lang w:bidi="ar"/>
                <w14:textFill>
                  <w14:solidFill>
                    <w14:schemeClr w14:val="tx1"/>
                  </w14:solidFill>
                </w14:textFill>
              </w:rPr>
            </w:pPr>
          </w:p>
          <w:p>
            <w:pPr>
              <w:rPr>
                <w:rFonts w:ascii="Times New Roman" w:hAnsi="Times New Roman" w:cs="Times New Roman"/>
                <w:color w:val="000000" w:themeColor="text1"/>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p>
          <w:p>
            <w:pPr>
              <w:pStyle w:val="5"/>
              <w:rPr>
                <w:rFonts w:ascii="Times New Roman" w:hAnsi="Times New Roman" w:cs="Times New Roman"/>
                <w:color w:val="000000" w:themeColor="text1"/>
                <w:sz w:val="24"/>
                <w:szCs w:val="24"/>
                <w:lang w:bidi="ar"/>
                <w14:textFill>
                  <w14:solidFill>
                    <w14:schemeClr w14:val="tx1"/>
                  </w14:solidFill>
                </w14:textFill>
              </w:rPr>
            </w:pPr>
          </w:p>
          <w:p>
            <w:pPr>
              <w:pStyle w:val="4"/>
              <w:ind w:firstLine="240"/>
              <w:rPr>
                <w:rFonts w:ascii="Times New Roman" w:hAnsi="Times New Roman" w:cs="Times New Roman"/>
                <w:color w:val="000000" w:themeColor="text1"/>
                <w:sz w:val="24"/>
                <w:szCs w:val="24"/>
                <w:lang w:bidi="ar"/>
                <w14:textFill>
                  <w14:solidFill>
                    <w14:schemeClr w14:val="tx1"/>
                  </w14:solidFill>
                </w14:textFill>
              </w:rPr>
            </w:pPr>
          </w:p>
          <w:p>
            <w:pPr>
              <w:rPr>
                <w:rFonts w:ascii="Times New Roman" w:hAnsi="Times New Roman" w:cs="Times New Roman"/>
                <w:color w:val="000000" w:themeColor="text1"/>
                <w:kern w:val="0"/>
                <w:sz w:val="24"/>
                <w:lang w:bidi="ar"/>
                <w14:textFill>
                  <w14:solidFill>
                    <w14:schemeClr w14:val="tx1"/>
                  </w14:solidFill>
                </w14:textFill>
              </w:rPr>
            </w:pPr>
          </w:p>
          <w:p>
            <w:pPr>
              <w:pStyle w:val="5"/>
              <w:rPr>
                <w:rFonts w:ascii="Times New Roman" w:hAnsi="Times New Roman" w:cs="Times New Roman"/>
                <w:color w:val="000000" w:themeColor="text1"/>
                <w:sz w:val="24"/>
                <w:szCs w:val="24"/>
                <w:lang w:bidi="ar"/>
                <w14:textFill>
                  <w14:solidFill>
                    <w14:schemeClr w14:val="tx1"/>
                  </w14:solidFill>
                </w14:textFill>
              </w:rPr>
            </w:pPr>
          </w:p>
          <w:p>
            <w:pPr>
              <w:widowControl/>
              <w:spacing w:line="360" w:lineRule="auto"/>
              <w:rPr>
                <w:rFonts w:ascii="Times New Roman" w:hAnsi="Times New Roman" w:cs="Times New Roman"/>
                <w:color w:val="000000" w:themeColor="text1"/>
                <w:kern w:val="0"/>
                <w:sz w:val="24"/>
                <w:lang w:bidi="ar"/>
                <w14:textFill>
                  <w14:solidFill>
                    <w14:schemeClr w14:val="tx1"/>
                  </w14:solidFill>
                </w14:textFill>
              </w:rPr>
            </w:pPr>
          </w:p>
          <w:p>
            <w:pPr>
              <w:autoSpaceDE w:val="0"/>
              <w:autoSpaceDN w:val="0"/>
              <w:adjustRightInd w:val="0"/>
              <w:snapToGrid w:val="0"/>
              <w:rPr>
                <w:rFonts w:ascii="Times New Roman" w:hAnsi="Times New Roman" w:cs="Times New Roman"/>
                <w:color w:val="000000" w:themeColor="text1"/>
                <w:kern w:val="0"/>
                <w:szCs w:val="21"/>
                <w14:textFill>
                  <w14:solidFill>
                    <w14:schemeClr w14:val="tx1"/>
                  </w14:solidFill>
                </w14:textFill>
              </w:rPr>
            </w:pPr>
          </w:p>
        </w:tc>
      </w:tr>
    </w:tbl>
    <w:p>
      <w:pPr>
        <w:spacing w:line="360" w:lineRule="auto"/>
        <w:outlineLvl w:val="0"/>
        <w:rPr>
          <w:rFonts w:ascii="Times New Roman" w:hAnsi="Times New Roman" w:eastAsia="黑体" w:cs="Times New Roman"/>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二、建设内容</w:t>
      </w:r>
    </w:p>
    <w:tbl>
      <w:tblPr>
        <w:tblStyle w:val="27"/>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99"/>
        <w:gridCol w:w="81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地理位置</w:t>
            </w:r>
          </w:p>
        </w:tc>
        <w:tc>
          <w:tcPr>
            <w:tcW w:w="8125" w:type="dxa"/>
            <w:vAlign w:val="center"/>
          </w:tcPr>
          <w:p>
            <w:pPr>
              <w:pStyle w:val="5"/>
              <w:widowControl w:val="0"/>
              <w:overflowPunct w:val="0"/>
              <w:snapToGrid/>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项目位于固原市隆德县凤岭乡冯碑村、于河村、巩龙村，神林乡杨野河村，联财镇张楼村，</w:t>
            </w:r>
            <w:r>
              <w:rPr>
                <w:rFonts w:ascii="Times New Roman" w:hAnsi="Times New Roman" w:cs="Times New Roman"/>
                <w:color w:val="000000" w:themeColor="text1"/>
                <w:sz w:val="24"/>
                <w:szCs w:val="24"/>
                <w14:textFill>
                  <w14:solidFill>
                    <w14:schemeClr w14:val="tx1"/>
                  </w14:solidFill>
                </w14:textFill>
              </w:rPr>
              <w:t>朱庄河流域国土空间生态修复长度为13.31km，建设规模240hm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，分别为朱庄河上游段及下游段。</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上游段东起凤岭乡的巩龙村村界，西至凤岭乡冯碑村村界，南至南山边界，北至北山边界，东西方向长4.94km，南北方向平均宽0.2km，地理位置介于东经106° 3' 42.159"～106° 0' 34.293" ，北纬35° 32' 11.992"～35° 32' 26.205"之间，面积为80hm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，主要涉及凤岭乡冯碑、于河、巩龙3个行政村</w:t>
            </w:r>
            <w:r>
              <w:rPr>
                <w:rFonts w:ascii="Times New Roman" w:hAnsi="Times New Roman" w:cs="Times New Roman"/>
                <w:color w:val="000000" w:themeColor="text1"/>
                <w:kern w:val="0"/>
                <w:sz w:val="24"/>
                <w:lang w:bidi="ar"/>
                <w14:textFill>
                  <w14:solidFill>
                    <w14:schemeClr w14:val="tx1"/>
                  </w14:solidFill>
                </w14:textFill>
              </w:rPr>
              <w:t>。</w:t>
            </w:r>
          </w:p>
          <w:p>
            <w:pPr>
              <w:pStyle w:val="38"/>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下游段东起神林乡杨野河村村界，西至渝河联财段，南至南山边界，北至北山边界，东西方向长8.37km，南北方向平均宽0.2km，地理位置介于东经105° 57' 9.741"～105°54′13.129"，北纬35° 33' 5.138"～35°33′32.956"之间，面积为160hm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，主要涉及神林乡杨野河村、神林乡双村、联财镇张楼村3个行政村。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项目组成及规模</w:t>
            </w:r>
          </w:p>
        </w:tc>
        <w:tc>
          <w:tcPr>
            <w:tcW w:w="8125" w:type="dxa"/>
            <w:vAlign w:val="center"/>
          </w:tcPr>
          <w:p>
            <w:pPr>
              <w:widowControl/>
              <w:spacing w:line="360" w:lineRule="auto"/>
              <w:jc w:val="left"/>
              <w:rPr>
                <w:rFonts w:ascii="Times New Roman" w:hAnsi="Times New Roman" w:cs="Times New Roman"/>
                <w:b/>
                <w:color w:val="000000" w:themeColor="text1"/>
                <w:kern w:val="0"/>
                <w:sz w:val="24"/>
                <w:lang w:bidi="ar"/>
                <w14:textFill>
                  <w14:solidFill>
                    <w14:schemeClr w14:val="tx1"/>
                  </w14:solidFill>
                </w14:textFill>
              </w:rPr>
            </w:pPr>
            <w:bookmarkStart w:id="3" w:name="_Toc26051"/>
            <w:bookmarkStart w:id="4" w:name="_Toc28566"/>
            <w:bookmarkStart w:id="5" w:name="_Toc19906"/>
            <w:bookmarkStart w:id="6" w:name="_Toc18280"/>
            <w:bookmarkStart w:id="7" w:name="_Toc16907"/>
            <w:bookmarkStart w:id="8" w:name="_Toc24205"/>
            <w:bookmarkStart w:id="9" w:name="_Toc25000"/>
            <w:bookmarkStart w:id="10" w:name="_Toc18291"/>
            <w:bookmarkStart w:id="11" w:name="_Toc14760"/>
            <w:r>
              <w:rPr>
                <w:rFonts w:ascii="Times New Roman" w:hAnsi="Times New Roman" w:cs="Times New Roman"/>
                <w:b/>
                <w:color w:val="000000" w:themeColor="text1"/>
                <w:kern w:val="0"/>
                <w:sz w:val="24"/>
                <w:lang w:bidi="ar"/>
                <w14:textFill>
                  <w14:solidFill>
                    <w14:schemeClr w14:val="tx1"/>
                  </w14:solidFill>
                </w14:textFill>
              </w:rPr>
              <w:t>1、项目由来</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朱庄河位于隆德县，起于巩龙村前河水库，河流走向自东向西，最后于联财镇张楼村汇入渝河，涉及三个乡镇六个行政村，属渝河支流。地理位置介于东经105°53'36″～106°03'34″，北纬35°32'13″～35°33'40″之间。</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（1）项目用地及周边环境现状</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根据2018年度土地变更调查数据，项目区内的主要地类为旱地、坑塘水面、内陆滩涂、其他草地、林地等。项目区涉及凤岭乡冯碑、于河、巩龙村，神林乡杨野河、双村及联财镇张楼村等6个行政村，主要交通干道有202乡道，各行政村村组硬化道路畅通，路宽4-6m，与各村生产道路及田间道路组成项目区交通网，交通便捷，路况良好，能够满足项目实施的交通条件。项目区涉及的居民点比较集中，居民点以村民小组为单位构成，是农村生产生活的基本单位，是按照居民多年的风俗习惯形成的聚居地，多数分布在朱庄河河道两侧，各村小组之间均有道路连接，出行方便项目的实施不会造成负面影响。</w:t>
            </w:r>
            <w:r>
              <w:rPr>
                <w:rFonts w:ascii="Times New Roman" w:hAnsi="Times New Roman" w:cs="Times New Roman"/>
                <w:bCs/>
                <w:color w:val="000000" w:themeColor="text1"/>
                <w:kern w:val="0"/>
                <w:sz w:val="24"/>
                <w:lang w:bidi="ar"/>
                <w14:textFill>
                  <w14:solidFill>
                    <w14:schemeClr w14:val="tx1"/>
                  </w14:solidFill>
                </w14:textFill>
              </w:rPr>
              <w:t>朱庄河上游段及下游段周边关系图见附图7、8</w:t>
            </w:r>
            <w:r>
              <w:rPr>
                <w:rFonts w:ascii="Times New Roman" w:hAnsi="Times New Roman" w:cs="Times New Roman"/>
                <w:color w:val="000000" w:themeColor="text1"/>
                <w:kern w:val="0"/>
                <w:sz w:val="24"/>
                <w:lang w:bidi="ar"/>
                <w14:textFill>
                  <w14:solidFill>
                    <w14:schemeClr w14:val="tx1"/>
                  </w14:solidFill>
                </w14:textFill>
              </w:rPr>
              <w:t>，土地利用现状见附图9、10。</w:t>
            </w:r>
          </w:p>
          <w:p>
            <w:pPr>
              <w:widowControl/>
              <w:spacing w:line="360" w:lineRule="auto"/>
              <w:ind w:firstLine="480" w:firstLineChars="200"/>
              <w:rPr>
                <w:rFonts w:ascii="Times New Roman" w:hAnsi="Times New Roman" w:cs="Times New Roman"/>
                <w:bCs/>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（2）农田利用现状</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当地农业生产还是以传统农</w:t>
            </w:r>
            <w:r>
              <w:rPr>
                <w:rFonts w:ascii="Times New Roman" w:hAnsi="Times New Roman" w:cs="Times New Roman"/>
                <w:color w:val="000000" w:themeColor="text1"/>
                <w:kern w:val="0"/>
                <w:sz w:val="24"/>
                <w:lang w:bidi="ar"/>
                <w14:textFill>
                  <w14:solidFill>
                    <w14:schemeClr w14:val="tx1"/>
                  </w14:solidFill>
                </w14:textFill>
              </w:rPr>
              <w:t>业为主，农田主要种植小麦、玉米等传统农作物，农田田块齐整，土地肥沃，位于朱庄河河道两侧及台塬地，由于朱庄河河道近年没有有效治理，对河道侧的耕地没有设置防洪保护措施，河道行洪对两侧岸坡冲刷，形成坍塌及不稳定高陡边坡，已经威胁到两侧的耕地，并导致耕地减少。</w:t>
            </w:r>
          </w:p>
          <w:p>
            <w:pPr>
              <w:widowControl/>
              <w:jc w:val="center"/>
              <w:rPr>
                <w:rFonts w:ascii="Times New Roman" w:hAnsi="Times New Roman" w:cs="Times New Roman"/>
                <w:b/>
                <w:color w:val="000000" w:themeColor="text1"/>
                <w:kern w:val="0"/>
                <w:sz w:val="24"/>
                <w:lang w:bidi="ar"/>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drawing>
                <wp:inline distT="0" distB="0" distL="0" distR="0">
                  <wp:extent cx="4324350" cy="3238500"/>
                  <wp:effectExtent l="0" t="0" r="0" b="0"/>
                  <wp:docPr id="292" name="图片 22" descr="ea5a15eebf7fe7782eb37d0c8de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2" descr="ea5a15eebf7fe7782eb37d0c8de54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24350" cy="3238500"/>
                          </a:xfrm>
                          <a:prstGeom prst="rect">
                            <a:avLst/>
                          </a:prstGeom>
                          <a:noFill/>
                          <a:ln>
                            <a:noFill/>
                          </a:ln>
                        </pic:spPr>
                      </pic:pic>
                    </a:graphicData>
                  </a:graphic>
                </wp:inline>
              </w:drawing>
            </w:r>
          </w:p>
          <w:p>
            <w:pPr>
              <w:widowControl/>
              <w:spacing w:line="360" w:lineRule="auto"/>
              <w:ind w:firstLine="482" w:firstLineChars="200"/>
              <w:jc w:val="center"/>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图2-1 农田现状图</w:t>
            </w:r>
          </w:p>
          <w:p>
            <w:pPr>
              <w:widowControl/>
              <w:spacing w:line="360" w:lineRule="auto"/>
              <w:ind w:firstLine="480" w:firstLineChars="200"/>
              <w:jc w:val="left"/>
              <w:rPr>
                <w:rFonts w:ascii="Times New Roman" w:hAnsi="Times New Roman" w:cs="Times New Roman"/>
                <w:bCs/>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（3）河道现状</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项目区河道两侧受洪水常年冲刷，两侧陡坎屹立，对周围农田及林地侵蚀严重，出现水土流失、居民点附近河道污染等现象；造成生态环境恶化，河道内湿地因水土流失造成淤积，严重影响湿地内的生物多样性。</w:t>
            </w:r>
          </w:p>
          <w:p>
            <w:pPr>
              <w:pStyle w:val="2"/>
              <w:rPr>
                <w:rFonts w:ascii="Times New Roman" w:hAnsi="Times New Roman" w:cs="Times New Roman"/>
                <w:color w:val="000000" w:themeColor="text1"/>
                <w:lang w:bidi="ar"/>
                <w14:textFill>
                  <w14:solidFill>
                    <w14:schemeClr w14:val="tx1"/>
                  </w14:solidFill>
                </w14:textFill>
              </w:rPr>
            </w:pPr>
          </w:p>
          <w:p>
            <w:pPr>
              <w:pStyle w:val="4"/>
              <w:ind w:firstLine="180"/>
              <w:rPr>
                <w:rFonts w:ascii="Times New Roman" w:hAnsi="Times New Roman" w:cs="Times New Roman"/>
                <w:color w:val="000000" w:themeColor="text1"/>
                <w:lang w:bidi="ar"/>
                <w14:textFill>
                  <w14:solidFill>
                    <w14:schemeClr w14:val="tx1"/>
                  </w14:solidFill>
                </w14:textFill>
              </w:rPr>
            </w:pPr>
          </w:p>
          <w:p>
            <w:pPr>
              <w:rPr>
                <w:rFonts w:ascii="Times New Roman" w:hAnsi="Times New Roman" w:cs="Times New Roman"/>
                <w:color w:val="000000" w:themeColor="text1"/>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pStyle w:val="4"/>
              <w:ind w:firstLine="180"/>
              <w:rPr>
                <w:rFonts w:ascii="Times New Roman" w:hAnsi="Times New Roman" w:cs="Times New Roman"/>
                <w:color w:val="000000" w:themeColor="text1"/>
                <w:lang w:bidi="ar"/>
                <w14:textFill>
                  <w14:solidFill>
                    <w14:schemeClr w14:val="tx1"/>
                  </w14:solidFill>
                </w14:textFill>
              </w:rPr>
            </w:pPr>
          </w:p>
          <w:p>
            <w:pPr>
              <w:rPr>
                <w:rFonts w:ascii="Times New Roman" w:hAnsi="Times New Roman" w:cs="Times New Roman"/>
                <w:color w:val="000000" w:themeColor="text1"/>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pStyle w:val="4"/>
              <w:ind w:firstLine="180"/>
              <w:rPr>
                <w:rFonts w:ascii="Times New Roman" w:hAnsi="Times New Roman" w:cs="Times New Roman"/>
                <w:color w:val="000000" w:themeColor="text1"/>
                <w:lang w:bidi="ar"/>
                <w14:textFill>
                  <w14:solidFill>
                    <w14:schemeClr w14:val="tx1"/>
                  </w14:solidFill>
                </w14:textFill>
              </w:rPr>
            </w:pPr>
          </w:p>
          <w:p>
            <w:pPr>
              <w:rPr>
                <w:rFonts w:ascii="Times New Roman" w:hAnsi="Times New Roman" w:cs="Times New Roman"/>
                <w:color w:val="000000" w:themeColor="text1"/>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widowControl/>
              <w:jc w:val="center"/>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drawing>
                <wp:inline distT="0" distB="0" distL="0" distR="0">
                  <wp:extent cx="4181475" cy="3140710"/>
                  <wp:effectExtent l="0" t="0" r="0" b="2540"/>
                  <wp:docPr id="293" name="图片 23" descr="e307c8b47c63637b29225a53a21a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3" descr="e307c8b47c63637b29225a53a21ad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81476" cy="3140712"/>
                          </a:xfrm>
                          <a:prstGeom prst="rect">
                            <a:avLst/>
                          </a:prstGeom>
                          <a:noFill/>
                          <a:ln>
                            <a:noFill/>
                          </a:ln>
                        </pic:spPr>
                      </pic:pic>
                    </a:graphicData>
                  </a:graphic>
                </wp:inline>
              </w:drawing>
            </w:r>
          </w:p>
          <w:p>
            <w:pPr>
              <w:widowControl/>
              <w:spacing w:line="360" w:lineRule="auto"/>
              <w:ind w:firstLine="482" w:firstLineChars="200"/>
              <w:jc w:val="center"/>
              <w:rPr>
                <w:rFonts w:ascii="Times New Roman" w:hAnsi="Times New Roman" w:cs="Times New Roman"/>
                <w:bCs/>
                <w:color w:val="000000" w:themeColor="text1"/>
                <w:kern w:val="0"/>
                <w:sz w:val="24"/>
                <w:lang w:bidi="ar"/>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图2-2 河道现状图</w:t>
            </w:r>
          </w:p>
          <w:p>
            <w:pPr>
              <w:widowControl/>
              <w:spacing w:line="360" w:lineRule="auto"/>
              <w:ind w:firstLine="480" w:firstLineChars="200"/>
              <w:jc w:val="left"/>
              <w:rPr>
                <w:rFonts w:ascii="Times New Roman" w:hAnsi="Times New Roman" w:cs="Times New Roman"/>
                <w:bCs/>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（4）农业生态林现状</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区由于受雨水冲刷、全年降雨分布不均等多种原因造成林分提前或加速进入衰退阶段，出现林木枯死、生长不良的现象，稳定性降低，生态防护功能退化甚至丧失，已经没有办法通过自然更新恢复防护林。有相当部分生态林郁闭度已降至0.3以下，朱庄河流域南北支沟及荒坡均无树木，土地裸露，水土流失严重。</w:t>
            </w:r>
          </w:p>
          <w:p>
            <w:pPr>
              <w:widowControl/>
              <w:jc w:val="center"/>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4191000" cy="2971800"/>
                  <wp:effectExtent l="0" t="0" r="0" b="0"/>
                  <wp:docPr id="304" name="图片 1"/>
                  <wp:cNvGraphicFramePr/>
                  <a:graphic xmlns:a="http://schemas.openxmlformats.org/drawingml/2006/main">
                    <a:graphicData uri="http://schemas.openxmlformats.org/drawingml/2006/picture">
                      <pic:pic xmlns:pic="http://schemas.openxmlformats.org/drawingml/2006/picture">
                        <pic:nvPicPr>
                          <pic:cNvPr id="304" name="图片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91000" cy="2971800"/>
                          </a:xfrm>
                          <a:prstGeom prst="rect">
                            <a:avLst/>
                          </a:prstGeom>
                          <a:noFill/>
                          <a:ln>
                            <a:noFill/>
                          </a:ln>
                        </pic:spPr>
                      </pic:pic>
                    </a:graphicData>
                  </a:graphic>
                </wp:inline>
              </w:drawing>
            </w:r>
          </w:p>
          <w:p>
            <w:pPr>
              <w:widowControl/>
              <w:spacing w:line="360" w:lineRule="auto"/>
              <w:ind w:firstLine="482" w:firstLineChars="200"/>
              <w:jc w:val="center"/>
              <w:rPr>
                <w:rFonts w:ascii="Times New Roman" w:hAnsi="Times New Roman" w:cs="Times New Roman"/>
                <w:b/>
                <w:color w:val="000000" w:themeColor="text1"/>
                <w:kern w:val="0"/>
                <w:sz w:val="24"/>
                <w:lang w:bidi="ar"/>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图2-3 农业生态林现状图</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由于水流冲刷及年久失修等原因，朱庄河流域存在地形地貌破坏、植被损毁、水土流失、河岸坍塌导致耕地流失等问题。针对以上问题，隆德县自然资源局决定实施“</w:t>
            </w:r>
            <w:r>
              <w:rPr>
                <w:rFonts w:ascii="Times New Roman" w:hAnsi="Times New Roman" w:cs="Times New Roman"/>
                <w:color w:val="000000" w:themeColor="text1"/>
                <w:sz w:val="24"/>
                <w14:textFill>
                  <w14:solidFill>
                    <w14:schemeClr w14:val="tx1"/>
                  </w14:solidFill>
                </w14:textFill>
              </w:rPr>
              <w:t>隆德县朱庄河流域国土空间生态修复项目</w:t>
            </w:r>
            <w:r>
              <w:rPr>
                <w:rFonts w:ascii="Times New Roman" w:hAnsi="Times New Roman" w:cs="Times New Roman"/>
                <w:color w:val="000000" w:themeColor="text1"/>
                <w:kern w:val="0"/>
                <w:sz w:val="24"/>
                <w:lang w:bidi="ar"/>
                <w14:textFill>
                  <w14:solidFill>
                    <w14:schemeClr w14:val="tx1"/>
                  </w14:solidFill>
                </w14:textFill>
              </w:rPr>
              <w:t>”，项目的实施可以使地质灾害隐患得到消除，地形地貌景观得到改善，土地生态功能恢复，水土保持能力增强，可有效恢复和保护生物多样性，提升项目区生态环境和人居环境，有效的减轻水土流失，提升与周边地形地貌景观的和谐度，更加完善隆德县政府的“生态文化旅游”布局。</w:t>
            </w:r>
          </w:p>
          <w:p>
            <w:pPr>
              <w:pStyle w:val="8"/>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w:t>
            </w:r>
            <w:bookmarkEnd w:id="3"/>
            <w:bookmarkEnd w:id="4"/>
            <w:bookmarkEnd w:id="5"/>
            <w:bookmarkEnd w:id="6"/>
            <w:bookmarkEnd w:id="7"/>
            <w:bookmarkEnd w:id="8"/>
            <w:bookmarkEnd w:id="9"/>
            <w:bookmarkEnd w:id="10"/>
            <w:bookmarkEnd w:id="11"/>
            <w:r>
              <w:rPr>
                <w:rFonts w:ascii="Times New Roman" w:hAnsi="Times New Roman" w:cs="Times New Roman"/>
                <w:color w:val="000000" w:themeColor="text1"/>
                <w:sz w:val="24"/>
                <w14:textFill>
                  <w14:solidFill>
                    <w14:schemeClr w14:val="tx1"/>
                  </w14:solidFill>
                </w14:textFill>
              </w:rPr>
              <w:t>项目组成</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项目名称：</w:t>
            </w:r>
            <w:r>
              <w:rPr>
                <w:rFonts w:ascii="Times New Roman" w:hAnsi="Times New Roman" w:cs="Times New Roman"/>
                <w:color w:val="000000" w:themeColor="text1"/>
                <w:sz w:val="24"/>
                <w14:textFill>
                  <w14:solidFill>
                    <w14:schemeClr w14:val="tx1"/>
                  </w14:solidFill>
                </w14:textFill>
              </w:rPr>
              <w:t>隆德县朱庄河流域国土空间生态修复项目</w:t>
            </w:r>
            <w:r>
              <w:rPr>
                <w:rFonts w:ascii="Times New Roman" w:hAnsi="Times New Roman" w:cs="Times New Roman"/>
                <w:color w:val="000000" w:themeColor="text1"/>
                <w:kern w:val="0"/>
                <w:sz w:val="24"/>
                <w:lang w:bidi="ar"/>
                <w14:textFill>
                  <w14:solidFill>
                    <w14:schemeClr w14:val="tx1"/>
                  </w14:solidFill>
                </w14:textFill>
              </w:rPr>
              <w:t xml:space="preserve">； </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建设单位：隆德县自然资源局； </w:t>
            </w:r>
          </w:p>
          <w:p>
            <w:pPr>
              <w:widowControl/>
              <w:spacing w:line="360" w:lineRule="auto"/>
              <w:ind w:firstLine="480" w:firstLineChars="200"/>
              <w:jc w:val="left"/>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建设地点：固原市隆德县凤岭乡冯碑村、于河村、巩龙村，神林乡杨野河村，联财镇张楼村；</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建设性质：新建；</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项目总投资：3328.62万元； </w:t>
            </w:r>
          </w:p>
          <w:p>
            <w:pPr>
              <w:pStyle w:val="5"/>
              <w:topLinePunct/>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占地面积及修复长度：本项目修复（治理）面积共240平方公顷，</w:t>
            </w:r>
            <w:r>
              <w:rPr>
                <w:rFonts w:ascii="Times New Roman" w:hAnsi="Times New Roman" w:cs="Times New Roman"/>
                <w:color w:val="000000" w:themeColor="text1"/>
                <w:sz w:val="24"/>
                <w:szCs w:val="24"/>
                <w14:textFill>
                  <w14:solidFill>
                    <w14:schemeClr w14:val="tx1"/>
                  </w14:solidFill>
                </w14:textFill>
              </w:rPr>
              <w:t>修复长度为13.31km</w:t>
            </w:r>
            <w:r>
              <w:rPr>
                <w:rFonts w:ascii="Times New Roman" w:hAnsi="Times New Roman" w:cs="Times New Roman"/>
                <w:color w:val="000000" w:themeColor="text1"/>
                <w:sz w:val="24"/>
                <w:szCs w:val="24"/>
                <w:lang w:bidi="ar"/>
                <w14:textFill>
                  <w14:solidFill>
                    <w14:schemeClr w14:val="tx1"/>
                  </w14:solidFill>
                </w14:textFill>
              </w:rPr>
              <w:t>。</w:t>
            </w:r>
          </w:p>
          <w:p>
            <w:pPr>
              <w:pStyle w:val="4"/>
              <w:widowControl w:val="0"/>
              <w:overflowPunct w:val="0"/>
              <w:adjustRightInd w:val="0"/>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项目实际建设规模及内容：</w:t>
            </w:r>
          </w:p>
          <w:p>
            <w:pPr>
              <w:pStyle w:val="4"/>
              <w:widowControl w:val="0"/>
              <w:numPr>
                <w:ilvl w:val="0"/>
                <w:numId w:val="1"/>
              </w:numPr>
              <w:overflowPunct w:val="0"/>
              <w:adjustRightInd w:val="0"/>
              <w:snapToGrid/>
              <w:spacing w:before="0" w:after="0" w:line="360" w:lineRule="auto"/>
              <w:ind w:left="0"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陡坎生态修复工程：土方开挖3.67万m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，土方回填3.67万m³，坡面密植紫穗槐112.63万株、水蜡90.11万株，种植云杉（H=1.81-2.0m、带土球直径≥40cm、φ＞1.2m、冠形丰满）1922株。</w:t>
            </w:r>
          </w:p>
          <w:p>
            <w:pPr>
              <w:pStyle w:val="4"/>
              <w:widowControl w:val="0"/>
              <w:overflowPunct w:val="0"/>
              <w:adjustRightInd w:val="0"/>
              <w:snapToGrid/>
              <w:spacing w:before="0" w:after="0" w:line="360" w:lineRule="auto"/>
              <w:ind w:right="0" w:firstLine="480" w:firstLineChars="200"/>
              <w:rPr>
                <w:rFonts w:ascii="Times New Roman" w:hAnsi="Times New Roman" w:cs="Times New Roman"/>
                <w:bCs/>
                <w:color w:val="000000" w:themeColor="text1"/>
                <w:sz w:val="24"/>
                <w:szCs w:val="24"/>
                <w:lang w:bidi="ar"/>
                <w14:textFill>
                  <w14:solidFill>
                    <w14:schemeClr w14:val="tx1"/>
                  </w14:solidFill>
                </w14:textFill>
              </w:rPr>
            </w:pPr>
            <w:r>
              <w:rPr>
                <w:rFonts w:ascii="Times New Roman" w:hAnsi="Times New Roman" w:cs="Times New Roman"/>
                <w:color w:val="000000" w:themeColor="text1"/>
                <w:kern w:val="2"/>
                <w:sz w:val="24"/>
                <w:szCs w:val="24"/>
                <w14:textFill>
                  <w14:solidFill>
                    <w14:schemeClr w14:val="tx1"/>
                  </w14:solidFill>
                </w14:textFill>
              </w:rPr>
              <w:t>（2）河床生态修复工程：清理及修整断面长度12.991km，其中上游河床修复长度4.885km，下游河床修复8.106km。共计土方开挖17.76万m³，土方回填17.76万m³；浅水湾生态修复8处，共计播撒芦苇3.32hm</w:t>
            </w:r>
            <w:r>
              <w:rPr>
                <w:rFonts w:ascii="Times New Roman" w:hAnsi="Times New Roman" w:cs="Times New Roman"/>
                <w:color w:val="000000" w:themeColor="text1"/>
                <w:kern w:val="2"/>
                <w:sz w:val="24"/>
                <w:szCs w:val="24"/>
                <w:vertAlign w:val="superscript"/>
                <w14:textFill>
                  <w14:solidFill>
                    <w14:schemeClr w14:val="tx1"/>
                  </w14:solidFill>
                </w14:textFill>
              </w:rPr>
              <w:t>2</w:t>
            </w:r>
            <w:r>
              <w:rPr>
                <w:rFonts w:ascii="Times New Roman" w:hAnsi="Times New Roman" w:cs="Times New Roman"/>
                <w:color w:val="000000" w:themeColor="text1"/>
                <w:kern w:val="2"/>
                <w:sz w:val="24"/>
                <w:szCs w:val="24"/>
                <w14:textFill>
                  <w14:solidFill>
                    <w14:schemeClr w14:val="tx1"/>
                  </w14:solidFill>
                </w14:textFill>
              </w:rPr>
              <w:t>；</w:t>
            </w:r>
            <w:r>
              <w:rPr>
                <w:rFonts w:ascii="Times New Roman" w:hAnsi="Times New Roman" w:cs="Times New Roman"/>
                <w:bCs/>
                <w:color w:val="000000" w:themeColor="text1"/>
                <w:kern w:val="2"/>
                <w:sz w:val="24"/>
                <w:szCs w:val="24"/>
                <w14:textFill>
                  <w14:solidFill>
                    <w14:schemeClr w14:val="tx1"/>
                  </w14:solidFill>
                </w14:textFill>
              </w:rPr>
              <w:t>修复湿地2处0.85hm</w:t>
            </w:r>
            <w:r>
              <w:rPr>
                <w:rFonts w:ascii="Times New Roman" w:hAnsi="Times New Roman" w:cs="Times New Roman"/>
                <w:bCs/>
                <w:color w:val="000000" w:themeColor="text1"/>
                <w:kern w:val="2"/>
                <w:sz w:val="24"/>
                <w:szCs w:val="24"/>
                <w:vertAlign w:val="superscript"/>
                <w14:textFill>
                  <w14:solidFill>
                    <w14:schemeClr w14:val="tx1"/>
                  </w14:solidFill>
                </w14:textFill>
              </w:rPr>
              <w:t>2</w:t>
            </w:r>
            <w:r>
              <w:rPr>
                <w:rFonts w:ascii="Times New Roman" w:hAnsi="Times New Roman" w:cs="Times New Roman"/>
                <w:bCs/>
                <w:color w:val="000000" w:themeColor="text1"/>
                <w:kern w:val="2"/>
                <w:sz w:val="24"/>
                <w:szCs w:val="24"/>
                <w14:textFill>
                  <w14:solidFill>
                    <w14:schemeClr w14:val="tx1"/>
                  </w14:solidFill>
                </w14:textFill>
              </w:rPr>
              <w:t>（12.8亩），其中上游冯碑村1处，面积为0.52hm</w:t>
            </w:r>
            <w:r>
              <w:rPr>
                <w:rFonts w:ascii="Times New Roman" w:hAnsi="Times New Roman" w:cs="Times New Roman"/>
                <w:bCs/>
                <w:color w:val="000000" w:themeColor="text1"/>
                <w:kern w:val="2"/>
                <w:sz w:val="24"/>
                <w:szCs w:val="24"/>
                <w:vertAlign w:val="superscript"/>
                <w14:textFill>
                  <w14:solidFill>
                    <w14:schemeClr w14:val="tx1"/>
                  </w14:solidFill>
                </w14:textFill>
              </w:rPr>
              <w:t>2</w:t>
            </w:r>
            <w:r>
              <w:rPr>
                <w:rFonts w:ascii="Times New Roman" w:hAnsi="Times New Roman" w:cs="Times New Roman"/>
                <w:bCs/>
                <w:color w:val="000000" w:themeColor="text1"/>
                <w:kern w:val="2"/>
                <w:sz w:val="24"/>
                <w:szCs w:val="24"/>
                <w14:textFill>
                  <w14:solidFill>
                    <w14:schemeClr w14:val="tx1"/>
                  </w14:solidFill>
                </w14:textFill>
              </w:rPr>
              <w:t>，下游杨野河村1处，面积为0.34hm</w:t>
            </w:r>
            <w:r>
              <w:rPr>
                <w:rFonts w:ascii="Times New Roman" w:hAnsi="Times New Roman" w:cs="Times New Roman"/>
                <w:bCs/>
                <w:color w:val="000000" w:themeColor="text1"/>
                <w:kern w:val="2"/>
                <w:sz w:val="24"/>
                <w:szCs w:val="24"/>
                <w:vertAlign w:val="superscript"/>
                <w14:textFill>
                  <w14:solidFill>
                    <w14:schemeClr w14:val="tx1"/>
                  </w14:solidFill>
                </w14:textFill>
              </w:rPr>
              <w:t>2</w:t>
            </w:r>
            <w:r>
              <w:rPr>
                <w:rFonts w:ascii="Times New Roman" w:hAnsi="Times New Roman" w:cs="Times New Roman"/>
                <w:bCs/>
                <w:color w:val="000000" w:themeColor="text1"/>
                <w:kern w:val="2"/>
                <w:sz w:val="24"/>
                <w:szCs w:val="24"/>
                <w14:textFill>
                  <w14:solidFill>
                    <w14:schemeClr w14:val="tx1"/>
                  </w14:solidFill>
                </w14:textFill>
              </w:rPr>
              <w:t>，湿地坡面及周围种植红豆草1.28hm</w:t>
            </w:r>
            <w:r>
              <w:rPr>
                <w:rFonts w:ascii="Times New Roman" w:hAnsi="Times New Roman" w:cs="Times New Roman"/>
                <w:bCs/>
                <w:color w:val="000000" w:themeColor="text1"/>
                <w:kern w:val="2"/>
                <w:sz w:val="24"/>
                <w:szCs w:val="24"/>
                <w:vertAlign w:val="superscript"/>
                <w14:textFill>
                  <w14:solidFill>
                    <w14:schemeClr w14:val="tx1"/>
                  </w14:solidFill>
                </w14:textFill>
              </w:rPr>
              <w:t>2</w:t>
            </w:r>
            <w:r>
              <w:rPr>
                <w:rFonts w:ascii="Times New Roman" w:hAnsi="Times New Roman" w:cs="Times New Roman"/>
                <w:bCs/>
                <w:color w:val="000000" w:themeColor="text1"/>
                <w:sz w:val="24"/>
                <w:szCs w:val="24"/>
                <w:lang w:bidi="ar"/>
                <w14:textFill>
                  <w14:solidFill>
                    <w14:schemeClr w14:val="tx1"/>
                  </w14:solidFill>
                </w14:textFill>
              </w:rPr>
              <w:t>。</w:t>
            </w:r>
          </w:p>
          <w:p>
            <w:pPr>
              <w:pStyle w:val="4"/>
              <w:widowControl w:val="0"/>
              <w:overflowPunct w:val="0"/>
              <w:adjustRightInd w:val="0"/>
              <w:snapToGrid/>
              <w:spacing w:before="0" w:after="0" w:line="360" w:lineRule="auto"/>
              <w:ind w:right="0"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（3）护岸生态修复工程：</w:t>
            </w:r>
            <w:r>
              <w:rPr>
                <w:rFonts w:ascii="Times New Roman" w:hAnsi="Times New Roman" w:cs="Times New Roman"/>
                <w:bCs/>
                <w:color w:val="000000" w:themeColor="text1"/>
                <w:kern w:val="2"/>
                <w:sz w:val="24"/>
                <w:szCs w:val="24"/>
                <w14:textFill>
                  <w14:solidFill>
                    <w14:schemeClr w14:val="tx1"/>
                  </w14:solidFill>
                </w14:textFill>
              </w:rPr>
              <w:t>河道两侧护岸砌筑10.96km，其中左</w:t>
            </w:r>
            <w:r>
              <w:rPr>
                <w:rFonts w:ascii="Times New Roman" w:hAnsi="Times New Roman" w:cs="Times New Roman"/>
                <w:color w:val="000000" w:themeColor="text1"/>
                <w:sz w:val="24"/>
                <w:szCs w:val="24"/>
                <w14:textFill>
                  <w14:solidFill>
                    <w14:schemeClr w14:val="tx1"/>
                  </w14:solidFill>
                </w14:textFill>
              </w:rPr>
              <w:t>岸浆砌</w:t>
            </w:r>
            <w:r>
              <w:rPr>
                <w:rFonts w:ascii="Times New Roman" w:hAnsi="Times New Roman" w:cs="Times New Roman"/>
                <w:bCs/>
                <w:color w:val="000000" w:themeColor="text1"/>
                <w:kern w:val="2"/>
                <w:sz w:val="24"/>
                <w:szCs w:val="24"/>
                <w14:textFill>
                  <w14:solidFill>
                    <w14:schemeClr w14:val="tx1"/>
                  </w14:solidFill>
                </w14:textFill>
              </w:rPr>
              <w:t>石砌护长度5.32km</w:t>
            </w:r>
            <w:r>
              <w:rPr>
                <w:rFonts w:hint="eastAsia" w:ascii="Times New Roman" w:hAnsi="Times New Roman" w:cs="Times New Roman"/>
                <w:bCs/>
                <w:color w:val="000000" w:themeColor="text1"/>
                <w:kern w:val="2"/>
                <w:sz w:val="24"/>
                <w:szCs w:val="24"/>
                <w14:textFill>
                  <w14:solidFill>
                    <w14:schemeClr w14:val="tx1"/>
                  </w14:solidFill>
                </w14:textFill>
              </w:rPr>
              <w:t>，</w:t>
            </w:r>
            <w:r>
              <w:rPr>
                <w:rFonts w:ascii="Times New Roman" w:hAnsi="Times New Roman" w:cs="Times New Roman"/>
                <w:bCs/>
                <w:color w:val="000000" w:themeColor="text1"/>
                <w:kern w:val="2"/>
                <w:sz w:val="24"/>
                <w:szCs w:val="24"/>
                <w14:textFill>
                  <w14:solidFill>
                    <w14:schemeClr w14:val="tx1"/>
                  </w14:solidFill>
                </w14:textFill>
              </w:rPr>
              <w:t>右岸浆砌石砌护场地5.64km；护</w:t>
            </w:r>
            <w:r>
              <w:rPr>
                <w:rFonts w:ascii="Times New Roman" w:hAnsi="Times New Roman" w:cs="Times New Roman"/>
                <w:bCs/>
                <w:color w:val="000000" w:themeColor="text1"/>
                <w:sz w:val="24"/>
                <w:szCs w:val="24"/>
                <w:lang w:bidi="ar"/>
                <w14:textFill>
                  <w14:solidFill>
                    <w14:schemeClr w14:val="tx1"/>
                  </w14:solidFill>
                </w14:textFill>
              </w:rPr>
              <w:t>岸两侧铺设4m宽砂砾石路19.96km，铺砂厚度150mm；砂砾石道路两侧栽植漳河柳（胸径6.1-8cm，定干高度≥3m）13307株。</w:t>
            </w:r>
          </w:p>
          <w:p>
            <w:pPr>
              <w:pStyle w:val="21"/>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（4）</w:t>
            </w:r>
            <w:r>
              <w:rPr>
                <w:bCs/>
                <w:color w:val="000000" w:themeColor="text1"/>
                <w:sz w:val="24"/>
                <w14:textFill>
                  <w14:solidFill>
                    <w14:schemeClr w14:val="tx1"/>
                  </w14:solidFill>
                </w14:textFill>
              </w:rPr>
              <w:t>生态经济林工程：</w:t>
            </w:r>
            <w:r>
              <w:rPr>
                <w:color w:val="000000" w:themeColor="text1"/>
                <w:sz w:val="24"/>
                <w14:textFill>
                  <w14:solidFill>
                    <w14:schemeClr w14:val="tx1"/>
                  </w14:solidFill>
                </w14:textFill>
              </w:rPr>
              <w:t>项目区共规划种植红梅杏（d≥3cm、带土球≥25cm）6.15万株；种植云杉（H=1.81-2.0m、带土球直径≥40cm、φ＞1.2m、冠形丰满）5.4万株；种植油松（H=2.51-3m、带土球直径≥40cm、φ＞1.6m、冠形丰满）0.815万株。</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表2-1  本项目工程组成一览表</w:t>
            </w:r>
          </w:p>
          <w:tbl>
            <w:tblPr>
              <w:tblStyle w:val="27"/>
              <w:tblW w:w="800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648"/>
              <w:gridCol w:w="1416"/>
              <w:gridCol w:w="59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项目组成</w:t>
                  </w: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名称</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主体工程</w:t>
                  </w: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陡坎生态修复工程</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设计陡坎削坡13处，削坡土方3.67万m</w:t>
                  </w:r>
                  <w:r>
                    <w:rPr>
                      <w:rFonts w:ascii="Times New Roman" w:hAnsi="Times New Roman" w:cs="Times New Roman"/>
                      <w:color w:val="000000" w:themeColor="text1"/>
                      <w:kern w:val="0"/>
                      <w:szCs w:val="21"/>
                      <w:vertAlign w:val="superscript"/>
                      <w:lang w:bidi="ar"/>
                      <w14:textFill>
                        <w14:solidFill>
                          <w14:schemeClr w14:val="tx1"/>
                        </w14:solidFill>
                      </w14:textFill>
                    </w:rPr>
                    <w:t>3</w:t>
                  </w:r>
                  <w:r>
                    <w:rPr>
                      <w:rFonts w:ascii="Times New Roman" w:hAnsi="Times New Roman" w:cs="Times New Roman"/>
                      <w:color w:val="000000" w:themeColor="text1"/>
                      <w:kern w:val="0"/>
                      <w:szCs w:val="21"/>
                      <w:lang w:bidi="ar"/>
                      <w14:textFill>
                        <w14:solidFill>
                          <w14:schemeClr w14:val="tx1"/>
                        </w14:solidFill>
                      </w14:textFill>
                    </w:rPr>
                    <w:t>，种植云杉1922株，密植紫穗槐112.63万株、密植水蜡90.11万株。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河床生态修复工程</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本次规划河床生态修复长度13.31km，</w:t>
                  </w:r>
                  <w:r>
                    <w:rPr>
                      <w:rFonts w:ascii="Times New Roman" w:hAnsi="Times New Roman" w:cs="Times New Roman"/>
                      <w:color w:val="000000" w:themeColor="text1"/>
                      <w:szCs w:val="21"/>
                      <w14:textFill>
                        <w14:solidFill>
                          <w14:schemeClr w14:val="tx1"/>
                        </w14:solidFill>
                      </w14:textFill>
                    </w:rPr>
                    <w:t>清理及修整断面长度12.991km，其中上游河床修复长度4.885km，下游河床修复8.106km。共计土方开挖17.76万m³，土方回填17.76万m³；浅水湾生态修复8处，共计播撒芦苇3.32hm</w:t>
                  </w:r>
                  <w:r>
                    <w:rPr>
                      <w:rFonts w:ascii="Times New Roman" w:hAnsi="Times New Roman" w:cs="Times New Roman"/>
                      <w:color w:val="000000" w:themeColor="text1"/>
                      <w:szCs w:val="21"/>
                      <w:vertAlign w:val="super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修复湿地2处0.85hm</w:t>
                  </w:r>
                  <w:r>
                    <w:rPr>
                      <w:rFonts w:ascii="Times New Roman" w:hAnsi="Times New Roman" w:cs="Times New Roman"/>
                      <w:bCs/>
                      <w:color w:val="000000" w:themeColor="text1"/>
                      <w:szCs w:val="21"/>
                      <w:vertAlign w:val="superscript"/>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（12.8亩），其中上游冯碑村1处，面积为0.52hm</w:t>
                  </w:r>
                  <w:r>
                    <w:rPr>
                      <w:rFonts w:ascii="Times New Roman" w:hAnsi="Times New Roman" w:cs="Times New Roman"/>
                      <w:bCs/>
                      <w:color w:val="000000" w:themeColor="text1"/>
                      <w:szCs w:val="21"/>
                      <w:vertAlign w:val="superscript"/>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，下游杨野河村1处，面积为0.34hm</w:t>
                  </w:r>
                  <w:r>
                    <w:rPr>
                      <w:rFonts w:ascii="Times New Roman" w:hAnsi="Times New Roman" w:cs="Times New Roman"/>
                      <w:bCs/>
                      <w:color w:val="000000" w:themeColor="text1"/>
                      <w:szCs w:val="21"/>
                      <w:vertAlign w:val="superscript"/>
                      <w14:textFill>
                        <w14:solidFill>
                          <w14:schemeClr w14:val="tx1"/>
                        </w14:solidFill>
                      </w14:textFill>
                    </w:rPr>
                    <w:t>2</w:t>
                  </w:r>
                  <w:r>
                    <w:rPr>
                      <w:rFonts w:ascii="Times New Roman" w:hAnsi="Times New Roman" w:cs="Times New Roman"/>
                      <w:bCs/>
                      <w:color w:val="000000" w:themeColor="text1"/>
                      <w:szCs w:val="21"/>
                      <w14:textFill>
                        <w14:solidFill>
                          <w14:schemeClr w14:val="tx1"/>
                        </w14:solidFill>
                      </w14:textFill>
                    </w:rPr>
                    <w:t>，湿地坡面及周围种植红豆草1.28hm</w:t>
                  </w:r>
                  <w:r>
                    <w:rPr>
                      <w:rFonts w:ascii="Times New Roman" w:hAnsi="Times New Roman" w:cs="Times New Roman"/>
                      <w:bCs/>
                      <w:color w:val="000000" w:themeColor="text1"/>
                      <w:szCs w:val="21"/>
                      <w:vertAlign w:val="superscript"/>
                      <w14:textFill>
                        <w14:solidFill>
                          <w14:schemeClr w14:val="tx1"/>
                        </w14:solidFill>
                      </w14:textFill>
                    </w:rPr>
                    <w:t>2</w:t>
                  </w:r>
                  <w:r>
                    <w:rPr>
                      <w:rFonts w:ascii="Times New Roman" w:hAnsi="Times New Roman" w:cs="Times New Roman"/>
                      <w:bCs/>
                      <w:color w:val="000000" w:themeColor="text1"/>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护岸生态修复工程</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河道两侧护岸砌筑10.96km，其中左</w:t>
                  </w:r>
                  <w:r>
                    <w:rPr>
                      <w:rFonts w:ascii="Times New Roman" w:hAnsi="Times New Roman" w:cs="Times New Roman"/>
                      <w:color w:val="000000" w:themeColor="text1"/>
                      <w:szCs w:val="21"/>
                      <w14:textFill>
                        <w14:solidFill>
                          <w14:schemeClr w14:val="tx1"/>
                        </w14:solidFill>
                      </w14:textFill>
                    </w:rPr>
                    <w:t>岸浆砌</w:t>
                  </w:r>
                  <w:r>
                    <w:rPr>
                      <w:rFonts w:ascii="Times New Roman" w:hAnsi="Times New Roman" w:cs="Times New Roman"/>
                      <w:bCs/>
                      <w:color w:val="000000" w:themeColor="text1"/>
                      <w:szCs w:val="21"/>
                      <w14:textFill>
                        <w14:solidFill>
                          <w14:schemeClr w14:val="tx1"/>
                        </w14:solidFill>
                      </w14:textFill>
                    </w:rPr>
                    <w:t>石砌护长度5.32km,右岸浆砌石砌护场地5.64km；护</w:t>
                  </w:r>
                  <w:r>
                    <w:rPr>
                      <w:rFonts w:ascii="Times New Roman" w:hAnsi="Times New Roman" w:cs="Times New Roman"/>
                      <w:bCs/>
                      <w:color w:val="000000" w:themeColor="text1"/>
                      <w:szCs w:val="21"/>
                      <w:lang w:bidi="ar"/>
                      <w14:textFill>
                        <w14:solidFill>
                          <w14:schemeClr w14:val="tx1"/>
                        </w14:solidFill>
                      </w14:textFill>
                    </w:rPr>
                    <w:t>岸两侧铺设4m宽砂砾石路19.96km，铺砂厚度150mm；砂砾石道路两侧栽植漳河柳（胸径6.1-8cm，定干高度≥3m）13307株。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生态经济林工程</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项目区共规划种植红梅杏（d≥3cm、带土球≥25cm）6.15万株；种植云杉（H=1.81-2.0m、带土球直径≥40cm、φ＞1.2m、冠形丰满）5.4万株；种植油松（H=2.51-3m、带土球直径≥40cm、φ＞1.6m、冠形丰满）0.815万株。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临时工程</w:t>
                  </w: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进场道路</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施工进场道路利用现有生产土路、沟堤道路作为施工道路，不再新增施工临时道路。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截排水措施</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为了便于施工</w:t>
                  </w:r>
                  <w:r>
                    <w:rPr>
                      <w:rFonts w:hint="eastAsia" w:ascii="Times New Roman" w:hAnsi="Times New Roman" w:cs="Times New Roman"/>
                      <w:color w:val="000000" w:themeColor="text1"/>
                      <w:szCs w:val="21"/>
                      <w14:textFill>
                        <w14:solidFill>
                          <w14:schemeClr w14:val="tx1"/>
                        </w14:solidFill>
                      </w14:textFill>
                    </w:rPr>
                    <w:t>，在每次施工工段的上游</w:t>
                  </w:r>
                  <w:r>
                    <w:rPr>
                      <w:rFonts w:ascii="Times New Roman" w:hAnsi="Times New Roman" w:cs="Times New Roman"/>
                      <w:color w:val="000000" w:themeColor="text1"/>
                      <w:szCs w:val="21"/>
                      <w14:textFill>
                        <w14:solidFill>
                          <w14:schemeClr w14:val="tx1"/>
                        </w14:solidFill>
                      </w14:textFill>
                    </w:rPr>
                    <w:t>设置临时截排水措施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临时施工Ⅰ区</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位于朱庄河上游巩龙村、于河村、</w:t>
                  </w:r>
                  <w:r>
                    <w:rPr>
                      <w:rFonts w:ascii="Times New Roman" w:hAnsi="Times New Roman" w:cs="Times New Roman"/>
                      <w:color w:val="000000" w:themeColor="text1"/>
                      <w:szCs w:val="21"/>
                      <w:lang w:val="zh-CN"/>
                      <w14:textFill>
                        <w14:solidFill>
                          <w14:schemeClr w14:val="tx1"/>
                        </w14:solidFill>
                      </w14:textFill>
                    </w:rPr>
                    <w:t>冯碑村区域，</w:t>
                  </w:r>
                  <w:r>
                    <w:rPr>
                      <w:rFonts w:ascii="Times New Roman" w:hAnsi="Times New Roman" w:cs="Times New Roman"/>
                      <w:color w:val="000000" w:themeColor="text1"/>
                      <w:sz w:val="22"/>
                      <w:szCs w:val="21"/>
                      <w14:textFill>
                        <w14:solidFill>
                          <w14:schemeClr w14:val="tx1"/>
                        </w14:solidFill>
                      </w14:textFill>
                    </w:rPr>
                    <w:t>临时租用周边房屋</w:t>
                  </w:r>
                  <w:r>
                    <w:rPr>
                      <w:rFonts w:ascii="Times New Roman" w:hAnsi="Times New Roman" w:cs="Times New Roman"/>
                      <w:color w:val="000000" w:themeColor="text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临时施工Ⅱ区</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位于杨野河</w:t>
                  </w:r>
                  <w:r>
                    <w:rPr>
                      <w:rFonts w:ascii="Times New Roman" w:hAnsi="Times New Roman" w:cs="Times New Roman"/>
                      <w:color w:val="000000" w:themeColor="text1"/>
                      <w:szCs w:val="21"/>
                      <w:lang w:val="zh-CN"/>
                      <w14:textFill>
                        <w14:solidFill>
                          <w14:schemeClr w14:val="tx1"/>
                        </w14:solidFill>
                      </w14:textFill>
                    </w:rPr>
                    <w:t>村、</w:t>
                  </w:r>
                  <w:r>
                    <w:rPr>
                      <w:rFonts w:ascii="Times New Roman" w:hAnsi="Times New Roman" w:cs="Times New Roman"/>
                      <w:color w:val="000000" w:themeColor="text1"/>
                      <w:szCs w:val="21"/>
                      <w14:textFill>
                        <w14:solidFill>
                          <w14:schemeClr w14:val="tx1"/>
                        </w14:solidFill>
                      </w14:textFill>
                    </w:rPr>
                    <w:t>双村、张楼村</w:t>
                  </w:r>
                  <w:r>
                    <w:rPr>
                      <w:rFonts w:ascii="Times New Roman" w:hAnsi="Times New Roman" w:cs="Times New Roman"/>
                      <w:color w:val="000000" w:themeColor="text1"/>
                      <w:szCs w:val="21"/>
                      <w:lang w:val="zh-CN"/>
                      <w14:textFill>
                        <w14:solidFill>
                          <w14:schemeClr w14:val="tx1"/>
                        </w14:solidFill>
                      </w14:textFill>
                    </w:rPr>
                    <w:t>区域，</w:t>
                  </w:r>
                  <w:r>
                    <w:rPr>
                      <w:rFonts w:ascii="Times New Roman" w:hAnsi="Times New Roman" w:cs="Times New Roman"/>
                      <w:color w:val="000000" w:themeColor="text1"/>
                      <w:sz w:val="22"/>
                      <w:szCs w:val="21"/>
                      <w14:textFill>
                        <w14:solidFill>
                          <w14:schemeClr w14:val="tx1"/>
                        </w14:solidFill>
                      </w14:textFill>
                    </w:rPr>
                    <w:t>临时租用周边房屋</w:t>
                  </w:r>
                  <w:r>
                    <w:rPr>
                      <w:rFonts w:ascii="Times New Roman" w:hAnsi="Times New Roman" w:cs="Times New Roman"/>
                      <w:color w:val="000000" w:themeColor="text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公用工程</w:t>
                  </w: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给水</w:t>
                  </w:r>
                </w:p>
              </w:tc>
              <w:tc>
                <w:tcPr>
                  <w:tcW w:w="593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项目区农户已户户通自来水，可以保障施工期间工人用水，</w:t>
                  </w:r>
                  <w:r>
                    <w:rPr>
                      <w:rFonts w:ascii="Times New Roman" w:hAnsi="Times New Roman" w:cs="Times New Roman"/>
                      <w:color w:val="000000" w:themeColor="text1"/>
                      <w:szCs w:val="21"/>
                      <w:lang w:val="zh-CN"/>
                      <w14:textFill>
                        <w14:solidFill>
                          <w14:schemeClr w14:val="tx1"/>
                        </w14:solidFill>
                      </w14:textFill>
                    </w:rPr>
                    <w:t>施工用水可根据施工现场的地点管道接至施工用水处。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排水</w:t>
                  </w:r>
                </w:p>
              </w:tc>
              <w:tc>
                <w:tcPr>
                  <w:tcW w:w="593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22"/>
                      <w:szCs w:val="21"/>
                      <w14:textFill>
                        <w14:solidFill>
                          <w14:schemeClr w14:val="tx1"/>
                        </w14:solidFill>
                      </w14:textFill>
                    </w:rPr>
                    <w:t>施工废水经沉淀后用于洒水抑尘，生活污水依托周边民居。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供电</w:t>
                  </w:r>
                </w:p>
              </w:tc>
              <w:tc>
                <w:tcPr>
                  <w:tcW w:w="593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val="zh-CN"/>
                      <w14:textFill>
                        <w14:solidFill>
                          <w14:schemeClr w14:val="tx1"/>
                        </w14:solidFill>
                      </w14:textFill>
                    </w:rPr>
                    <w:t>10kV输电线路贯穿项目区，项目区电力供应充足，施工及生产用电方便，为工程建设提供了便利的施工条件和能源保障。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环保工程</w:t>
                  </w:r>
                </w:p>
              </w:tc>
              <w:tc>
                <w:tcPr>
                  <w:tcW w:w="1416"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废气防治措施</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施工扬尘：施工场地洒水、运输车辆盖上蓬布，建筑垃圾及时清理、清运；施工场地进口设置冲洗平台和沉淀池。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施工机械废气：加强施工机械的使用管理和保养维修，合理降低使用次数，优化机械设备。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废水治理措施</w:t>
                  </w:r>
                </w:p>
              </w:tc>
              <w:tc>
                <w:tcPr>
                  <w:tcW w:w="593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施工废水沉淀后（施工区设置1临时沉淀池）用于场地泼洒抑尘；</w:t>
                  </w:r>
                  <w:r>
                    <w:rPr>
                      <w:rFonts w:ascii="Times New Roman" w:hAnsi="Times New Roman" w:cs="Times New Roman"/>
                      <w:color w:val="000000" w:themeColor="text1"/>
                      <w:sz w:val="22"/>
                      <w:szCs w:val="21"/>
                      <w14:textFill>
                        <w14:solidFill>
                          <w14:schemeClr w14:val="tx1"/>
                        </w14:solidFill>
                      </w14:textFill>
                    </w:rPr>
                    <w:t>生活污水依托周边民居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噪声治理措施</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施工期合理安排施工时间，选用低噪声设备，分片施工。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固废治理措施</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生活垃圾及清理的杂草枯枝及时清运至附近生活垃圾中转站处置。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建筑垃圾及时清运</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未及时清运的临时贮存</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并进行遮盖；开挖土石方及清理的淤泥用于低洼地平整及绿化覆土，土石方及清理的淤泥全部利用，无弃方产生</w:t>
                  </w:r>
                  <w:r>
                    <w:rPr>
                      <w:rFonts w:ascii="Times New Roman" w:hAnsi="Times New Roman" w:cs="Times New Roman"/>
                      <w:color w:val="000000" w:themeColor="text1"/>
                      <w:kern w:val="0"/>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8"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41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生态恢复措施</w:t>
                  </w:r>
                </w:p>
              </w:tc>
              <w:tc>
                <w:tcPr>
                  <w:tcW w:w="593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禁止</w:t>
                  </w:r>
                  <w:r>
                    <w:rPr>
                      <w:rFonts w:ascii="Times New Roman" w:hAnsi="Times New Roman" w:cs="Times New Roman"/>
                      <w:color w:val="000000" w:themeColor="text1"/>
                      <w:szCs w:val="21"/>
                      <w14:textFill>
                        <w14:solidFill>
                          <w14:schemeClr w14:val="tx1"/>
                        </w14:solidFill>
                      </w14:textFill>
                    </w:rPr>
                    <w:t>施工的大型车辆在作业带以外的区域行驶，不准随意破坏树木、植被及动物巢穴，禁止将废水及固体废物弃置河道内</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对植被恢复情况进行监测</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定期洒水</w:t>
                  </w:r>
                  <w:r>
                    <w:rPr>
                      <w:rFonts w:hint="eastAsia" w:ascii="Times New Roman" w:hAnsi="Times New Roman" w:cs="Times New Roman"/>
                      <w:color w:val="000000" w:themeColor="text1"/>
                      <w:szCs w:val="21"/>
                      <w14:textFill>
                        <w14:solidFill>
                          <w14:schemeClr w14:val="tx1"/>
                        </w14:solidFill>
                      </w14:textFill>
                    </w:rPr>
                    <w:t>，</w:t>
                  </w:r>
                  <w:r>
                    <w:rPr>
                      <w:color w:val="000000" w:themeColor="text1"/>
                      <w:sz w:val="22"/>
                      <w:szCs w:val="21"/>
                      <w14:textFill>
                        <w14:solidFill>
                          <w14:schemeClr w14:val="tx1"/>
                        </w14:solidFill>
                      </w14:textFill>
                    </w:rPr>
                    <w:t>及时对未成活植被进行补种</w:t>
                  </w:r>
                  <w:r>
                    <w:rPr>
                      <w:bCs/>
                      <w:color w:val="000000" w:themeColor="text1"/>
                      <w:sz w:val="22"/>
                      <w:szCs w:val="21"/>
                      <w14:textFill>
                        <w14:solidFill>
                          <w14:schemeClr w14:val="tx1"/>
                        </w14:solidFill>
                      </w14:textFill>
                    </w:rPr>
                    <w:t>。</w:t>
                  </w:r>
                </w:p>
              </w:tc>
            </w:tr>
          </w:tbl>
          <w:p>
            <w:pPr>
              <w:adjustRightInd w:val="0"/>
              <w:snapToGrid w:val="0"/>
              <w:spacing w:line="360" w:lineRule="auto"/>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3、工程建设的具体参数和指标</w:t>
            </w:r>
          </w:p>
          <w:p>
            <w:pPr>
              <w:pStyle w:val="7"/>
              <w:ind w:firstLine="480" w:firstLineChars="200"/>
              <w:rPr>
                <w:rFonts w:cs="Times New Roman"/>
                <w:b w:val="0"/>
                <w:bCs w:val="0"/>
                <w:color w:val="000000" w:themeColor="text1"/>
                <w:sz w:val="24"/>
                <w:szCs w:val="24"/>
                <w14:textFill>
                  <w14:solidFill>
                    <w14:schemeClr w14:val="tx1"/>
                  </w14:solidFill>
                </w14:textFill>
              </w:rPr>
            </w:pPr>
            <w:r>
              <w:rPr>
                <w:rFonts w:cs="Times New Roman"/>
                <w:b w:val="0"/>
                <w:bCs w:val="0"/>
                <w:color w:val="000000" w:themeColor="text1"/>
                <w:sz w:val="24"/>
                <w:szCs w:val="24"/>
                <w14:textFill>
                  <w14:solidFill>
                    <w14:schemeClr w14:val="tx1"/>
                  </w14:solidFill>
                </w14:textFill>
              </w:rPr>
              <w:t>3.1陡坎生态修复工程</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（1）陡坎现状分析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朱庄河为项目区的生态保持和生物多样性提供了饱满的温床，但是经过长年生态环境的更迭与破坏，朱庄河流域也遭到了不同程度的破坏，项目区朱庄河边的河滩地就是破坏最为严重的区域，因长年的雨水冲刷，河流两侧的水土流失比较严重，没有及时的采取保护措施，导致陡坡凸坎随处可见。</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通过航飞影像、测绘数据及三维模型分析比对，共对朱庄河右岸13处陡坎进行生态修复工程。</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表2-2  陡坎现状位置调查</w:t>
            </w:r>
          </w:p>
          <w:tbl>
            <w:tblPr>
              <w:tblStyle w:val="27"/>
              <w:tblW w:w="8001" w:type="dxa"/>
              <w:jc w:val="center"/>
              <w:tblInd w:w="0" w:type="dxa"/>
              <w:tblLayout w:type="fixed"/>
              <w:tblCellMar>
                <w:top w:w="0" w:type="dxa"/>
                <w:left w:w="57" w:type="dxa"/>
                <w:bottom w:w="0" w:type="dxa"/>
                <w:right w:w="57" w:type="dxa"/>
              </w:tblCellMar>
            </w:tblPr>
            <w:tblGrid>
              <w:gridCol w:w="645"/>
              <w:gridCol w:w="994"/>
              <w:gridCol w:w="1842"/>
              <w:gridCol w:w="1559"/>
              <w:gridCol w:w="1559"/>
              <w:gridCol w:w="1402"/>
            </w:tblGrid>
            <w:tr>
              <w:tblPrEx>
                <w:tblLayout w:type="fixed"/>
                <w:tblCellMar>
                  <w:top w:w="0" w:type="dxa"/>
                  <w:left w:w="57" w:type="dxa"/>
                  <w:bottom w:w="0" w:type="dxa"/>
                  <w:right w:w="57" w:type="dxa"/>
                </w:tblCellMar>
              </w:tblPrEx>
              <w:trPr>
                <w:trHeight w:val="345" w:hRule="atLeast"/>
                <w:tblHeader/>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序号</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名称</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边坡总长度（m）</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边坡高差（m）</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现状坡度（°）</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位置</w:t>
                  </w:r>
                </w:p>
              </w:tc>
            </w:tr>
            <w:tr>
              <w:tblPrEx>
                <w:tblLayout w:type="fixed"/>
                <w:tblCellMar>
                  <w:top w:w="0" w:type="dxa"/>
                  <w:left w:w="57" w:type="dxa"/>
                  <w:bottom w:w="0" w:type="dxa"/>
                  <w:right w:w="57" w:type="dxa"/>
                </w:tblCellMar>
              </w:tblPrEx>
              <w:trPr>
                <w:trHeight w:val="319"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486.4</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5-25</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48-80</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前河水库北侧</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161.7</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12-15</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45-65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K0+015处</w:t>
                  </w:r>
                </w:p>
              </w:tc>
            </w:tr>
            <w:tr>
              <w:tblPrEx>
                <w:tblLayout w:type="fixed"/>
                <w:tblCellMar>
                  <w:top w:w="0" w:type="dxa"/>
                  <w:left w:w="57" w:type="dxa"/>
                  <w:bottom w:w="0" w:type="dxa"/>
                  <w:right w:w="57" w:type="dxa"/>
                </w:tblCellMar>
              </w:tblPrEx>
              <w:trPr>
                <w:trHeight w:val="319"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170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9-12</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45-65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K0+325处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680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10-14</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40-50</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K1+230处</w:t>
                  </w:r>
                </w:p>
              </w:tc>
            </w:tr>
            <w:tr>
              <w:tblPrEx>
                <w:tblLayout w:type="fixed"/>
                <w:tblCellMar>
                  <w:top w:w="0" w:type="dxa"/>
                  <w:left w:w="57" w:type="dxa"/>
                  <w:bottom w:w="0" w:type="dxa"/>
                  <w:right w:w="57" w:type="dxa"/>
                </w:tblCellMar>
              </w:tblPrEx>
              <w:trPr>
                <w:trHeight w:val="268"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201</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10-15</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40-50</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K1+940处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215</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12-16</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50-75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K2+065处</w:t>
                  </w:r>
                </w:p>
              </w:tc>
            </w:tr>
            <w:tr>
              <w:tblPrEx>
                <w:tblLayout w:type="fixed"/>
                <w:tblCellMar>
                  <w:top w:w="0" w:type="dxa"/>
                  <w:left w:w="57" w:type="dxa"/>
                  <w:bottom w:w="0" w:type="dxa"/>
                  <w:right w:w="57" w:type="dxa"/>
                </w:tblCellMar>
              </w:tblPrEx>
              <w:trPr>
                <w:trHeight w:val="319"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222</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10-13</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45-65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K2+280处</w:t>
                  </w:r>
                </w:p>
              </w:tc>
            </w:tr>
            <w:tr>
              <w:tblPrEx>
                <w:tblLayout w:type="fixed"/>
                <w:tblCellMar>
                  <w:top w:w="0" w:type="dxa"/>
                  <w:left w:w="57" w:type="dxa"/>
                  <w:bottom w:w="0" w:type="dxa"/>
                  <w:right w:w="57" w:type="dxa"/>
                </w:tblCellMar>
              </w:tblPrEx>
              <w:trPr>
                <w:trHeight w:val="319"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196</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12-28</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65-85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K4+937处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240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12-18</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50-75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K14+825处</w:t>
                  </w:r>
                </w:p>
              </w:tc>
            </w:tr>
            <w:tr>
              <w:tblPrEx>
                <w:tblLayout w:type="fixed"/>
                <w:tblCellMar>
                  <w:top w:w="0" w:type="dxa"/>
                  <w:left w:w="57" w:type="dxa"/>
                  <w:bottom w:w="0" w:type="dxa"/>
                  <w:right w:w="57" w:type="dxa"/>
                </w:tblCellMar>
              </w:tblPrEx>
              <w:trPr>
                <w:trHeight w:val="319"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480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15-21</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40-50</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K15+125处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390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14-17</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40-50</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K17+430处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317</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15-19</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50-75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K18+150处</w:t>
                  </w:r>
                </w:p>
              </w:tc>
            </w:tr>
            <w:tr>
              <w:tblPrEx>
                <w:tblLayout w:type="fixed"/>
                <w:tblCellMar>
                  <w:top w:w="0" w:type="dxa"/>
                  <w:left w:w="57" w:type="dxa"/>
                  <w:bottom w:w="0" w:type="dxa"/>
                  <w:right w:w="57" w:type="dxa"/>
                </w:tblCellMar>
              </w:tblPrEx>
              <w:trPr>
                <w:trHeight w:val="334" w:hRule="atLeast"/>
                <w:jc w:val="center"/>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w:t>
                  </w:r>
                </w:p>
              </w:tc>
              <w:tc>
                <w:tcPr>
                  <w:tcW w:w="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13#陡坎</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150</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3-8</w:t>
                  </w:r>
                </w:p>
              </w:tc>
              <w:tc>
                <w:tcPr>
                  <w:tcW w:w="15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40-75</w:t>
                  </w:r>
                </w:p>
              </w:tc>
              <w:tc>
                <w:tcPr>
                  <w:tcW w:w="140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K20+50.0处</w:t>
                  </w:r>
                </w:p>
              </w:tc>
            </w:tr>
          </w:tbl>
          <w:p>
            <w:pPr>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（2）陡坎工程设计</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陡坎削坡所处位置，削坡及填方高差控制在5m一个台阶，坡度应随坡就势，挖填方坡度应不小于1：1.5，并结合项目区周边道路等设施确定各土方单元标高，各分区之间通过放坡区进行连接，在不破坏周边道路等设施的前提下，将陡坎进行削高填低来放缓坡比，最终形成缓坡。改善生态环境、促进人与自然的关系是人与自然环境设计的首要任务，为保良好的生态环境，应生态理论作指导，尽可能进行乔灌木草复式绿化、平面绿化与立体绿化相结合，层次绿化与垂直绿化相补充，点、线、面相协调，增加单位面积绿化量，才有利于人与自然的和谐，使其可持续发展。</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本次设计将原来的左岸陡坡凸坎进行削坡，在确保居民安全和减少占地的前提下，河岸设计坡度为1:1.5~1:6，岸坡上种植一行云杉，岸坡种植紫穗槐和水蜡两种低矮灌木面积各一半，紫穗槐按照25株/m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进行密植，水蜡按照20株/m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进行密植，改善生态环境，有效防止水土流失，并考虑景观结构要素，创造优于原有景观的人工与自然有机协调的生态景观，形成亲水河岸休闲空间。</w:t>
            </w:r>
          </w:p>
          <w:p>
            <w:pPr>
              <w:pStyle w:val="5"/>
              <w:widowControl w:val="0"/>
              <w:snapToGrid/>
              <w:spacing w:before="0" w:after="0" w:line="360" w:lineRule="auto"/>
              <w:ind w:right="0" w:firstLine="480" w:firstLineChars="200"/>
              <w:rPr>
                <w:rFonts w:ascii="Times New Roman" w:hAnsi="Times New Roman" w:cs="Times New Roman"/>
                <w:color w:val="000000" w:themeColor="text1"/>
                <w:kern w:val="2"/>
                <w:sz w:val="24"/>
                <w:szCs w:val="24"/>
                <w14:textFill>
                  <w14:solidFill>
                    <w14:schemeClr w14:val="tx1"/>
                  </w14:solidFill>
                </w14:textFill>
              </w:rPr>
            </w:pPr>
            <w:r>
              <w:rPr>
                <w:rFonts w:ascii="Times New Roman" w:hAnsi="Times New Roman" w:cs="Times New Roman"/>
                <w:color w:val="000000" w:themeColor="text1"/>
                <w:kern w:val="2"/>
                <w:sz w:val="24"/>
                <w:szCs w:val="24"/>
                <w14:textFill>
                  <w14:solidFill>
                    <w14:schemeClr w14:val="tx1"/>
                  </w14:solidFill>
                </w14:textFill>
              </w:rPr>
              <w:t>项目区共设计陡坎削坡13处，其中上游8处，下游5处。共修复长度3.85km，陡坎削坡平面图及断面图详见下图。</w:t>
            </w:r>
          </w:p>
          <w:p>
            <w:pPr>
              <w:pStyle w:val="48"/>
              <w:spacing w:line="240" w:lineRule="auto"/>
              <w:ind w:firstLine="0" w:firstLineChars="0"/>
              <w:jc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drawing>
                <wp:inline distT="0" distB="0" distL="0" distR="0">
                  <wp:extent cx="4810125" cy="3721100"/>
                  <wp:effectExtent l="0" t="0" r="0" b="0"/>
                  <wp:docPr id="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14262" cy="3724904"/>
                          </a:xfrm>
                          <a:prstGeom prst="rect">
                            <a:avLst/>
                          </a:prstGeom>
                          <a:noFill/>
                          <a:ln>
                            <a:noFill/>
                          </a:ln>
                          <a:effectLst/>
                        </pic:spPr>
                      </pic:pic>
                    </a:graphicData>
                  </a:graphic>
                </wp:inline>
              </w:drawing>
            </w:r>
          </w:p>
          <w:p>
            <w:pPr>
              <w:adjustRightInd w:val="0"/>
              <w:snapToGrid w:val="0"/>
              <w:spacing w:line="360" w:lineRule="auto"/>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图2-4削坡放坡工程设计示意图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（3）工程量统计</w:t>
            </w:r>
          </w:p>
          <w:p>
            <w:pPr>
              <w:pStyle w:val="5"/>
              <w:widowControl w:val="0"/>
              <w:snapToGrid/>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陡坎生态修复主要工程量：土方开挖3.67万m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，土方回填3.67万m³，坡面密植紫穗槐112.63万株、水蜡90.11万株，种植云杉（H=1.81-2.0m、带土球、φ＞1.2m）1922株。具体工程量详见下表2-3。</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表2-3  陡坎生态修复工程量统计表</w:t>
            </w:r>
          </w:p>
          <w:tbl>
            <w:tblPr>
              <w:tblStyle w:val="27"/>
              <w:tblW w:w="7998" w:type="dxa"/>
              <w:tblInd w:w="0" w:type="dxa"/>
              <w:tblLayout w:type="fixed"/>
              <w:tblCellMar>
                <w:top w:w="0" w:type="dxa"/>
                <w:left w:w="108" w:type="dxa"/>
                <w:bottom w:w="0" w:type="dxa"/>
                <w:right w:w="108" w:type="dxa"/>
              </w:tblCellMar>
            </w:tblPr>
            <w:tblGrid>
              <w:gridCol w:w="1093"/>
              <w:gridCol w:w="1895"/>
              <w:gridCol w:w="1352"/>
              <w:gridCol w:w="1726"/>
              <w:gridCol w:w="1932"/>
            </w:tblGrid>
            <w:tr>
              <w:tblPrEx>
                <w:tblLayout w:type="fixed"/>
                <w:tblCellMar>
                  <w:top w:w="0" w:type="dxa"/>
                  <w:left w:w="108" w:type="dxa"/>
                  <w:bottom w:w="0" w:type="dxa"/>
                  <w:right w:w="108" w:type="dxa"/>
                </w:tblCellMar>
              </w:tblPrEx>
              <w:trPr>
                <w:trHeight w:val="363" w:hRule="atLeast"/>
                <w:tblHeader/>
              </w:trPr>
              <w:tc>
                <w:tcPr>
                  <w:tcW w:w="10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bookmarkStart w:id="12" w:name="_Toc15542"/>
                  <w:bookmarkStart w:id="13" w:name="_Toc4353"/>
                  <w:bookmarkStart w:id="14" w:name="_Toc8047"/>
                  <w:bookmarkStart w:id="15" w:name="_Toc28186"/>
                  <w:bookmarkStart w:id="16" w:name="_Toc7703"/>
                  <w:r>
                    <w:rPr>
                      <w:rFonts w:ascii="Times New Roman" w:hAnsi="Times New Roman" w:cs="Times New Roman"/>
                      <w:color w:val="000000" w:themeColor="text1"/>
                      <w:kern w:val="0"/>
                      <w:szCs w:val="21"/>
                      <w:lang w:bidi="ar"/>
                      <w14:textFill>
                        <w14:solidFill>
                          <w14:schemeClr w14:val="tx1"/>
                        </w14:solidFill>
                      </w14:textFill>
                    </w:rPr>
                    <w:t>位置</w:t>
                  </w: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项目</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单位</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数量</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备注</w:t>
                  </w:r>
                </w:p>
              </w:tc>
            </w:tr>
            <w:tr>
              <w:tblPrEx>
                <w:tblLayout w:type="fixed"/>
                <w:tblCellMar>
                  <w:top w:w="0" w:type="dxa"/>
                  <w:left w:w="108" w:type="dxa"/>
                  <w:bottom w:w="0" w:type="dxa"/>
                  <w:right w:w="108" w:type="dxa"/>
                </w:tblCellMar>
              </w:tblPrEx>
              <w:trPr>
                <w:trHeight w:val="360" w:hRule="atLeast"/>
              </w:trPr>
              <w:tc>
                <w:tcPr>
                  <w:tcW w:w="109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上游段</w:t>
                  </w: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数量</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处</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8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削坡长度</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2380.12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土方开挖</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m³</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28035.67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土方回填</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m³</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28035.67</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削坡面积</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59821.35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斜坡坡面面积</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种植紫穗槐</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747767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25株/㎡</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水蜡</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598214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20株/㎡</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种植云杉</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1189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株距2m</w:t>
                  </w:r>
                </w:p>
              </w:tc>
            </w:tr>
            <w:tr>
              <w:tblPrEx>
                <w:tblLayout w:type="fixed"/>
                <w:tblCellMar>
                  <w:top w:w="0" w:type="dxa"/>
                  <w:left w:w="108" w:type="dxa"/>
                  <w:bottom w:w="0" w:type="dxa"/>
                  <w:right w:w="108" w:type="dxa"/>
                </w:tblCellMar>
              </w:tblPrEx>
              <w:trPr>
                <w:trHeight w:val="360" w:hRule="atLeast"/>
              </w:trPr>
              <w:tc>
                <w:tcPr>
                  <w:tcW w:w="109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下游段</w:t>
                  </w: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数量</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处</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削坡长度</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1465.00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土方开挖</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m³</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8628.49 </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土方回填</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m³</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8628.49</w:t>
                  </w:r>
                </w:p>
              </w:tc>
              <w:tc>
                <w:tcPr>
                  <w:tcW w:w="193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削坡面积</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30284.93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斜坡坡面面积</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种植紫穗槐</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378562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25株/㎡</w:t>
                  </w:r>
                </w:p>
              </w:tc>
            </w:tr>
            <w:tr>
              <w:tblPrEx>
                <w:tblLayout w:type="fixed"/>
                <w:tblCellMar>
                  <w:top w:w="0" w:type="dxa"/>
                  <w:left w:w="108" w:type="dxa"/>
                  <w:bottom w:w="0" w:type="dxa"/>
                  <w:right w:w="108" w:type="dxa"/>
                </w:tblCellMar>
              </w:tblPrEx>
              <w:trPr>
                <w:trHeight w:val="36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水蜡</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302849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20株/㎡</w:t>
                  </w:r>
                </w:p>
              </w:tc>
            </w:tr>
            <w:tr>
              <w:tblPrEx>
                <w:tblLayout w:type="fixed"/>
                <w:tblCellMar>
                  <w:top w:w="0" w:type="dxa"/>
                  <w:left w:w="108" w:type="dxa"/>
                  <w:bottom w:w="0" w:type="dxa"/>
                  <w:right w:w="108" w:type="dxa"/>
                </w:tblCellMar>
              </w:tblPrEx>
              <w:trPr>
                <w:trHeight w:val="300" w:hRule="atLeast"/>
              </w:trPr>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8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种植云杉</w:t>
                  </w:r>
                </w:p>
              </w:tc>
              <w:tc>
                <w:tcPr>
                  <w:tcW w:w="13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w:t>
                  </w:r>
                </w:p>
              </w:tc>
              <w:tc>
                <w:tcPr>
                  <w:tcW w:w="1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733 </w:t>
                  </w:r>
                </w:p>
              </w:tc>
              <w:tc>
                <w:tcPr>
                  <w:tcW w:w="19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株距2m</w:t>
                  </w:r>
                </w:p>
              </w:tc>
            </w:tr>
          </w:tbl>
          <w:p>
            <w:pPr>
              <w:pStyle w:val="7"/>
              <w:ind w:firstLine="480" w:firstLineChars="200"/>
              <w:rPr>
                <w:rFonts w:cs="Times New Roman"/>
                <w:b w:val="0"/>
                <w:bCs w:val="0"/>
                <w:color w:val="000000" w:themeColor="text1"/>
                <w:sz w:val="24"/>
                <w:szCs w:val="24"/>
                <w:lang w:val="zh-CN"/>
                <w14:textFill>
                  <w14:solidFill>
                    <w14:schemeClr w14:val="tx1"/>
                  </w14:solidFill>
                </w14:textFill>
              </w:rPr>
            </w:pPr>
            <w:bookmarkStart w:id="17" w:name="_Toc795"/>
            <w:bookmarkStart w:id="18" w:name="_Toc32464"/>
            <w:r>
              <w:rPr>
                <w:rFonts w:cs="Times New Roman"/>
                <w:b w:val="0"/>
                <w:bCs w:val="0"/>
                <w:color w:val="000000" w:themeColor="text1"/>
                <w:sz w:val="24"/>
                <w:szCs w:val="24"/>
                <w14:textFill>
                  <w14:solidFill>
                    <w14:schemeClr w14:val="tx1"/>
                  </w14:solidFill>
                </w14:textFill>
              </w:rPr>
              <w:t>3.2河床生态修复</w:t>
            </w:r>
            <w:r>
              <w:rPr>
                <w:rFonts w:cs="Times New Roman"/>
                <w:b w:val="0"/>
                <w:bCs w:val="0"/>
                <w:color w:val="000000" w:themeColor="text1"/>
                <w:sz w:val="24"/>
                <w:szCs w:val="24"/>
                <w:lang w:val="zh-CN"/>
                <w14:textFill>
                  <w14:solidFill>
                    <w14:schemeClr w14:val="tx1"/>
                  </w14:solidFill>
                </w14:textFill>
              </w:rPr>
              <w:t>工程</w:t>
            </w:r>
            <w:bookmarkEnd w:id="12"/>
            <w:bookmarkEnd w:id="13"/>
            <w:bookmarkEnd w:id="14"/>
            <w:bookmarkEnd w:id="15"/>
            <w:bookmarkEnd w:id="16"/>
            <w:bookmarkEnd w:id="17"/>
            <w:bookmarkEnd w:id="18"/>
          </w:p>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（1）河床生态修复工程设计</w:t>
            </w:r>
          </w:p>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河流、河床生态修复主要任务是将河道形态修复成近自然的河道形态，主要利用清理等工程措施，解决在河道行洪期间冲刷耕地或者威胁居民生命财产的地方，将河流形态改造成近自然的河流形态。</w:t>
            </w:r>
          </w:p>
          <w:p>
            <w:pPr>
              <w:pStyle w:val="4"/>
              <w:widowControl w:val="0"/>
              <w:overflowPunct w:val="0"/>
              <w:adjustRightInd w:val="0"/>
              <w:snapToGrid/>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河床生态修复遵循河道现状走向，维持河道自然形态，根据设计标准确定行洪断面，对河床进行清理，确保水流正常通过，在现状河道形成浅水湾的地方进行撒播草籽。通过标准断面并结合现状地形确定河底宽度，因地制宜。</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76825" cy="2676525"/>
                  <wp:effectExtent l="0" t="0" r="0" b="0"/>
                  <wp:docPr id="282" name="图片 17" descr="d8b7b3738234c35387a3c361bc75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7" descr="d8b7b3738234c35387a3c361bc7580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76825" cy="2676525"/>
                          </a:xfrm>
                          <a:prstGeom prst="rect">
                            <a:avLst/>
                          </a:prstGeom>
                          <a:noFill/>
                          <a:ln>
                            <a:noFill/>
                          </a:ln>
                        </pic:spPr>
                      </pic:pic>
                    </a:graphicData>
                  </a:graphic>
                </wp:inline>
              </w:drawing>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图2-5 河床现状影像图</w:t>
            </w:r>
          </w:p>
          <w:p>
            <w:pPr>
              <w:pStyle w:val="4"/>
              <w:widowControl w:val="0"/>
              <w:overflowPunct w:val="0"/>
              <w:adjustRightInd w:val="0"/>
              <w:snapToGrid/>
              <w:spacing w:before="0" w:after="0" w:line="240" w:lineRule="auto"/>
              <w:ind w:right="0" w:firstLine="0" w:firstLineChars="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drawing>
                <wp:inline distT="0" distB="0" distL="0" distR="0">
                  <wp:extent cx="5181600" cy="2771775"/>
                  <wp:effectExtent l="0" t="0" r="0" b="0"/>
                  <wp:docPr id="283" name="图片 18" descr="72e2865834fb5d7cbf98692d10b8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8" descr="72e2865834fb5d7cbf98692d10b8f1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1600" cy="2771775"/>
                          </a:xfrm>
                          <a:prstGeom prst="rect">
                            <a:avLst/>
                          </a:prstGeom>
                          <a:noFill/>
                          <a:ln>
                            <a:noFill/>
                          </a:ln>
                        </pic:spPr>
                      </pic:pic>
                    </a:graphicData>
                  </a:graphic>
                </wp:inline>
              </w:drawing>
            </w:r>
          </w:p>
          <w:p>
            <w:pPr>
              <w:adjustRightInd w:val="0"/>
              <w:snapToGrid w:val="0"/>
              <w:spacing w:line="360" w:lineRule="auto"/>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图2-6 河床生态修复平面布置示意图</w:t>
            </w:r>
          </w:p>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（2）湿地生态修复工程设计</w:t>
            </w:r>
          </w:p>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本项目选择在上游冯碑村</w:t>
            </w:r>
            <w:r>
              <w:rPr>
                <w:rFonts w:hint="eastAsia" w:ascii="Times New Roman" w:hAnsi="Times New Roman" w:cs="Times New Roman"/>
                <w:color w:val="000000" w:themeColor="text1"/>
                <w:sz w:val="24"/>
                <w:lang w:bidi="ar"/>
                <w14:textFill>
                  <w14:solidFill>
                    <w14:schemeClr w14:val="tx1"/>
                  </w14:solidFill>
                </w14:textFill>
              </w:rPr>
              <w:t>修复</w:t>
            </w:r>
            <w:r>
              <w:rPr>
                <w:rFonts w:ascii="Times New Roman" w:hAnsi="Times New Roman" w:cs="Times New Roman"/>
                <w:color w:val="000000" w:themeColor="text1"/>
                <w:sz w:val="24"/>
                <w:lang w:bidi="ar"/>
                <w14:textFill>
                  <w14:solidFill>
                    <w14:schemeClr w14:val="tx1"/>
                  </w14:solidFill>
                </w14:textFill>
              </w:rPr>
              <w:t>1处湿地，面积为0.52hm</w:t>
            </w:r>
            <w:r>
              <w:rPr>
                <w:rFonts w:ascii="Times New Roman" w:hAnsi="Times New Roman" w:cs="Times New Roman"/>
                <w:color w:val="000000" w:themeColor="text1"/>
                <w:sz w:val="24"/>
                <w:vertAlign w:val="superscript"/>
                <w:lang w:bidi="ar"/>
                <w14:textFill>
                  <w14:solidFill>
                    <w14:schemeClr w14:val="tx1"/>
                  </w14:solidFill>
                </w14:textFill>
              </w:rPr>
              <w:t>2</w:t>
            </w:r>
            <w:r>
              <w:rPr>
                <w:rFonts w:ascii="Times New Roman" w:hAnsi="Times New Roman" w:cs="Times New Roman"/>
                <w:color w:val="000000" w:themeColor="text1"/>
                <w:sz w:val="24"/>
                <w:lang w:bidi="ar"/>
                <w14:textFill>
                  <w14:solidFill>
                    <w14:schemeClr w14:val="tx1"/>
                  </w14:solidFill>
                </w14:textFill>
              </w:rPr>
              <w:t>，下游杨野河村</w:t>
            </w:r>
            <w:r>
              <w:rPr>
                <w:rFonts w:hint="eastAsia" w:ascii="Times New Roman" w:hAnsi="Times New Roman" w:cs="Times New Roman"/>
                <w:color w:val="000000" w:themeColor="text1"/>
                <w:sz w:val="24"/>
                <w:lang w:bidi="ar"/>
                <w14:textFill>
                  <w14:solidFill>
                    <w14:schemeClr w14:val="tx1"/>
                  </w14:solidFill>
                </w14:textFill>
              </w:rPr>
              <w:t>修复</w:t>
            </w:r>
            <w:r>
              <w:rPr>
                <w:rFonts w:ascii="Times New Roman" w:hAnsi="Times New Roman" w:cs="Times New Roman"/>
                <w:color w:val="000000" w:themeColor="text1"/>
                <w:sz w:val="24"/>
                <w:lang w:bidi="ar"/>
                <w14:textFill>
                  <w14:solidFill>
                    <w14:schemeClr w14:val="tx1"/>
                  </w14:solidFill>
                </w14:textFill>
              </w:rPr>
              <w:t>1处湿地，面积分别为0.34hm</w:t>
            </w:r>
            <w:r>
              <w:rPr>
                <w:rFonts w:ascii="Times New Roman" w:hAnsi="Times New Roman" w:cs="Times New Roman"/>
                <w:color w:val="000000" w:themeColor="text1"/>
                <w:sz w:val="24"/>
                <w:vertAlign w:val="superscript"/>
                <w:lang w:bidi="ar"/>
                <w14:textFill>
                  <w14:solidFill>
                    <w14:schemeClr w14:val="tx1"/>
                  </w14:solidFill>
                </w14:textFill>
              </w:rPr>
              <w:t>2</w:t>
            </w:r>
            <w:r>
              <w:rPr>
                <w:rFonts w:ascii="Times New Roman" w:hAnsi="Times New Roman" w:cs="Times New Roman"/>
                <w:color w:val="000000" w:themeColor="text1"/>
                <w:sz w:val="24"/>
                <w:lang w:bidi="ar"/>
                <w14:textFill>
                  <w14:solidFill>
                    <w14:schemeClr w14:val="tx1"/>
                  </w14:solidFill>
                </w14:textFill>
              </w:rPr>
              <w:t>。恢复底栖动物，构建河流健康的食物链，形成河道食物网，丰富河道及周边的生物多样性。</w:t>
            </w:r>
            <w:r>
              <w:rPr>
                <w:rFonts w:ascii="Times New Roman" w:hAnsi="Times New Roman" w:cs="Times New Roman"/>
                <w:color w:val="000000" w:themeColor="text1"/>
                <w:sz w:val="24"/>
                <w14:textFill>
                  <w14:solidFill>
                    <w14:schemeClr w14:val="tx1"/>
                  </w14:solidFill>
                </w14:textFill>
              </w:rPr>
              <w:t>其余全部为浅滩，</w:t>
            </w:r>
            <w:r>
              <w:rPr>
                <w:rFonts w:ascii="Times New Roman" w:hAnsi="Times New Roman" w:cs="Times New Roman"/>
                <w:color w:val="000000" w:themeColor="text1"/>
                <w:sz w:val="24"/>
                <w:lang w:bidi="ar"/>
                <w14:textFill>
                  <w14:solidFill>
                    <w14:schemeClr w14:val="tx1"/>
                  </w14:solidFill>
                </w14:textFill>
              </w:rPr>
              <w:t>沿河流方向生态修复剖面如图2-4所示。</w:t>
            </w:r>
          </w:p>
          <w:p>
            <w:pPr>
              <w:pStyle w:val="2"/>
              <w:rPr>
                <w:rFonts w:ascii="Times New Roman" w:hAnsi="Times New Roman" w:cs="Times New Roman"/>
                <w:color w:val="000000" w:themeColor="text1"/>
                <w:lang w:bidi="ar"/>
                <w14:textFill>
                  <w14:solidFill>
                    <w14:schemeClr w14:val="tx1"/>
                  </w14:solidFill>
                </w14:textFill>
              </w:rPr>
            </w:pPr>
          </w:p>
          <w:p>
            <w:pPr>
              <w:pStyle w:val="4"/>
              <w:ind w:firstLine="180"/>
              <w:rPr>
                <w:rFonts w:ascii="Times New Roman" w:hAnsi="Times New Roman" w:cs="Times New Roman"/>
                <w:color w:val="000000" w:themeColor="text1"/>
                <w:lang w:bidi="ar"/>
                <w14:textFill>
                  <w14:solidFill>
                    <w14:schemeClr w14:val="tx1"/>
                  </w14:solidFill>
                </w14:textFill>
              </w:rPr>
            </w:pPr>
          </w:p>
          <w:p>
            <w:pPr>
              <w:rPr>
                <w:rFonts w:ascii="Times New Roman" w:hAnsi="Times New Roman" w:cs="Times New Roman"/>
                <w:color w:val="000000" w:themeColor="text1"/>
                <w:lang w:bidi="ar"/>
                <w14:textFill>
                  <w14:solidFill>
                    <w14:schemeClr w14:val="tx1"/>
                  </w14:solidFill>
                </w14:textFill>
              </w:rPr>
            </w:pPr>
          </w:p>
          <w:p>
            <w:pPr>
              <w:pStyle w:val="2"/>
              <w:rPr>
                <w:rFonts w:ascii="Times New Roman" w:hAnsi="Times New Roman" w:cs="Times New Roman"/>
                <w:color w:val="000000" w:themeColor="text1"/>
                <w:lang w:bidi="ar"/>
                <w14:textFill>
                  <w14:solidFill>
                    <w14:schemeClr w14:val="tx1"/>
                  </w14:solidFill>
                </w14:textFill>
              </w:rPr>
            </w:pPr>
          </w:p>
          <w:p>
            <w:pPr>
              <w:pStyle w:val="38"/>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0" distR="0">
                  <wp:extent cx="5019675" cy="2011045"/>
                  <wp:effectExtent l="0" t="0" r="0" b="8255"/>
                  <wp:docPr id="284" name="图片 20" descr="a91f43a2bd598b69981c84494d9a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0" descr="a91f43a2bd598b69981c84494d9ad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23729" cy="2013185"/>
                          </a:xfrm>
                          <a:prstGeom prst="rect">
                            <a:avLst/>
                          </a:prstGeom>
                          <a:noFill/>
                          <a:ln>
                            <a:noFill/>
                          </a:ln>
                        </pic:spPr>
                      </pic:pic>
                    </a:graphicData>
                  </a:graphic>
                </wp:inline>
              </w:drawing>
            </w:r>
          </w:p>
          <w:p>
            <w:pPr>
              <w:adjustRightInd w:val="0"/>
              <w:snapToGrid w:val="0"/>
              <w:spacing w:line="360" w:lineRule="auto"/>
              <w:ind w:firstLine="482" w:firstLineChars="200"/>
              <w:jc w:val="center"/>
              <w:rPr>
                <w:rFonts w:ascii="Times New Roman" w:hAnsi="Times New Roman" w:cs="Times New Roman"/>
                <w:b/>
                <w:color w:val="000000" w:themeColor="text1"/>
                <w:kern w:val="0"/>
                <w:sz w:val="24"/>
                <w14:textFill>
                  <w14:solidFill>
                    <w14:schemeClr w14:val="tx1"/>
                  </w14:solidFill>
                </w14:textFill>
              </w:rPr>
            </w:pPr>
            <w:bookmarkStart w:id="19" w:name="_Toc4745_WPSOffice_Level3"/>
            <w:r>
              <w:rPr>
                <w:rFonts w:ascii="Times New Roman" w:hAnsi="Times New Roman" w:cs="Times New Roman"/>
                <w:b/>
                <w:color w:val="000000" w:themeColor="text1"/>
                <w:kern w:val="0"/>
                <w:sz w:val="24"/>
                <w14:textFill>
                  <w14:solidFill>
                    <w14:schemeClr w14:val="tx1"/>
                  </w14:solidFill>
                </w14:textFill>
              </w:rPr>
              <w:t>图2-7 河道方向生态修复剖面</w:t>
            </w:r>
            <w:bookmarkEnd w:id="19"/>
          </w:p>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（3）河床、湿地生态修复工程量统计</w:t>
            </w:r>
          </w:p>
          <w:p>
            <w:pPr>
              <w:pStyle w:val="4"/>
              <w:widowControl w:val="0"/>
              <w:overflowPunct w:val="0"/>
              <w:adjustRightInd w:val="0"/>
              <w:snapToGrid/>
              <w:spacing w:before="0" w:after="0" w:line="360" w:lineRule="auto"/>
              <w:ind w:right="0" w:firstLine="480" w:firstLineChars="200"/>
              <w:rPr>
                <w:rFonts w:ascii="Times New Roman" w:hAnsi="Times New Roman" w:cs="Times New Roman"/>
                <w:color w:val="000000" w:themeColor="text1"/>
                <w:kern w:val="2"/>
                <w:sz w:val="24"/>
                <w:szCs w:val="24"/>
                <w14:textFill>
                  <w14:solidFill>
                    <w14:schemeClr w14:val="tx1"/>
                  </w14:solidFill>
                </w14:textFill>
              </w:rPr>
            </w:pPr>
            <w:r>
              <w:rPr>
                <w:rFonts w:ascii="Times New Roman" w:hAnsi="Times New Roman" w:cs="Times New Roman"/>
                <w:color w:val="000000" w:themeColor="text1"/>
                <w:kern w:val="2"/>
                <w:sz w:val="24"/>
                <w:szCs w:val="24"/>
                <w14:textFill>
                  <w14:solidFill>
                    <w14:schemeClr w14:val="tx1"/>
                  </w14:solidFill>
                </w14:textFill>
              </w:rPr>
              <w:t>本次规划河床生态修复长度13.31km，清理及修整断面长度12.991km，其中上游河床修复长度4.94km，下游河床修复8.37km。共计土方开挖17.76万m³，土方回填17.76万m³。浅水湾生态修复8处，共计播撒芦苇3.32hm</w:t>
            </w:r>
            <w:r>
              <w:rPr>
                <w:rFonts w:ascii="Times New Roman" w:hAnsi="Times New Roman" w:cs="Times New Roman"/>
                <w:color w:val="000000" w:themeColor="text1"/>
                <w:kern w:val="2"/>
                <w:sz w:val="24"/>
                <w:szCs w:val="24"/>
                <w:vertAlign w:val="superscript"/>
                <w14:textFill>
                  <w14:solidFill>
                    <w14:schemeClr w14:val="tx1"/>
                  </w14:solidFill>
                </w14:textFill>
              </w:rPr>
              <w:t>2</w:t>
            </w:r>
            <w:r>
              <w:rPr>
                <w:rFonts w:ascii="Times New Roman" w:hAnsi="Times New Roman" w:cs="Times New Roman"/>
                <w:color w:val="000000" w:themeColor="text1"/>
                <w:kern w:val="2"/>
                <w:sz w:val="24"/>
                <w:szCs w:val="24"/>
                <w14:textFill>
                  <w14:solidFill>
                    <w14:schemeClr w14:val="tx1"/>
                  </w14:solidFill>
                </w14:textFill>
              </w:rPr>
              <w:t>。</w:t>
            </w:r>
          </w:p>
          <w:p>
            <w:pPr>
              <w:pStyle w:val="5"/>
              <w:widowControl w:val="0"/>
              <w:overflowPunct w:val="0"/>
              <w:snapToGrid/>
              <w:spacing w:before="0" w:after="0" w:line="360" w:lineRule="auto"/>
              <w:ind w:right="0" w:firstLine="480" w:firstLineChars="200"/>
              <w:rPr>
                <w:rFonts w:ascii="Times New Roman" w:hAnsi="Times New Roman" w:cs="Times New Roman"/>
                <w:bCs/>
                <w:color w:val="000000" w:themeColor="text1"/>
                <w:sz w:val="24"/>
                <w:szCs w:val="24"/>
                <w:lang w:bidi="ar"/>
                <w14:textFill>
                  <w14:solidFill>
                    <w14:schemeClr w14:val="tx1"/>
                  </w14:solidFill>
                </w14:textFill>
              </w:rPr>
            </w:pPr>
            <w:r>
              <w:rPr>
                <w:rFonts w:ascii="Times New Roman" w:hAnsi="Times New Roman" w:cs="Times New Roman"/>
                <w:bCs/>
                <w:color w:val="000000" w:themeColor="text1"/>
                <w:sz w:val="24"/>
                <w:szCs w:val="24"/>
                <w:lang w:bidi="ar"/>
                <w14:textFill>
                  <w14:solidFill>
                    <w14:schemeClr w14:val="tx1"/>
                  </w14:solidFill>
                </w14:textFill>
              </w:rPr>
              <w:t>建设湿地修复2处0.85hm</w:t>
            </w:r>
            <w:r>
              <w:rPr>
                <w:rFonts w:ascii="Times New Roman" w:hAnsi="Times New Roman" w:cs="Times New Roman"/>
                <w:bCs/>
                <w:color w:val="000000" w:themeColor="text1"/>
                <w:sz w:val="24"/>
                <w:szCs w:val="24"/>
                <w:vertAlign w:val="superscript"/>
                <w:lang w:bidi="ar"/>
                <w14:textFill>
                  <w14:solidFill>
                    <w14:schemeClr w14:val="tx1"/>
                  </w14:solidFill>
                </w14:textFill>
              </w:rPr>
              <w:t>2</w:t>
            </w:r>
            <w:r>
              <w:rPr>
                <w:rFonts w:ascii="Times New Roman" w:hAnsi="Times New Roman" w:cs="Times New Roman"/>
                <w:bCs/>
                <w:color w:val="000000" w:themeColor="text1"/>
                <w:sz w:val="24"/>
                <w:szCs w:val="24"/>
                <w:lang w:bidi="ar"/>
                <w14:textFill>
                  <w14:solidFill>
                    <w14:schemeClr w14:val="tx1"/>
                  </w14:solidFill>
                </w14:textFill>
              </w:rPr>
              <w:t>（12.8亩），</w:t>
            </w:r>
            <w:r>
              <w:rPr>
                <w:rFonts w:ascii="Times New Roman" w:hAnsi="Times New Roman" w:cs="Times New Roman"/>
                <w:color w:val="000000" w:themeColor="text1"/>
                <w:kern w:val="2"/>
                <w:sz w:val="24"/>
                <w:szCs w:val="24"/>
                <w:lang w:bidi="ar"/>
                <w14:textFill>
                  <w14:solidFill>
                    <w14:schemeClr w14:val="tx1"/>
                  </w14:solidFill>
                </w14:textFill>
              </w:rPr>
              <w:t>上游冯碑村</w:t>
            </w:r>
            <w:r>
              <w:rPr>
                <w:rFonts w:hint="eastAsia" w:ascii="Times New Roman" w:hAnsi="Times New Roman" w:cs="Times New Roman"/>
                <w:color w:val="000000" w:themeColor="text1"/>
                <w:kern w:val="2"/>
                <w:sz w:val="24"/>
                <w:szCs w:val="24"/>
                <w:lang w:bidi="ar"/>
                <w14:textFill>
                  <w14:solidFill>
                    <w14:schemeClr w14:val="tx1"/>
                  </w14:solidFill>
                </w14:textFill>
              </w:rPr>
              <w:t>修复</w:t>
            </w:r>
            <w:r>
              <w:rPr>
                <w:rFonts w:ascii="Times New Roman" w:hAnsi="Times New Roman" w:cs="Times New Roman"/>
                <w:color w:val="000000" w:themeColor="text1"/>
                <w:kern w:val="2"/>
                <w:sz w:val="24"/>
                <w:szCs w:val="24"/>
                <w:lang w:bidi="ar"/>
                <w14:textFill>
                  <w14:solidFill>
                    <w14:schemeClr w14:val="tx1"/>
                  </w14:solidFill>
                </w14:textFill>
              </w:rPr>
              <w:t>1处湿地，面积为0.52hm</w:t>
            </w:r>
            <w:r>
              <w:rPr>
                <w:rFonts w:ascii="Times New Roman" w:hAnsi="Times New Roman" w:cs="Times New Roman"/>
                <w:color w:val="000000" w:themeColor="text1"/>
                <w:kern w:val="2"/>
                <w:sz w:val="24"/>
                <w:szCs w:val="24"/>
                <w:vertAlign w:val="superscript"/>
                <w:lang w:bidi="ar"/>
                <w14:textFill>
                  <w14:solidFill>
                    <w14:schemeClr w14:val="tx1"/>
                  </w14:solidFill>
                </w14:textFill>
              </w:rPr>
              <w:t>2</w:t>
            </w:r>
            <w:r>
              <w:rPr>
                <w:rFonts w:ascii="Times New Roman" w:hAnsi="Times New Roman" w:cs="Times New Roman"/>
                <w:color w:val="000000" w:themeColor="text1"/>
                <w:kern w:val="2"/>
                <w:sz w:val="24"/>
                <w:szCs w:val="24"/>
                <w:lang w:bidi="ar"/>
                <w14:textFill>
                  <w14:solidFill>
                    <w14:schemeClr w14:val="tx1"/>
                  </w14:solidFill>
                </w14:textFill>
              </w:rPr>
              <w:t>，下游杨野河村</w:t>
            </w:r>
            <w:r>
              <w:rPr>
                <w:rFonts w:hint="eastAsia" w:ascii="Times New Roman" w:hAnsi="Times New Roman" w:cs="Times New Roman"/>
                <w:color w:val="000000" w:themeColor="text1"/>
                <w:kern w:val="2"/>
                <w:sz w:val="24"/>
                <w:szCs w:val="24"/>
                <w:lang w:bidi="ar"/>
                <w14:textFill>
                  <w14:solidFill>
                    <w14:schemeClr w14:val="tx1"/>
                  </w14:solidFill>
                </w14:textFill>
              </w:rPr>
              <w:t>修复</w:t>
            </w:r>
            <w:r>
              <w:rPr>
                <w:rFonts w:ascii="Times New Roman" w:hAnsi="Times New Roman" w:cs="Times New Roman"/>
                <w:color w:val="000000" w:themeColor="text1"/>
                <w:kern w:val="2"/>
                <w:sz w:val="24"/>
                <w:szCs w:val="24"/>
                <w:lang w:bidi="ar"/>
                <w14:textFill>
                  <w14:solidFill>
                    <w14:schemeClr w14:val="tx1"/>
                  </w14:solidFill>
                </w14:textFill>
              </w:rPr>
              <w:t>1处湿地，面积分别为0.34hm</w:t>
            </w:r>
            <w:r>
              <w:rPr>
                <w:rFonts w:ascii="Times New Roman" w:hAnsi="Times New Roman" w:cs="Times New Roman"/>
                <w:color w:val="000000" w:themeColor="text1"/>
                <w:kern w:val="2"/>
                <w:sz w:val="24"/>
                <w:szCs w:val="24"/>
                <w:vertAlign w:val="superscript"/>
                <w:lang w:bidi="ar"/>
                <w14:textFill>
                  <w14:solidFill>
                    <w14:schemeClr w14:val="tx1"/>
                  </w14:solidFill>
                </w14:textFill>
              </w:rPr>
              <w:t>2</w:t>
            </w:r>
            <w:r>
              <w:rPr>
                <w:rFonts w:ascii="Times New Roman" w:hAnsi="Times New Roman" w:cs="Times New Roman"/>
                <w:bCs/>
                <w:color w:val="000000" w:themeColor="text1"/>
                <w:sz w:val="24"/>
                <w:szCs w:val="24"/>
                <w:lang w:bidi="ar"/>
                <w14:textFill>
                  <w14:solidFill>
                    <w14:schemeClr w14:val="tx1"/>
                  </w14:solidFill>
                </w14:textFill>
              </w:rPr>
              <w:t>；湿地坡面及周围种植红豆草1.28hm</w:t>
            </w:r>
            <w:r>
              <w:rPr>
                <w:rFonts w:ascii="Times New Roman" w:hAnsi="Times New Roman" w:cs="Times New Roman"/>
                <w:bCs/>
                <w:color w:val="000000" w:themeColor="text1"/>
                <w:sz w:val="24"/>
                <w:szCs w:val="24"/>
                <w:vertAlign w:val="superscript"/>
                <w:lang w:bidi="ar"/>
                <w14:textFill>
                  <w14:solidFill>
                    <w14:schemeClr w14:val="tx1"/>
                  </w14:solidFill>
                </w14:textFill>
              </w:rPr>
              <w:t>2</w:t>
            </w:r>
            <w:r>
              <w:rPr>
                <w:rFonts w:ascii="Times New Roman" w:hAnsi="Times New Roman" w:cs="Times New Roman"/>
                <w:bCs/>
                <w:color w:val="000000" w:themeColor="text1"/>
                <w:sz w:val="24"/>
                <w:szCs w:val="24"/>
                <w:lang w:bidi="ar"/>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表2-4  河床、湿地生态修复工程量统计表</w:t>
            </w:r>
          </w:p>
          <w:tbl>
            <w:tblPr>
              <w:tblStyle w:val="27"/>
              <w:tblW w:w="7998" w:type="dxa"/>
              <w:jc w:val="center"/>
              <w:tblInd w:w="0" w:type="dxa"/>
              <w:tblLayout w:type="fixed"/>
              <w:tblCellMar>
                <w:top w:w="0" w:type="dxa"/>
                <w:left w:w="108" w:type="dxa"/>
                <w:bottom w:w="0" w:type="dxa"/>
                <w:right w:w="108" w:type="dxa"/>
              </w:tblCellMar>
            </w:tblPr>
            <w:tblGrid>
              <w:gridCol w:w="1325"/>
              <w:gridCol w:w="841"/>
              <w:gridCol w:w="1175"/>
              <w:gridCol w:w="1177"/>
              <w:gridCol w:w="870"/>
              <w:gridCol w:w="870"/>
              <w:gridCol w:w="870"/>
              <w:gridCol w:w="870"/>
            </w:tblGrid>
            <w:tr>
              <w:tblPrEx>
                <w:tblLayout w:type="fixed"/>
                <w:tblCellMar>
                  <w:top w:w="0" w:type="dxa"/>
                  <w:left w:w="108" w:type="dxa"/>
                  <w:bottom w:w="0" w:type="dxa"/>
                  <w:right w:w="108" w:type="dxa"/>
                </w:tblCellMar>
              </w:tblPrEx>
              <w:trPr>
                <w:trHeight w:val="340" w:hRule="atLeast"/>
                <w:tblHeader/>
                <w:jc w:val="center"/>
              </w:trPr>
              <w:tc>
                <w:tcPr>
                  <w:tcW w:w="132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桩号</w:t>
                  </w:r>
                </w:p>
              </w:tc>
              <w:tc>
                <w:tcPr>
                  <w:tcW w:w="3193"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河床清理</w:t>
                  </w:r>
                </w:p>
              </w:tc>
              <w:tc>
                <w:tcPr>
                  <w:tcW w:w="174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浅水湾</w:t>
                  </w:r>
                </w:p>
              </w:tc>
              <w:tc>
                <w:tcPr>
                  <w:tcW w:w="174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湿地</w:t>
                  </w:r>
                </w:p>
              </w:tc>
            </w:tr>
            <w:tr>
              <w:tblPrEx>
                <w:tblLayout w:type="fixed"/>
                <w:tblCellMar>
                  <w:top w:w="0" w:type="dxa"/>
                  <w:left w:w="108" w:type="dxa"/>
                  <w:bottom w:w="0" w:type="dxa"/>
                  <w:right w:w="108" w:type="dxa"/>
                </w:tblCellMar>
              </w:tblPrEx>
              <w:trPr>
                <w:trHeight w:val="340" w:hRule="atLeast"/>
                <w:tblHeader/>
                <w:jc w:val="center"/>
              </w:trPr>
              <w:tc>
                <w:tcPr>
                  <w:tcW w:w="13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长度（m）</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土方开挖（m³）</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土方回填（m³）</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数量（处）</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面积（亩）</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数量（处）</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面积（亩）</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K0+000～K0+288</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288</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3844.9</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3182.3</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2.81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K0+290～K0+915</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625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6840.1</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6385.8</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7.00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K0+920～K1+154</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234</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1144.3</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1680.5</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K1+159～K2+274</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1115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10966.3</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9539.2</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10.20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7.76 </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K2+277～K2+524</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247</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2965.1</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2718.6</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K2+529～K2+665</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136</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1452.3</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1326.2</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K2+670～K2+807</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137</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433.1</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527.5</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K2+814～K2+962</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148</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1086.3</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869.4</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K2+965～K3+117</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152</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1657.7</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1551.4</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K3+122～K3+675</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553</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3737.8</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3871.7</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3.92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K3+683～K3+795</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112</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632.5</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431.2</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K3+800～K4+938</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1138</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13623.6</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10144.2</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上游小计</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4885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42228</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42228</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5</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23.93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7.76 </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K13+400～K14+371</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971</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12280.3</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11825.4</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K14+375～K14+520</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3446.2</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4088.1</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K14+525～K14+741</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216</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4168</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4556.7</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K14+750～K16+133</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1383</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31041.66</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30771.42</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10.86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K16+142～K16+839</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697</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12889.6</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12849.6</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K16+850～K18+478</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1628</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21132.34</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21124.78</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K18+481～K18+616</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135</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1559.4</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1486.6</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5.03 </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K18+623～K19+174</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551</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4609.1</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5658.9</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10.15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K19+179～K20+023</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844</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23273.2</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23182.9</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4.84 </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K20+032～K21+568</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1536</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20972.2</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19827.6</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下游小计</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8106</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135372</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135372</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3</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25.85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5.03 </w:t>
                  </w:r>
                </w:p>
              </w:tc>
            </w:tr>
            <w:tr>
              <w:tblPrEx>
                <w:tblLayout w:type="fixed"/>
                <w:tblCellMar>
                  <w:top w:w="0" w:type="dxa"/>
                  <w:left w:w="108" w:type="dxa"/>
                  <w:bottom w:w="0" w:type="dxa"/>
                  <w:right w:w="108" w:type="dxa"/>
                </w:tblCellMar>
              </w:tblPrEx>
              <w:trPr>
                <w:trHeight w:val="340" w:hRule="atLeast"/>
                <w:jc w:val="center"/>
              </w:trPr>
              <w:tc>
                <w:tcPr>
                  <w:tcW w:w="1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合计</w:t>
                  </w:r>
                </w:p>
              </w:tc>
              <w:tc>
                <w:tcPr>
                  <w:tcW w:w="8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12991</w:t>
                  </w:r>
                </w:p>
              </w:tc>
              <w:tc>
                <w:tcPr>
                  <w:tcW w:w="11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177600</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177600</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8</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49.78 </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2</w:t>
                  </w:r>
                </w:p>
              </w:tc>
              <w:tc>
                <w:tcPr>
                  <w:tcW w:w="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12.79 </w:t>
                  </w:r>
                </w:p>
              </w:tc>
            </w:tr>
          </w:tbl>
          <w:p>
            <w:pPr>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（4）建筑物设计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涵洞</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了保证项目区交通以及输水的方便与协调，项目区需要在道路和河道交叉、支沟汇入朱庄河处布置涵洞，设计涵洞为φ1.0m×3m、φ1.0m×6m、φ1.0m×9m三种管涵式结构，管道采用DN1000钢筋混凝土管，台帽采用C20混凝土，浆砌石采用Mu7.5块石，M10水泥砂浆砌筑。</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建筑物工程量统计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本项目中涉及的建筑物共22座。建筑物的位置及工程量详见下表2-5。</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表2-5 建筑物位置及型号统计表</w:t>
            </w:r>
          </w:p>
          <w:tbl>
            <w:tblPr>
              <w:tblStyle w:val="27"/>
              <w:tblW w:w="7998" w:type="dxa"/>
              <w:jc w:val="center"/>
              <w:tblInd w:w="0" w:type="dxa"/>
              <w:tblLayout w:type="fixed"/>
              <w:tblCellMar>
                <w:top w:w="0" w:type="dxa"/>
                <w:left w:w="108" w:type="dxa"/>
                <w:bottom w:w="0" w:type="dxa"/>
                <w:right w:w="108" w:type="dxa"/>
              </w:tblCellMar>
            </w:tblPr>
            <w:tblGrid>
              <w:gridCol w:w="1253"/>
              <w:gridCol w:w="1993"/>
              <w:gridCol w:w="1457"/>
              <w:gridCol w:w="1907"/>
              <w:gridCol w:w="1388"/>
            </w:tblGrid>
            <w:tr>
              <w:tblPrEx>
                <w:tblLayout w:type="fixed"/>
                <w:tblCellMar>
                  <w:top w:w="0" w:type="dxa"/>
                  <w:left w:w="108" w:type="dxa"/>
                  <w:bottom w:w="0" w:type="dxa"/>
                  <w:right w:w="108" w:type="dxa"/>
                </w:tblCellMar>
              </w:tblPrEx>
              <w:trPr>
                <w:trHeight w:val="340" w:hRule="exact"/>
                <w:tblHeader/>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桩号</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建筑物类型</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数量（座）</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尺寸</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备注</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K0+485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K0+825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沿河道</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K1+420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φ1.0m*9m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入湿地</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K1+470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φ1.0m*9m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入湿地</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K2+55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K2+648</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K3+40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K3+720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沿河道</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K3+895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K3+994</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φ1.0m*3m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沿河道</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K4+204</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K4+590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φ1.0m*3m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沿河道</w:t>
                  </w:r>
                </w:p>
              </w:tc>
            </w:tr>
            <w:tr>
              <w:tblPrEx>
                <w:tblLayout w:type="fixed"/>
                <w:tblCellMar>
                  <w:top w:w="0" w:type="dxa"/>
                  <w:left w:w="108" w:type="dxa"/>
                  <w:bottom w:w="0" w:type="dxa"/>
                  <w:right w:w="108" w:type="dxa"/>
                </w:tblCellMar>
              </w:tblPrEx>
              <w:trPr>
                <w:trHeight w:val="340" w:hRule="exact"/>
                <w:jc w:val="center"/>
              </w:trPr>
              <w:tc>
                <w:tcPr>
                  <w:tcW w:w="324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上游小计</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15</w:t>
                  </w:r>
                </w:p>
              </w:tc>
              <w:tc>
                <w:tcPr>
                  <w:tcW w:w="190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K14+775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K16+880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K18+477</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φ1.0m*3m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沿河道</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K18+65</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K19+770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φ1.0m*6m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穿河堤</w:t>
                  </w:r>
                </w:p>
              </w:tc>
            </w:tr>
            <w:tr>
              <w:tblPrEx>
                <w:tblLayout w:type="fixed"/>
                <w:tblCellMar>
                  <w:top w:w="0" w:type="dxa"/>
                  <w:left w:w="108" w:type="dxa"/>
                  <w:bottom w:w="0" w:type="dxa"/>
                  <w:right w:w="108" w:type="dxa"/>
                </w:tblCellMar>
              </w:tblPrEx>
              <w:trPr>
                <w:trHeight w:val="340" w:hRule="exact"/>
                <w:jc w:val="center"/>
              </w:trPr>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K21+80</w:t>
                  </w:r>
                </w:p>
              </w:tc>
              <w:tc>
                <w:tcPr>
                  <w:tcW w:w="19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涵洞</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w:t>
                  </w:r>
                </w:p>
              </w:tc>
              <w:tc>
                <w:tcPr>
                  <w:tcW w:w="1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φ1.0m*3m</w:t>
                  </w:r>
                </w:p>
              </w:tc>
              <w:tc>
                <w:tcPr>
                  <w:tcW w:w="13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穿路</w:t>
                  </w:r>
                </w:p>
              </w:tc>
            </w:tr>
            <w:tr>
              <w:tblPrEx>
                <w:tblLayout w:type="fixed"/>
                <w:tblCellMar>
                  <w:top w:w="0" w:type="dxa"/>
                  <w:left w:w="108" w:type="dxa"/>
                  <w:bottom w:w="0" w:type="dxa"/>
                  <w:right w:w="108" w:type="dxa"/>
                </w:tblCellMar>
              </w:tblPrEx>
              <w:trPr>
                <w:trHeight w:val="340" w:hRule="exact"/>
                <w:jc w:val="center"/>
              </w:trPr>
              <w:tc>
                <w:tcPr>
                  <w:tcW w:w="324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下游小计</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7</w:t>
                  </w:r>
                </w:p>
              </w:tc>
              <w:tc>
                <w:tcPr>
                  <w:tcW w:w="190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40" w:hRule="exact"/>
                <w:jc w:val="center"/>
              </w:trPr>
              <w:tc>
                <w:tcPr>
                  <w:tcW w:w="324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合计</w:t>
                  </w:r>
                </w:p>
              </w:tc>
              <w:tc>
                <w:tcPr>
                  <w:tcW w:w="14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22</w:t>
                  </w:r>
                </w:p>
              </w:tc>
              <w:tc>
                <w:tcPr>
                  <w:tcW w:w="190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bl>
          <w:p>
            <w:pPr>
              <w:pStyle w:val="7"/>
              <w:ind w:firstLine="480" w:firstLineChars="200"/>
              <w:rPr>
                <w:rFonts w:cs="Times New Roman"/>
                <w:b w:val="0"/>
                <w:bCs w:val="0"/>
                <w:color w:val="000000" w:themeColor="text1"/>
                <w:sz w:val="24"/>
                <w:szCs w:val="24"/>
                <w14:textFill>
                  <w14:solidFill>
                    <w14:schemeClr w14:val="tx1"/>
                  </w14:solidFill>
                </w14:textFill>
              </w:rPr>
            </w:pPr>
            <w:bookmarkStart w:id="20" w:name="_Toc16839"/>
            <w:bookmarkStart w:id="21" w:name="_Toc20583"/>
            <w:bookmarkStart w:id="22" w:name="_Toc12534"/>
            <w:bookmarkStart w:id="23" w:name="_Toc13416"/>
            <w:r>
              <w:rPr>
                <w:rFonts w:cs="Times New Roman"/>
                <w:b w:val="0"/>
                <w:bCs w:val="0"/>
                <w:color w:val="000000" w:themeColor="text1"/>
                <w:sz w:val="24"/>
                <w:szCs w:val="24"/>
                <w14:textFill>
                  <w14:solidFill>
                    <w14:schemeClr w14:val="tx1"/>
                  </w14:solidFill>
                </w14:textFill>
              </w:rPr>
              <w:t>3.3</w:t>
            </w:r>
            <w:bookmarkEnd w:id="20"/>
            <w:bookmarkEnd w:id="21"/>
            <w:bookmarkEnd w:id="22"/>
            <w:bookmarkEnd w:id="23"/>
            <w:r>
              <w:rPr>
                <w:rFonts w:cs="Times New Roman"/>
                <w:b w:val="0"/>
                <w:bCs w:val="0"/>
                <w:color w:val="000000" w:themeColor="text1"/>
                <w:sz w:val="24"/>
                <w:szCs w:val="24"/>
                <w14:textFill>
                  <w14:solidFill>
                    <w14:schemeClr w14:val="tx1"/>
                  </w14:solidFill>
                </w14:textFill>
              </w:rPr>
              <w:t>护岸生态修复</w:t>
            </w:r>
            <w:r>
              <w:rPr>
                <w:rFonts w:cs="Times New Roman"/>
                <w:b w:val="0"/>
                <w:bCs w:val="0"/>
                <w:color w:val="000000" w:themeColor="text1"/>
                <w:sz w:val="24"/>
                <w:szCs w:val="24"/>
                <w:lang w:val="zh-CN"/>
                <w14:textFill>
                  <w14:solidFill>
                    <w14:schemeClr w14:val="tx1"/>
                  </w14:solidFill>
                </w14:textFill>
              </w:rPr>
              <w:t>工程</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24" w:name="_Toc21147_WPSOffice_Level2"/>
            <w:bookmarkStart w:id="25" w:name="_Toc19381_WPSOffice_Level2"/>
            <w:bookmarkStart w:id="26" w:name="_Toc9263191"/>
            <w:bookmarkStart w:id="27" w:name="_Toc531163026"/>
            <w:bookmarkStart w:id="28" w:name="_Toc19173_WPSOffice_Level2"/>
            <w:bookmarkStart w:id="29" w:name="_Toc24523_WPSOffice_Level2"/>
            <w:r>
              <w:rPr>
                <w:rFonts w:ascii="Times New Roman" w:hAnsi="Times New Roman" w:cs="Times New Roman"/>
                <w:color w:val="000000" w:themeColor="text1"/>
                <w:sz w:val="24"/>
                <w14:textFill>
                  <w14:solidFill>
                    <w14:schemeClr w14:val="tx1"/>
                  </w14:solidFill>
                </w14:textFill>
              </w:rPr>
              <w:t>（1）工程平面布置</w:t>
            </w:r>
            <w:bookmarkEnd w:id="24"/>
            <w:bookmarkEnd w:id="25"/>
            <w:bookmarkEnd w:id="26"/>
            <w:bookmarkEnd w:id="27"/>
            <w:bookmarkEnd w:id="28"/>
            <w:bookmarkEnd w:id="29"/>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30" w:name="_Toc32547_WPSOffice_Level2"/>
            <w:r>
              <w:rPr>
                <w:rFonts w:ascii="Times New Roman" w:hAnsi="Times New Roman" w:cs="Times New Roman"/>
                <w:color w:val="000000" w:themeColor="text1"/>
                <w:sz w:val="24"/>
                <w14:textFill>
                  <w14:solidFill>
                    <w14:schemeClr w14:val="tx1"/>
                  </w14:solidFill>
                </w14:textFill>
              </w:rPr>
              <w:t>根据河道水流及岸线条件，护岸生态修复工程均沿河道岸坡顺势布设平顺护岸。其具有对水流干扰小，冲刷坑深度较小，护脚根石埋深较浅，投资较省等优点。</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期治理工程以防护、强化河岸边界为主，提高岸线抗水流冲淘能力，消除塌岸险情为主。本次规划在河道弯度较大处，没有达到抗冲条件处进行浆砌石护岸，护岸类型详见平面布置图，共进行浆砌石砌护长度为10.96k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31" w:name="_Toc320713835"/>
            <w:bookmarkStart w:id="32" w:name="_Toc304974585"/>
            <w:bookmarkStart w:id="33" w:name="_Toc327362396"/>
            <w:r>
              <w:rPr>
                <w:rFonts w:ascii="Times New Roman" w:hAnsi="Times New Roman" w:cs="Times New Roman"/>
                <w:color w:val="000000" w:themeColor="text1"/>
                <w:sz w:val="24"/>
                <w14:textFill>
                  <w14:solidFill>
                    <w14:schemeClr w14:val="tx1"/>
                  </w14:solidFill>
                </w14:textFill>
              </w:rPr>
              <w:t>（2）护岸高度计算</w:t>
            </w:r>
            <w:bookmarkEnd w:id="31"/>
            <w:bookmarkEnd w:id="32"/>
            <w:bookmarkEnd w:id="33"/>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根据《堤防工程技术规范》（GB50286-2013），沟道治理工程为护岸工程，堤顶设计高程根据设计整治流量相应水位加超高确定。</w:t>
            </w:r>
          </w:p>
          <w:p>
            <w:pPr>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H＝H设＋</w:t>
            </w:r>
            <w:r>
              <w:rPr>
                <w:rFonts w:hint="eastAsia" w:ascii="宋体" w:hAnsi="宋体" w:cs="宋体"/>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式中：H—工程顶部高程（m）；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H设—设计整治流量相应水位（m）；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H—堤顶超高（m），</w:t>
            </w:r>
            <w:r>
              <w:rPr>
                <w:rFonts w:hint="eastAsia" w:ascii="宋体" w:hAnsi="宋体" w:cs="宋体"/>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H＝Rp+e+A</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Rp—设计波浪爬高（m）；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e—设计风壅高度（m）；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A—安全加高（m），护堤工程级别为5级，对允许越浪的堤防工程其安全加高值查规范取0.5m。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波浪爬高：波浪爬高忽略不计。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t>设计风壅水面高度：风壅水面高度忽略不计。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t>堤顶超高</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堤顶超高</w:t>
            </w:r>
            <w:r>
              <w:rPr>
                <w:rFonts w:hint="eastAsia" w:ascii="宋体" w:hAnsi="宋体" w:cs="宋体"/>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H＝Rp+e+A＝=0.5m。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ascii="Times New Roman" w:hAnsi="Times New Roman" w:cs="Times New Roman"/>
                <w:color w:val="000000" w:themeColor="text1"/>
                <w:sz w:val="24"/>
                <w14:textFill>
                  <w14:solidFill>
                    <w14:schemeClr w14:val="tx1"/>
                  </w14:solidFill>
                </w14:textFill>
              </w:rPr>
              <w:t>护堤顶部高程</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防护堤顶部高程按高于整治水位确定，然后取整，河段护堤高度计算结果详见下表：</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表2-6 朱庄河护岸安全超高及堤顶高度表</w:t>
            </w:r>
          </w:p>
          <w:tbl>
            <w:tblPr>
              <w:tblStyle w:val="27"/>
              <w:tblW w:w="8001" w:type="dxa"/>
              <w:jc w:val="center"/>
              <w:tblInd w:w="0" w:type="dxa"/>
              <w:tblLayout w:type="fixed"/>
              <w:tblCellMar>
                <w:top w:w="0" w:type="dxa"/>
                <w:left w:w="57" w:type="dxa"/>
                <w:bottom w:w="0" w:type="dxa"/>
                <w:right w:w="57" w:type="dxa"/>
              </w:tblCellMar>
            </w:tblPr>
            <w:tblGrid>
              <w:gridCol w:w="1084"/>
              <w:gridCol w:w="899"/>
              <w:gridCol w:w="748"/>
              <w:gridCol w:w="599"/>
              <w:gridCol w:w="747"/>
              <w:gridCol w:w="747"/>
              <w:gridCol w:w="747"/>
              <w:gridCol w:w="699"/>
              <w:gridCol w:w="499"/>
              <w:gridCol w:w="616"/>
              <w:gridCol w:w="616"/>
            </w:tblGrid>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控制断面</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河道底宽度</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L（m）</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河床比降</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J</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边坡比</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慥率</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洪峰流量</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m³/s</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计算水位高度</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流速</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m/s</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超高</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计算砌护高度</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实际砌护高度</w:t>
                  </w: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m</w:t>
                  </w:r>
                </w:p>
              </w:tc>
            </w:tr>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0+000-4+950</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10.00</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1/80</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0.036</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0.973</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2.73</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1.47</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4+950-10+018</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15.00</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1/100</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0.036</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44.5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0.959</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2.61</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1.46</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10+018-13+400</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21.00</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1/100</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0.036</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0.899</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2.63</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1.40</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13+400-18+616</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24.00</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1/100</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0.036</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67.1</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0.915</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2.63</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1.42</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r>
              <w:tblPrEx>
                <w:tblLayout w:type="fixed"/>
                <w:tblCellMar>
                  <w:top w:w="0" w:type="dxa"/>
                  <w:left w:w="57" w:type="dxa"/>
                  <w:bottom w:w="0" w:type="dxa"/>
                  <w:right w:w="57" w:type="dxa"/>
                </w:tblCellMar>
              </w:tblPrEx>
              <w:trPr>
                <w:trHeight w:val="20" w:hRule="atLeast"/>
                <w:jc w:val="center"/>
              </w:trPr>
              <w:tc>
                <w:tcPr>
                  <w:tcW w:w="10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18+616-21+771</w:t>
                  </w:r>
                </w:p>
              </w:tc>
              <w:tc>
                <w:tcPr>
                  <w:tcW w:w="8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25.00</w:t>
                  </w:r>
                </w:p>
              </w:tc>
              <w:tc>
                <w:tcPr>
                  <w:tcW w:w="7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1/100</w:t>
                  </w:r>
                </w:p>
              </w:tc>
              <w:tc>
                <w:tcPr>
                  <w:tcW w:w="5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0.036</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70.5</w:t>
                  </w:r>
                </w:p>
              </w:tc>
              <w:tc>
                <w:tcPr>
                  <w:tcW w:w="7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0.982</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2.64</w:t>
                  </w:r>
                </w:p>
              </w:tc>
              <w:tc>
                <w:tcPr>
                  <w:tcW w:w="4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1.48</w:t>
                  </w:r>
                </w:p>
              </w:tc>
              <w:tc>
                <w:tcPr>
                  <w:tcW w:w="6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r>
          </w:tbl>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（3）堤岸冲刷深度计算</w:t>
            </w:r>
            <w:bookmarkEnd w:id="30"/>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34" w:name="_Toc531163029"/>
            <w:bookmarkStart w:id="35" w:name="_Toc12856_WPSOffice_Level2"/>
            <w:bookmarkStart w:id="36" w:name="_Toc27056_WPSOffice_Level2"/>
            <w:bookmarkStart w:id="37" w:name="_Toc373571484"/>
            <w:r>
              <w:rPr>
                <w:rFonts w:ascii="Times New Roman" w:hAnsi="Times New Roman" w:cs="Times New Roman"/>
                <w:color w:val="000000" w:themeColor="text1"/>
                <w:sz w:val="24"/>
                <w14:textFill>
                  <w14:solidFill>
                    <w14:schemeClr w14:val="tx1"/>
                  </w14:solidFill>
                </w14:textFill>
              </w:rPr>
              <w:t>根据《水利水电工程等级划分及洪水标准》（SL252-2017）及《堤防工程设计规范》（GB50286-2013），防洪标准10年一遇的河段护岸工程级别为5级。次要建筑物及临时工程的级别采用5级。当防洪区人口≤20万人且防洪区耕地面积≤30万亩时，工程等级为Ⅳ等4级，防洪标准为20-10年一遇。本项目根据村庄人口的密集程度及淹没损失的大小情况，取下限10年一遇。</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根据《堤防工程设计规范》（GB 50286—2013），护堤布置时根据地形条件堤线力求平顺，各堤段平缓连接，不采用折线或急弯，弯道半径须大于3倍槽宽，以削弱螺旋流的冲淤影响，此时水流对防护岸坡产生的冲刷可按水流平行于岸坡产生的冲刷公式计算。</w:t>
            </w:r>
          </w:p>
          <w:p>
            <w:pPr>
              <w:snapToGrid w:val="0"/>
              <w:spacing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hB= (Vcp/ V允 ) n -1</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式中：hB—从护岸底起算的局部冲刷深度（m）；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Vcp—平均流速（m/s）；</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V允—河床面上允许不冲流速（m/s）；</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n—与护岸在平面上的形状有关，一般取n＝1/4。</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河床面上允许不冲流速V允，其计算公式为：</w:t>
            </w:r>
          </w:p>
          <w:p>
            <w:pPr>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V</w:t>
            </w:r>
            <w:r>
              <w:rPr>
                <w:rFonts w:ascii="Times New Roman" w:hAnsi="Times New Roman" w:cs="Times New Roman"/>
                <w:color w:val="000000" w:themeColor="text1"/>
                <w:sz w:val="24"/>
                <w:vertAlign w:val="subscript"/>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＝K(（γs-γ）gd/γ)0.5(h/d)m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式中：V0—起动流速（m/s）；</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γs、γ—相应泥沙和水的容重（t/m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h—计算断面的水深（m）；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d—泥沙粒径（cm）。</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g—重力加速度（m/s），取9.82m/s；</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K、m—常数，分别为1.14和1/6。</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经计算，由于各段河道沉积物及水力要素各不相同，护岸冲刷深度也各段不同1.40m—1.48m，设计护岸基础深度为1.5满足要求。</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w:t>
            </w:r>
            <w:bookmarkEnd w:id="34"/>
            <w:bookmarkEnd w:id="35"/>
            <w:bookmarkEnd w:id="36"/>
            <w:bookmarkEnd w:id="37"/>
            <w:r>
              <w:rPr>
                <w:rFonts w:ascii="Times New Roman" w:hAnsi="Times New Roman" w:cs="Times New Roman"/>
                <w:color w:val="000000" w:themeColor="text1"/>
                <w:sz w:val="24"/>
                <w14:textFill>
                  <w14:solidFill>
                    <w14:schemeClr w14:val="tx1"/>
                  </w14:solidFill>
                </w14:textFill>
              </w:rPr>
              <w:t>护岸材料比选</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对于墙式和坡式护岸，砌护材料主要有浆砌石和混凝土。上述2种材料比选详见下述。</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以浆砌石、砼预制板作为坡式护岸比选材料，护岸高度取1.5m，长度取1.0m。</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浆砌石护坡厚度取0.3m，基础宽0.6m，深1.5m，边坡1：1.5，基础材料与护坡一致。</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砼预制板为正六边形，每边长0.25m，砼设计标号为C20，板厚0.12m，板缝宽0.05m，C20细石砼填缝，下垫0.2m砂砾石，边坡1:1.5。基础宽0.6m，深1.5m，基础材料为浆砌石。</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bookmarkStart w:id="38" w:name="_Toc28727_WPSOffice_Level3"/>
            <w:r>
              <w:rPr>
                <w:rFonts w:ascii="Times New Roman" w:hAnsi="Times New Roman" w:cs="Times New Roman"/>
                <w:b/>
                <w:color w:val="000000" w:themeColor="text1"/>
                <w:kern w:val="0"/>
                <w:sz w:val="24"/>
                <w14:textFill>
                  <w14:solidFill>
                    <w14:schemeClr w14:val="tx1"/>
                  </w14:solidFill>
                </w14:textFill>
              </w:rPr>
              <w:t>表2-7   1.0m护岸工程量及投资比较表</w:t>
            </w:r>
            <w:bookmarkEnd w:id="38"/>
          </w:p>
          <w:tbl>
            <w:tblPr>
              <w:tblStyle w:val="27"/>
              <w:tblW w:w="798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7"/>
              <w:gridCol w:w="760"/>
              <w:gridCol w:w="1007"/>
              <w:gridCol w:w="1289"/>
              <w:gridCol w:w="947"/>
              <w:gridCol w:w="917"/>
              <w:gridCol w:w="901"/>
              <w:gridCol w:w="8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blHeader/>
              </w:trPr>
              <w:tc>
                <w:tcPr>
                  <w:tcW w:w="1277" w:type="dxa"/>
                  <w:vMerge w:val="restart"/>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项目</w:t>
                  </w:r>
                </w:p>
              </w:tc>
              <w:tc>
                <w:tcPr>
                  <w:tcW w:w="760" w:type="dxa"/>
                  <w:vMerge w:val="restart"/>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单位</w:t>
                  </w:r>
                </w:p>
              </w:tc>
              <w:tc>
                <w:tcPr>
                  <w:tcW w:w="2296" w:type="dxa"/>
                  <w:gridSpan w:val="2"/>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浆砌石护岸</w:t>
                  </w:r>
                </w:p>
              </w:tc>
              <w:tc>
                <w:tcPr>
                  <w:tcW w:w="1864" w:type="dxa"/>
                  <w:gridSpan w:val="2"/>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格宾护岸</w:t>
                  </w:r>
                </w:p>
              </w:tc>
              <w:tc>
                <w:tcPr>
                  <w:tcW w:w="1791" w:type="dxa"/>
                  <w:gridSpan w:val="2"/>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混凝土板护岸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87" w:hRule="atLeast"/>
                <w:tblHeader/>
              </w:trPr>
              <w:tc>
                <w:tcPr>
                  <w:tcW w:w="1277" w:type="dxa"/>
                  <w:vMerge w:val="continue"/>
                  <w:vAlign w:val="center"/>
                </w:tcPr>
                <w:p>
                  <w:pPr>
                    <w:widowControl/>
                    <w:jc w:val="center"/>
                    <w:rPr>
                      <w:rFonts w:ascii="Times New Roman" w:hAnsi="Times New Roman" w:cs="Times New Roman"/>
                      <w:b/>
                      <w:bCs/>
                      <w:color w:val="000000" w:themeColor="text1"/>
                      <w:szCs w:val="21"/>
                      <w14:textFill>
                        <w14:solidFill>
                          <w14:schemeClr w14:val="tx1"/>
                        </w14:solidFill>
                      </w14:textFill>
                    </w:rPr>
                  </w:pPr>
                </w:p>
              </w:tc>
              <w:tc>
                <w:tcPr>
                  <w:tcW w:w="760" w:type="dxa"/>
                  <w:vMerge w:val="continue"/>
                  <w:vAlign w:val="center"/>
                </w:tcPr>
                <w:p>
                  <w:pPr>
                    <w:widowControl/>
                    <w:jc w:val="center"/>
                    <w:rPr>
                      <w:rFonts w:ascii="Times New Roman" w:hAnsi="Times New Roman" w:cs="Times New Roman"/>
                      <w:b/>
                      <w:bCs/>
                      <w:color w:val="000000" w:themeColor="text1"/>
                      <w:szCs w:val="21"/>
                      <w14:textFill>
                        <w14:solidFill>
                          <w14:schemeClr w14:val="tx1"/>
                        </w14:solidFill>
                      </w14:textFill>
                    </w:rPr>
                  </w:pPr>
                </w:p>
              </w:tc>
              <w:tc>
                <w:tcPr>
                  <w:tcW w:w="1007"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数量</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1289"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合价</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（元）</w:t>
                  </w:r>
                </w:p>
              </w:tc>
              <w:tc>
                <w:tcPr>
                  <w:tcW w:w="947"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数量</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917"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合价</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（元）</w:t>
                  </w:r>
                </w:p>
              </w:tc>
              <w:tc>
                <w:tcPr>
                  <w:tcW w:w="901"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数量</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890"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合价</w:t>
                  </w:r>
                </w:p>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浆砌石护坡</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0.98</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377.55</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0"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浆砌石基础</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429</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格宾护坡</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0.98</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398.00</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格宾基础</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387.70</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C20砼</w:t>
                  </w:r>
                </w:p>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预制板</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0.432</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297.23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砂砾石垫层</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0.72</w:t>
                  </w: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113.72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5" w:hRule="atLeast"/>
              </w:trPr>
              <w:tc>
                <w:tcPr>
                  <w:tcW w:w="127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合计</w:t>
                  </w:r>
                </w:p>
              </w:tc>
              <w:tc>
                <w:tcPr>
                  <w:tcW w:w="76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c>
                <w:tcPr>
                  <w:tcW w:w="100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c>
                <w:tcPr>
                  <w:tcW w:w="128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710.54</w:t>
                  </w:r>
                </w:p>
              </w:tc>
              <w:tc>
                <w:tcPr>
                  <w:tcW w:w="94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c>
                <w:tcPr>
                  <w:tcW w:w="91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785.70</w:t>
                  </w:r>
                </w:p>
              </w:tc>
              <w:tc>
                <w:tcPr>
                  <w:tcW w:w="901"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c>
                <w:tcPr>
                  <w:tcW w:w="89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806.95</w:t>
                  </w:r>
                </w:p>
              </w:tc>
            </w:tr>
          </w:tbl>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从投资比较看，浆砌石造价最低，有施工方便的优点，综合比较，故本次设计护岸砌护材料选择浆砌石。</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39" w:name="_Toc11361_WPSOffice_Level2"/>
            <w:bookmarkStart w:id="40" w:name="_Toc531163031"/>
            <w:bookmarkStart w:id="41" w:name="_Toc23978_WPSOffice_Level2"/>
            <w:r>
              <w:rPr>
                <w:rFonts w:ascii="Times New Roman" w:hAnsi="Times New Roman" w:cs="Times New Roman"/>
                <w:color w:val="000000" w:themeColor="text1"/>
                <w:sz w:val="24"/>
                <w14:textFill>
                  <w14:solidFill>
                    <w14:schemeClr w14:val="tx1"/>
                  </w14:solidFill>
                </w14:textFill>
              </w:rPr>
              <w:t>（5）护岸断面设计</w:t>
            </w:r>
            <w:bookmarkEnd w:id="39"/>
            <w:bookmarkEnd w:id="40"/>
            <w:bookmarkEnd w:id="41"/>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浆砌石墙式护岸，设计护岸高度1.5m，设计墙顶宽0.5m，迎水侧墙面垂直，背水侧边坡≤0.3，基础深度1.0m，待墙体施工完成后，墙后填土与墙顶齐平，并由内向外放坡1/200，并在墙体内设Φ90PVC排水管，管端采用土工布（200g/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）外包砂砾石滤料封堵。设计护岸高度1.5m，浆砌石基础宽1.1m，深度1.0m。浆砌石墙式护岸伸缩缝：沿水流方向每隔10m设1条伸缩缝，伸缩缝宽3cm，采用沥青油膏（厚2cm）+苯板填塞。</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墙式护岸为了施工安全，一般采用离岸式砌护，向外放坡1/200，河道宽阔的，采用近岸式砌护。</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对于浆砌石坡式护岸，设计护岸高度1.5m，厚度为0.3m，边坡取1:1.5；浆砌石基础宽0.8m，深度1.0m。</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浆砌石护岸伸缩缝：沿水流方向每隔10m设1条伸缩缝，伸缩缝宽3cm，采用沥青油膏（厚2cm）+苯板填塞。</w:t>
            </w:r>
          </w:p>
          <w:p>
            <w:pPr>
              <w:pStyle w:val="11"/>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具体护岸结构形式详见图2-8、2-9。</w:t>
            </w: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drawing>
                <wp:inline distT="0" distB="0" distL="0" distR="0">
                  <wp:extent cx="4972050" cy="2876550"/>
                  <wp:effectExtent l="0" t="0" r="0" b="0"/>
                  <wp:docPr id="285" name="图片 24" descr="b3c8357eb151a9eff089e69ed47de88"/>
                  <wp:cNvGraphicFramePr/>
                  <a:graphic xmlns:a="http://schemas.openxmlformats.org/drawingml/2006/main">
                    <a:graphicData uri="http://schemas.openxmlformats.org/drawingml/2006/picture">
                      <pic:pic xmlns:pic="http://schemas.openxmlformats.org/drawingml/2006/picture">
                        <pic:nvPicPr>
                          <pic:cNvPr id="285" name="图片 24" descr="b3c8357eb151a9eff089e69ed47de8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72050" cy="2876550"/>
                          </a:xfrm>
                          <a:prstGeom prst="rect">
                            <a:avLst/>
                          </a:prstGeom>
                          <a:noFill/>
                          <a:ln>
                            <a:noFill/>
                          </a:ln>
                          <a:effectLst/>
                        </pic:spPr>
                      </pic:pic>
                    </a:graphicData>
                  </a:graphic>
                </wp:inline>
              </w:drawing>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bookmarkStart w:id="42" w:name="_Toc15020_WPSOffice_Level3"/>
            <w:r>
              <w:rPr>
                <w:rFonts w:ascii="Times New Roman" w:hAnsi="Times New Roman" w:cs="Times New Roman"/>
                <w:b/>
                <w:color w:val="000000" w:themeColor="text1"/>
                <w:kern w:val="0"/>
                <w:sz w:val="24"/>
                <w14:textFill>
                  <w14:solidFill>
                    <w14:schemeClr w14:val="tx1"/>
                  </w14:solidFill>
                </w14:textFill>
              </w:rPr>
              <w:t>图2-8  浆砌石墙式护岸标准剖面</w:t>
            </w:r>
            <w:bookmarkEnd w:id="42"/>
          </w:p>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drawing>
                <wp:inline distT="0" distB="0" distL="0" distR="0">
                  <wp:extent cx="4914900" cy="2800350"/>
                  <wp:effectExtent l="0" t="0" r="0" b="0"/>
                  <wp:docPr id="286" name="图片 25" descr="1820126d8c1f5f1456626e936b31932"/>
                  <wp:cNvGraphicFramePr/>
                  <a:graphic xmlns:a="http://schemas.openxmlformats.org/drawingml/2006/main">
                    <a:graphicData uri="http://schemas.openxmlformats.org/drawingml/2006/picture">
                      <pic:pic xmlns:pic="http://schemas.openxmlformats.org/drawingml/2006/picture">
                        <pic:nvPicPr>
                          <pic:cNvPr id="286" name="图片 25" descr="1820126d8c1f5f1456626e936b3193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14900" cy="2800350"/>
                          </a:xfrm>
                          <a:prstGeom prst="rect">
                            <a:avLst/>
                          </a:prstGeom>
                          <a:noFill/>
                          <a:ln>
                            <a:noFill/>
                          </a:ln>
                          <a:effectLst/>
                        </pic:spPr>
                      </pic:pic>
                    </a:graphicData>
                  </a:graphic>
                </wp:inline>
              </w:drawing>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bookmarkStart w:id="43" w:name="_Toc24455_WPSOffice_Level3"/>
            <w:r>
              <w:rPr>
                <w:rFonts w:ascii="Times New Roman" w:hAnsi="Times New Roman" w:cs="Times New Roman"/>
                <w:b/>
                <w:color w:val="000000" w:themeColor="text1"/>
                <w:kern w:val="0"/>
                <w:sz w:val="24"/>
                <w14:textFill>
                  <w14:solidFill>
                    <w14:schemeClr w14:val="tx1"/>
                  </w14:solidFill>
                </w14:textFill>
              </w:rPr>
              <w:t>图2-9  浆砌石坡式护岸标准剖面</w:t>
            </w:r>
            <w:bookmarkEnd w:id="43"/>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44" w:name="_Toc28245_WPSOffice_Level2"/>
            <w:bookmarkStart w:id="45" w:name="_Toc31106_WPSOffice_Level2"/>
            <w:r>
              <w:rPr>
                <w:rFonts w:ascii="Times New Roman" w:hAnsi="Times New Roman" w:cs="Times New Roman"/>
                <w:color w:val="000000" w:themeColor="text1"/>
                <w:sz w:val="24"/>
                <w14:textFill>
                  <w14:solidFill>
                    <w14:schemeClr w14:val="tx1"/>
                  </w14:solidFill>
                </w14:textFill>
              </w:rPr>
              <w:t>（6）砌石护坡设计</w:t>
            </w:r>
            <w:bookmarkEnd w:id="44"/>
            <w:bookmarkEnd w:id="45"/>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本次规划在河道弯度较大处，没有达到抗冲条件处进行浆砌石护岸，共进行浆砌石砌护长度为10.96km。</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浆砌石护坡采用M10浆砌石，M7.5水泥砂浆砌筑。1：2水泥砂浆勾石缝，用于外表面的石面要求平整。挡土墙及护坡的地基耐力应≥12t/m，否则应将基底土夯实。墙背若作填土时应随砌随夯实，干容重需≥1.5g/cm³。挡土墙及护坡每10m需留变形缝，缝宽30mm，缝内填塞沥青麻筋，基础开槽后，如遇地下水时改用M10.0水泥砂浆。</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地形起伏不大时基础底面找平，遇到坑洼地形，不得回填，应以坑洼底面为基准面下挖至设计埋深方可进行基础施工，护面墙砌筑以实际发生为准，挖方量以实际发生量为准。泄水孔上下左右梅花形布置，每隔2.0m设置一排。泄水孔水平间距6.0m。护面墙设伸缩缝，间距10.0m，缝宽30mm。伸缩缝位置根据施工现场情况确定。护面墙必须紧贴坡面，超挖部分用毛石混凝土砌筑，不得回填土。浆砌块石应花砌、大面朝外、错缝交接，并选择较大、较规整的块石砌在渠底和渠坡下部。浆砌料石在渠坡应纵砌；在渠底应横砌。浆砌卵石，相邻两排应错开茬口，并选择较大的卵石砌于渠底和渠坡下部，大头朝下，挤紧靠实。浆砌块石护坡式防渗结构，应先砌面石，后砌腹石，面石与腹石应交错连接；浆砌料石挡土墙式防渗结构，面石中应有足量的丁石与腹石相连。砌筑前应洒水润湿，石料应冲洗干净。浆砌块石，应干摆试放分层砌筑，座浆饱满。每层铺水泥砂浆厚，料石宜为2cm～3cm；块石宜为3cm～5cm，随铺浆随砌石。块石缝宽超过5cm时，应填塞小片石。</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浆砌石护岸长度及位置详见下表2-8。</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表2-8 浆砌石护岸长度及工程量统计表</w:t>
            </w:r>
          </w:p>
          <w:tbl>
            <w:tblPr>
              <w:tblStyle w:val="27"/>
              <w:tblW w:w="7998" w:type="dxa"/>
              <w:tblInd w:w="0" w:type="dxa"/>
              <w:tblLayout w:type="fixed"/>
              <w:tblCellMar>
                <w:top w:w="0" w:type="dxa"/>
                <w:left w:w="108" w:type="dxa"/>
                <w:bottom w:w="0" w:type="dxa"/>
                <w:right w:w="108" w:type="dxa"/>
              </w:tblCellMar>
            </w:tblPr>
            <w:tblGrid>
              <w:gridCol w:w="2796"/>
              <w:gridCol w:w="1545"/>
              <w:gridCol w:w="1056"/>
              <w:gridCol w:w="1545"/>
              <w:gridCol w:w="1056"/>
            </w:tblGrid>
            <w:tr>
              <w:tblPrEx>
                <w:tblLayout w:type="fixed"/>
                <w:tblCellMar>
                  <w:top w:w="0" w:type="dxa"/>
                  <w:left w:w="108" w:type="dxa"/>
                  <w:bottom w:w="0" w:type="dxa"/>
                  <w:right w:w="108" w:type="dxa"/>
                </w:tblCellMar>
              </w:tblPrEx>
              <w:trPr>
                <w:trHeight w:val="317" w:hRule="atLeast"/>
                <w:tblHeader/>
              </w:trPr>
              <w:tc>
                <w:tcPr>
                  <w:tcW w:w="279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bookmarkStart w:id="46" w:name="_Toc30434"/>
                  <w:bookmarkStart w:id="47" w:name="_Toc21632"/>
                  <w:bookmarkStart w:id="48" w:name="_Toc17279"/>
                  <w:r>
                    <w:rPr>
                      <w:rFonts w:ascii="Times New Roman" w:hAnsi="Times New Roman" w:cs="Times New Roman"/>
                      <w:b/>
                      <w:bCs/>
                      <w:color w:val="000000" w:themeColor="text1"/>
                      <w:kern w:val="0"/>
                      <w:szCs w:val="21"/>
                      <w:lang w:bidi="ar"/>
                      <w14:textFill>
                        <w14:solidFill>
                          <w14:schemeClr w14:val="tx1"/>
                        </w14:solidFill>
                      </w14:textFill>
                    </w:rPr>
                    <w:t>桩号</w:t>
                  </w:r>
                </w:p>
              </w:tc>
              <w:tc>
                <w:tcPr>
                  <w:tcW w:w="260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左岸浆砌石岸坡砌护</w:t>
                  </w:r>
                </w:p>
              </w:tc>
              <w:tc>
                <w:tcPr>
                  <w:tcW w:w="260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右岸浆砌石岸坡砌护</w:t>
                  </w:r>
                </w:p>
              </w:tc>
            </w:tr>
            <w:tr>
              <w:tblPrEx>
                <w:tblLayout w:type="fixed"/>
                <w:tblCellMar>
                  <w:top w:w="0" w:type="dxa"/>
                  <w:left w:w="108" w:type="dxa"/>
                  <w:bottom w:w="0" w:type="dxa"/>
                  <w:right w:w="108" w:type="dxa"/>
                </w:tblCellMar>
              </w:tblPrEx>
              <w:trPr>
                <w:trHeight w:val="317" w:hRule="atLeast"/>
                <w:tblHeader/>
              </w:trPr>
              <w:tc>
                <w:tcPr>
                  <w:tcW w:w="279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长度（m）</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类别</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长度（m）</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类别</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K0+050～k0+287</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37</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255</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K0+290～k0+500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K0+895～k0+915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K0+919.7～K0+939.7</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K1+000～K1+154</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K1+159～K1+179</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K1+491～K1+650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K1+650～K2+100</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432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K1+875～K1+950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K1+950～K2+100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K2+253.6～K2+273.6</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K2+276.6～K2+296.6</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K2+503.6～K2+523.6</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K2+528.5～K2+548.5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K2+645.3～K2+665.3</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K2+670～K2+807</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K2+814～K2+962</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K2+965～K3+118</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K3+121～K3+325</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K3+683～K3+795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115</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K3+800～K3+820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K3+900～K4+125</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K4+125～K4+400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286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直墙式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K4+400～K4+600</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K4+917.6～K4+937.6</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上游小计</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1860</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2467</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K13+900～K14+371</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432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446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K14+375～K14+520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K14+525～K14+741</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216</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K14+750～K14+770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K15+000～K15+700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655</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K15+000～K16+025</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924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K16+113.3～K16+133.3</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K16+142～K16+500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394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K16+500～K16+839</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348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K16+855～K17+314</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470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K18+000～K18+478</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455</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480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K18+750～K18+925</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182</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K18+925～K19+075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164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K19+350～K19+525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201</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K19+525～K19+650</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140</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19+775～K19+880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134</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K20+125～K20+250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148</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K20+300～K20+550</w:t>
                  </w: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265</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斜墙式</w:t>
                  </w: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下游小计</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3455</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3177</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合计</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5315</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5644</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r>
          </w:tbl>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（7）铺砂路设计</w:t>
            </w:r>
          </w:p>
          <w:p>
            <w:pPr>
              <w:pStyle w:val="49"/>
              <w:spacing w:before="0" w:beforeLines="0"/>
              <w:ind w:firstLine="480"/>
              <w:rPr>
                <w:rFonts w:ascii="Times New Roman" w:hAnsi="Times New Roman" w:eastAsia="宋体" w:cs="Times New Roman"/>
                <w:color w:val="000000" w:themeColor="text1"/>
                <w:kern w:val="2"/>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本次规划项目区铺砂路主要为河岸两侧交通方便，铺砂路依据交通部《小交通量农村公路工程技术标准》（JTB2111-2019）规定，本项目田间道路属于四级公路（Ⅱ类）</w:t>
            </w:r>
            <w:r>
              <w:rPr>
                <w:rFonts w:ascii="Times New Roman" w:hAnsi="Times New Roman" w:eastAsia="宋体" w:cs="Times New Roman"/>
                <w:color w:val="000000" w:themeColor="text1"/>
                <w:kern w:val="2"/>
                <w:sz w:val="24"/>
                <w14:textFill>
                  <w14:solidFill>
                    <w14:schemeClr w14:val="tx1"/>
                  </w14:solidFill>
                </w14:textFill>
              </w:rPr>
              <w:t>。铺砂路为连接两岸交通方便的砂石道路，设计最大纵坡不得大于8%。</w:t>
            </w:r>
          </w:p>
          <w:p>
            <w:pPr>
              <w:spacing w:line="360" w:lineRule="auto"/>
              <w:ind w:firstLine="480" w:firstLineChars="200"/>
              <w:rPr>
                <w:rFonts w:ascii="Times New Roman" w:hAnsi="Times New Roman" w:cs="Times New Roman"/>
                <w:color w:val="000000" w:themeColor="text1"/>
                <w:sz w:val="24"/>
                <w:lang w:val="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设计铺砂路</w:t>
            </w:r>
            <w:r>
              <w:rPr>
                <w:rFonts w:ascii="Times New Roman" w:hAnsi="Times New Roman" w:cs="Times New Roman"/>
                <w:color w:val="000000" w:themeColor="text1"/>
                <w:sz w:val="24"/>
                <w:lang w:val="zh-CN"/>
                <w14:textFill>
                  <w14:solidFill>
                    <w14:schemeClr w14:val="tx1"/>
                  </w14:solidFill>
                </w14:textFill>
              </w:rPr>
              <w:t>面宽</w:t>
            </w:r>
            <w:r>
              <w:rPr>
                <w:rFonts w:ascii="Times New Roman" w:hAnsi="Times New Roman" w:cs="Times New Roman"/>
                <w:color w:val="000000" w:themeColor="text1"/>
                <w:sz w:val="24"/>
                <w14:textFill>
                  <w14:solidFill>
                    <w14:schemeClr w14:val="tx1"/>
                  </w14:solidFill>
                </w14:textFill>
              </w:rPr>
              <w:t>4.0</w:t>
            </w:r>
            <w:r>
              <w:rPr>
                <w:rFonts w:ascii="Times New Roman" w:hAnsi="Times New Roman" w:cs="Times New Roman"/>
                <w:color w:val="000000" w:themeColor="text1"/>
                <w:sz w:val="24"/>
                <w:lang w:val="zh-CN"/>
                <w14:textFill>
                  <w14:solidFill>
                    <w14:schemeClr w14:val="tx1"/>
                  </w14:solidFill>
                </w14:textFill>
              </w:rPr>
              <w:t>m，</w:t>
            </w:r>
            <w:r>
              <w:rPr>
                <w:rFonts w:ascii="Times New Roman" w:hAnsi="Times New Roman" w:cs="Times New Roman"/>
                <w:color w:val="000000" w:themeColor="text1"/>
                <w:sz w:val="24"/>
                <w14:textFill>
                  <w14:solidFill>
                    <w14:schemeClr w14:val="tx1"/>
                  </w14:solidFill>
                </w14:textFill>
              </w:rPr>
              <w:t>铺设3.5m宽砂石路面，砂砾石厚度15cm，要求铺砂路敷设砂砾石级配合理，最大粒径不超过5cm，压碎值小于30%；路拱两侧各为2%的坡面，两侧各为0.5m宽土路肩，坡度为3%；</w:t>
            </w:r>
            <w:r>
              <w:rPr>
                <w:rFonts w:ascii="Times New Roman" w:hAnsi="Times New Roman" w:cs="Times New Roman"/>
                <w:color w:val="000000" w:themeColor="text1"/>
                <w:sz w:val="24"/>
                <w:lang w:val="zh-CN"/>
                <w14:textFill>
                  <w14:solidFill>
                    <w14:schemeClr w14:val="tx1"/>
                  </w14:solidFill>
                </w14:textFill>
              </w:rPr>
              <w:t>路基为</w:t>
            </w:r>
            <w:r>
              <w:rPr>
                <w:rFonts w:ascii="Times New Roman" w:hAnsi="Times New Roman" w:cs="Times New Roman"/>
                <w:color w:val="000000" w:themeColor="text1"/>
                <w:sz w:val="24"/>
                <w14:textFill>
                  <w14:solidFill>
                    <w14:schemeClr w14:val="tx1"/>
                  </w14:solidFill>
                </w14:textFill>
              </w:rPr>
              <w:t>30</w:t>
            </w:r>
            <w:r>
              <w:rPr>
                <w:rFonts w:ascii="Times New Roman" w:hAnsi="Times New Roman" w:cs="Times New Roman"/>
                <w:color w:val="000000" w:themeColor="text1"/>
                <w:sz w:val="24"/>
                <w:lang w:val="zh-CN"/>
                <w14:textFill>
                  <w14:solidFill>
                    <w14:schemeClr w14:val="tx1"/>
                  </w14:solidFill>
                </w14:textFill>
              </w:rPr>
              <w:t>cm厚素土夯实，边坡比1：1，</w:t>
            </w:r>
            <w:r>
              <w:rPr>
                <w:rFonts w:ascii="Times New Roman" w:hAnsi="Times New Roman" w:cs="Times New Roman"/>
                <w:color w:val="000000" w:themeColor="text1"/>
                <w:sz w:val="24"/>
                <w14:textFill>
                  <w14:solidFill>
                    <w14:schemeClr w14:val="tx1"/>
                  </w14:solidFill>
                </w14:textFill>
              </w:rPr>
              <w:t>路基、路肩压实度均不小于0.92。道路横断面图详见下图2-10</w:t>
            </w:r>
            <w:r>
              <w:rPr>
                <w:rFonts w:ascii="Times New Roman" w:hAnsi="Times New Roman" w:cs="Times New Roman"/>
                <w:color w:val="000000" w:themeColor="text1"/>
                <w:sz w:val="24"/>
                <w:lang w:val="zh-CN"/>
                <w14:textFill>
                  <w14:solidFill>
                    <w14:schemeClr w14:val="tx1"/>
                  </w14:solidFill>
                </w14:textFill>
              </w:rPr>
              <w:t>。</w:t>
            </w:r>
          </w:p>
          <w:p>
            <w:pPr>
              <w:pStyle w:val="4"/>
              <w:spacing w:before="0" w:after="0" w:line="240" w:lineRule="auto"/>
              <w:ind w:right="0" w:firstLine="0" w:firstLineChars="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4886325" cy="2514600"/>
                  <wp:effectExtent l="0" t="0" r="0" b="0"/>
                  <wp:docPr id="2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91183" cy="2517520"/>
                          </a:xfrm>
                          <a:prstGeom prst="rect">
                            <a:avLst/>
                          </a:prstGeom>
                          <a:noFill/>
                          <a:ln>
                            <a:noFill/>
                          </a:ln>
                          <a:effectLst/>
                        </pic:spPr>
                      </pic:pic>
                    </a:graphicData>
                  </a:graphic>
                </wp:inline>
              </w:drawing>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图2-10 砂石道路断面面</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（8）铺砂路工程量统计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设计铺砂路长度19.96km，道路两侧种植漳河柳共计1.33万株。工程量详见下表。</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表2-9 砂石路工程量统计表</w:t>
            </w:r>
          </w:p>
          <w:tbl>
            <w:tblPr>
              <w:tblStyle w:val="27"/>
              <w:tblW w:w="7998" w:type="dxa"/>
              <w:tblInd w:w="0" w:type="dxa"/>
              <w:tblLayout w:type="fixed"/>
              <w:tblCellMar>
                <w:top w:w="0" w:type="dxa"/>
                <w:left w:w="108" w:type="dxa"/>
                <w:bottom w:w="0" w:type="dxa"/>
                <w:right w:w="108" w:type="dxa"/>
              </w:tblCellMar>
            </w:tblPr>
            <w:tblGrid>
              <w:gridCol w:w="2207"/>
              <w:gridCol w:w="1276"/>
              <w:gridCol w:w="1276"/>
              <w:gridCol w:w="1280"/>
              <w:gridCol w:w="1276"/>
              <w:gridCol w:w="683"/>
            </w:tblGrid>
            <w:tr>
              <w:tblPrEx>
                <w:tblLayout w:type="fixed"/>
                <w:tblCellMar>
                  <w:top w:w="0" w:type="dxa"/>
                  <w:left w:w="108" w:type="dxa"/>
                  <w:bottom w:w="0" w:type="dxa"/>
                  <w:right w:w="108" w:type="dxa"/>
                </w:tblCellMar>
              </w:tblPrEx>
              <w:trPr>
                <w:trHeight w:val="317" w:hRule="atLeast"/>
                <w:tblHeader/>
              </w:trPr>
              <w:tc>
                <w:tcPr>
                  <w:tcW w:w="220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桩号</w:t>
                  </w:r>
                </w:p>
              </w:tc>
              <w:tc>
                <w:tcPr>
                  <w:tcW w:w="255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新建左岸砂石道路</w:t>
                  </w:r>
                </w:p>
              </w:tc>
              <w:tc>
                <w:tcPr>
                  <w:tcW w:w="25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新建右岸砂石道路</w:t>
                  </w:r>
                </w:p>
              </w:tc>
              <w:tc>
                <w:tcPr>
                  <w:tcW w:w="68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备注</w:t>
                  </w:r>
                </w:p>
              </w:tc>
            </w:tr>
            <w:tr>
              <w:tblPrEx>
                <w:tblLayout w:type="fixed"/>
                <w:tblCellMar>
                  <w:top w:w="0" w:type="dxa"/>
                  <w:left w:w="108" w:type="dxa"/>
                  <w:bottom w:w="0" w:type="dxa"/>
                  <w:right w:w="108" w:type="dxa"/>
                </w:tblCellMar>
              </w:tblPrEx>
              <w:trPr>
                <w:trHeight w:val="317" w:hRule="atLeast"/>
                <w:tblHeader/>
              </w:trPr>
              <w:tc>
                <w:tcPr>
                  <w:tcW w:w="22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长度（m）</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种植漳河柳数量（株）</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长度（m）</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种植漳河柳数量（株）</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K0+000～K0+287</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280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187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440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293 </w:t>
                  </w:r>
                </w:p>
              </w:tc>
              <w:tc>
                <w:tcPr>
                  <w:tcW w:w="68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铺砂15cm，漳河柳株距3m</w:t>
                  </w: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K0+290～K0+915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620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413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626</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417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K0+920～K1+154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153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244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163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K1+159～K2+274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1055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703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740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493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K2+277～K2+524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157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153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K2+529～K2+665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90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96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K2+814～K2+962</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93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K2+965～K3+117</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145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97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K3+122～K3+675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465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310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580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387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K3+683～K3+795</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83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72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K3+800～K4+938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1080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720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980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653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K13+400～K14+371</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928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619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780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520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K14+750～K16+133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1290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860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1254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836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K16+142～K16+839</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688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459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670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447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K16+855～K18+478</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1584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1056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1596</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1064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K18+481～K18+616</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110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73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K18+623～K19+174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420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280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510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340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K19+179～K20+027</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690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460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840</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 xml:space="preserve">560 </w:t>
                  </w:r>
                </w:p>
              </w:tc>
              <w:tc>
                <w:tcPr>
                  <w:tcW w:w="6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320" w:hRule="atLeast"/>
              </w:trPr>
              <w:tc>
                <w:tcPr>
                  <w:tcW w:w="22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小计</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9824</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 xml:space="preserve">6549 </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10137</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6758</w:t>
                  </w:r>
                </w:p>
              </w:tc>
              <w:tc>
                <w:tcPr>
                  <w:tcW w:w="68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b/>
                      <w:bCs/>
                      <w:color w:val="000000" w:themeColor="text1"/>
                      <w:szCs w:val="21"/>
                      <w14:textFill>
                        <w14:solidFill>
                          <w14:schemeClr w14:val="tx1"/>
                        </w14:solidFill>
                      </w14:textFill>
                    </w:rPr>
                  </w:pPr>
                </w:p>
              </w:tc>
            </w:tr>
          </w:tbl>
          <w:p>
            <w:pPr>
              <w:pStyle w:val="7"/>
              <w:ind w:firstLine="480" w:firstLineChars="200"/>
              <w:rPr>
                <w:rFonts w:cs="Times New Roman"/>
                <w:b w:val="0"/>
                <w:bCs w:val="0"/>
                <w:color w:val="000000" w:themeColor="text1"/>
                <w:sz w:val="24"/>
                <w:szCs w:val="24"/>
                <w14:textFill>
                  <w14:solidFill>
                    <w14:schemeClr w14:val="tx1"/>
                  </w14:solidFill>
                </w14:textFill>
              </w:rPr>
            </w:pPr>
            <w:bookmarkStart w:id="49" w:name="_Toc12576"/>
            <w:r>
              <w:rPr>
                <w:rFonts w:cs="Times New Roman"/>
                <w:b w:val="0"/>
                <w:bCs w:val="0"/>
                <w:color w:val="000000" w:themeColor="text1"/>
                <w:sz w:val="24"/>
                <w:szCs w:val="24"/>
                <w14:textFill>
                  <w14:solidFill>
                    <w14:schemeClr w14:val="tx1"/>
                  </w14:solidFill>
                </w14:textFill>
              </w:rPr>
              <w:t>2.4生态经济林</w:t>
            </w:r>
            <w:r>
              <w:rPr>
                <w:rFonts w:cs="Times New Roman"/>
                <w:b w:val="0"/>
                <w:bCs w:val="0"/>
                <w:color w:val="000000" w:themeColor="text1"/>
                <w:sz w:val="24"/>
                <w:szCs w:val="24"/>
                <w:lang w:val="zh-CN"/>
                <w14:textFill>
                  <w14:solidFill>
                    <w14:schemeClr w14:val="tx1"/>
                  </w14:solidFill>
                </w14:textFill>
              </w:rPr>
              <w:t>工程</w:t>
            </w:r>
            <w:bookmarkEnd w:id="46"/>
            <w:bookmarkEnd w:id="47"/>
            <w:bookmarkEnd w:id="48"/>
            <w:bookmarkEnd w:id="49"/>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50" w:name="_Toc17266_WPSOffice_Level2"/>
            <w:bookmarkStart w:id="51" w:name="_Toc12188_WPSOffice_Level2"/>
            <w:bookmarkStart w:id="52" w:name="_Toc9263199"/>
            <w:bookmarkStart w:id="53" w:name="_Toc24721_WPSOffice_Level2"/>
            <w:bookmarkStart w:id="54" w:name="_Toc27054"/>
            <w:bookmarkStart w:id="55" w:name="_Toc31256_WPSOffice_Level2"/>
            <w:bookmarkStart w:id="56" w:name="_Toc265278452"/>
            <w:bookmarkStart w:id="57" w:name="_Toc242859373"/>
            <w:r>
              <w:rPr>
                <w:rFonts w:ascii="Times New Roman" w:hAnsi="Times New Roman" w:cs="Times New Roman"/>
                <w:color w:val="000000" w:themeColor="text1"/>
                <w:sz w:val="24"/>
                <w14:textFill>
                  <w14:solidFill>
                    <w14:schemeClr w14:val="tx1"/>
                  </w14:solidFill>
                </w14:textFill>
              </w:rPr>
              <w:t>（1）建设标准</w:t>
            </w:r>
            <w:bookmarkEnd w:id="50"/>
            <w:bookmarkEnd w:id="51"/>
            <w:bookmarkEnd w:id="52"/>
            <w:bookmarkEnd w:id="53"/>
            <w:bookmarkEnd w:id="54"/>
            <w:bookmarkEnd w:id="55"/>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增加项目群众的经济收入，选择道路两侧，村庄周围有条件的庭院内栽植经果林。经果林工程按照应地制宜、适地种树的原则，为了减少病虫害的蔓延，应尽量选用树种与树种之间以及树种与农作物之间没有共同的病虫害并且本身病虫害又较轻的树种。</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庭院周围主要道路两侧要适时、适地、适树进行经果林建设。造林长度达到适宜造林长度的90%以上，造林成活率达到90%以上，三年后保存率达到85%以上，林带整齐，树种优良，结构合理。</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58" w:name="_Toc9263200"/>
            <w:bookmarkStart w:id="59" w:name="_Toc28676"/>
            <w:bookmarkStart w:id="60" w:name="_Toc171_WPSOffice_Level2"/>
            <w:bookmarkStart w:id="61" w:name="_Toc29168_WPSOffice_Level2"/>
            <w:bookmarkStart w:id="62" w:name="_Toc11516_WPSOffice_Level2"/>
            <w:bookmarkStart w:id="63" w:name="_Toc190_WPSOffice_Level2"/>
            <w:r>
              <w:rPr>
                <w:rFonts w:ascii="Times New Roman" w:hAnsi="Times New Roman" w:cs="Times New Roman"/>
                <w:color w:val="000000" w:themeColor="text1"/>
                <w:sz w:val="24"/>
                <w14:textFill>
                  <w14:solidFill>
                    <w14:schemeClr w14:val="tx1"/>
                  </w14:solidFill>
                </w14:textFill>
              </w:rPr>
              <w:t>（2）农业生态林带宽度</w:t>
            </w:r>
            <w:bookmarkEnd w:id="58"/>
            <w:bookmarkEnd w:id="59"/>
            <w:bookmarkEnd w:id="60"/>
            <w:bookmarkEnd w:id="61"/>
            <w:bookmarkEnd w:id="62"/>
            <w:bookmarkEnd w:id="63"/>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 xml:space="preserve"> 生态林</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实际地形条件，在道路两侧或者单侧以及村庄周围有条件地方栽植旱柳，具体种植位置详平面布置，株行距均为3m；沟道根据现状地形种植，行距为3m×3m。林带的株行距应满足所选树种的生长特性及防风要求。</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 xml:space="preserve"> 经果林</w:t>
            </w:r>
          </w:p>
          <w:p>
            <w:pPr>
              <w:pStyle w:val="4"/>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根据地形条件，在村庄周围有条件地方及河道两侧裸露地表面栽植经果林，经果林选择红梅杏，株行距为3m×3m。具体种植方式详见平面布置图。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64" w:name="_Toc13765_WPSOffice_Level2"/>
            <w:bookmarkStart w:id="65" w:name="_Toc27953"/>
            <w:bookmarkStart w:id="66" w:name="_Toc27821_WPSOffice_Level2"/>
            <w:bookmarkStart w:id="67" w:name="_Toc27517_WPSOffice_Level2"/>
            <w:bookmarkStart w:id="68" w:name="_Toc9263201"/>
            <w:bookmarkStart w:id="69" w:name="_Toc4972_WPSOffice_Level2"/>
            <w:r>
              <w:rPr>
                <w:rFonts w:ascii="Times New Roman" w:hAnsi="Times New Roman" w:cs="Times New Roman"/>
                <w:color w:val="000000" w:themeColor="text1"/>
                <w:sz w:val="24"/>
                <w14:textFill>
                  <w14:solidFill>
                    <w14:schemeClr w14:val="tx1"/>
                  </w14:solidFill>
                </w14:textFill>
              </w:rPr>
              <w:t>（3）立地类型划分</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区属暖温带半湿润气候区，日照充足，全年日照2300小时以上，日照率55％-70％。大于等于10℃积温为2300-3100℃，全年无霜期120～160天。多年平均降雨量580mm，区域土壤以黑垆土、缃黄土为主。植被类型为典型草原植被类型。</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（4）树种选择</w:t>
            </w:r>
            <w:bookmarkEnd w:id="64"/>
            <w:bookmarkEnd w:id="65"/>
            <w:bookmarkEnd w:id="66"/>
            <w:bookmarkEnd w:id="67"/>
            <w:bookmarkEnd w:id="68"/>
            <w:bookmarkEnd w:id="69"/>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 xml:space="preserve"> 树种符合适地适树原则，合理搭配，同时考虑了经济效益和景观。</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 xml:space="preserve"> 宜选用耐旱、耐盐、耐碱的树种作为主要树种。</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rFonts w:ascii="Times New Roman" w:hAnsi="Times New Roman" w:cs="Times New Roman"/>
                <w:color w:val="000000" w:themeColor="text1"/>
                <w:sz w:val="24"/>
                <w:szCs w:val="24"/>
                <w14:textFill>
                  <w14:solidFill>
                    <w14:schemeClr w14:val="tx1"/>
                  </w14:solidFill>
                </w14:textFill>
              </w:rPr>
              <w:t xml:space="preserve"> 减少林带胁地的范围，选用树冠较窄、主根系深而侧根幅较小的树种。</w:t>
            </w:r>
          </w:p>
          <w:bookmarkEnd w:id="56"/>
          <w:bookmarkEnd w:id="57"/>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考虑以上因素，在种植红梅杏及云杉，要求苗木根系发育良好，主根粗壮，侧根发达，起苗时保持根系完好。苗木运输时保护好根系，及时假植。从起苗到栽植必须保持苗木根系不失水份。</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70" w:name="_Toc30251_WPSOffice_Level2"/>
            <w:r>
              <w:rPr>
                <w:rFonts w:ascii="Times New Roman" w:hAnsi="Times New Roman" w:cs="Times New Roman"/>
                <w:color w:val="000000" w:themeColor="text1"/>
                <w:sz w:val="24"/>
                <w14:textFill>
                  <w14:solidFill>
                    <w14:schemeClr w14:val="tx1"/>
                  </w14:solidFill>
                </w14:textFill>
              </w:rPr>
              <w:t>（5）造林方法</w:t>
            </w:r>
            <w:bookmarkEnd w:id="70"/>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bookmarkStart w:id="71" w:name="_Toc242859380"/>
            <w:r>
              <w:rPr>
                <w:rFonts w:ascii="Times New Roman" w:hAnsi="Times New Roman" w:cs="Times New Roman"/>
                <w:color w:val="000000" w:themeColor="text1"/>
                <w:sz w:val="24"/>
                <w:szCs w:val="24"/>
                <w14:textFill>
                  <w14:solidFill>
                    <w14:schemeClr w14:val="tx1"/>
                  </w14:solidFill>
                </w14:textFill>
              </w:rPr>
              <w:t>项目区经果林建设本着“因地制宜，适地适树”的原则，做到技术先进，措施得当。</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 xml:space="preserve"> 造林时间及方法，造林时间为每年5月中上旬。造林采用植苗造林，栽植时，先挖好坑，在所选的坑穴四周垫少量土，将植株直立固定，要保证土壤与根系充分接触。植株的栽植深度一般是在根系土球5.0-10.0cm以下即可，栽植后要及时夯实回土，并浇一次透水。栽植后1-2d穴土出现下沉裂缝时，可进行踏实或用水灌缝，使根系与土壤充分接触。之后一周后再灌一次透水，15d后浇第三次水，以后根据天气情况适量浇水。</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 xml:space="preserve"> 提前整地蓄水，力争在造林前一年雨季或冬灌前将造林地整好，采用大鱼鳞坑整地（60×60cm）。</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rFonts w:ascii="Times New Roman" w:hAnsi="Times New Roman" w:cs="Times New Roman"/>
                <w:color w:val="000000" w:themeColor="text1"/>
                <w:sz w:val="24"/>
                <w:szCs w:val="24"/>
                <w14:textFill>
                  <w14:solidFill>
                    <w14:schemeClr w14:val="tx1"/>
                  </w14:solidFill>
                </w14:textFill>
              </w:rPr>
              <w:t xml:space="preserve"> 选用良种壮苗：乔木胸径为3-4cm以上，长势旺，发育好，根茎粗，无病虫害，无损伤的合格苗，并通过检疫检查。</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rFonts w:ascii="Times New Roman" w:hAnsi="Times New Roman" w:cs="Times New Roman"/>
                <w:color w:val="000000" w:themeColor="text1"/>
                <w:sz w:val="24"/>
                <w:szCs w:val="24"/>
                <w14:textFill>
                  <w14:solidFill>
                    <w14:schemeClr w14:val="tx1"/>
                  </w14:solidFill>
                </w14:textFill>
              </w:rPr>
              <w:t xml:space="preserve"> 栽植时间：为春季造林和秋季造林，春季造林在3月下旬～4月上中旬，秋季造林在10月下旬～11月上中旬进行。</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⑤</w:t>
            </w:r>
            <w:r>
              <w:rPr>
                <w:rFonts w:ascii="Times New Roman" w:hAnsi="Times New Roman" w:cs="Times New Roman"/>
                <w:color w:val="000000" w:themeColor="text1"/>
                <w:sz w:val="24"/>
                <w:szCs w:val="24"/>
                <w14:textFill>
                  <w14:solidFill>
                    <w14:schemeClr w14:val="tx1"/>
                  </w14:solidFill>
                </w14:textFill>
              </w:rPr>
              <w:t xml:space="preserve"> 栽植密度：造林密度根据项目区立地条件、树种生物学特征确定株距为4m。</w:t>
            </w:r>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⑥</w:t>
            </w:r>
            <w:r>
              <w:rPr>
                <w:rFonts w:ascii="Times New Roman" w:hAnsi="Times New Roman" w:cs="Times New Roman"/>
                <w:color w:val="000000" w:themeColor="text1"/>
                <w:sz w:val="24"/>
                <w:szCs w:val="24"/>
                <w14:textFill>
                  <w14:solidFill>
                    <w14:schemeClr w14:val="tx1"/>
                  </w14:solidFill>
                </w14:textFill>
              </w:rPr>
              <w:t xml:space="preserve"> 植树造林方法：植树采用人工穴植，栽植前拉线，定好植树点，乔木按照0.6×0.6×0.6m的规格挖种植穴并换填种植土，做到一提二踏三培土，使苗根舒展干形直立，株行对齐，层次有序。树木栽植前先向树穴内灌水30Kg；栽后再灌水15Kg；为防止野兔、羊只啃食树干和保证树木安全越冬，对树干1.2m以下处用石硫合剂进行涂白。</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72" w:name="_Toc26984"/>
            <w:bookmarkStart w:id="73" w:name="_Toc16768_WPSOffice_Level2"/>
            <w:bookmarkStart w:id="74" w:name="_Toc24665_WPSOffice_Level2"/>
            <w:r>
              <w:rPr>
                <w:rFonts w:ascii="Times New Roman" w:hAnsi="Times New Roman" w:cs="Times New Roman"/>
                <w:color w:val="000000" w:themeColor="text1"/>
                <w:sz w:val="24"/>
                <w14:textFill>
                  <w14:solidFill>
                    <w14:schemeClr w14:val="tx1"/>
                  </w14:solidFill>
                </w14:textFill>
              </w:rPr>
              <w:t>（6）抚育与管护</w:t>
            </w:r>
            <w:bookmarkEnd w:id="72"/>
            <w:bookmarkEnd w:id="73"/>
            <w:bookmarkEnd w:id="74"/>
          </w:p>
          <w:p>
            <w:pPr>
              <w:pStyle w:val="5"/>
              <w:widowControl w:val="0"/>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为确保幼林当年成活率达到85%以上，第二年保存成活率达到95%以上，要进行适当的浇水、修枝。为防野兔、羊只啃食树干和保证树木安全越冬，对树干1.2m以下处用石灰浆进行涂白，并控制病虫害的发生。</w:t>
            </w:r>
          </w:p>
          <w:bookmarkEnd w:id="71"/>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bookmarkStart w:id="75" w:name="_Toc13594"/>
            <w:bookmarkStart w:id="76" w:name="_Toc64_WPSOffice_Level2"/>
            <w:bookmarkStart w:id="77" w:name="_Toc9144_WPSOffice_Level2"/>
            <w:r>
              <w:rPr>
                <w:rFonts w:ascii="Times New Roman" w:hAnsi="Times New Roman" w:cs="Times New Roman"/>
                <w:color w:val="000000" w:themeColor="text1"/>
                <w:sz w:val="24"/>
                <w14:textFill>
                  <w14:solidFill>
                    <w14:schemeClr w14:val="tx1"/>
                  </w14:solidFill>
                </w14:textFill>
              </w:rPr>
              <w:t>（7）造林典型设计</w:t>
            </w:r>
            <w:bookmarkEnd w:id="75"/>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该项目生态保护修复工程的需要，本次设计农业生态林主要种植两种类型的树木，一种是生态林，另外一种是经果林。生态林主要种植旱柳，种植方式有三种，详见下图典型设计图；经果林种植方式一种，详见下图典型设计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 xml:space="preserve"> 生态林典型设计Ⅰ号</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1）立地条件类型：田间道路一侧，黑垆土。海拔：1800米。</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2）造林设计：</w:t>
            </w:r>
          </w:p>
          <w:tbl>
            <w:tblPr>
              <w:tblStyle w:val="27"/>
              <w:tblW w:w="79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869"/>
              <w:gridCol w:w="704"/>
              <w:gridCol w:w="769"/>
              <w:gridCol w:w="835"/>
              <w:gridCol w:w="901"/>
              <w:gridCol w:w="139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林种</w:t>
                  </w:r>
                </w:p>
              </w:tc>
              <w:tc>
                <w:tcPr>
                  <w:tcW w:w="8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树种</w:t>
                  </w:r>
                </w:p>
              </w:tc>
              <w:tc>
                <w:tcPr>
                  <w:tcW w:w="704"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株/穴</w:t>
                  </w:r>
                </w:p>
              </w:tc>
              <w:tc>
                <w:tcPr>
                  <w:tcW w:w="7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株/亩</w:t>
                  </w:r>
                </w:p>
              </w:tc>
              <w:tc>
                <w:tcPr>
                  <w:tcW w:w="1736" w:type="dxa"/>
                  <w:gridSpan w:val="2"/>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株行距(米)</w:t>
                  </w:r>
                </w:p>
              </w:tc>
              <w:tc>
                <w:tcPr>
                  <w:tcW w:w="1395"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苗高</w:t>
                  </w:r>
                </w:p>
              </w:tc>
              <w:tc>
                <w:tcPr>
                  <w:tcW w:w="1166"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胸径cm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3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株距</w:t>
                  </w:r>
                </w:p>
              </w:tc>
              <w:tc>
                <w:tcPr>
                  <w:tcW w:w="90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行距</w:t>
                  </w:r>
                </w:p>
              </w:tc>
              <w:tc>
                <w:tcPr>
                  <w:tcW w:w="1395"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66"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生态林Ⅰ号</w:t>
                  </w:r>
                </w:p>
              </w:tc>
              <w:tc>
                <w:tcPr>
                  <w:tcW w:w="8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云杉</w:t>
                  </w:r>
                </w:p>
              </w:tc>
              <w:tc>
                <w:tcPr>
                  <w:tcW w:w="70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74</w:t>
                  </w:r>
                </w:p>
              </w:tc>
              <w:tc>
                <w:tcPr>
                  <w:tcW w:w="8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9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1.81-2.0m</w:t>
                  </w:r>
                </w:p>
              </w:tc>
              <w:tc>
                <w:tcPr>
                  <w:tcW w:w="11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带土球、φ＞1.2m</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3）技术措施：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A.整地时间：春季或秋季。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B.整地方式、规格：整地方式为栽植穴整地。</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C.栽植：春季或秋季栽植。栽植后浇足定根水。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4）造林图式：</w:t>
            </w:r>
          </w:p>
          <w:p>
            <w:pPr>
              <w:snapToGrid w:val="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5029200" cy="2695575"/>
                  <wp:effectExtent l="0" t="0" r="0" b="0"/>
                  <wp:docPr id="288" name="图片 6"/>
                  <wp:cNvGraphicFramePr/>
                  <a:graphic xmlns:a="http://schemas.openxmlformats.org/drawingml/2006/main">
                    <a:graphicData uri="http://schemas.openxmlformats.org/drawingml/2006/picture">
                      <pic:pic xmlns:pic="http://schemas.openxmlformats.org/drawingml/2006/picture">
                        <pic:nvPicPr>
                          <pic:cNvPr id="288" name="图片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29200" cy="2695575"/>
                          </a:xfrm>
                          <a:prstGeom prst="rect">
                            <a:avLst/>
                          </a:prstGeom>
                          <a:noFill/>
                          <a:ln>
                            <a:noFill/>
                          </a:ln>
                          <a:effectLst/>
                        </pic:spPr>
                      </pic:pic>
                    </a:graphicData>
                  </a:graphic>
                </wp:inline>
              </w:drawing>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t xml:space="preserve"> 生态林典型设计Ⅱ号</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1）立地条件类型：田间道路一侧，黑垆土。海拔：1800米。</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2）造林设计：</w:t>
            </w:r>
          </w:p>
          <w:tbl>
            <w:tblPr>
              <w:tblStyle w:val="27"/>
              <w:tblW w:w="79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869"/>
              <w:gridCol w:w="704"/>
              <w:gridCol w:w="769"/>
              <w:gridCol w:w="835"/>
              <w:gridCol w:w="901"/>
              <w:gridCol w:w="139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林种</w:t>
                  </w:r>
                </w:p>
              </w:tc>
              <w:tc>
                <w:tcPr>
                  <w:tcW w:w="8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树种</w:t>
                  </w:r>
                </w:p>
              </w:tc>
              <w:tc>
                <w:tcPr>
                  <w:tcW w:w="704"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株/穴</w:t>
                  </w:r>
                </w:p>
              </w:tc>
              <w:tc>
                <w:tcPr>
                  <w:tcW w:w="7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株/亩</w:t>
                  </w:r>
                </w:p>
              </w:tc>
              <w:tc>
                <w:tcPr>
                  <w:tcW w:w="1736" w:type="dxa"/>
                  <w:gridSpan w:val="2"/>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株行距(米)</w:t>
                  </w:r>
                </w:p>
              </w:tc>
              <w:tc>
                <w:tcPr>
                  <w:tcW w:w="1395"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苗高</w:t>
                  </w:r>
                </w:p>
              </w:tc>
              <w:tc>
                <w:tcPr>
                  <w:tcW w:w="1166"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胸径cm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3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株距</w:t>
                  </w:r>
                </w:p>
              </w:tc>
              <w:tc>
                <w:tcPr>
                  <w:tcW w:w="90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行距</w:t>
                  </w:r>
                </w:p>
              </w:tc>
              <w:tc>
                <w:tcPr>
                  <w:tcW w:w="1395"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66"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生态林Ⅱ号</w:t>
                  </w:r>
                </w:p>
              </w:tc>
              <w:tc>
                <w:tcPr>
                  <w:tcW w:w="8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云杉</w:t>
                  </w:r>
                </w:p>
              </w:tc>
              <w:tc>
                <w:tcPr>
                  <w:tcW w:w="70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74</w:t>
                  </w:r>
                </w:p>
              </w:tc>
              <w:tc>
                <w:tcPr>
                  <w:tcW w:w="8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9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1.81-2.0m</w:t>
                  </w:r>
                </w:p>
              </w:tc>
              <w:tc>
                <w:tcPr>
                  <w:tcW w:w="11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带土球、φ＞1.2m</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3）技术措施：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A.整地时间：春季或秋季。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B.整地方式、规格：整地方式为栽植穴整地。</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C.栽植：春季或秋季栽植。栽植后浇足定根水。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4）造林图式：</w:t>
            </w:r>
          </w:p>
          <w:p>
            <w:pPr>
              <w:snapToGrid w:val="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4972050" cy="2257425"/>
                  <wp:effectExtent l="0" t="0" r="0" b="0"/>
                  <wp:docPr id="289" name="图片 7"/>
                  <wp:cNvGraphicFramePr/>
                  <a:graphic xmlns:a="http://schemas.openxmlformats.org/drawingml/2006/main">
                    <a:graphicData uri="http://schemas.openxmlformats.org/drawingml/2006/picture">
                      <pic:pic xmlns:pic="http://schemas.openxmlformats.org/drawingml/2006/picture">
                        <pic:nvPicPr>
                          <pic:cNvPr id="289" name="图片 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2050" cy="2257425"/>
                          </a:xfrm>
                          <a:prstGeom prst="rect">
                            <a:avLst/>
                          </a:prstGeom>
                          <a:noFill/>
                          <a:ln>
                            <a:noFill/>
                          </a:ln>
                          <a:effectLst/>
                        </pic:spPr>
                      </pic:pic>
                    </a:graphicData>
                  </a:graphic>
                </wp:inline>
              </w:drawing>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t xml:space="preserve"> 生态林典型设计Ⅲ号</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1）立地条件类型：田间道路一侧，黑垆土。海拔：1800米。</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2）造林设计：</w:t>
            </w:r>
          </w:p>
          <w:tbl>
            <w:tblPr>
              <w:tblStyle w:val="27"/>
              <w:tblW w:w="79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869"/>
              <w:gridCol w:w="704"/>
              <w:gridCol w:w="769"/>
              <w:gridCol w:w="835"/>
              <w:gridCol w:w="901"/>
              <w:gridCol w:w="1168"/>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林种</w:t>
                  </w:r>
                </w:p>
              </w:tc>
              <w:tc>
                <w:tcPr>
                  <w:tcW w:w="8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树种</w:t>
                  </w:r>
                </w:p>
              </w:tc>
              <w:tc>
                <w:tcPr>
                  <w:tcW w:w="704"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株/穴</w:t>
                  </w:r>
                </w:p>
              </w:tc>
              <w:tc>
                <w:tcPr>
                  <w:tcW w:w="7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株/亩</w:t>
                  </w:r>
                </w:p>
              </w:tc>
              <w:tc>
                <w:tcPr>
                  <w:tcW w:w="1736" w:type="dxa"/>
                  <w:gridSpan w:val="2"/>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株行距(米)</w:t>
                  </w:r>
                </w:p>
              </w:tc>
              <w:tc>
                <w:tcPr>
                  <w:tcW w:w="1168"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苗高</w:t>
                  </w:r>
                </w:p>
              </w:tc>
              <w:tc>
                <w:tcPr>
                  <w:tcW w:w="1393"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胸径cm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35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3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株距</w:t>
                  </w:r>
                </w:p>
              </w:tc>
              <w:tc>
                <w:tcPr>
                  <w:tcW w:w="90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行距</w:t>
                  </w:r>
                </w:p>
              </w:tc>
              <w:tc>
                <w:tcPr>
                  <w:tcW w:w="1168"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393"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生态林Ⅲ号</w:t>
                  </w:r>
                </w:p>
              </w:tc>
              <w:tc>
                <w:tcPr>
                  <w:tcW w:w="8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云杉</w:t>
                  </w:r>
                </w:p>
              </w:tc>
              <w:tc>
                <w:tcPr>
                  <w:tcW w:w="70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74</w:t>
                  </w:r>
                </w:p>
              </w:tc>
              <w:tc>
                <w:tcPr>
                  <w:tcW w:w="8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9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2.0m</w:t>
                  </w:r>
                </w:p>
              </w:tc>
              <w:tc>
                <w:tcPr>
                  <w:tcW w:w="116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2.5m以上</w:t>
                  </w:r>
                </w:p>
              </w:tc>
              <w:tc>
                <w:tcPr>
                  <w:tcW w:w="139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带土球、φ＞1.2m</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3）技术措施：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A.整地时间：春季或秋季。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B.整地方式、规格：整地方式为栽植穴整地。C.栽植：春季或秋季栽植。栽植后浇足定根水。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4）造林图式：</w:t>
            </w:r>
          </w:p>
          <w:p>
            <w:pPr>
              <w:snapToGrid w:val="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4752975" cy="3352800"/>
                  <wp:effectExtent l="0" t="0" r="0" b="0"/>
                  <wp:docPr id="290" name="图片 21"/>
                  <wp:cNvGraphicFramePr/>
                  <a:graphic xmlns:a="http://schemas.openxmlformats.org/drawingml/2006/main">
                    <a:graphicData uri="http://schemas.openxmlformats.org/drawingml/2006/picture">
                      <pic:pic xmlns:pic="http://schemas.openxmlformats.org/drawingml/2006/picture">
                        <pic:nvPicPr>
                          <pic:cNvPr id="290" name="图片 2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52975" cy="3352800"/>
                          </a:xfrm>
                          <a:prstGeom prst="rect">
                            <a:avLst/>
                          </a:prstGeom>
                          <a:noFill/>
                          <a:ln>
                            <a:noFill/>
                          </a:ln>
                          <a:effectLst/>
                        </pic:spPr>
                      </pic:pic>
                    </a:graphicData>
                  </a:graphic>
                </wp:inline>
              </w:drawing>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ascii="Times New Roman" w:hAnsi="Times New Roman" w:cs="Times New Roman"/>
                <w:color w:val="000000" w:themeColor="text1"/>
                <w:sz w:val="24"/>
                <w14:textFill>
                  <w14:solidFill>
                    <w14:schemeClr w14:val="tx1"/>
                  </w14:solidFill>
                </w14:textFill>
              </w:rPr>
              <w:t xml:space="preserve"> 经果林典型设计</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1）立地条件类型：田间道路一侧，黑垆土。海拔：2000米。</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2）造林设计：</w:t>
            </w:r>
          </w:p>
          <w:tbl>
            <w:tblPr>
              <w:tblStyle w:val="27"/>
              <w:tblW w:w="79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869"/>
              <w:gridCol w:w="704"/>
              <w:gridCol w:w="769"/>
              <w:gridCol w:w="835"/>
              <w:gridCol w:w="901"/>
              <w:gridCol w:w="139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35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林种</w:t>
                  </w:r>
                </w:p>
              </w:tc>
              <w:tc>
                <w:tcPr>
                  <w:tcW w:w="8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树种</w:t>
                  </w:r>
                </w:p>
              </w:tc>
              <w:tc>
                <w:tcPr>
                  <w:tcW w:w="704"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株/穴</w:t>
                  </w:r>
                </w:p>
              </w:tc>
              <w:tc>
                <w:tcPr>
                  <w:tcW w:w="769"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株/亩</w:t>
                  </w:r>
                </w:p>
              </w:tc>
              <w:tc>
                <w:tcPr>
                  <w:tcW w:w="1736" w:type="dxa"/>
                  <w:gridSpan w:val="2"/>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株行距(米)</w:t>
                  </w:r>
                </w:p>
              </w:tc>
              <w:tc>
                <w:tcPr>
                  <w:tcW w:w="1395"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苗高</w:t>
                  </w:r>
                </w:p>
              </w:tc>
              <w:tc>
                <w:tcPr>
                  <w:tcW w:w="1166"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胸径cm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35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0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769"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83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株距</w:t>
                  </w:r>
                </w:p>
              </w:tc>
              <w:tc>
                <w:tcPr>
                  <w:tcW w:w="90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行距</w:t>
                  </w:r>
                </w:p>
              </w:tc>
              <w:tc>
                <w:tcPr>
                  <w:tcW w:w="1395"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166"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经果林</w:t>
                  </w:r>
                </w:p>
              </w:tc>
              <w:tc>
                <w:tcPr>
                  <w:tcW w:w="8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红梅杏</w:t>
                  </w:r>
                </w:p>
              </w:tc>
              <w:tc>
                <w:tcPr>
                  <w:tcW w:w="70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42</w:t>
                  </w:r>
                </w:p>
              </w:tc>
              <w:tc>
                <w:tcPr>
                  <w:tcW w:w="8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9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3.0m</w:t>
                  </w:r>
                </w:p>
              </w:tc>
              <w:tc>
                <w:tcPr>
                  <w:tcW w:w="139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2m以上</w:t>
                  </w:r>
                </w:p>
              </w:tc>
              <w:tc>
                <w:tcPr>
                  <w:tcW w:w="11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冠形丰满</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3）技术措施：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A.整地时间：春季或秋季。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B.整地方式、规格：整地方式为栽植穴整地。</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C.栽植：春季或秋季栽植。栽植后浇足定根水。</w:t>
            </w:r>
          </w:p>
          <w:p>
            <w:pPr>
              <w:snapToGrid w:val="0"/>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4）造林图式：</w:t>
            </w:r>
          </w:p>
          <w:p>
            <w:pPr>
              <w:snapToGrid w:val="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inline distT="0" distB="0" distL="0" distR="0">
                  <wp:extent cx="4810125" cy="2962275"/>
                  <wp:effectExtent l="0" t="0" r="0" b="0"/>
                  <wp:docPr id="291" name="图片 9"/>
                  <wp:cNvGraphicFramePr/>
                  <a:graphic xmlns:a="http://schemas.openxmlformats.org/drawingml/2006/main">
                    <a:graphicData uri="http://schemas.openxmlformats.org/drawingml/2006/picture">
                      <pic:pic xmlns:pic="http://schemas.openxmlformats.org/drawingml/2006/picture">
                        <pic:nvPicPr>
                          <pic:cNvPr id="291" name="图片 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10125" cy="2962275"/>
                          </a:xfrm>
                          <a:prstGeom prst="rect">
                            <a:avLst/>
                          </a:prstGeom>
                          <a:noFill/>
                          <a:ln>
                            <a:noFill/>
                          </a:ln>
                          <a:effectLst/>
                        </pic:spPr>
                      </pic:pic>
                    </a:graphicData>
                  </a:graphic>
                </wp:inline>
              </w:drawing>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（8）工程量统计</w:t>
            </w:r>
            <w:bookmarkEnd w:id="76"/>
            <w:bookmarkEnd w:id="77"/>
          </w:p>
          <w:p>
            <w:pPr>
              <w:pStyle w:val="4"/>
              <w:widowControl w:val="0"/>
              <w:overflowPunct w:val="0"/>
              <w:adjustRightInd w:val="0"/>
              <w:snapToGrid/>
              <w:spacing w:before="0" w:after="0" w:line="360" w:lineRule="auto"/>
              <w:ind w:right="0" w:firstLine="480" w:firstLineChars="200"/>
              <w:rPr>
                <w:rFonts w:ascii="Times New Roman" w:hAnsi="Times New Roman" w:cs="Times New Roman"/>
                <w:color w:val="000000" w:themeColor="text1"/>
                <w:kern w:val="2"/>
                <w:sz w:val="24"/>
                <w:szCs w:val="24"/>
                <w14:textFill>
                  <w14:solidFill>
                    <w14:schemeClr w14:val="tx1"/>
                  </w14:solidFill>
                </w14:textFill>
              </w:rPr>
            </w:pPr>
            <w:r>
              <w:rPr>
                <w:rFonts w:ascii="Times New Roman" w:hAnsi="Times New Roman" w:cs="Times New Roman"/>
                <w:color w:val="000000" w:themeColor="text1"/>
                <w:kern w:val="2"/>
                <w:sz w:val="24"/>
                <w:szCs w:val="24"/>
                <w14:textFill>
                  <w14:solidFill>
                    <w14:schemeClr w14:val="tx1"/>
                  </w14:solidFill>
                </w14:textFill>
              </w:rPr>
              <w:t>项目区共规划种植经果林12处，主要种植红梅杏（d≥3cm、带土球≥25cm）6.15万株；生态林16处，种植云杉（H=1.81-2.0m、带土球直径≥40cm、φ＞1.2m、冠形丰满）5.4万株、种植油松（H=2.51-3m、带土球直径≥40cm、φ＞1.6m、冠形丰满）0.815万株。</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（9）土石方平衡</w:t>
            </w:r>
          </w:p>
          <w:p>
            <w:pPr>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项目土石方平衡见下表。</w:t>
            </w:r>
          </w:p>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表2-10  土石方平衡一览表</w:t>
            </w:r>
          </w:p>
          <w:tbl>
            <w:tblPr>
              <w:tblStyle w:val="28"/>
              <w:tblW w:w="8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2667"/>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作业段</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土方开挖</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土方回填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上游段</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28035.67</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27406.47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下游段</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8628.49</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9257.69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合计</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36664.16</w:t>
                  </w:r>
                </w:p>
              </w:tc>
              <w:tc>
                <w:tcPr>
                  <w:tcW w:w="2667"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36664.16</w:t>
                  </w:r>
                </w:p>
              </w:tc>
            </w:tr>
          </w:tbl>
          <w:p>
            <w:pPr>
              <w:pStyle w:val="4"/>
              <w:ind w:firstLine="0" w:firstLineChars="0"/>
              <w:rPr>
                <w:rFonts w:ascii="Times New Roman" w:hAnsi="Times New Roman"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总平面及现场布置</w:t>
            </w:r>
          </w:p>
        </w:tc>
        <w:tc>
          <w:tcPr>
            <w:tcW w:w="8125" w:type="dxa"/>
            <w:vAlign w:val="center"/>
          </w:tcPr>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1、施工总布置原则</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的布置原则应遵循因地制宜、利于施工、易于管理、方便生活、安全经济的原则。施工时应结合以下几点考虑施工布置：尽量少占或不占耕地，减少对附近居民的生产、生活影响；合理利用有利地形，尽量减少临时建筑工程量；采用分段就近集中布置。</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2、施工布置方案</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（1）施工分区</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区集中连片，为了便于管理，项目施工时根据项目区施工内容、地形特点、水源控制范围等，将项目区划分为2个较大施工区。具体为：施工Ⅰ区为朱庄河上游巩龙村、于河村、冯碑村区域；施工Ⅱ区为杨野河村、双村、张楼村区域。</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（2）施工生活区</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所在地紧邻村庄并且靠近公路，可以作为项目施工的办公区及施工生活区。施工管理方便，料物运送距离近，施工人员及施工机械作业半径小，节省时间，提高效率，节约费用。临时办公生活区主要包括仓库、车库、宿舍、办公室等。</w:t>
            </w:r>
            <w:bookmarkStart w:id="78" w:name="_Toc11288_WPSOffice_Level2"/>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（3）场内交通</w:t>
            </w:r>
            <w:bookmarkEnd w:id="78"/>
            <w:r>
              <w:rPr>
                <w:color w:val="000000" w:themeColor="text1"/>
                <w:kern w:val="0"/>
                <w:sz w:val="24"/>
                <w14:textFill>
                  <w14:solidFill>
                    <w14:schemeClr w14:val="tx1"/>
                  </w14:solidFill>
                </w14:textFill>
              </w:rPr>
              <w:t xml:space="preserve"> </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施工场内交通可以充分利用公路和现有田间道路，随着规划道路的实施，每条田间道与公路相连，项目区内还有平行于公路的田间道路，均可以作为施工用路，施工交通十分方便。</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（4）场内标识</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施工现场设置明显标牌，做到五牌一图齐全。</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（5）场内布设</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大型机械的进场计划在大型设备进场前，先让大部分涉及到安装的各个其他小型施工机械设备进场，并且在大型机械设备进场之前施工单位需要与业主做好协商，提前解决好设备摆放问题。</w:t>
            </w:r>
          </w:p>
          <w:p>
            <w:pPr>
              <w:pStyle w:val="21"/>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本项目总平面及现场布置合理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项目总平面及现场布置见附图11~12。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施工方案</w:t>
            </w:r>
          </w:p>
        </w:tc>
        <w:tc>
          <w:tcPr>
            <w:tcW w:w="8125" w:type="dxa"/>
            <w:vAlign w:val="center"/>
          </w:tcPr>
          <w:p>
            <w:pPr>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1、总体进度安排</w:t>
            </w:r>
          </w:p>
          <w:p>
            <w:pPr>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本项目生态修复项目施工主体工程为1年（2022年10月-2023年9月），主体工程管护期2年（2023年10月-2025年10月）。</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2、施工工艺及施工时间</w:t>
            </w:r>
          </w:p>
          <w:p>
            <w:pPr>
              <w:widowControl/>
              <w:spacing w:line="360" w:lineRule="auto"/>
              <w:ind w:firstLine="480" w:firstLineChars="200"/>
              <w:jc w:val="left"/>
              <w:rPr>
                <w:rFonts w:ascii="Times New Roman" w:hAnsi="Times New Roman" w:cs="Times New Roman"/>
                <w:bCs/>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施工期首先进行总体规划，后对朱庄河流域项目区进行陡坎生态修复、河床生态修复、河堤生态修复、生态经济林工程的实施，很大程度上解决好项目区存在的水土流失等生态环境恶化等问题，遏制水土流失，恢复水土保持功能，改善生态环境。</w:t>
            </w:r>
            <w:r>
              <w:rPr>
                <w:rFonts w:ascii="Times New Roman" w:hAnsi="Times New Roman" w:cs="Times New Roman"/>
                <w:bCs/>
                <w:color w:val="000000" w:themeColor="text1"/>
                <w:kern w:val="0"/>
                <w:sz w:val="24"/>
                <w:lang w:bidi="ar"/>
                <w14:textFill>
                  <w14:solidFill>
                    <w14:schemeClr w14:val="tx1"/>
                  </w14:solidFill>
                </w14:textFill>
              </w:rPr>
              <w:t>施工期工艺流程及产污环节见图2-11。</w:t>
            </w:r>
          </w:p>
          <w:p>
            <w:pPr>
              <w:pStyle w:val="2"/>
              <w:ind w:left="0" w:leftChars="0" w:firstLine="0" w:firstLineChars="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object>
                <v:shape id="_x0000_i1025" o:spt="75" type="#_x0000_t75" style="height:286.65pt;width:382.4pt;" o:ole="t" filled="f" o:preferrelative="t" stroked="f" coordsize="21600,21600">
                  <v:path/>
                  <v:fill on="f" focussize="0,0"/>
                  <v:stroke on="f" joinstyle="miter"/>
                  <v:imagedata r:id="rId22" o:title=""/>
                  <o:lock v:ext="edit" aspectratio="t"/>
                  <w10:wrap type="none"/>
                  <w10:anchorlock/>
                </v:shape>
                <o:OLEObject Type="Embed" ProgID="VisioViewer.Viewer.1" ShapeID="_x0000_i1025" DrawAspect="Content" ObjectID="_1468075725" r:id="rId21">
                  <o:LockedField>false</o:LockedField>
                </o:OLEObject>
              </w:object>
            </w:r>
          </w:p>
          <w:p>
            <w:pPr>
              <w:pStyle w:val="2"/>
              <w:ind w:left="0" w:leftChars="0" w:firstLine="0" w:firstLineChars="0"/>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图2-11  施工期工艺流程及产污环节</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（1）陡坎生态修复工程</w:t>
            </w:r>
            <w:r>
              <w:rPr>
                <w:rFonts w:hint="eastAsia" w:ascii="Times New Roman" w:hAnsi="Times New Roman" w:cs="Times New Roman"/>
                <w:b w:val="0"/>
                <w:color w:val="000000" w:themeColor="text1"/>
                <w:kern w:val="0"/>
                <w:sz w:val="24"/>
                <w:lang w:bidi="ar"/>
                <w14:textFill>
                  <w14:solidFill>
                    <w14:schemeClr w14:val="tx1"/>
                  </w14:solidFill>
                </w14:textFill>
              </w:rPr>
              <w:t>（2</w:t>
            </w:r>
            <w:r>
              <w:rPr>
                <w:rFonts w:ascii="Times New Roman" w:hAnsi="Times New Roman" w:cs="Times New Roman"/>
                <w:b w:val="0"/>
                <w:color w:val="000000" w:themeColor="text1"/>
                <w:kern w:val="0"/>
                <w:sz w:val="24"/>
                <w:lang w:bidi="ar"/>
                <w14:textFill>
                  <w14:solidFill>
                    <w14:schemeClr w14:val="tx1"/>
                  </w14:solidFill>
                </w14:textFill>
              </w:rPr>
              <w:t>022年</w:t>
            </w:r>
            <w:r>
              <w:rPr>
                <w:rFonts w:hint="eastAsia" w:ascii="Times New Roman" w:hAnsi="Times New Roman" w:cs="Times New Roman"/>
                <w:b w:val="0"/>
                <w:color w:val="000000" w:themeColor="text1"/>
                <w:kern w:val="0"/>
                <w:sz w:val="24"/>
                <w:lang w:bidi="ar"/>
                <w14:textFill>
                  <w14:solidFill>
                    <w14:schemeClr w14:val="tx1"/>
                  </w14:solidFill>
                </w14:textFill>
              </w:rPr>
              <w:t>1</w:t>
            </w:r>
            <w:r>
              <w:rPr>
                <w:rFonts w:ascii="Times New Roman" w:hAnsi="Times New Roman" w:cs="Times New Roman"/>
                <w:b w:val="0"/>
                <w:color w:val="000000" w:themeColor="text1"/>
                <w:kern w:val="0"/>
                <w:sz w:val="24"/>
                <w:lang w:bidi="ar"/>
                <w14:textFill>
                  <w14:solidFill>
                    <w14:schemeClr w14:val="tx1"/>
                  </w14:solidFill>
                </w14:textFill>
              </w:rPr>
              <w:t>0月</w:t>
            </w:r>
            <w:r>
              <w:rPr>
                <w:rFonts w:hint="eastAsia" w:ascii="Times New Roman" w:hAnsi="Times New Roman" w:cs="Times New Roman"/>
                <w:b w:val="0"/>
                <w:color w:val="000000" w:themeColor="text1"/>
                <w:kern w:val="0"/>
                <w:sz w:val="24"/>
                <w:lang w:bidi="ar"/>
                <w14:textFill>
                  <w14:solidFill>
                    <w14:schemeClr w14:val="tx1"/>
                  </w14:solidFill>
                </w14:textFill>
              </w:rPr>
              <w:t>~</w:t>
            </w:r>
            <w:r>
              <w:rPr>
                <w:rFonts w:ascii="Times New Roman" w:hAnsi="Times New Roman" w:cs="Times New Roman"/>
                <w:b w:val="0"/>
                <w:color w:val="000000" w:themeColor="text1"/>
                <w:kern w:val="0"/>
                <w:sz w:val="24"/>
                <w:lang w:bidi="ar"/>
                <w14:textFill>
                  <w14:solidFill>
                    <w14:schemeClr w14:val="tx1"/>
                  </w14:solidFill>
                </w14:textFill>
              </w:rPr>
              <w:t>2023年</w:t>
            </w:r>
            <w:r>
              <w:rPr>
                <w:rFonts w:hint="eastAsia" w:ascii="Times New Roman" w:hAnsi="Times New Roman" w:cs="Times New Roman"/>
                <w:b w:val="0"/>
                <w:color w:val="000000" w:themeColor="text1"/>
                <w:kern w:val="0"/>
                <w:sz w:val="24"/>
                <w:lang w:bidi="ar"/>
                <w14:textFill>
                  <w14:solidFill>
                    <w14:schemeClr w14:val="tx1"/>
                  </w14:solidFill>
                </w14:textFill>
              </w:rPr>
              <w:t>5月）</w:t>
            </w:r>
          </w:p>
          <w:p>
            <w:pPr>
              <w:pStyle w:val="8"/>
              <w:ind w:firstLine="480" w:firstLineChars="200"/>
              <w:rPr>
                <w:rFonts w:ascii="Times New Roman" w:hAnsi="Times New Roman" w:cs="Times New Roman"/>
                <w:b w:val="0"/>
                <w:color w:val="000000" w:themeColor="text1"/>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项目区共设计陡坎削坡13处，其中上游8处，下游5处。共修复长度3.85km。</w:t>
            </w:r>
            <w:r>
              <w:rPr>
                <w:rFonts w:ascii="Times New Roman" w:hAnsi="Times New Roman" w:cs="Times New Roman"/>
                <w:b w:val="0"/>
                <w:color w:val="000000" w:themeColor="text1"/>
                <w:sz w:val="24"/>
                <w:lang w:bidi="ar"/>
                <w14:textFill>
                  <w14:solidFill>
                    <w14:schemeClr w14:val="tx1"/>
                  </w14:solidFill>
                </w14:textFill>
              </w:rPr>
              <w:t>陡坎起伏变化较大的区域采用挖掘机结合推土机推土的措施进行整治。以达到生态恢复种植要求；放缓边坡主要是针对现状高陡坡进行削坡处理，边坡按照1:1.5坡度放坡，高度大于10m的，采用多级放坡，中间设置马道宽度为2m。放坡后，坡脚平地挖填方工程后需进行场地平整，使场地整齐美观，即场地的整平、局部的挖高填低、清理残留的岩土体、建筑垃圾、杂物，最后采用机械和人工相结合的方式统一压实。</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整治后，岸坡上种植一行云杉，岸坡种植紫穗槐和水蜡两种低矮灌木面积各一半，紫穗槐按照25株/m²进行密植，水蜡按照20株/m²进行密植，改善生态环境，有效防止水土流失，并考虑景观结构要素，创造优于原有景观的人工与自然有机协调的生态景观，形成亲水河岸休闲空间。</w:t>
            </w:r>
            <w:r>
              <w:rPr>
                <w:rFonts w:hint="eastAsia" w:ascii="Times New Roman" w:hAnsi="Times New Roman" w:cs="Times New Roman"/>
                <w:b w:val="0"/>
                <w:color w:val="000000" w:themeColor="text1"/>
                <w:kern w:val="0"/>
                <w:sz w:val="24"/>
                <w:lang w:bidi="ar"/>
                <w14:textFill>
                  <w14:solidFill>
                    <w14:schemeClr w14:val="tx1"/>
                  </w14:solidFill>
                </w14:textFill>
              </w:rPr>
              <w:t>此</w:t>
            </w:r>
            <w:r>
              <w:rPr>
                <w:rFonts w:ascii="Times New Roman" w:hAnsi="Times New Roman" w:cs="Times New Roman"/>
                <w:b w:val="0"/>
                <w:color w:val="000000" w:themeColor="text1"/>
                <w:kern w:val="0"/>
                <w:sz w:val="24"/>
                <w:lang w:bidi="ar"/>
                <w14:textFill>
                  <w14:solidFill>
                    <w14:schemeClr w14:val="tx1"/>
                  </w14:solidFill>
                </w14:textFill>
              </w:rPr>
              <w:t>工序主要产生废气、噪声及固废。</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（2）河床生态修复工程</w:t>
            </w:r>
            <w:r>
              <w:rPr>
                <w:rFonts w:hint="eastAsia" w:ascii="Times New Roman" w:hAnsi="Times New Roman" w:cs="Times New Roman"/>
                <w:b w:val="0"/>
                <w:color w:val="000000" w:themeColor="text1"/>
                <w:kern w:val="0"/>
                <w:sz w:val="24"/>
                <w:lang w:bidi="ar"/>
                <w14:textFill>
                  <w14:solidFill>
                    <w14:schemeClr w14:val="tx1"/>
                  </w14:solidFill>
                </w14:textFill>
              </w:rPr>
              <w:t>（2</w:t>
            </w:r>
            <w:r>
              <w:rPr>
                <w:rFonts w:ascii="Times New Roman" w:hAnsi="Times New Roman" w:cs="Times New Roman"/>
                <w:b w:val="0"/>
                <w:color w:val="000000" w:themeColor="text1"/>
                <w:kern w:val="0"/>
                <w:sz w:val="24"/>
                <w:lang w:bidi="ar"/>
                <w14:textFill>
                  <w14:solidFill>
                    <w14:schemeClr w14:val="tx1"/>
                  </w14:solidFill>
                </w14:textFill>
              </w:rPr>
              <w:t>023年</w:t>
            </w:r>
            <w:r>
              <w:rPr>
                <w:rFonts w:hint="eastAsia" w:ascii="Times New Roman" w:hAnsi="Times New Roman" w:cs="Times New Roman"/>
                <w:b w:val="0"/>
                <w:color w:val="000000" w:themeColor="text1"/>
                <w:kern w:val="0"/>
                <w:sz w:val="24"/>
                <w:lang w:bidi="ar"/>
                <w14:textFill>
                  <w14:solidFill>
                    <w14:schemeClr w14:val="tx1"/>
                  </w14:solidFill>
                </w14:textFill>
              </w:rPr>
              <w:t>3月~</w:t>
            </w:r>
            <w:r>
              <w:rPr>
                <w:rFonts w:ascii="Times New Roman" w:hAnsi="Times New Roman" w:cs="Times New Roman"/>
                <w:b w:val="0"/>
                <w:color w:val="000000" w:themeColor="text1"/>
                <w:kern w:val="0"/>
                <w:sz w:val="24"/>
                <w:lang w:bidi="ar"/>
                <w14:textFill>
                  <w14:solidFill>
                    <w14:schemeClr w14:val="tx1"/>
                  </w14:solidFill>
                </w14:textFill>
              </w:rPr>
              <w:t>2023年7</w:t>
            </w:r>
            <w:r>
              <w:rPr>
                <w:rFonts w:hint="eastAsia" w:ascii="Times New Roman" w:hAnsi="Times New Roman" w:cs="Times New Roman"/>
                <w:b w:val="0"/>
                <w:color w:val="000000" w:themeColor="text1"/>
                <w:kern w:val="0"/>
                <w:sz w:val="24"/>
                <w:lang w:bidi="ar"/>
                <w14:textFill>
                  <w14:solidFill>
                    <w14:schemeClr w14:val="tx1"/>
                  </w14:solidFill>
                </w14:textFill>
              </w:rPr>
              <w:t>月）</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河床生态修复工程主要包括河床清理、恢复湿地和过水建筑物，河床清理主要利用人工、挖掘机等工程措施，对河道进行全段清理，主要清理河道淤泥、生活垃圾、建筑垃圾等，确定河道宽度，使河道流水畅通，河床生态修复长度13.31km，清理及修整断面长度12.991km，其中上游河床修复长度4.94km，下游河床修复8.37km。共计土方开挖17.76万m³，土方回填17.76万m³。恢复湿地主要在河道在上游冯碑村恢复1处湿地，面积为0.52hm</w:t>
            </w:r>
            <w:r>
              <w:rPr>
                <w:rFonts w:ascii="Times New Roman" w:hAnsi="Times New Roman" w:cs="Times New Roman"/>
                <w:color w:val="000000" w:themeColor="text1"/>
                <w:sz w:val="24"/>
                <w:szCs w:val="24"/>
                <w:vertAlign w:val="superscript"/>
                <w:lang w:bidi="ar"/>
                <w14:textFill>
                  <w14:solidFill>
                    <w14:schemeClr w14:val="tx1"/>
                  </w14:solidFill>
                </w14:textFill>
              </w:rPr>
              <w:t>2</w:t>
            </w:r>
            <w:r>
              <w:rPr>
                <w:rFonts w:ascii="Times New Roman" w:hAnsi="Times New Roman" w:cs="Times New Roman"/>
                <w:color w:val="000000" w:themeColor="text1"/>
                <w:sz w:val="24"/>
                <w:szCs w:val="24"/>
                <w:lang w:bidi="ar"/>
                <w14:textFill>
                  <w14:solidFill>
                    <w14:schemeClr w14:val="tx1"/>
                  </w14:solidFill>
                </w14:textFill>
              </w:rPr>
              <w:t>，下游杨野河村恢复1处湿地，面积为0.34hm</w:t>
            </w:r>
            <w:r>
              <w:rPr>
                <w:rFonts w:ascii="Times New Roman" w:hAnsi="Times New Roman" w:cs="Times New Roman"/>
                <w:color w:val="000000" w:themeColor="text1"/>
                <w:sz w:val="24"/>
                <w:szCs w:val="24"/>
                <w:vertAlign w:val="superscript"/>
                <w:lang w:bidi="ar"/>
                <w14:textFill>
                  <w14:solidFill>
                    <w14:schemeClr w14:val="tx1"/>
                  </w14:solidFill>
                </w14:textFill>
              </w:rPr>
              <w:t>2</w:t>
            </w:r>
            <w:r>
              <w:rPr>
                <w:rFonts w:ascii="Times New Roman" w:hAnsi="Times New Roman" w:cs="Times New Roman"/>
                <w:color w:val="000000" w:themeColor="text1"/>
                <w:sz w:val="24"/>
                <w:szCs w:val="24"/>
                <w:lang w:bidi="ar"/>
                <w14:textFill>
                  <w14:solidFill>
                    <w14:schemeClr w14:val="tx1"/>
                  </w14:solidFill>
                </w14:textFill>
              </w:rPr>
              <w:t>。</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为了保证项目区交通以及输水的方便与协调，项目区需要在道路和河道交叉、支沟汇入朱庄河处布置涵洞，设计涵洞为φ1.0m×3m、φ1.0m×6m、φ1.0m×9m三种管涵式结构，管道采用DN1000钢筋混凝土管，台帽采用C20混凝土，浆砌石采用Mu7.5块石，M10水泥砂浆砌筑。</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hint="eastAsia" w:ascii="Times New Roman" w:hAnsi="Times New Roman" w:cs="Times New Roman"/>
                <w:color w:val="000000" w:themeColor="text1"/>
                <w:sz w:val="24"/>
                <w:lang w:bidi="ar"/>
                <w14:textFill>
                  <w14:solidFill>
                    <w14:schemeClr w14:val="tx1"/>
                  </w14:solidFill>
                </w14:textFill>
              </w:rPr>
              <w:t>此</w:t>
            </w:r>
            <w:r>
              <w:rPr>
                <w:rFonts w:ascii="Times New Roman" w:hAnsi="Times New Roman" w:cs="Times New Roman"/>
                <w:color w:val="000000" w:themeColor="text1"/>
                <w:sz w:val="24"/>
                <w:lang w:bidi="ar"/>
                <w14:textFill>
                  <w14:solidFill>
                    <w14:schemeClr w14:val="tx1"/>
                  </w14:solidFill>
                </w14:textFill>
              </w:rPr>
              <w:t>工序主要产生废气、噪声及固废。</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（3）护岸生态修复工程</w:t>
            </w:r>
            <w:r>
              <w:rPr>
                <w:rFonts w:hint="eastAsia" w:ascii="Times New Roman" w:hAnsi="Times New Roman" w:cs="Times New Roman"/>
                <w:b w:val="0"/>
                <w:color w:val="000000" w:themeColor="text1"/>
                <w:kern w:val="0"/>
                <w:sz w:val="24"/>
                <w:lang w:bidi="ar"/>
                <w14:textFill>
                  <w14:solidFill>
                    <w14:schemeClr w14:val="tx1"/>
                  </w14:solidFill>
                </w14:textFill>
              </w:rPr>
              <w:t>（2</w:t>
            </w:r>
            <w:r>
              <w:rPr>
                <w:rFonts w:ascii="Times New Roman" w:hAnsi="Times New Roman" w:cs="Times New Roman"/>
                <w:b w:val="0"/>
                <w:color w:val="000000" w:themeColor="text1"/>
                <w:kern w:val="0"/>
                <w:sz w:val="24"/>
                <w:lang w:bidi="ar"/>
                <w14:textFill>
                  <w14:solidFill>
                    <w14:schemeClr w14:val="tx1"/>
                  </w14:solidFill>
                </w14:textFill>
              </w:rPr>
              <w:t>023年4</w:t>
            </w:r>
            <w:r>
              <w:rPr>
                <w:rFonts w:hint="eastAsia" w:ascii="Times New Roman" w:hAnsi="Times New Roman" w:cs="Times New Roman"/>
                <w:b w:val="0"/>
                <w:color w:val="000000" w:themeColor="text1"/>
                <w:kern w:val="0"/>
                <w:sz w:val="24"/>
                <w:lang w:bidi="ar"/>
                <w14:textFill>
                  <w14:solidFill>
                    <w14:schemeClr w14:val="tx1"/>
                  </w14:solidFill>
                </w14:textFill>
              </w:rPr>
              <w:t>月~</w:t>
            </w:r>
            <w:r>
              <w:rPr>
                <w:rFonts w:ascii="Times New Roman" w:hAnsi="Times New Roman" w:cs="Times New Roman"/>
                <w:b w:val="0"/>
                <w:color w:val="000000" w:themeColor="text1"/>
                <w:kern w:val="0"/>
                <w:sz w:val="24"/>
                <w:lang w:bidi="ar"/>
                <w14:textFill>
                  <w14:solidFill>
                    <w14:schemeClr w14:val="tx1"/>
                  </w14:solidFill>
                </w14:textFill>
              </w:rPr>
              <w:t>2023年7</w:t>
            </w:r>
            <w:r>
              <w:rPr>
                <w:rFonts w:hint="eastAsia" w:ascii="Times New Roman" w:hAnsi="Times New Roman" w:cs="Times New Roman"/>
                <w:b w:val="0"/>
                <w:color w:val="000000" w:themeColor="text1"/>
                <w:kern w:val="0"/>
                <w:sz w:val="24"/>
                <w:lang w:bidi="ar"/>
                <w14:textFill>
                  <w14:solidFill>
                    <w14:schemeClr w14:val="tx1"/>
                  </w14:solidFill>
                </w14:textFill>
              </w:rPr>
              <w:t>月）</w:t>
            </w:r>
          </w:p>
          <w:p>
            <w:pPr>
              <w:snapToGrid w:val="0"/>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根据河道水流及岸线条件，护岸生态修复工程均沿河道岸坡顺势布设平顺护岸。其具有对水流干扰小，冲刷坑深度较小，护脚根石埋深较浅，投资较省等优点。</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本期治理工程以防护、强化河岸边界为主，提高岸线抗水流冲淘能力，消除塌岸险情为主。本次规划在河道弯度较大处，没有达到抗冲条件处进行浆砌石护岸，护岸类型详见平面布置图，共进行浆砌石砌护长度为10.96km。</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hint="eastAsia" w:ascii="Times New Roman" w:hAnsi="Times New Roman" w:cs="Times New Roman"/>
                <w:color w:val="000000" w:themeColor="text1"/>
                <w:sz w:val="24"/>
                <w:lang w:bidi="ar"/>
                <w14:textFill>
                  <w14:solidFill>
                    <w14:schemeClr w14:val="tx1"/>
                  </w14:solidFill>
                </w14:textFill>
              </w:rPr>
              <w:t>此</w:t>
            </w:r>
            <w:r>
              <w:rPr>
                <w:rFonts w:ascii="Times New Roman" w:hAnsi="Times New Roman" w:cs="Times New Roman"/>
                <w:color w:val="000000" w:themeColor="text1"/>
                <w:sz w:val="24"/>
                <w:lang w:bidi="ar"/>
                <w14:textFill>
                  <w14:solidFill>
                    <w14:schemeClr w14:val="tx1"/>
                  </w14:solidFill>
                </w14:textFill>
              </w:rPr>
              <w:t>工序主要产生废气、噪声及固废。</w:t>
            </w:r>
          </w:p>
          <w:p>
            <w:pPr>
              <w:pStyle w:val="8"/>
              <w:ind w:firstLine="480" w:firstLineChars="200"/>
              <w:rPr>
                <w:rFonts w:ascii="Times New Roman" w:hAnsi="Times New Roman" w:cs="Times New Roman"/>
                <w:b w:val="0"/>
                <w:color w:val="000000" w:themeColor="text1"/>
                <w:kern w:val="0"/>
                <w:sz w:val="24"/>
                <w:lang w:bidi="ar"/>
                <w14:textFill>
                  <w14:solidFill>
                    <w14:schemeClr w14:val="tx1"/>
                  </w14:solidFill>
                </w14:textFill>
              </w:rPr>
            </w:pPr>
            <w:r>
              <w:rPr>
                <w:rFonts w:ascii="Times New Roman" w:hAnsi="Times New Roman" w:cs="Times New Roman"/>
                <w:b w:val="0"/>
                <w:color w:val="000000" w:themeColor="text1"/>
                <w:kern w:val="0"/>
                <w:sz w:val="24"/>
                <w:lang w:bidi="ar"/>
                <w14:textFill>
                  <w14:solidFill>
                    <w14:schemeClr w14:val="tx1"/>
                  </w14:solidFill>
                </w14:textFill>
              </w:rPr>
              <w:t>（4）生态经济林工程</w:t>
            </w:r>
            <w:r>
              <w:rPr>
                <w:rFonts w:hint="eastAsia" w:ascii="Times New Roman" w:hAnsi="Times New Roman" w:cs="Times New Roman"/>
                <w:b w:val="0"/>
                <w:color w:val="000000" w:themeColor="text1"/>
                <w:kern w:val="0"/>
                <w:sz w:val="24"/>
                <w:lang w:bidi="ar"/>
                <w14:textFill>
                  <w14:solidFill>
                    <w14:schemeClr w14:val="tx1"/>
                  </w14:solidFill>
                </w14:textFill>
              </w:rPr>
              <w:t>（2</w:t>
            </w:r>
            <w:r>
              <w:rPr>
                <w:rFonts w:ascii="Times New Roman" w:hAnsi="Times New Roman" w:cs="Times New Roman"/>
                <w:b w:val="0"/>
                <w:color w:val="000000" w:themeColor="text1"/>
                <w:kern w:val="0"/>
                <w:sz w:val="24"/>
                <w:lang w:bidi="ar"/>
                <w14:textFill>
                  <w14:solidFill>
                    <w14:schemeClr w14:val="tx1"/>
                  </w14:solidFill>
                </w14:textFill>
              </w:rPr>
              <w:t>023年4</w:t>
            </w:r>
            <w:r>
              <w:rPr>
                <w:rFonts w:hint="eastAsia" w:ascii="Times New Roman" w:hAnsi="Times New Roman" w:cs="Times New Roman"/>
                <w:b w:val="0"/>
                <w:color w:val="000000" w:themeColor="text1"/>
                <w:kern w:val="0"/>
                <w:sz w:val="24"/>
                <w:lang w:bidi="ar"/>
                <w14:textFill>
                  <w14:solidFill>
                    <w14:schemeClr w14:val="tx1"/>
                  </w14:solidFill>
                </w14:textFill>
              </w:rPr>
              <w:t>月~</w:t>
            </w:r>
            <w:r>
              <w:rPr>
                <w:rFonts w:ascii="Times New Roman" w:hAnsi="Times New Roman" w:cs="Times New Roman"/>
                <w:b w:val="0"/>
                <w:color w:val="000000" w:themeColor="text1"/>
                <w:kern w:val="0"/>
                <w:sz w:val="24"/>
                <w:lang w:bidi="ar"/>
                <w14:textFill>
                  <w14:solidFill>
                    <w14:schemeClr w14:val="tx1"/>
                  </w14:solidFill>
                </w14:textFill>
              </w:rPr>
              <w:t>2023年8</w:t>
            </w:r>
            <w:r>
              <w:rPr>
                <w:rFonts w:hint="eastAsia" w:ascii="Times New Roman" w:hAnsi="Times New Roman" w:cs="Times New Roman"/>
                <w:b w:val="0"/>
                <w:color w:val="000000" w:themeColor="text1"/>
                <w:kern w:val="0"/>
                <w:sz w:val="24"/>
                <w:lang w:bidi="ar"/>
                <w14:textFill>
                  <w14:solidFill>
                    <w14:schemeClr w14:val="tx1"/>
                  </w14:solidFill>
                </w14:textFill>
              </w:rPr>
              <w:t>月）</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区共规划种植经果林12处，主要种植红梅杏（d≥3cm、带土球≥25cm）6.15万株；生态林16处，种植云杉（H=1.81-2.0m、带土球、φ＞1.2m。、冠形丰满）5.4万株、种植油松（H=2.51-3m、带土球、φ＞1.6m、冠形丰满）0.815万株。坚持因地制宜，宜林则林、宜果则果、宜花则花、宜草则草的原则，通过改善村庄生态环境、发展庭院经济和房前屋后绿化等工程，形成生态优美的村庄环境，实现人与自然和谐共处的目标。</w:t>
            </w:r>
          </w:p>
          <w:p>
            <w:pPr>
              <w:pStyle w:val="5"/>
              <w:widowControl w:val="0"/>
              <w:topLinePunct/>
              <w:snapToGrid/>
              <w:spacing w:before="0" w:after="0" w:line="360" w:lineRule="auto"/>
              <w:ind w:right="0"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lang w:bidi="ar"/>
                <w14:textFill>
                  <w14:solidFill>
                    <w14:schemeClr w14:val="tx1"/>
                  </w14:solidFill>
                </w14:textFill>
              </w:rPr>
              <w:t>此</w:t>
            </w:r>
            <w:r>
              <w:rPr>
                <w:rFonts w:ascii="Times New Roman" w:hAnsi="Times New Roman" w:cs="Times New Roman"/>
                <w:color w:val="000000" w:themeColor="text1"/>
                <w:sz w:val="24"/>
                <w:lang w:bidi="ar"/>
                <w14:textFill>
                  <w14:solidFill>
                    <w14:schemeClr w14:val="tx1"/>
                  </w14:solidFill>
                </w14:textFill>
              </w:rPr>
              <w:t>工序主要产生噪声及固废。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其他</w:t>
            </w:r>
          </w:p>
        </w:tc>
        <w:tc>
          <w:tcPr>
            <w:tcW w:w="8125" w:type="dxa"/>
            <w:vAlign w:val="center"/>
          </w:tcPr>
          <w:p>
            <w:pPr>
              <w:adjustRightInd w:val="0"/>
              <w:snapToGrid w:val="0"/>
              <w:ind w:firstLine="420" w:firstLineChars="20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无</w:t>
            </w:r>
          </w:p>
        </w:tc>
      </w:tr>
    </w:tbl>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仿宋_GB2312" w:cs="Times New Roman"/>
          <w:b/>
          <w:bCs/>
          <w:color w:val="000000" w:themeColor="text1"/>
          <w14:textFill>
            <w14:solidFill>
              <w14:schemeClr w14:val="tx1"/>
            </w14:solidFill>
          </w14:textFill>
        </w:rPr>
        <w:br w:type="page"/>
      </w:r>
      <w:r>
        <w:rPr>
          <w:rFonts w:ascii="Times New Roman" w:hAnsi="Times New Roman" w:eastAsia="黑体" w:cs="Times New Roman"/>
          <w:snapToGrid w:val="0"/>
          <w:color w:val="000000" w:themeColor="text1"/>
          <w:sz w:val="30"/>
          <w:szCs w:val="30"/>
          <w14:textFill>
            <w14:solidFill>
              <w14:schemeClr w14:val="tx1"/>
            </w14:solidFill>
          </w14:textFill>
        </w:rPr>
        <w:t>三、生态环境现状、保护目标及评价标准</w:t>
      </w:r>
    </w:p>
    <w:tbl>
      <w:tblPr>
        <w:tblStyle w:val="27"/>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1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生态环境现状</w:t>
            </w:r>
          </w:p>
        </w:tc>
        <w:tc>
          <w:tcPr>
            <w:tcW w:w="8125" w:type="dxa"/>
            <w:vAlign w:val="center"/>
          </w:tcPr>
          <w:p>
            <w:pPr>
              <w:autoSpaceDE w:val="0"/>
              <w:autoSpaceDN w:val="0"/>
              <w:adjustRightInd w:val="0"/>
              <w:snapToGrid w:val="0"/>
              <w:spacing w:line="360" w:lineRule="auto"/>
              <w:ind w:firstLine="482" w:firstLineChars="200"/>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1、生态环境现状</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本项目位于固原市隆德县凤岭乡冯碑村、于河村、巩龙村，神林乡杨野河村，联财镇张楼村，根据《宁夏回族自治区主体功能区规划》，项目所在区域属于国家重点生态功能区，项目宁夏主体功能区划位置关系见附图13。根据《宁夏生态功能区划》，宁夏生态功能区划共划分3个一级区10个二级区，37个三级区。本项目属于Ⅰ2-1葫芦河两侧梁峁丘陵强度水土流失治理生态功能区及Ⅰ2-2葫芦河干支流河谷节灌农田生态功能区，项目</w:t>
            </w:r>
            <w:r>
              <w:rPr>
                <w:rFonts w:ascii="Times New Roman" w:hAnsi="Times New Roman" w:cs="Times New Roman"/>
                <w:bCs/>
                <w:color w:val="000000" w:themeColor="text1"/>
                <w:kern w:val="0"/>
                <w:sz w:val="24"/>
                <w14:textFill>
                  <w14:solidFill>
                    <w14:schemeClr w14:val="tx1"/>
                  </w14:solidFill>
                </w14:textFill>
              </w:rPr>
              <w:t>与生态功能区划位置关系图</w:t>
            </w:r>
            <w:r>
              <w:rPr>
                <w:rFonts w:ascii="Times New Roman" w:hAnsi="Times New Roman" w:cs="Times New Roman"/>
                <w:color w:val="000000" w:themeColor="text1"/>
                <w:kern w:val="0"/>
                <w:sz w:val="24"/>
                <w14:textFill>
                  <w14:solidFill>
                    <w14:schemeClr w14:val="tx1"/>
                  </w14:solidFill>
                </w14:textFill>
              </w:rPr>
              <w:t>见附图14。</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w:t>
            </w:r>
            <w:r>
              <w:rPr>
                <w:rFonts w:ascii="Times New Roman" w:hAnsi="Times New Roman" w:cs="Times New Roman"/>
                <w:color w:val="000000" w:themeColor="text1"/>
                <w:kern w:val="0"/>
                <w:sz w:val="24"/>
                <w:lang w:bidi="ar"/>
                <w14:textFill>
                  <w14:solidFill>
                    <w14:schemeClr w14:val="tx1"/>
                  </w14:solidFill>
                </w14:textFill>
              </w:rPr>
              <w:t xml:space="preserve">土地利用现状 </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根据2020年度土地变更调查数据，项目区内主要地类为耕地、园地、林地、草地、水域及水利设施用地、其他土地、城镇及工矿用地等。项目区土地详细分类情况如下：耕地面积125.51hm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，占项目区总面积的52.3%；林地面积64.18hm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，占项目区总面积的26.74%；草地面积2.4hm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，占项目区总面积的1.0%；住宅用地面积12.02hm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，占项目区总面积的5.0%；公共管理与公共服务用地面积0.99hm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，占项目区总面积的0.41%；特殊用地面积0.55hm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，占项目区总面积的0.23%；交通运输用地面积7.35hm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，占项目区总面积的3.06%；水域及水利设施用地22.84hm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，占项目区总面积的9.51%；其他土地2.87hm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，占项目区总面积的1.2%。项目区林地、草地等均属于村集体所有。</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（2）土壤类型</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根据《宁夏回族自治区隆德县农业区划报告汇编》项目区土壤类型为灰褐土。土壤平均 pH 值为 8.36，略呈碱性，全盐 0.034%，有机质含量 1.3～2.49%，速效磷 3.6ppm，速效钾 73ppm，水解氮 71.4～19.2ppm，全氮0.093～0.157%，全磷 0.059～0.11%。有机质含量偏低，富 K、富 N。工程所在地土壤类型图见图3-1。</w:t>
            </w:r>
          </w:p>
          <w:p>
            <w:pPr>
              <w:pStyle w:val="2"/>
              <w:spacing w:after="0"/>
              <w:ind w:firstLine="964" w:firstLineChars="40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表3-1   区域土地利用分类及其面积和特征</w:t>
            </w:r>
            <w:r>
              <w:rPr>
                <w:rFonts w:hint="eastAsia" w:ascii="Times New Roman" w:hAnsi="Times New Roman" w:cs="Times New Roman"/>
                <w:b/>
                <w:color w:val="000000" w:themeColor="text1"/>
                <w:sz w:val="24"/>
                <w14:textFill>
                  <w14:solidFill>
                    <w14:schemeClr w14:val="tx1"/>
                  </w14:solidFill>
                </w14:textFill>
              </w:rPr>
              <w:t xml:space="preserve"> </w:t>
            </w:r>
            <w:r>
              <w:rPr>
                <w:rFonts w:ascii="Times New Roman" w:hAnsi="Times New Roman" w:cs="Times New Roman"/>
                <w:b/>
                <w:color w:val="000000" w:themeColor="text1"/>
                <w:sz w:val="24"/>
                <w14:textFill>
                  <w14:solidFill>
                    <w14:schemeClr w14:val="tx1"/>
                  </w14:solidFill>
                </w14:textFill>
              </w:rPr>
              <w:t xml:space="preserve">    </w:t>
            </w:r>
            <w:r>
              <w:rPr>
                <w:rFonts w:ascii="Times New Roman" w:hAnsi="Times New Roman" w:eastAsia="仿宋" w:cs="Times New Roman"/>
                <w:b/>
                <w:bCs/>
                <w:color w:val="000000" w:themeColor="text1"/>
                <w:sz w:val="24"/>
                <w14:textFill>
                  <w14:solidFill>
                    <w14:schemeClr w14:val="tx1"/>
                  </w14:solidFill>
                </w14:textFill>
              </w:rPr>
              <w:t>单位：hm²</w:t>
            </w:r>
          </w:p>
          <w:tbl>
            <w:tblPr>
              <w:tblStyle w:val="27"/>
              <w:tblW w:w="7896" w:type="dxa"/>
              <w:tblInd w:w="0" w:type="dxa"/>
              <w:tblLayout w:type="fixed"/>
              <w:tblCellMar>
                <w:top w:w="0" w:type="dxa"/>
                <w:left w:w="57" w:type="dxa"/>
                <w:bottom w:w="0" w:type="dxa"/>
                <w:right w:w="57" w:type="dxa"/>
              </w:tblCellMar>
            </w:tblPr>
            <w:tblGrid>
              <w:gridCol w:w="593"/>
              <w:gridCol w:w="852"/>
              <w:gridCol w:w="711"/>
              <w:gridCol w:w="1418"/>
              <w:gridCol w:w="992"/>
              <w:gridCol w:w="992"/>
              <w:gridCol w:w="921"/>
              <w:gridCol w:w="1417"/>
            </w:tblGrid>
            <w:tr>
              <w:tblPrEx>
                <w:tblLayout w:type="fixed"/>
                <w:tblCellMar>
                  <w:top w:w="0" w:type="dxa"/>
                  <w:left w:w="57" w:type="dxa"/>
                  <w:bottom w:w="0" w:type="dxa"/>
                  <w:right w:w="57" w:type="dxa"/>
                </w:tblCellMar>
              </w:tblPrEx>
              <w:trPr>
                <w:trHeight w:val="340" w:hRule="atLeast"/>
                <w:tblHeader/>
              </w:trPr>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地类代码</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地类名称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地类代码</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地类名称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上游（hm</w:t>
                  </w:r>
                  <w:r>
                    <w:rPr>
                      <w:rFonts w:ascii="Times New Roman" w:hAnsi="Times New Roman" w:cs="Times New Roman" w:eastAsiaTheme="minorEastAsia"/>
                      <w:color w:val="000000" w:themeColor="text1"/>
                      <w:kern w:val="0"/>
                      <w:szCs w:val="21"/>
                      <w:vertAlign w:val="superscript"/>
                      <w:lang w:bidi="ar"/>
                      <w14:textFill>
                        <w14:solidFill>
                          <w14:schemeClr w14:val="tx1"/>
                        </w14:solidFill>
                      </w14:textFill>
                    </w:rPr>
                    <w:t>2</w:t>
                  </w:r>
                  <w:r>
                    <w:rPr>
                      <w:rFonts w:ascii="Times New Roman" w:hAnsi="Times New Roman" w:cs="Times New Roman" w:eastAsiaTheme="minorEastAsia"/>
                      <w:color w:val="000000" w:themeColor="text1"/>
                      <w:kern w:val="0"/>
                      <w:szCs w:val="21"/>
                      <w:lang w:bidi="ar"/>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下游（hm</w:t>
                  </w:r>
                  <w:r>
                    <w:rPr>
                      <w:rFonts w:ascii="Times New Roman" w:hAnsi="Times New Roman" w:cs="Times New Roman" w:eastAsiaTheme="minorEastAsia"/>
                      <w:color w:val="000000" w:themeColor="text1"/>
                      <w:kern w:val="0"/>
                      <w:szCs w:val="21"/>
                      <w:vertAlign w:val="superscript"/>
                      <w:lang w:bidi="ar"/>
                      <w14:textFill>
                        <w14:solidFill>
                          <w14:schemeClr w14:val="tx1"/>
                        </w14:solidFill>
                      </w14:textFill>
                    </w:rPr>
                    <w:t>2</w:t>
                  </w:r>
                  <w:r>
                    <w:rPr>
                      <w:rFonts w:ascii="Times New Roman" w:hAnsi="Times New Roman" w:cs="Times New Roman" w:eastAsiaTheme="minorEastAsia"/>
                      <w:color w:val="000000" w:themeColor="text1"/>
                      <w:kern w:val="0"/>
                      <w:szCs w:val="21"/>
                      <w:lang w:bidi="ar"/>
                      <w14:textFill>
                        <w14:solidFill>
                          <w14:schemeClr w14:val="tx1"/>
                        </w14:solidFill>
                      </w14:textFill>
                    </w:rPr>
                    <w:t>）</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合计（hm</w:t>
                  </w:r>
                  <w:r>
                    <w:rPr>
                      <w:rFonts w:ascii="Times New Roman" w:hAnsi="Times New Roman" w:cs="Times New Roman" w:eastAsiaTheme="minorEastAsia"/>
                      <w:color w:val="000000" w:themeColor="text1"/>
                      <w:kern w:val="0"/>
                      <w:szCs w:val="21"/>
                      <w:vertAlign w:val="superscript"/>
                      <w:lang w:bidi="ar"/>
                      <w14:textFill>
                        <w14:solidFill>
                          <w14:schemeClr w14:val="tx1"/>
                        </w14:solidFill>
                      </w14:textFill>
                    </w:rPr>
                    <w:t>2</w:t>
                  </w:r>
                  <w:r>
                    <w:rPr>
                      <w:rFonts w:ascii="Times New Roman" w:hAnsi="Times New Roman" w:cs="Times New Roman" w:eastAsiaTheme="minorEastAsia"/>
                      <w:color w:val="000000" w:themeColor="text1"/>
                      <w:kern w:val="0"/>
                      <w:szCs w:val="21"/>
                      <w:lang w:bidi="ar"/>
                      <w14:textFill>
                        <w14:solidFill>
                          <w14:schemeClr w14:val="tx1"/>
                        </w14:solidFill>
                      </w14:textFill>
                    </w:rPr>
                    <w:t>）</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占总面积的比例（%）</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01</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耕地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0102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水浇地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37.01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37.01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15.42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0103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旱地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36.78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51.72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88.50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36.88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36.78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88.73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125.51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52.30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03</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林地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0301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乔木林地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8.66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12.83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21.48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8.95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0307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其他林地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3.69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39.00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42.69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17.79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12.35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51.83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64.18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26.74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04</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草地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0401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天然牧草地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0.61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0.61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0403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人工牧草地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0.15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0.60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0404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其他草地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0.52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0.66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1.19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0.49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0.97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1.43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2.40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1.00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05</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商服用地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05H1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商业服务业设施用地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0.12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0.24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0.28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0.12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06</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工矿仓储用地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0602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采矿用地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1.02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b/>
                      <w:bCs/>
                      <w:color w:val="000000" w:themeColor="text1"/>
                      <w:szCs w:val="21"/>
                      <w14:textFill>
                        <w14:solidFill>
                          <w14:schemeClr w14:val="tx1"/>
                        </w14:solidFill>
                      </w14:textFill>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1.02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0.43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1.02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0.00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1.02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0.43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07</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住宅用地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0701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农村宅基地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3.58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8.44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12.02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5.01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3.58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8.44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12.02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5.01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08</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公共管理与公共服务用地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08H1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机关团体新闻出版用地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0.12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0.12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08H2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科教文卫用地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0.28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0.28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0.12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0809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公用设施用地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0.19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0810A</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广场用地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0.45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0.54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0.99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0.41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09</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特殊用地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特殊用地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0.37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0.18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0.55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0.23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0.37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0.18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0.55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0.23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10</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交通运输用地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1003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公路用地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1.02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0.06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1.09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0.45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1004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城镇村道路用地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0.24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0.39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0.16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1006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农村道路</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1.95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3.93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5.87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2.45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3.12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4.23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7.35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3.06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水域及水利设施用地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1101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河流水面</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17.25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2.56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19.81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8.25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1103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水库水面</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0.13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0.13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0.05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坑塘水面</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0.80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0.80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0.33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沟渠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0.09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0.09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0.04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1109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水工建筑用地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1.88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0.13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2.01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0.84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19.26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3.57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22.84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9.51 </w:t>
                  </w:r>
                </w:p>
              </w:tc>
            </w:tr>
            <w:tr>
              <w:tblPrEx>
                <w:tblLayout w:type="fixed"/>
                <w:tblCellMar>
                  <w:top w:w="0" w:type="dxa"/>
                  <w:left w:w="57" w:type="dxa"/>
                  <w:bottom w:w="0" w:type="dxa"/>
                  <w:right w:w="57" w:type="dxa"/>
                </w:tblCellMar>
              </w:tblPrEx>
              <w:trPr>
                <w:trHeight w:val="340" w:hRule="atLeast"/>
              </w:trPr>
              <w:tc>
                <w:tcPr>
                  <w:tcW w:w="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12</w:t>
                  </w: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其他用地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1202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设施农用地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2.06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0.81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2.87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0"/>
                      <w:szCs w:val="21"/>
                      <w:lang w:bidi="ar"/>
                      <w14:textFill>
                        <w14:solidFill>
                          <w14:schemeClr w14:val="tx1"/>
                        </w14:solidFill>
                      </w14:textFill>
                    </w:rPr>
                    <w:t xml:space="preserve">1.20 </w:t>
                  </w:r>
                </w:p>
              </w:tc>
            </w:tr>
            <w:tr>
              <w:tblPrEx>
                <w:tblLayout w:type="fixed"/>
                <w:tblCellMar>
                  <w:top w:w="0" w:type="dxa"/>
                  <w:left w:w="57" w:type="dxa"/>
                  <w:bottom w:w="0" w:type="dxa"/>
                  <w:right w:w="57" w:type="dxa"/>
                </w:tblCellMar>
              </w:tblPrEx>
              <w:trPr>
                <w:trHeight w:val="340" w:hRule="atLeast"/>
              </w:trPr>
              <w:tc>
                <w:tcPr>
                  <w:tcW w:w="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eastAsiaTheme="minorEastAsia"/>
                      <w:color w:val="000000" w:themeColor="text1"/>
                      <w:szCs w:val="21"/>
                      <w14:textFill>
                        <w14:solidFill>
                          <w14:schemeClr w14:val="tx1"/>
                        </w14:solidFill>
                      </w14:textFill>
                    </w:rPr>
                  </w:pPr>
                </w:p>
              </w:tc>
              <w:tc>
                <w:tcPr>
                  <w:tcW w:w="21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2.06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0.81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2.87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1.20 </w:t>
                  </w:r>
                </w:p>
              </w:tc>
            </w:tr>
            <w:tr>
              <w:tblPrEx>
                <w:tblLayout w:type="fixed"/>
                <w:tblCellMar>
                  <w:top w:w="0" w:type="dxa"/>
                  <w:left w:w="57" w:type="dxa"/>
                  <w:bottom w:w="0" w:type="dxa"/>
                  <w:right w:w="57" w:type="dxa"/>
                </w:tblCellMar>
              </w:tblPrEx>
              <w:trPr>
                <w:trHeight w:val="340" w:hRule="atLeast"/>
              </w:trPr>
              <w:tc>
                <w:tcPr>
                  <w:tcW w:w="357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合计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80.00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160.00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240.00 </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eastAsiaTheme="minorEastAsia"/>
                      <w:b/>
                      <w:bCs/>
                      <w:color w:val="000000" w:themeColor="text1"/>
                      <w:szCs w:val="21"/>
                      <w14:textFill>
                        <w14:solidFill>
                          <w14:schemeClr w14:val="tx1"/>
                        </w14:solidFill>
                      </w14:textFill>
                    </w:rPr>
                  </w:pPr>
                  <w:r>
                    <w:rPr>
                      <w:rFonts w:ascii="Times New Roman" w:hAnsi="Times New Roman" w:cs="Times New Roman" w:eastAsiaTheme="minorEastAsia"/>
                      <w:b/>
                      <w:bCs/>
                      <w:color w:val="000000" w:themeColor="text1"/>
                      <w:kern w:val="0"/>
                      <w:szCs w:val="21"/>
                      <w:lang w:bidi="ar"/>
                      <w14:textFill>
                        <w14:solidFill>
                          <w14:schemeClr w14:val="tx1"/>
                        </w14:solidFill>
                      </w14:textFill>
                    </w:rPr>
                    <w:t xml:space="preserve">100.00 </w:t>
                  </w:r>
                </w:p>
              </w:tc>
            </w:tr>
          </w:tbl>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p>
          <w:p>
            <w:pPr>
              <w:autoSpaceDE w:val="0"/>
              <w:autoSpaceDN w:val="0"/>
              <w:adjustRightInd w:val="0"/>
              <w:snapToGrid w:val="0"/>
              <w:spacing w:line="360" w:lineRule="auto"/>
              <w:ind w:firstLine="42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1144905</wp:posOffset>
                  </wp:positionH>
                  <wp:positionV relativeFrom="paragraph">
                    <wp:posOffset>252730</wp:posOffset>
                  </wp:positionV>
                  <wp:extent cx="2038350" cy="1098550"/>
                  <wp:effectExtent l="0" t="0" r="0" b="0"/>
                  <wp:wrapNone/>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38350" cy="1098550"/>
                          </a:xfrm>
                          <a:prstGeom prst="rect">
                            <a:avLst/>
                          </a:prstGeom>
                          <a:noFill/>
                          <a:ln>
                            <a:noFill/>
                          </a:ln>
                        </pic:spPr>
                      </pic:pic>
                    </a:graphicData>
                  </a:graphic>
                </wp:anchor>
              </w:drawing>
            </w:r>
            <w:r>
              <w:rPr>
                <w:rFonts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895985</wp:posOffset>
                      </wp:positionH>
                      <wp:positionV relativeFrom="paragraph">
                        <wp:posOffset>1725295</wp:posOffset>
                      </wp:positionV>
                      <wp:extent cx="2257425" cy="550545"/>
                      <wp:effectExtent l="0" t="0" r="28575" b="173355"/>
                      <wp:wrapNone/>
                      <wp:docPr id="61" name="组合 61"/>
                      <wp:cNvGraphicFramePr/>
                      <a:graphic xmlns:a="http://schemas.openxmlformats.org/drawingml/2006/main">
                        <a:graphicData uri="http://schemas.microsoft.com/office/word/2010/wordprocessingGroup">
                          <wpg:wgp>
                            <wpg:cNvGrpSpPr/>
                            <wpg:grpSpPr>
                              <a:xfrm>
                                <a:off x="0" y="0"/>
                                <a:ext cx="2257425" cy="550545"/>
                                <a:chOff x="0" y="0"/>
                                <a:chExt cx="2257425" cy="550545"/>
                              </a:xfrm>
                            </wpg:grpSpPr>
                            <wps:wsp>
                              <wps:cNvPr id="51" name="矩形标注 35"/>
                              <wps:cNvSpPr>
                                <a:spLocks noChangeArrowheads="1"/>
                              </wps:cNvSpPr>
                              <wps:spPr bwMode="auto">
                                <a:xfrm>
                                  <a:off x="0" y="0"/>
                                  <a:ext cx="619125" cy="337185"/>
                                </a:xfrm>
                                <a:prstGeom prst="wedgeRectCallout">
                                  <a:avLst>
                                    <a:gd name="adj1" fmla="val 31686"/>
                                    <a:gd name="adj2" fmla="val 98668"/>
                                  </a:avLst>
                                </a:prstGeom>
                                <a:noFill/>
                                <a:ln w="12700" cap="flat" cmpd="sng" algn="ctr">
                                  <a:solidFill>
                                    <a:srgbClr val="000000"/>
                                  </a:solidFill>
                                  <a:prstDash val="solid"/>
                                  <a:miter lim="800000"/>
                                </a:ln>
                              </wps:spPr>
                              <wps:txbx>
                                <w:txbxContent>
                                  <w:p>
                                    <w:pPr>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下游段</w:t>
                                    </w:r>
                                  </w:p>
                                </w:txbxContent>
                              </wps:txbx>
                              <wps:bodyPr rot="0" vert="horz" wrap="square" lIns="91440" tIns="45720" rIns="91440" bIns="45720" anchor="ctr" anchorCtr="0" upright="1">
                                <a:noAutofit/>
                              </wps:bodyPr>
                            </wps:wsp>
                            <wps:wsp>
                              <wps:cNvPr id="52" name="矩形标注 40"/>
                              <wps:cNvSpPr>
                                <a:spLocks noChangeArrowheads="1"/>
                              </wps:cNvSpPr>
                              <wps:spPr bwMode="auto">
                                <a:xfrm>
                                  <a:off x="1628775" y="213360"/>
                                  <a:ext cx="628650" cy="337185"/>
                                </a:xfrm>
                                <a:prstGeom prst="wedgeRectCallout">
                                  <a:avLst>
                                    <a:gd name="adj1" fmla="val -29869"/>
                                    <a:gd name="adj2" fmla="val 89724"/>
                                  </a:avLst>
                                </a:prstGeom>
                                <a:noFill/>
                                <a:ln w="12700" cap="flat" cmpd="sng" algn="ctr">
                                  <a:solidFill>
                                    <a:srgbClr val="000000"/>
                                  </a:solidFill>
                                  <a:prstDash val="solid"/>
                                  <a:miter lim="800000"/>
                                </a:ln>
                              </wps:spPr>
                              <wps:txbx>
                                <w:txbxContent>
                                  <w:p>
                                    <w:pPr>
                                      <w:jc w:val="center"/>
                                      <w:rPr>
                                        <w:color w:val="000000" w:themeColor="text1"/>
                                        <w14:textFill>
                                          <w14:solidFill>
                                            <w14:schemeClr w14:val="tx1"/>
                                          </w14:solidFill>
                                        </w14:textFill>
                                      </w:rPr>
                                    </w:pPr>
                                    <w:r>
                                      <w:rPr>
                                        <w:rFonts w:hint="eastAsia"/>
                                        <w:bCs/>
                                        <w:color w:val="000000" w:themeColor="text1"/>
                                        <w14:textFill>
                                          <w14:solidFill>
                                            <w14:schemeClr w14:val="tx1"/>
                                          </w14:solidFill>
                                        </w14:textFill>
                                      </w:rPr>
                                      <w:t>上游段</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70.55pt;margin-top:135.85pt;height:43.35pt;width:177.75pt;z-index:251671552;mso-width-relative:page;mso-height-relative:page;" coordsize="2257425,550545" o:gfxdata="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aIXYv9sAAAALAQAADwAAAAAAAAABACAAAAAiAAAAZHJz&#10;L2Rvd25yZXYueG1sUEsBAhQAFAAAAAgAh07iQAKJuoceAwAA9QgAAA4AAAAAAAAAAQAgAAAAKgEA&#10;AGRycy9lMm9Eb2MueG1sUEsFBgAAAAAGAAYAWQEAALoGAAAAAA==&#10;">
                      <o:lock v:ext="edit" aspectratio="f"/>
                      <v:shape id="矩形标注 35" o:spid="_x0000_s1026" o:spt="61" type="#_x0000_t61" style="position:absolute;left:0;top:0;height:337185;width:619125;v-text-anchor:middle;" filled="f" stroked="t" coordsize="21600,21600" o:gfxdata="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6W8i/&#10;AAAA2wAAAA8AAAAAAAAAAQAgAAAAIgAAAGRycy9kb3ducmV2LnhtbFBLAQIUABQAAAAIAIdO4kAz&#10;LwWeOwAAADkAAAAQAAAAAAAAAAEAIAAAAA4BAABkcnMvc2hhcGV4bWwueG1sUEsFBgAAAAAGAAYA&#10;WwEAALgDAAAAAA==&#10;" adj="17644,32112">
                        <v:fill on="f" focussize="0,0"/>
                        <v:stroke weight="1pt" color="#000000" miterlimit="8" joinstyle="miter"/>
                        <v:imagedata o:title=""/>
                        <o:lock v:ext="edit" aspectratio="f"/>
                        <v:textbox>
                          <w:txbxContent>
                            <w:p>
                              <w:pPr>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下游段</w:t>
                              </w:r>
                            </w:p>
                          </w:txbxContent>
                        </v:textbox>
                      </v:shape>
                      <v:shape id="矩形标注 40" o:spid="_x0000_s1026" o:spt="61" type="#_x0000_t61" style="position:absolute;left:1628775;top:213360;height:337185;width:628650;v-text-anchor:middle;" filled="f" stroked="t" coordsize="21600,21600" o:gfxdata="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tg7rsAAADb&#10;AAAADwAAAAAAAAABACAAAAAiAAAAZHJzL2Rvd25yZXYueG1sUEsBAhQAFAAAAAgAh07iQDMvBZ47&#10;AAAAOQAAABAAAAAAAAAAAQAgAAAACgEAAGRycy9zaGFwZXhtbC54bWxQSwUGAAAAAAYABgBbAQAA&#10;tAMAAAAA&#10;" adj="4348,30180">
                        <v:fill on="f"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bCs/>
                                  <w:color w:val="000000" w:themeColor="text1"/>
                                  <w14:textFill>
                                    <w14:solidFill>
                                      <w14:schemeClr w14:val="tx1"/>
                                    </w14:solidFill>
                                  </w14:textFill>
                                </w:rPr>
                                <w:t>上游段</w:t>
                              </w:r>
                            </w:p>
                          </w:txbxContent>
                        </v:textbox>
                      </v:shape>
                    </v:group>
                  </w:pict>
                </mc:Fallback>
              </mc:AlternateContent>
            </w: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1296035</wp:posOffset>
                      </wp:positionH>
                      <wp:positionV relativeFrom="paragraph">
                        <wp:posOffset>2230120</wp:posOffset>
                      </wp:positionV>
                      <wp:extent cx="1451610" cy="219075"/>
                      <wp:effectExtent l="0" t="0" r="15240" b="28575"/>
                      <wp:wrapNone/>
                      <wp:docPr id="48"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51965" cy="219075"/>
                                <a:chOff x="0" y="0"/>
                                <a:chExt cx="7463641" cy="1122219"/>
                              </a:xfrm>
                            </wpg:grpSpPr>
                            <wps:wsp>
                              <wps:cNvPr id="49" name="任意多边形 6"/>
                              <wps:cNvSpPr/>
                              <wps:spPr bwMode="auto">
                                <a:xfrm>
                                  <a:off x="0" y="0"/>
                                  <a:ext cx="2309750" cy="427512"/>
                                </a:xfrm>
                                <a:custGeom>
                                  <a:avLst/>
                                  <a:gdLst>
                                    <a:gd name="T0" fmla="*/ 0 w 2309750"/>
                                    <a:gd name="T1" fmla="*/ 0 h 427512"/>
                                    <a:gd name="T2" fmla="*/ 59378 w 2309750"/>
                                    <a:gd name="T3" fmla="*/ 95002 h 427512"/>
                                    <a:gd name="T4" fmla="*/ 225631 w 2309750"/>
                                    <a:gd name="T5" fmla="*/ 106878 h 427512"/>
                                    <a:gd name="T6" fmla="*/ 332509 w 2309750"/>
                                    <a:gd name="T7" fmla="*/ 124691 h 427512"/>
                                    <a:gd name="T8" fmla="*/ 510639 w 2309750"/>
                                    <a:gd name="T9" fmla="*/ 172193 h 427512"/>
                                    <a:gd name="T10" fmla="*/ 647205 w 2309750"/>
                                    <a:gd name="T11" fmla="*/ 243445 h 427512"/>
                                    <a:gd name="T12" fmla="*/ 712519 w 2309750"/>
                                    <a:gd name="T13" fmla="*/ 273133 h 427512"/>
                                    <a:gd name="T14" fmla="*/ 765958 w 2309750"/>
                                    <a:gd name="T15" fmla="*/ 326572 h 427512"/>
                                    <a:gd name="T16" fmla="*/ 813459 w 2309750"/>
                                    <a:gd name="T17" fmla="*/ 385948 h 427512"/>
                                    <a:gd name="T18" fmla="*/ 878774 w 2309750"/>
                                    <a:gd name="T19" fmla="*/ 403761 h 427512"/>
                                    <a:gd name="T20" fmla="*/ 896587 w 2309750"/>
                                    <a:gd name="T21" fmla="*/ 415637 h 427512"/>
                                    <a:gd name="T22" fmla="*/ 944088 w 2309750"/>
                                    <a:gd name="T23" fmla="*/ 374073 h 427512"/>
                                    <a:gd name="T24" fmla="*/ 985652 w 2309750"/>
                                    <a:gd name="T25" fmla="*/ 326572 h 427512"/>
                                    <a:gd name="T26" fmla="*/ 1015340 w 2309750"/>
                                    <a:gd name="T27" fmla="*/ 326572 h 427512"/>
                                    <a:gd name="T28" fmla="*/ 1104405 w 2309750"/>
                                    <a:gd name="T29" fmla="*/ 344385 h 427512"/>
                                    <a:gd name="T30" fmla="*/ 1181594 w 2309750"/>
                                    <a:gd name="T31" fmla="*/ 385948 h 427512"/>
                                    <a:gd name="T32" fmla="*/ 1229096 w 2309750"/>
                                    <a:gd name="T33" fmla="*/ 421574 h 427512"/>
                                    <a:gd name="T34" fmla="*/ 1347849 w 2309750"/>
                                    <a:gd name="T35" fmla="*/ 356260 h 427512"/>
                                    <a:gd name="T36" fmla="*/ 1401288 w 2309750"/>
                                    <a:gd name="T37" fmla="*/ 385948 h 427512"/>
                                    <a:gd name="T38" fmla="*/ 1698171 w 2309750"/>
                                    <a:gd name="T39" fmla="*/ 403761 h 427512"/>
                                    <a:gd name="T40" fmla="*/ 2000992 w 2309750"/>
                                    <a:gd name="T41" fmla="*/ 415637 h 427512"/>
                                    <a:gd name="T42" fmla="*/ 2155371 w 2309750"/>
                                    <a:gd name="T43" fmla="*/ 421574 h 427512"/>
                                    <a:gd name="T44" fmla="*/ 2250374 w 2309750"/>
                                    <a:gd name="T45" fmla="*/ 427512 h 427512"/>
                                    <a:gd name="T46" fmla="*/ 2309750 w 2309750"/>
                                    <a:gd name="T47" fmla="*/ 421574 h 4275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09750" h="427512">
                                      <a:moveTo>
                                        <a:pt x="0" y="0"/>
                                      </a:moveTo>
                                      <a:cubicBezTo>
                                        <a:pt x="1979" y="41564"/>
                                        <a:pt x="21773" y="77189"/>
                                        <a:pt x="59378" y="95002"/>
                                      </a:cubicBezTo>
                                      <a:cubicBezTo>
                                        <a:pt x="96983" y="112815"/>
                                        <a:pt x="180109" y="101930"/>
                                        <a:pt x="225631" y="106878"/>
                                      </a:cubicBezTo>
                                      <a:cubicBezTo>
                                        <a:pt x="271153" y="111826"/>
                                        <a:pt x="285008" y="113805"/>
                                        <a:pt x="332509" y="124691"/>
                                      </a:cubicBezTo>
                                      <a:cubicBezTo>
                                        <a:pt x="380010" y="135577"/>
                                        <a:pt x="458190" y="152401"/>
                                        <a:pt x="510639" y="172193"/>
                                      </a:cubicBezTo>
                                      <a:cubicBezTo>
                                        <a:pt x="563088" y="191985"/>
                                        <a:pt x="613558" y="226622"/>
                                        <a:pt x="647205" y="243445"/>
                                      </a:cubicBezTo>
                                      <a:cubicBezTo>
                                        <a:pt x="680852" y="260268"/>
                                        <a:pt x="692727" y="259279"/>
                                        <a:pt x="712519" y="273133"/>
                                      </a:cubicBezTo>
                                      <a:cubicBezTo>
                                        <a:pt x="732311" y="286987"/>
                                        <a:pt x="749135" y="307770"/>
                                        <a:pt x="765958" y="326572"/>
                                      </a:cubicBezTo>
                                      <a:cubicBezTo>
                                        <a:pt x="782781" y="345374"/>
                                        <a:pt x="794656" y="373083"/>
                                        <a:pt x="813459" y="385948"/>
                                      </a:cubicBezTo>
                                      <a:cubicBezTo>
                                        <a:pt x="832262" y="398813"/>
                                        <a:pt x="864919" y="398813"/>
                                        <a:pt x="878774" y="403761"/>
                                      </a:cubicBezTo>
                                      <a:cubicBezTo>
                                        <a:pt x="892629" y="408709"/>
                                        <a:pt x="885701" y="420585"/>
                                        <a:pt x="896587" y="415637"/>
                                      </a:cubicBezTo>
                                      <a:cubicBezTo>
                                        <a:pt x="907473" y="410689"/>
                                        <a:pt x="929244" y="388917"/>
                                        <a:pt x="944088" y="374073"/>
                                      </a:cubicBezTo>
                                      <a:cubicBezTo>
                                        <a:pt x="958932" y="359229"/>
                                        <a:pt x="973777" y="334489"/>
                                        <a:pt x="985652" y="326572"/>
                                      </a:cubicBezTo>
                                      <a:cubicBezTo>
                                        <a:pt x="997527" y="318655"/>
                                        <a:pt x="995548" y="323603"/>
                                        <a:pt x="1015340" y="326572"/>
                                      </a:cubicBezTo>
                                      <a:cubicBezTo>
                                        <a:pt x="1035132" y="329541"/>
                                        <a:pt x="1076696" y="334489"/>
                                        <a:pt x="1104405" y="344385"/>
                                      </a:cubicBezTo>
                                      <a:cubicBezTo>
                                        <a:pt x="1132114" y="354281"/>
                                        <a:pt x="1160812" y="373083"/>
                                        <a:pt x="1181594" y="385948"/>
                                      </a:cubicBezTo>
                                      <a:cubicBezTo>
                                        <a:pt x="1202376" y="398813"/>
                                        <a:pt x="1201387" y="426522"/>
                                        <a:pt x="1229096" y="421574"/>
                                      </a:cubicBezTo>
                                      <a:cubicBezTo>
                                        <a:pt x="1256805" y="416626"/>
                                        <a:pt x="1319150" y="362198"/>
                                        <a:pt x="1347849" y="356260"/>
                                      </a:cubicBezTo>
                                      <a:cubicBezTo>
                                        <a:pt x="1376548" y="350322"/>
                                        <a:pt x="1342901" y="378031"/>
                                        <a:pt x="1401288" y="385948"/>
                                      </a:cubicBezTo>
                                      <a:cubicBezTo>
                                        <a:pt x="1459675" y="393865"/>
                                        <a:pt x="1598220" y="398813"/>
                                        <a:pt x="1698171" y="403761"/>
                                      </a:cubicBezTo>
                                      <a:cubicBezTo>
                                        <a:pt x="1798122" y="408709"/>
                                        <a:pt x="2000992" y="415637"/>
                                        <a:pt x="2000992" y="415637"/>
                                      </a:cubicBezTo>
                                      <a:lnTo>
                                        <a:pt x="2155371" y="421574"/>
                                      </a:lnTo>
                                      <a:cubicBezTo>
                                        <a:pt x="2196935" y="423553"/>
                                        <a:pt x="2224644" y="427512"/>
                                        <a:pt x="2250374" y="427512"/>
                                      </a:cubicBezTo>
                                      <a:cubicBezTo>
                                        <a:pt x="2276104" y="427512"/>
                                        <a:pt x="2292927" y="424543"/>
                                        <a:pt x="2309750" y="421574"/>
                                      </a:cubicBezTo>
                                    </a:path>
                                  </a:pathLst>
                                </a:custGeom>
                                <a:noFill/>
                                <a:ln w="19050" cap="flat" cmpd="sng" algn="ctr">
                                  <a:solidFill>
                                    <a:srgbClr val="00B0F0"/>
                                  </a:solidFill>
                                  <a:prstDash val="solid"/>
                                  <a:miter lim="800000"/>
                                </a:ln>
                              </wps:spPr>
                              <wps:bodyPr rot="0" vert="horz" wrap="square" lIns="91440" tIns="45720" rIns="91440" bIns="45720" anchor="ctr" anchorCtr="0" upright="1">
                                <a:noAutofit/>
                              </wps:bodyPr>
                            </wps:wsp>
                            <wps:wsp>
                              <wps:cNvPr id="50" name="任意多边形 7"/>
                              <wps:cNvSpPr/>
                              <wps:spPr bwMode="auto">
                                <a:xfrm>
                                  <a:off x="5011387" y="926276"/>
                                  <a:ext cx="2452254" cy="195943"/>
                                </a:xfrm>
                                <a:custGeom>
                                  <a:avLst/>
                                  <a:gdLst>
                                    <a:gd name="T0" fmla="*/ 0 w 2452254"/>
                                    <a:gd name="T1" fmla="*/ 0 h 195943"/>
                                    <a:gd name="T2" fmla="*/ 100940 w 2452254"/>
                                    <a:gd name="T3" fmla="*/ 23750 h 195943"/>
                                    <a:gd name="T4" fmla="*/ 160317 w 2452254"/>
                                    <a:gd name="T5" fmla="*/ 41563 h 195943"/>
                                    <a:gd name="T6" fmla="*/ 201880 w 2452254"/>
                                    <a:gd name="T7" fmla="*/ 35626 h 195943"/>
                                    <a:gd name="T8" fmla="*/ 296883 w 2452254"/>
                                    <a:gd name="T9" fmla="*/ 106878 h 195943"/>
                                    <a:gd name="T10" fmla="*/ 374072 w 2452254"/>
                                    <a:gd name="T11" fmla="*/ 130628 h 195943"/>
                                    <a:gd name="T12" fmla="*/ 439387 w 2452254"/>
                                    <a:gd name="T13" fmla="*/ 77189 h 195943"/>
                                    <a:gd name="T14" fmla="*/ 463137 w 2452254"/>
                                    <a:gd name="T15" fmla="*/ 65314 h 195943"/>
                                    <a:gd name="T16" fmla="*/ 516576 w 2452254"/>
                                    <a:gd name="T17" fmla="*/ 83127 h 195943"/>
                                    <a:gd name="T18" fmla="*/ 653142 w 2452254"/>
                                    <a:gd name="T19" fmla="*/ 148441 h 195943"/>
                                    <a:gd name="T20" fmla="*/ 771896 w 2452254"/>
                                    <a:gd name="T21" fmla="*/ 118753 h 195943"/>
                                    <a:gd name="T22" fmla="*/ 860961 w 2452254"/>
                                    <a:gd name="T23" fmla="*/ 100940 h 195943"/>
                                    <a:gd name="T24" fmla="*/ 926275 w 2452254"/>
                                    <a:gd name="T25" fmla="*/ 77189 h 195943"/>
                                    <a:gd name="T26" fmla="*/ 961901 w 2452254"/>
                                    <a:gd name="T27" fmla="*/ 59376 h 195943"/>
                                    <a:gd name="T28" fmla="*/ 1009402 w 2452254"/>
                                    <a:gd name="T29" fmla="*/ 53439 h 195943"/>
                                    <a:gd name="T30" fmla="*/ 1074717 w 2452254"/>
                                    <a:gd name="T31" fmla="*/ 59376 h 195943"/>
                                    <a:gd name="T32" fmla="*/ 1122218 w 2452254"/>
                                    <a:gd name="T33" fmla="*/ 95002 h 195943"/>
                                    <a:gd name="T34" fmla="*/ 1134093 w 2452254"/>
                                    <a:gd name="T35" fmla="*/ 148441 h 195943"/>
                                    <a:gd name="T36" fmla="*/ 1235033 w 2452254"/>
                                    <a:gd name="T37" fmla="*/ 136566 h 195943"/>
                                    <a:gd name="T38" fmla="*/ 1353787 w 2452254"/>
                                    <a:gd name="T39" fmla="*/ 112815 h 195943"/>
                                    <a:gd name="T40" fmla="*/ 1419101 w 2452254"/>
                                    <a:gd name="T41" fmla="*/ 106878 h 195943"/>
                                    <a:gd name="T42" fmla="*/ 1484415 w 2452254"/>
                                    <a:gd name="T43" fmla="*/ 112815 h 195943"/>
                                    <a:gd name="T44" fmla="*/ 1573480 w 2452254"/>
                                    <a:gd name="T45" fmla="*/ 148441 h 195943"/>
                                    <a:gd name="T46" fmla="*/ 1638794 w 2452254"/>
                                    <a:gd name="T47" fmla="*/ 184067 h 195943"/>
                                    <a:gd name="T48" fmla="*/ 1668483 w 2452254"/>
                                    <a:gd name="T49" fmla="*/ 190005 h 195943"/>
                                    <a:gd name="T50" fmla="*/ 1668483 w 2452254"/>
                                    <a:gd name="T51" fmla="*/ 142504 h 195943"/>
                                    <a:gd name="T52" fmla="*/ 1650670 w 2452254"/>
                                    <a:gd name="T53" fmla="*/ 95002 h 195943"/>
                                    <a:gd name="T54" fmla="*/ 1609106 w 2452254"/>
                                    <a:gd name="T55" fmla="*/ 83127 h 195943"/>
                                    <a:gd name="T56" fmla="*/ 1751610 w 2452254"/>
                                    <a:gd name="T57" fmla="*/ 65314 h 195943"/>
                                    <a:gd name="T58" fmla="*/ 1900052 w 2452254"/>
                                    <a:gd name="T59" fmla="*/ 89065 h 195943"/>
                                    <a:gd name="T60" fmla="*/ 2048493 w 2452254"/>
                                    <a:gd name="T61" fmla="*/ 118753 h 195943"/>
                                    <a:gd name="T62" fmla="*/ 2202872 w 2452254"/>
                                    <a:gd name="T63" fmla="*/ 124691 h 195943"/>
                                    <a:gd name="T64" fmla="*/ 2303813 w 2452254"/>
                                    <a:gd name="T65" fmla="*/ 124691 h 195943"/>
                                    <a:gd name="T66" fmla="*/ 2339439 w 2452254"/>
                                    <a:gd name="T67" fmla="*/ 124691 h 195943"/>
                                    <a:gd name="T68" fmla="*/ 2410691 w 2452254"/>
                                    <a:gd name="T69" fmla="*/ 172192 h 195943"/>
                                    <a:gd name="T70" fmla="*/ 2452254 w 2452254"/>
                                    <a:gd name="T71" fmla="*/ 195943 h 19594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452254" h="195943">
                                      <a:moveTo>
                                        <a:pt x="0" y="0"/>
                                      </a:moveTo>
                                      <a:lnTo>
                                        <a:pt x="100940" y="23750"/>
                                      </a:lnTo>
                                      <a:cubicBezTo>
                                        <a:pt x="127659" y="30677"/>
                                        <a:pt x="143494" y="39584"/>
                                        <a:pt x="160317" y="41563"/>
                                      </a:cubicBezTo>
                                      <a:cubicBezTo>
                                        <a:pt x="177140" y="43542"/>
                                        <a:pt x="179119" y="24740"/>
                                        <a:pt x="201880" y="35626"/>
                                      </a:cubicBezTo>
                                      <a:cubicBezTo>
                                        <a:pt x="224641" y="46512"/>
                                        <a:pt x="268184" y="91044"/>
                                        <a:pt x="296883" y="106878"/>
                                      </a:cubicBezTo>
                                      <a:cubicBezTo>
                                        <a:pt x="325582" y="122712"/>
                                        <a:pt x="350321" y="135576"/>
                                        <a:pt x="374072" y="130628"/>
                                      </a:cubicBezTo>
                                      <a:cubicBezTo>
                                        <a:pt x="397823" y="125680"/>
                                        <a:pt x="424543" y="88075"/>
                                        <a:pt x="439387" y="77189"/>
                                      </a:cubicBezTo>
                                      <a:cubicBezTo>
                                        <a:pt x="454231" y="66303"/>
                                        <a:pt x="450272" y="64324"/>
                                        <a:pt x="463137" y="65314"/>
                                      </a:cubicBezTo>
                                      <a:cubicBezTo>
                                        <a:pt x="476002" y="66304"/>
                                        <a:pt x="484908" y="69272"/>
                                        <a:pt x="516576" y="83127"/>
                                      </a:cubicBezTo>
                                      <a:cubicBezTo>
                                        <a:pt x="548244" y="96982"/>
                                        <a:pt x="610589" y="142503"/>
                                        <a:pt x="653142" y="148441"/>
                                      </a:cubicBezTo>
                                      <a:cubicBezTo>
                                        <a:pt x="695695" y="154379"/>
                                        <a:pt x="737260" y="126670"/>
                                        <a:pt x="771896" y="118753"/>
                                      </a:cubicBezTo>
                                      <a:cubicBezTo>
                                        <a:pt x="806533" y="110836"/>
                                        <a:pt x="835231" y="107867"/>
                                        <a:pt x="860961" y="100940"/>
                                      </a:cubicBezTo>
                                      <a:cubicBezTo>
                                        <a:pt x="886691" y="94013"/>
                                        <a:pt x="909452" y="84116"/>
                                        <a:pt x="926275" y="77189"/>
                                      </a:cubicBezTo>
                                      <a:cubicBezTo>
                                        <a:pt x="943098" y="70262"/>
                                        <a:pt x="948046" y="63334"/>
                                        <a:pt x="961901" y="59376"/>
                                      </a:cubicBezTo>
                                      <a:cubicBezTo>
                                        <a:pt x="975756" y="55418"/>
                                        <a:pt x="990599" y="53439"/>
                                        <a:pt x="1009402" y="53439"/>
                                      </a:cubicBezTo>
                                      <a:cubicBezTo>
                                        <a:pt x="1028205" y="53439"/>
                                        <a:pt x="1055914" y="52449"/>
                                        <a:pt x="1074717" y="59376"/>
                                      </a:cubicBezTo>
                                      <a:cubicBezTo>
                                        <a:pt x="1093520" y="66303"/>
                                        <a:pt x="1112322" y="80158"/>
                                        <a:pt x="1122218" y="95002"/>
                                      </a:cubicBezTo>
                                      <a:cubicBezTo>
                                        <a:pt x="1132114" y="109846"/>
                                        <a:pt x="1115291" y="141514"/>
                                        <a:pt x="1134093" y="148441"/>
                                      </a:cubicBezTo>
                                      <a:cubicBezTo>
                                        <a:pt x="1152896" y="155368"/>
                                        <a:pt x="1198417" y="142504"/>
                                        <a:pt x="1235033" y="136566"/>
                                      </a:cubicBezTo>
                                      <a:cubicBezTo>
                                        <a:pt x="1271649" y="130628"/>
                                        <a:pt x="1323109" y="117763"/>
                                        <a:pt x="1353787" y="112815"/>
                                      </a:cubicBezTo>
                                      <a:cubicBezTo>
                                        <a:pt x="1384465" y="107867"/>
                                        <a:pt x="1397330" y="106878"/>
                                        <a:pt x="1419101" y="106878"/>
                                      </a:cubicBezTo>
                                      <a:cubicBezTo>
                                        <a:pt x="1440872" y="106878"/>
                                        <a:pt x="1458685" y="105888"/>
                                        <a:pt x="1484415" y="112815"/>
                                      </a:cubicBezTo>
                                      <a:cubicBezTo>
                                        <a:pt x="1510145" y="119742"/>
                                        <a:pt x="1547750" y="136566"/>
                                        <a:pt x="1573480" y="148441"/>
                                      </a:cubicBezTo>
                                      <a:cubicBezTo>
                                        <a:pt x="1599210" y="160316"/>
                                        <a:pt x="1622960" y="177140"/>
                                        <a:pt x="1638794" y="184067"/>
                                      </a:cubicBezTo>
                                      <a:cubicBezTo>
                                        <a:pt x="1654628" y="190994"/>
                                        <a:pt x="1663535" y="196932"/>
                                        <a:pt x="1668483" y="190005"/>
                                      </a:cubicBezTo>
                                      <a:cubicBezTo>
                                        <a:pt x="1673431" y="183078"/>
                                        <a:pt x="1671452" y="158338"/>
                                        <a:pt x="1668483" y="142504"/>
                                      </a:cubicBezTo>
                                      <a:cubicBezTo>
                                        <a:pt x="1665514" y="126670"/>
                                        <a:pt x="1660566" y="104898"/>
                                        <a:pt x="1650670" y="95002"/>
                                      </a:cubicBezTo>
                                      <a:cubicBezTo>
                                        <a:pt x="1640774" y="85106"/>
                                        <a:pt x="1592283" y="88075"/>
                                        <a:pt x="1609106" y="83127"/>
                                      </a:cubicBezTo>
                                      <a:cubicBezTo>
                                        <a:pt x="1625929" y="78179"/>
                                        <a:pt x="1703119" y="64324"/>
                                        <a:pt x="1751610" y="65314"/>
                                      </a:cubicBezTo>
                                      <a:cubicBezTo>
                                        <a:pt x="1800101" y="66304"/>
                                        <a:pt x="1850571" y="80158"/>
                                        <a:pt x="1900052" y="89065"/>
                                      </a:cubicBezTo>
                                      <a:cubicBezTo>
                                        <a:pt x="1949533" y="97972"/>
                                        <a:pt x="1998023" y="112815"/>
                                        <a:pt x="2048493" y="118753"/>
                                      </a:cubicBezTo>
                                      <a:cubicBezTo>
                                        <a:pt x="2098963" y="124691"/>
                                        <a:pt x="2160319" y="123701"/>
                                        <a:pt x="2202872" y="124691"/>
                                      </a:cubicBezTo>
                                      <a:cubicBezTo>
                                        <a:pt x="2245425" y="125681"/>
                                        <a:pt x="2303813" y="124691"/>
                                        <a:pt x="2303813" y="124691"/>
                                      </a:cubicBezTo>
                                      <a:cubicBezTo>
                                        <a:pt x="2326574" y="124691"/>
                                        <a:pt x="2321626" y="116774"/>
                                        <a:pt x="2339439" y="124691"/>
                                      </a:cubicBezTo>
                                      <a:cubicBezTo>
                                        <a:pt x="2357252" y="132608"/>
                                        <a:pt x="2391889" y="160317"/>
                                        <a:pt x="2410691" y="172192"/>
                                      </a:cubicBezTo>
                                      <a:cubicBezTo>
                                        <a:pt x="2429493" y="184067"/>
                                        <a:pt x="2440873" y="190005"/>
                                        <a:pt x="2452254" y="195943"/>
                                      </a:cubicBezTo>
                                    </a:path>
                                  </a:pathLst>
                                </a:custGeom>
                                <a:noFill/>
                                <a:ln w="19050" cap="flat" cmpd="sng" algn="ctr">
                                  <a:solidFill>
                                    <a:srgbClr val="00B0F0"/>
                                  </a:solidFill>
                                  <a:prstDash val="solid"/>
                                  <a:miter lim="800000"/>
                                </a:ln>
                              </wps:spPr>
                              <wps:bodyPr rot="0" vert="horz" wrap="square" lIns="91440" tIns="45720" rIns="91440" bIns="45720" anchor="ctr" anchorCtr="0" upright="1">
                                <a:noAutofit/>
                              </wps:bodyPr>
                            </wps:wsp>
                          </wpg:wgp>
                        </a:graphicData>
                      </a:graphic>
                    </wp:anchor>
                  </w:drawing>
                </mc:Choice>
                <mc:Fallback>
                  <w:pict>
                    <v:group id="组合 8" o:spid="_x0000_s1026" o:spt="203" style="position:absolute;left:0pt;margin-left:102.05pt;margin-top:175.6pt;height:17.25pt;width:114.3pt;z-index:251668480;mso-width-relative:page;mso-height-relative:page;" coordsize="7463641,1122219" o:gfxdata="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&#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">
                      <o:lock v:ext="edit" aspectratio="t"/>
                      <v:shape id="任意多边形 6" o:spid="_x0000_s1026" o:spt="100" style="position:absolute;left:0;top:0;height:427512;width:2309750;v-text-anchor:middle;" filled="f" stroked="t" coordsize="2309750,427512" o:gfxdata="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5jnr&#10;wAAAANsAAAAPAAAAAAAAAAEAIAAAACIAAABkcnMvZG93bnJldi54bWxQSwECFAAUAAAACACHTuJA&#10;My8FnjsAAAA5AAAAEAAAAAAAAAABACAAAAAPAQAAZHJzL3NoYXBleG1sLnhtbFBLBQYAAAAABgAG&#10;AFsBAAC5AwAAAAA=&#10;" path="m0,0c1979,41564,21773,77189,59378,95002c96983,112815,180109,101930,225631,106878c271153,111826,285008,113805,332509,124691c380010,135577,458190,152401,510639,172193c563088,191985,613558,226622,647205,243445c680852,260268,692727,259279,712519,273133c732311,286987,749135,307770,765958,326572c782781,345374,794656,373083,813459,385948c832262,398813,864919,398813,878774,403761c892629,408709,885701,420585,896587,415637c907473,410689,929244,388917,944088,374073c958932,359229,973777,334489,985652,326572c997527,318655,995548,323603,1015340,326572c1035132,329541,1076696,334489,1104405,344385c1132114,354281,1160812,373083,1181594,385948c1202376,398813,1201387,426522,1229096,421574c1256805,416626,1319150,362198,1347849,356260c1376548,350322,1342901,378031,1401288,385948c1459675,393865,1598220,398813,1698171,403761c1798122,408709,2000992,415637,2000992,415637l2155371,421574c2196935,423553,2224644,427512,2250374,427512c2276104,427512,2292927,424543,2309750,421574e">
                        <v:path o:connectlocs="0,0;59378,95002;225631,106878;332509,124691;510639,172193;647205,243445;712519,273133;765958,326572;813459,385948;878774,403761;896587,415637;944088,374073;985652,326572;1015340,326572;1104405,344385;1181594,385948;1229096,421574;1347849,356260;1401288,385948;1698171,403761;2000992,415637;2155371,421574;2250374,427512;2309750,421574" o:connectangles="0,0,0,0,0,0,0,0,0,0,0,0,0,0,0,0,0,0,0,0,0,0,0,0"/>
                        <v:fill on="f" focussize="0,0"/>
                        <v:stroke weight="1.5pt" color="#00B0F0" miterlimit="8" joinstyle="miter"/>
                        <v:imagedata o:title=""/>
                        <o:lock v:ext="edit" aspectratio="f"/>
                      </v:shape>
                      <v:shape id="任意多边形 7" o:spid="_x0000_s1026" o:spt="100" style="position:absolute;left:5011387;top:926276;height:195943;width:2452254;v-text-anchor:middle;" filled="f" stroked="t" coordsize="2452254,195943" o:gfxdata="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Pd1QugAAANsA&#10;AAAPAAAAAAAAAAEAIAAAACIAAABkcnMvZG93bnJldi54bWxQSwECFAAUAAAACACHTuJAMy8FnjsA&#10;AAA5AAAAEAAAAAAAAAABACAAAAAJAQAAZHJzL3NoYXBleG1sLnhtbFBLBQYAAAAABgAGAFsBAACz&#10;AwAAAAA=&#10;" path="m0,0l100940,23750c127659,30677,143494,39584,160317,41563c177140,43542,179119,24740,201880,35626c224641,46512,268184,91044,296883,106878c325582,122712,350321,135576,374072,130628c397823,125680,424543,88075,439387,77189c454231,66303,450272,64324,463137,65314c476002,66304,484908,69272,516576,83127c548244,96982,610589,142503,653142,148441c695695,154379,737260,126670,771896,118753c806533,110836,835231,107867,860961,100940c886691,94013,909452,84116,926275,77189c943098,70262,948046,63334,961901,59376c975756,55418,990599,53439,1009402,53439c1028205,53439,1055914,52449,1074717,59376c1093520,66303,1112322,80158,1122218,95002c1132114,109846,1115291,141514,1134093,148441c1152896,155368,1198417,142504,1235033,136566c1271649,130628,1323109,117763,1353787,112815c1384465,107867,1397330,106878,1419101,106878c1440872,106878,1458685,105888,1484415,112815c1510145,119742,1547750,136566,1573480,148441c1599210,160316,1622960,177140,1638794,184067c1654628,190994,1663535,196932,1668483,190005c1673431,183078,1671452,158338,1668483,142504c1665514,126670,1660566,104898,1650670,95002c1640774,85106,1592283,88075,1609106,83127c1625929,78179,1703119,64324,1751610,65314c1800101,66304,1850571,80158,1900052,89065c1949533,97972,1998023,112815,2048493,118753c2098963,124691,2160319,123701,2202872,124691c2245425,125681,2303813,124691,2303813,124691c2326574,124691,2321626,116774,2339439,124691c2357252,132608,2391889,160317,2410691,172192c2429493,184067,2440873,190005,2452254,195943e">
                        <v:path o:connectlocs="0,0;100940,23750;160317,41563;201880,35626;296883,106878;374072,130628;439387,77189;463137,65314;516576,83127;653142,148441;771896,118753;860961,100940;926275,77189;961901,59376;1009402,53439;1074717,59376;1122218,95002;1134093,148441;1235033,136566;1353787,112815;1419101,106878;1484415,112815;1573480,148441;1638794,184067;1668483,190005;1668483,142504;1650670,95002;1609106,83127;1751610,65314;1900052,89065;2048493,118753;2202872,124691;2303813,124691;2339439,124691;2410691,172192;2452254,195943" o:connectangles="0,0,0,0,0,0,0,0,0,0,0,0,0,0,0,0,0,0,0,0,0,0,0,0,0,0,0,0,0,0,0,0,0,0,0,0"/>
                        <v:fill on="f" focussize="0,0"/>
                        <v:stroke weight="1.5pt" color="#00B0F0" miterlimit="8" joinstyle="miter"/>
                        <v:imagedata o:title=""/>
                        <o:lock v:ext="edit" aspectratio="f"/>
                      </v:shape>
                    </v:group>
                  </w:pict>
                </mc:Fallback>
              </mc:AlternateContent>
            </w:r>
            <w:r>
              <w:rPr>
                <w:rFonts w:ascii="Times New Roman" w:hAnsi="Times New Roman" w:cs="Times New Roman"/>
                <w:color w:val="000000" w:themeColor="text1"/>
                <w14:textFill>
                  <w14:solidFill>
                    <w14:schemeClr w14:val="tx1"/>
                  </w14:solidFill>
                </w14:textFill>
              </w:rPr>
              <w:drawing>
                <wp:inline distT="0" distB="0" distL="0" distR="0">
                  <wp:extent cx="4552950" cy="3771900"/>
                  <wp:effectExtent l="0" t="0" r="0" b="0"/>
                  <wp:docPr id="4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52950" cy="377190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图3-1  项目所在土壤类型图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⑶</w:t>
            </w:r>
            <w:r>
              <w:rPr>
                <w:rFonts w:ascii="Times New Roman" w:hAnsi="Times New Roman" w:cs="Times New Roman"/>
                <w:color w:val="000000" w:themeColor="text1"/>
                <w:sz w:val="24"/>
                <w14:textFill>
                  <w14:solidFill>
                    <w14:schemeClr w14:val="tx1"/>
                  </w14:solidFill>
                </w14:textFill>
              </w:rPr>
              <w:t>侵蚀类型现状调查</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宁夏第二次土壤侵蚀遥感调查结果，通过对项目所在区域的土壤侵蚀面积及强度加权平均，并查阅宁夏土壤侵蚀图和《土壤侵蚀分类分级标准》（SL190-2007），并结合本项目区地形、地貌、土壤及植被覆盖度等情况综合分析，确定本项目区的土壤侵蚀属轻度水蚀和中度水蚀，项目区土壤侵蚀图见图3-2。</w:t>
            </w: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pStyle w:val="4"/>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72576" behindDoc="0" locked="0" layoutInCell="1" allowOverlap="1">
                      <wp:simplePos x="0" y="0"/>
                      <wp:positionH relativeFrom="column">
                        <wp:posOffset>838835</wp:posOffset>
                      </wp:positionH>
                      <wp:positionV relativeFrom="paragraph">
                        <wp:posOffset>2563495</wp:posOffset>
                      </wp:positionV>
                      <wp:extent cx="2047875" cy="502920"/>
                      <wp:effectExtent l="0" t="0" r="28575" b="163830"/>
                      <wp:wrapNone/>
                      <wp:docPr id="62" name="组合 62"/>
                      <wp:cNvGraphicFramePr/>
                      <a:graphic xmlns:a="http://schemas.openxmlformats.org/drawingml/2006/main">
                        <a:graphicData uri="http://schemas.microsoft.com/office/word/2010/wordprocessingGroup">
                          <wpg:wgp>
                            <wpg:cNvGrpSpPr/>
                            <wpg:grpSpPr>
                              <a:xfrm>
                                <a:off x="0" y="0"/>
                                <a:ext cx="2047875" cy="502920"/>
                                <a:chOff x="38100" y="161925"/>
                                <a:chExt cx="2047875" cy="502920"/>
                              </a:xfrm>
                            </wpg:grpSpPr>
                            <wps:wsp>
                              <wps:cNvPr id="63" name="矩形标注 35"/>
                              <wps:cNvSpPr>
                                <a:spLocks noChangeArrowheads="1"/>
                              </wps:cNvSpPr>
                              <wps:spPr bwMode="auto">
                                <a:xfrm>
                                  <a:off x="38100" y="161925"/>
                                  <a:ext cx="619125" cy="337185"/>
                                </a:xfrm>
                                <a:prstGeom prst="wedgeRectCallout">
                                  <a:avLst>
                                    <a:gd name="adj1" fmla="val 31686"/>
                                    <a:gd name="adj2" fmla="val 98668"/>
                                  </a:avLst>
                                </a:prstGeom>
                                <a:noFill/>
                                <a:ln w="12700" cap="flat" cmpd="sng" algn="ctr">
                                  <a:solidFill>
                                    <a:srgbClr val="000000"/>
                                  </a:solidFill>
                                  <a:prstDash val="solid"/>
                                  <a:miter lim="800000"/>
                                </a:ln>
                              </wps:spPr>
                              <wps:txbx>
                                <w:txbxContent>
                                  <w:p>
                                    <w:pPr>
                                      <w:jc w:val="center"/>
                                      <w:rPr>
                                        <w:bCs/>
                                        <w:color w:val="FF0000"/>
                                      </w:rPr>
                                    </w:pPr>
                                    <w:r>
                                      <w:rPr>
                                        <w:rFonts w:hint="eastAsia"/>
                                        <w:bCs/>
                                        <w:color w:val="FF0000"/>
                                      </w:rPr>
                                      <w:t>下游段</w:t>
                                    </w:r>
                                  </w:p>
                                </w:txbxContent>
                              </wps:txbx>
                              <wps:bodyPr rot="0" vert="horz" wrap="square" lIns="91440" tIns="45720" rIns="91440" bIns="45720" anchor="ctr" anchorCtr="0" upright="1">
                                <a:noAutofit/>
                              </wps:bodyPr>
                            </wps:wsp>
                            <wps:wsp>
                              <wps:cNvPr id="64" name="矩形标注 40"/>
                              <wps:cNvSpPr>
                                <a:spLocks noChangeArrowheads="1"/>
                              </wps:cNvSpPr>
                              <wps:spPr bwMode="auto">
                                <a:xfrm>
                                  <a:off x="1457325" y="327660"/>
                                  <a:ext cx="628650" cy="337185"/>
                                </a:xfrm>
                                <a:prstGeom prst="wedgeRectCallout">
                                  <a:avLst>
                                    <a:gd name="adj1" fmla="val -29869"/>
                                    <a:gd name="adj2" fmla="val 89724"/>
                                  </a:avLst>
                                </a:prstGeom>
                                <a:noFill/>
                                <a:ln w="12700" cap="flat" cmpd="sng" algn="ctr">
                                  <a:solidFill>
                                    <a:srgbClr val="000000"/>
                                  </a:solidFill>
                                  <a:prstDash val="solid"/>
                                  <a:miter lim="800000"/>
                                </a:ln>
                              </wps:spPr>
                              <wps:txbx>
                                <w:txbxContent>
                                  <w:p>
                                    <w:pPr>
                                      <w:jc w:val="center"/>
                                      <w:rPr>
                                        <w:color w:val="FF0000"/>
                                      </w:rPr>
                                    </w:pPr>
                                    <w:r>
                                      <w:rPr>
                                        <w:rFonts w:hint="eastAsia"/>
                                        <w:bCs/>
                                        <w:color w:val="FF0000"/>
                                      </w:rPr>
                                      <w:t>上游段</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66.05pt;margin-top:201.85pt;height:39.6pt;width:161.25pt;z-index:251672576;mso-width-relative:page;mso-height-relative:page;" coordorigin="38100,161925" coordsize="2047875,502920" o:gfxdata="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jFl2x2wAAAAsBAAAPAAAAAAAAAAEA&#10;IAAAACIAAABkcnMvZG93bnJldi54bWxQSwECFAAUAAAACACHTuJAE2J6jikDAAAHCQAADgAAAAAA&#10;AAABACAAAAAqAQAAZHJzL2Uyb0RvYy54bWxQSwUGAAAAAAYABgBZAQAAxQYAAAAA&#10;">
                      <o:lock v:ext="edit" aspectratio="f"/>
                      <v:shape id="矩形标注 35" o:spid="_x0000_s1026" o:spt="61" type="#_x0000_t61" style="position:absolute;left:38100;top:161925;height:337185;width:619125;v-text-anchor:middle;" filled="f" stroked="t" coordsize="21600,21600" o:gfxdata="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iqmb4A&#10;AADbAAAADwAAAAAAAAABACAAAAAiAAAAZHJzL2Rvd25yZXYueG1sUEsBAhQAFAAAAAgAh07iQDMv&#10;BZ47AAAAOQAAABAAAAAAAAAAAQAgAAAADQEAAGRycy9zaGFwZXhtbC54bWxQSwUGAAAAAAYABgBb&#10;AQAAtwMAAAAA&#10;" adj="17644,32112">
                        <v:fill on="f" focussize="0,0"/>
                        <v:stroke weight="1pt" color="#000000" miterlimit="8" joinstyle="miter"/>
                        <v:imagedata o:title=""/>
                        <o:lock v:ext="edit" aspectratio="f"/>
                        <v:textbox>
                          <w:txbxContent>
                            <w:p>
                              <w:pPr>
                                <w:jc w:val="center"/>
                                <w:rPr>
                                  <w:bCs/>
                                  <w:color w:val="FF0000"/>
                                </w:rPr>
                              </w:pPr>
                              <w:r>
                                <w:rPr>
                                  <w:rFonts w:hint="eastAsia"/>
                                  <w:bCs/>
                                  <w:color w:val="FF0000"/>
                                </w:rPr>
                                <w:t>下游段</w:t>
                              </w:r>
                            </w:p>
                          </w:txbxContent>
                        </v:textbox>
                      </v:shape>
                      <v:shape id="矩形标注 40" o:spid="_x0000_s1026" o:spt="61" type="#_x0000_t61" style="position:absolute;left:1457325;top:327660;height:337185;width:628650;v-text-anchor:middle;" filled="f" stroked="t" coordsize="21600,21600" o:gfxdata="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Cl7y8AAAA&#10;2wAAAA8AAAAAAAAAAQAgAAAAIgAAAGRycy9kb3ducmV2LnhtbFBLAQIUABQAAAAIAIdO4kAzLwWe&#10;OwAAADkAAAAQAAAAAAAAAAEAIAAAAAsBAABkcnMvc2hhcGV4bWwueG1sUEsFBgAAAAAGAAYAWwEA&#10;ALUDAAAAAA==&#10;" adj="4348,30180">
                        <v:fill on="f" focussize="0,0"/>
                        <v:stroke weight="1pt" color="#000000" miterlimit="8" joinstyle="miter"/>
                        <v:imagedata o:title=""/>
                        <o:lock v:ext="edit" aspectratio="f"/>
                        <v:textbox>
                          <w:txbxContent>
                            <w:p>
                              <w:pPr>
                                <w:jc w:val="center"/>
                                <w:rPr>
                                  <w:color w:val="FF0000"/>
                                </w:rPr>
                              </w:pPr>
                              <w:r>
                                <w:rPr>
                                  <w:rFonts w:hint="eastAsia"/>
                                  <w:bCs/>
                                  <w:color w:val="FF0000"/>
                                </w:rPr>
                                <w:t>上游段</w:t>
                              </w:r>
                            </w:p>
                          </w:txbxContent>
                        </v:textbox>
                      </v:shape>
                    </v:group>
                  </w:pict>
                </mc:Fallback>
              </mc:AlternateContent>
            </w: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73600" behindDoc="0" locked="0" layoutInCell="1" allowOverlap="1">
                      <wp:simplePos x="0" y="0"/>
                      <wp:positionH relativeFrom="column">
                        <wp:posOffset>1101725</wp:posOffset>
                      </wp:positionH>
                      <wp:positionV relativeFrom="paragraph">
                        <wp:posOffset>3038475</wp:posOffset>
                      </wp:positionV>
                      <wp:extent cx="1325245" cy="200025"/>
                      <wp:effectExtent l="0" t="0" r="27305" b="28575"/>
                      <wp:wrapNone/>
                      <wp:docPr id="65"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5383" cy="200025"/>
                                <a:chOff x="0" y="0"/>
                                <a:chExt cx="7463641" cy="1122219"/>
                              </a:xfrm>
                            </wpg:grpSpPr>
                            <wps:wsp>
                              <wps:cNvPr id="66" name="任意多边形 6"/>
                              <wps:cNvSpPr/>
                              <wps:spPr bwMode="auto">
                                <a:xfrm>
                                  <a:off x="0" y="0"/>
                                  <a:ext cx="2309750" cy="427512"/>
                                </a:xfrm>
                                <a:custGeom>
                                  <a:avLst/>
                                  <a:gdLst>
                                    <a:gd name="T0" fmla="*/ 0 w 2309750"/>
                                    <a:gd name="T1" fmla="*/ 0 h 427512"/>
                                    <a:gd name="T2" fmla="*/ 59378 w 2309750"/>
                                    <a:gd name="T3" fmla="*/ 95002 h 427512"/>
                                    <a:gd name="T4" fmla="*/ 225631 w 2309750"/>
                                    <a:gd name="T5" fmla="*/ 106878 h 427512"/>
                                    <a:gd name="T6" fmla="*/ 332509 w 2309750"/>
                                    <a:gd name="T7" fmla="*/ 124691 h 427512"/>
                                    <a:gd name="T8" fmla="*/ 510639 w 2309750"/>
                                    <a:gd name="T9" fmla="*/ 172193 h 427512"/>
                                    <a:gd name="T10" fmla="*/ 647205 w 2309750"/>
                                    <a:gd name="T11" fmla="*/ 243445 h 427512"/>
                                    <a:gd name="T12" fmla="*/ 712519 w 2309750"/>
                                    <a:gd name="T13" fmla="*/ 273133 h 427512"/>
                                    <a:gd name="T14" fmla="*/ 765958 w 2309750"/>
                                    <a:gd name="T15" fmla="*/ 326572 h 427512"/>
                                    <a:gd name="T16" fmla="*/ 813459 w 2309750"/>
                                    <a:gd name="T17" fmla="*/ 385948 h 427512"/>
                                    <a:gd name="T18" fmla="*/ 878774 w 2309750"/>
                                    <a:gd name="T19" fmla="*/ 403761 h 427512"/>
                                    <a:gd name="T20" fmla="*/ 896587 w 2309750"/>
                                    <a:gd name="T21" fmla="*/ 415637 h 427512"/>
                                    <a:gd name="T22" fmla="*/ 944088 w 2309750"/>
                                    <a:gd name="T23" fmla="*/ 374073 h 427512"/>
                                    <a:gd name="T24" fmla="*/ 985652 w 2309750"/>
                                    <a:gd name="T25" fmla="*/ 326572 h 427512"/>
                                    <a:gd name="T26" fmla="*/ 1015340 w 2309750"/>
                                    <a:gd name="T27" fmla="*/ 326572 h 427512"/>
                                    <a:gd name="T28" fmla="*/ 1104405 w 2309750"/>
                                    <a:gd name="T29" fmla="*/ 344385 h 427512"/>
                                    <a:gd name="T30" fmla="*/ 1181594 w 2309750"/>
                                    <a:gd name="T31" fmla="*/ 385948 h 427512"/>
                                    <a:gd name="T32" fmla="*/ 1229096 w 2309750"/>
                                    <a:gd name="T33" fmla="*/ 421574 h 427512"/>
                                    <a:gd name="T34" fmla="*/ 1347849 w 2309750"/>
                                    <a:gd name="T35" fmla="*/ 356260 h 427512"/>
                                    <a:gd name="T36" fmla="*/ 1401288 w 2309750"/>
                                    <a:gd name="T37" fmla="*/ 385948 h 427512"/>
                                    <a:gd name="T38" fmla="*/ 1698171 w 2309750"/>
                                    <a:gd name="T39" fmla="*/ 403761 h 427512"/>
                                    <a:gd name="T40" fmla="*/ 2000992 w 2309750"/>
                                    <a:gd name="T41" fmla="*/ 415637 h 427512"/>
                                    <a:gd name="T42" fmla="*/ 2155371 w 2309750"/>
                                    <a:gd name="T43" fmla="*/ 421574 h 427512"/>
                                    <a:gd name="T44" fmla="*/ 2250374 w 2309750"/>
                                    <a:gd name="T45" fmla="*/ 427512 h 427512"/>
                                    <a:gd name="T46" fmla="*/ 2309750 w 2309750"/>
                                    <a:gd name="T47" fmla="*/ 421574 h 4275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09750" h="427512">
                                      <a:moveTo>
                                        <a:pt x="0" y="0"/>
                                      </a:moveTo>
                                      <a:cubicBezTo>
                                        <a:pt x="1979" y="41564"/>
                                        <a:pt x="21773" y="77189"/>
                                        <a:pt x="59378" y="95002"/>
                                      </a:cubicBezTo>
                                      <a:cubicBezTo>
                                        <a:pt x="96983" y="112815"/>
                                        <a:pt x="180109" y="101930"/>
                                        <a:pt x="225631" y="106878"/>
                                      </a:cubicBezTo>
                                      <a:cubicBezTo>
                                        <a:pt x="271153" y="111826"/>
                                        <a:pt x="285008" y="113805"/>
                                        <a:pt x="332509" y="124691"/>
                                      </a:cubicBezTo>
                                      <a:cubicBezTo>
                                        <a:pt x="380010" y="135577"/>
                                        <a:pt x="458190" y="152401"/>
                                        <a:pt x="510639" y="172193"/>
                                      </a:cubicBezTo>
                                      <a:cubicBezTo>
                                        <a:pt x="563088" y="191985"/>
                                        <a:pt x="613558" y="226622"/>
                                        <a:pt x="647205" y="243445"/>
                                      </a:cubicBezTo>
                                      <a:cubicBezTo>
                                        <a:pt x="680852" y="260268"/>
                                        <a:pt x="692727" y="259279"/>
                                        <a:pt x="712519" y="273133"/>
                                      </a:cubicBezTo>
                                      <a:cubicBezTo>
                                        <a:pt x="732311" y="286987"/>
                                        <a:pt x="749135" y="307770"/>
                                        <a:pt x="765958" y="326572"/>
                                      </a:cubicBezTo>
                                      <a:cubicBezTo>
                                        <a:pt x="782781" y="345374"/>
                                        <a:pt x="794656" y="373083"/>
                                        <a:pt x="813459" y="385948"/>
                                      </a:cubicBezTo>
                                      <a:cubicBezTo>
                                        <a:pt x="832262" y="398813"/>
                                        <a:pt x="864919" y="398813"/>
                                        <a:pt x="878774" y="403761"/>
                                      </a:cubicBezTo>
                                      <a:cubicBezTo>
                                        <a:pt x="892629" y="408709"/>
                                        <a:pt x="885701" y="420585"/>
                                        <a:pt x="896587" y="415637"/>
                                      </a:cubicBezTo>
                                      <a:cubicBezTo>
                                        <a:pt x="907473" y="410689"/>
                                        <a:pt x="929244" y="388917"/>
                                        <a:pt x="944088" y="374073"/>
                                      </a:cubicBezTo>
                                      <a:cubicBezTo>
                                        <a:pt x="958932" y="359229"/>
                                        <a:pt x="973777" y="334489"/>
                                        <a:pt x="985652" y="326572"/>
                                      </a:cubicBezTo>
                                      <a:cubicBezTo>
                                        <a:pt x="997527" y="318655"/>
                                        <a:pt x="995548" y="323603"/>
                                        <a:pt x="1015340" y="326572"/>
                                      </a:cubicBezTo>
                                      <a:cubicBezTo>
                                        <a:pt x="1035132" y="329541"/>
                                        <a:pt x="1076696" y="334489"/>
                                        <a:pt x="1104405" y="344385"/>
                                      </a:cubicBezTo>
                                      <a:cubicBezTo>
                                        <a:pt x="1132114" y="354281"/>
                                        <a:pt x="1160812" y="373083"/>
                                        <a:pt x="1181594" y="385948"/>
                                      </a:cubicBezTo>
                                      <a:cubicBezTo>
                                        <a:pt x="1202376" y="398813"/>
                                        <a:pt x="1201387" y="426522"/>
                                        <a:pt x="1229096" y="421574"/>
                                      </a:cubicBezTo>
                                      <a:cubicBezTo>
                                        <a:pt x="1256805" y="416626"/>
                                        <a:pt x="1319150" y="362198"/>
                                        <a:pt x="1347849" y="356260"/>
                                      </a:cubicBezTo>
                                      <a:cubicBezTo>
                                        <a:pt x="1376548" y="350322"/>
                                        <a:pt x="1342901" y="378031"/>
                                        <a:pt x="1401288" y="385948"/>
                                      </a:cubicBezTo>
                                      <a:cubicBezTo>
                                        <a:pt x="1459675" y="393865"/>
                                        <a:pt x="1598220" y="398813"/>
                                        <a:pt x="1698171" y="403761"/>
                                      </a:cubicBezTo>
                                      <a:cubicBezTo>
                                        <a:pt x="1798122" y="408709"/>
                                        <a:pt x="2000992" y="415637"/>
                                        <a:pt x="2000992" y="415637"/>
                                      </a:cubicBezTo>
                                      <a:lnTo>
                                        <a:pt x="2155371" y="421574"/>
                                      </a:lnTo>
                                      <a:cubicBezTo>
                                        <a:pt x="2196935" y="423553"/>
                                        <a:pt x="2224644" y="427512"/>
                                        <a:pt x="2250374" y="427512"/>
                                      </a:cubicBezTo>
                                      <a:cubicBezTo>
                                        <a:pt x="2276104" y="427512"/>
                                        <a:pt x="2292927" y="424543"/>
                                        <a:pt x="2309750" y="421574"/>
                                      </a:cubicBezTo>
                                    </a:path>
                                  </a:pathLst>
                                </a:custGeom>
                                <a:solidFill>
                                  <a:srgbClr val="FFFFFF"/>
                                </a:solidFill>
                                <a:ln w="19050" cap="flat" cmpd="sng" algn="ctr">
                                  <a:solidFill>
                                    <a:srgbClr val="FF0000"/>
                                  </a:solidFill>
                                  <a:prstDash val="solid"/>
                                  <a:miter lim="800000"/>
                                </a:ln>
                              </wps:spPr>
                              <wps:bodyPr rot="0" vert="horz" wrap="square" lIns="91440" tIns="45720" rIns="91440" bIns="45720" anchor="ctr" anchorCtr="0" upright="1">
                                <a:noAutofit/>
                              </wps:bodyPr>
                            </wps:wsp>
                            <wps:wsp>
                              <wps:cNvPr id="67" name="任意多边形 7"/>
                              <wps:cNvSpPr/>
                              <wps:spPr bwMode="auto">
                                <a:xfrm>
                                  <a:off x="5011387" y="926276"/>
                                  <a:ext cx="2452254" cy="195943"/>
                                </a:xfrm>
                                <a:custGeom>
                                  <a:avLst/>
                                  <a:gdLst>
                                    <a:gd name="T0" fmla="*/ 0 w 2452254"/>
                                    <a:gd name="T1" fmla="*/ 0 h 195943"/>
                                    <a:gd name="T2" fmla="*/ 100940 w 2452254"/>
                                    <a:gd name="T3" fmla="*/ 23750 h 195943"/>
                                    <a:gd name="T4" fmla="*/ 160317 w 2452254"/>
                                    <a:gd name="T5" fmla="*/ 41563 h 195943"/>
                                    <a:gd name="T6" fmla="*/ 201880 w 2452254"/>
                                    <a:gd name="T7" fmla="*/ 35626 h 195943"/>
                                    <a:gd name="T8" fmla="*/ 296883 w 2452254"/>
                                    <a:gd name="T9" fmla="*/ 106878 h 195943"/>
                                    <a:gd name="T10" fmla="*/ 374072 w 2452254"/>
                                    <a:gd name="T11" fmla="*/ 130628 h 195943"/>
                                    <a:gd name="T12" fmla="*/ 439387 w 2452254"/>
                                    <a:gd name="T13" fmla="*/ 77189 h 195943"/>
                                    <a:gd name="T14" fmla="*/ 463137 w 2452254"/>
                                    <a:gd name="T15" fmla="*/ 65314 h 195943"/>
                                    <a:gd name="T16" fmla="*/ 516576 w 2452254"/>
                                    <a:gd name="T17" fmla="*/ 83127 h 195943"/>
                                    <a:gd name="T18" fmla="*/ 653142 w 2452254"/>
                                    <a:gd name="T19" fmla="*/ 148441 h 195943"/>
                                    <a:gd name="T20" fmla="*/ 771896 w 2452254"/>
                                    <a:gd name="T21" fmla="*/ 118753 h 195943"/>
                                    <a:gd name="T22" fmla="*/ 860961 w 2452254"/>
                                    <a:gd name="T23" fmla="*/ 100940 h 195943"/>
                                    <a:gd name="T24" fmla="*/ 926275 w 2452254"/>
                                    <a:gd name="T25" fmla="*/ 77189 h 195943"/>
                                    <a:gd name="T26" fmla="*/ 961901 w 2452254"/>
                                    <a:gd name="T27" fmla="*/ 59376 h 195943"/>
                                    <a:gd name="T28" fmla="*/ 1009402 w 2452254"/>
                                    <a:gd name="T29" fmla="*/ 53439 h 195943"/>
                                    <a:gd name="T30" fmla="*/ 1074717 w 2452254"/>
                                    <a:gd name="T31" fmla="*/ 59376 h 195943"/>
                                    <a:gd name="T32" fmla="*/ 1122218 w 2452254"/>
                                    <a:gd name="T33" fmla="*/ 95002 h 195943"/>
                                    <a:gd name="T34" fmla="*/ 1134093 w 2452254"/>
                                    <a:gd name="T35" fmla="*/ 148441 h 195943"/>
                                    <a:gd name="T36" fmla="*/ 1235033 w 2452254"/>
                                    <a:gd name="T37" fmla="*/ 136566 h 195943"/>
                                    <a:gd name="T38" fmla="*/ 1353787 w 2452254"/>
                                    <a:gd name="T39" fmla="*/ 112815 h 195943"/>
                                    <a:gd name="T40" fmla="*/ 1419101 w 2452254"/>
                                    <a:gd name="T41" fmla="*/ 106878 h 195943"/>
                                    <a:gd name="T42" fmla="*/ 1484415 w 2452254"/>
                                    <a:gd name="T43" fmla="*/ 112815 h 195943"/>
                                    <a:gd name="T44" fmla="*/ 1573480 w 2452254"/>
                                    <a:gd name="T45" fmla="*/ 148441 h 195943"/>
                                    <a:gd name="T46" fmla="*/ 1638794 w 2452254"/>
                                    <a:gd name="T47" fmla="*/ 184067 h 195943"/>
                                    <a:gd name="T48" fmla="*/ 1668483 w 2452254"/>
                                    <a:gd name="T49" fmla="*/ 190005 h 195943"/>
                                    <a:gd name="T50" fmla="*/ 1668483 w 2452254"/>
                                    <a:gd name="T51" fmla="*/ 142504 h 195943"/>
                                    <a:gd name="T52" fmla="*/ 1650670 w 2452254"/>
                                    <a:gd name="T53" fmla="*/ 95002 h 195943"/>
                                    <a:gd name="T54" fmla="*/ 1609106 w 2452254"/>
                                    <a:gd name="T55" fmla="*/ 83127 h 195943"/>
                                    <a:gd name="T56" fmla="*/ 1751610 w 2452254"/>
                                    <a:gd name="T57" fmla="*/ 65314 h 195943"/>
                                    <a:gd name="T58" fmla="*/ 1900052 w 2452254"/>
                                    <a:gd name="T59" fmla="*/ 89065 h 195943"/>
                                    <a:gd name="T60" fmla="*/ 2048493 w 2452254"/>
                                    <a:gd name="T61" fmla="*/ 118753 h 195943"/>
                                    <a:gd name="T62" fmla="*/ 2202872 w 2452254"/>
                                    <a:gd name="T63" fmla="*/ 124691 h 195943"/>
                                    <a:gd name="T64" fmla="*/ 2303813 w 2452254"/>
                                    <a:gd name="T65" fmla="*/ 124691 h 195943"/>
                                    <a:gd name="T66" fmla="*/ 2339439 w 2452254"/>
                                    <a:gd name="T67" fmla="*/ 124691 h 195943"/>
                                    <a:gd name="T68" fmla="*/ 2410691 w 2452254"/>
                                    <a:gd name="T69" fmla="*/ 172192 h 195943"/>
                                    <a:gd name="T70" fmla="*/ 2452254 w 2452254"/>
                                    <a:gd name="T71" fmla="*/ 195943 h 19594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452254" h="195943">
                                      <a:moveTo>
                                        <a:pt x="0" y="0"/>
                                      </a:moveTo>
                                      <a:lnTo>
                                        <a:pt x="100940" y="23750"/>
                                      </a:lnTo>
                                      <a:cubicBezTo>
                                        <a:pt x="127659" y="30677"/>
                                        <a:pt x="143494" y="39584"/>
                                        <a:pt x="160317" y="41563"/>
                                      </a:cubicBezTo>
                                      <a:cubicBezTo>
                                        <a:pt x="177140" y="43542"/>
                                        <a:pt x="179119" y="24740"/>
                                        <a:pt x="201880" y="35626"/>
                                      </a:cubicBezTo>
                                      <a:cubicBezTo>
                                        <a:pt x="224641" y="46512"/>
                                        <a:pt x="268184" y="91044"/>
                                        <a:pt x="296883" y="106878"/>
                                      </a:cubicBezTo>
                                      <a:cubicBezTo>
                                        <a:pt x="325582" y="122712"/>
                                        <a:pt x="350321" y="135576"/>
                                        <a:pt x="374072" y="130628"/>
                                      </a:cubicBezTo>
                                      <a:cubicBezTo>
                                        <a:pt x="397823" y="125680"/>
                                        <a:pt x="424543" y="88075"/>
                                        <a:pt x="439387" y="77189"/>
                                      </a:cubicBezTo>
                                      <a:cubicBezTo>
                                        <a:pt x="454231" y="66303"/>
                                        <a:pt x="450272" y="64324"/>
                                        <a:pt x="463137" y="65314"/>
                                      </a:cubicBezTo>
                                      <a:cubicBezTo>
                                        <a:pt x="476002" y="66304"/>
                                        <a:pt x="484908" y="69272"/>
                                        <a:pt x="516576" y="83127"/>
                                      </a:cubicBezTo>
                                      <a:cubicBezTo>
                                        <a:pt x="548244" y="96982"/>
                                        <a:pt x="610589" y="142503"/>
                                        <a:pt x="653142" y="148441"/>
                                      </a:cubicBezTo>
                                      <a:cubicBezTo>
                                        <a:pt x="695695" y="154379"/>
                                        <a:pt x="737260" y="126670"/>
                                        <a:pt x="771896" y="118753"/>
                                      </a:cubicBezTo>
                                      <a:cubicBezTo>
                                        <a:pt x="806533" y="110836"/>
                                        <a:pt x="835231" y="107867"/>
                                        <a:pt x="860961" y="100940"/>
                                      </a:cubicBezTo>
                                      <a:cubicBezTo>
                                        <a:pt x="886691" y="94013"/>
                                        <a:pt x="909452" y="84116"/>
                                        <a:pt x="926275" y="77189"/>
                                      </a:cubicBezTo>
                                      <a:cubicBezTo>
                                        <a:pt x="943098" y="70262"/>
                                        <a:pt x="948046" y="63334"/>
                                        <a:pt x="961901" y="59376"/>
                                      </a:cubicBezTo>
                                      <a:cubicBezTo>
                                        <a:pt x="975756" y="55418"/>
                                        <a:pt x="990599" y="53439"/>
                                        <a:pt x="1009402" y="53439"/>
                                      </a:cubicBezTo>
                                      <a:cubicBezTo>
                                        <a:pt x="1028205" y="53439"/>
                                        <a:pt x="1055914" y="52449"/>
                                        <a:pt x="1074717" y="59376"/>
                                      </a:cubicBezTo>
                                      <a:cubicBezTo>
                                        <a:pt x="1093520" y="66303"/>
                                        <a:pt x="1112322" y="80158"/>
                                        <a:pt x="1122218" y="95002"/>
                                      </a:cubicBezTo>
                                      <a:cubicBezTo>
                                        <a:pt x="1132114" y="109846"/>
                                        <a:pt x="1115291" y="141514"/>
                                        <a:pt x="1134093" y="148441"/>
                                      </a:cubicBezTo>
                                      <a:cubicBezTo>
                                        <a:pt x="1152896" y="155368"/>
                                        <a:pt x="1198417" y="142504"/>
                                        <a:pt x="1235033" y="136566"/>
                                      </a:cubicBezTo>
                                      <a:cubicBezTo>
                                        <a:pt x="1271649" y="130628"/>
                                        <a:pt x="1323109" y="117763"/>
                                        <a:pt x="1353787" y="112815"/>
                                      </a:cubicBezTo>
                                      <a:cubicBezTo>
                                        <a:pt x="1384465" y="107867"/>
                                        <a:pt x="1397330" y="106878"/>
                                        <a:pt x="1419101" y="106878"/>
                                      </a:cubicBezTo>
                                      <a:cubicBezTo>
                                        <a:pt x="1440872" y="106878"/>
                                        <a:pt x="1458685" y="105888"/>
                                        <a:pt x="1484415" y="112815"/>
                                      </a:cubicBezTo>
                                      <a:cubicBezTo>
                                        <a:pt x="1510145" y="119742"/>
                                        <a:pt x="1547750" y="136566"/>
                                        <a:pt x="1573480" y="148441"/>
                                      </a:cubicBezTo>
                                      <a:cubicBezTo>
                                        <a:pt x="1599210" y="160316"/>
                                        <a:pt x="1622960" y="177140"/>
                                        <a:pt x="1638794" y="184067"/>
                                      </a:cubicBezTo>
                                      <a:cubicBezTo>
                                        <a:pt x="1654628" y="190994"/>
                                        <a:pt x="1663535" y="196932"/>
                                        <a:pt x="1668483" y="190005"/>
                                      </a:cubicBezTo>
                                      <a:cubicBezTo>
                                        <a:pt x="1673431" y="183078"/>
                                        <a:pt x="1671452" y="158338"/>
                                        <a:pt x="1668483" y="142504"/>
                                      </a:cubicBezTo>
                                      <a:cubicBezTo>
                                        <a:pt x="1665514" y="126670"/>
                                        <a:pt x="1660566" y="104898"/>
                                        <a:pt x="1650670" y="95002"/>
                                      </a:cubicBezTo>
                                      <a:cubicBezTo>
                                        <a:pt x="1640774" y="85106"/>
                                        <a:pt x="1592283" y="88075"/>
                                        <a:pt x="1609106" y="83127"/>
                                      </a:cubicBezTo>
                                      <a:cubicBezTo>
                                        <a:pt x="1625929" y="78179"/>
                                        <a:pt x="1703119" y="64324"/>
                                        <a:pt x="1751610" y="65314"/>
                                      </a:cubicBezTo>
                                      <a:cubicBezTo>
                                        <a:pt x="1800101" y="66304"/>
                                        <a:pt x="1850571" y="80158"/>
                                        <a:pt x="1900052" y="89065"/>
                                      </a:cubicBezTo>
                                      <a:cubicBezTo>
                                        <a:pt x="1949533" y="97972"/>
                                        <a:pt x="1998023" y="112815"/>
                                        <a:pt x="2048493" y="118753"/>
                                      </a:cubicBezTo>
                                      <a:cubicBezTo>
                                        <a:pt x="2098963" y="124691"/>
                                        <a:pt x="2160319" y="123701"/>
                                        <a:pt x="2202872" y="124691"/>
                                      </a:cubicBezTo>
                                      <a:cubicBezTo>
                                        <a:pt x="2245425" y="125681"/>
                                        <a:pt x="2303813" y="124691"/>
                                        <a:pt x="2303813" y="124691"/>
                                      </a:cubicBezTo>
                                      <a:cubicBezTo>
                                        <a:pt x="2326574" y="124691"/>
                                        <a:pt x="2321626" y="116774"/>
                                        <a:pt x="2339439" y="124691"/>
                                      </a:cubicBezTo>
                                      <a:cubicBezTo>
                                        <a:pt x="2357252" y="132608"/>
                                        <a:pt x="2391889" y="160317"/>
                                        <a:pt x="2410691" y="172192"/>
                                      </a:cubicBezTo>
                                      <a:cubicBezTo>
                                        <a:pt x="2429493" y="184067"/>
                                        <a:pt x="2440873" y="190005"/>
                                        <a:pt x="2452254" y="195943"/>
                                      </a:cubicBezTo>
                                    </a:path>
                                  </a:pathLst>
                                </a:custGeom>
                                <a:solidFill>
                                  <a:srgbClr val="FFFFFF"/>
                                </a:solidFill>
                                <a:ln w="19050" cap="flat" cmpd="sng" algn="ctr">
                                  <a:solidFill>
                                    <a:srgbClr val="FF0000"/>
                                  </a:solidFill>
                                  <a:prstDash val="solid"/>
                                  <a:miter lim="800000"/>
                                </a:ln>
                              </wps:spPr>
                              <wps:bodyPr rot="0" vert="horz" wrap="square" lIns="91440" tIns="45720" rIns="91440" bIns="45720" anchor="ctr" anchorCtr="0" upright="1">
                                <a:noAutofit/>
                              </wps:bodyPr>
                            </wps:wsp>
                          </wpg:wgp>
                        </a:graphicData>
                      </a:graphic>
                    </wp:anchor>
                  </w:drawing>
                </mc:Choice>
                <mc:Fallback>
                  <w:pict>
                    <v:group id="组合 8" o:spid="_x0000_s1026" o:spt="203" style="position:absolute;left:0pt;margin-left:86.75pt;margin-top:239.25pt;height:15.75pt;width:104.35pt;z-index:251673600;mso-width-relative:page;mso-height-relative:page;" coordsize="7463641,1122219" o:gfxdata="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&#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">
                      <o:lock v:ext="edit" aspectratio="t"/>
                      <v:shape id="任意多边形 6" o:spid="_x0000_s1026" o:spt="100" style="position:absolute;left:0;top:0;height:427512;width:2309750;v-text-anchor:middle;" fillcolor="#FFFFFF" filled="t" stroked="t" coordsize="2309750,427512" o:gfxdata="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QRka8AAAA&#10;2wAAAA8AAAAAAAAAAQAgAAAAIgAAAGRycy9kb3ducmV2LnhtbFBLAQIUABQAAAAIAIdO4kAzLwWe&#10;OwAAADkAAAAQAAAAAAAAAAEAIAAAAAsBAABkcnMvc2hhcGV4bWwueG1sUEsFBgAAAAAGAAYAWwEA&#10;ALUDAAAAAA==&#10;" path="m0,0c1979,41564,21773,77189,59378,95002c96983,112815,180109,101930,225631,106878c271153,111826,285008,113805,332509,124691c380010,135577,458190,152401,510639,172193c563088,191985,613558,226622,647205,243445c680852,260268,692727,259279,712519,273133c732311,286987,749135,307770,765958,326572c782781,345374,794656,373083,813459,385948c832262,398813,864919,398813,878774,403761c892629,408709,885701,420585,896587,415637c907473,410689,929244,388917,944088,374073c958932,359229,973777,334489,985652,326572c997527,318655,995548,323603,1015340,326572c1035132,329541,1076696,334489,1104405,344385c1132114,354281,1160812,373083,1181594,385948c1202376,398813,1201387,426522,1229096,421574c1256805,416626,1319150,362198,1347849,356260c1376548,350322,1342901,378031,1401288,385948c1459675,393865,1598220,398813,1698171,403761c1798122,408709,2000992,415637,2000992,415637l2155371,421574c2196935,423553,2224644,427512,2250374,427512c2276104,427512,2292927,424543,2309750,421574e">
                        <v:path o:connectlocs="0,0;59378,95002;225631,106878;332509,124691;510639,172193;647205,243445;712519,273133;765958,326572;813459,385948;878774,403761;896587,415637;944088,374073;985652,326572;1015340,326572;1104405,344385;1181594,385948;1229096,421574;1347849,356260;1401288,385948;1698171,403761;2000992,415637;2155371,421574;2250374,427512;2309750,421574" o:connectangles="0,0,0,0,0,0,0,0,0,0,0,0,0,0,0,0,0,0,0,0,0,0,0,0"/>
                        <v:fill on="t" focussize="0,0"/>
                        <v:stroke weight="1.5pt" color="#FF0000" miterlimit="8" joinstyle="miter"/>
                        <v:imagedata o:title=""/>
                        <o:lock v:ext="edit" aspectratio="f"/>
                      </v:shape>
                      <v:shape id="任意多边形 7" o:spid="_x0000_s1026" o:spt="100" style="position:absolute;left:5011387;top:926276;height:195943;width:2452254;v-text-anchor:middle;" fillcolor="#FFFFFF" filled="t" stroked="t" coordsize="2452254,195943" o:gfxdata="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uD928AAAA&#10;2wAAAA8AAAAAAAAAAQAgAAAAIgAAAGRycy9kb3ducmV2LnhtbFBLAQIUABQAAAAIAIdO4kAzLwWe&#10;OwAAADkAAAAQAAAAAAAAAAEAIAAAAAsBAABkcnMvc2hhcGV4bWwueG1sUEsFBgAAAAAGAAYAWwEA&#10;ALUDAAAAAA==&#10;" path="m0,0l100940,23750c127659,30677,143494,39584,160317,41563c177140,43542,179119,24740,201880,35626c224641,46512,268184,91044,296883,106878c325582,122712,350321,135576,374072,130628c397823,125680,424543,88075,439387,77189c454231,66303,450272,64324,463137,65314c476002,66304,484908,69272,516576,83127c548244,96982,610589,142503,653142,148441c695695,154379,737260,126670,771896,118753c806533,110836,835231,107867,860961,100940c886691,94013,909452,84116,926275,77189c943098,70262,948046,63334,961901,59376c975756,55418,990599,53439,1009402,53439c1028205,53439,1055914,52449,1074717,59376c1093520,66303,1112322,80158,1122218,95002c1132114,109846,1115291,141514,1134093,148441c1152896,155368,1198417,142504,1235033,136566c1271649,130628,1323109,117763,1353787,112815c1384465,107867,1397330,106878,1419101,106878c1440872,106878,1458685,105888,1484415,112815c1510145,119742,1547750,136566,1573480,148441c1599210,160316,1622960,177140,1638794,184067c1654628,190994,1663535,196932,1668483,190005c1673431,183078,1671452,158338,1668483,142504c1665514,126670,1660566,104898,1650670,95002c1640774,85106,1592283,88075,1609106,83127c1625929,78179,1703119,64324,1751610,65314c1800101,66304,1850571,80158,1900052,89065c1949533,97972,1998023,112815,2048493,118753c2098963,124691,2160319,123701,2202872,124691c2245425,125681,2303813,124691,2303813,124691c2326574,124691,2321626,116774,2339439,124691c2357252,132608,2391889,160317,2410691,172192c2429493,184067,2440873,190005,2452254,195943e">
                        <v:path o:connectlocs="0,0;100940,23750;160317,41563;201880,35626;296883,106878;374072,130628;439387,77189;463137,65314;516576,83127;653142,148441;771896,118753;860961,100940;926275,77189;961901,59376;1009402,53439;1074717,59376;1122218,95002;1134093,148441;1235033,136566;1353787,112815;1419101,106878;1484415,112815;1573480,148441;1638794,184067;1668483,190005;1668483,142504;1650670,95002;1609106,83127;1751610,65314;1900052,89065;2048493,118753;2202872,124691;2303813,124691;2339439,124691;2410691,172192;2452254,195943" o:connectangles="0,0,0,0,0,0,0,0,0,0,0,0,0,0,0,0,0,0,0,0,0,0,0,0,0,0,0,0,0,0,0,0,0,0,0,0"/>
                        <v:fill on="t" focussize="0,0"/>
                        <v:stroke weight="1.5pt" color="#FF0000" miterlimit="8" joinstyle="miter"/>
                        <v:imagedata o:title=""/>
                        <o:lock v:ext="edit" aspectratio="f"/>
                      </v:shape>
                    </v:group>
                  </w:pict>
                </mc:Fallback>
              </mc:AlternateContent>
            </w:r>
            <w:r>
              <w:rPr>
                <w:rFonts w:ascii="Times New Roman" w:hAnsi="Times New Roman" w:cs="Times New Roman"/>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3770630</wp:posOffset>
                  </wp:positionH>
                  <wp:positionV relativeFrom="paragraph">
                    <wp:posOffset>2377440</wp:posOffset>
                  </wp:positionV>
                  <wp:extent cx="1043940" cy="1720215"/>
                  <wp:effectExtent l="0" t="0" r="0" b="0"/>
                  <wp:wrapNone/>
                  <wp:docPr id="43"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43940" cy="1720215"/>
                          </a:xfrm>
                          <a:prstGeom prst="rect">
                            <a:avLst/>
                          </a:prstGeom>
                          <a:noFill/>
                          <a:ln>
                            <a:noFill/>
                          </a:ln>
                        </pic:spPr>
                      </pic:pic>
                    </a:graphicData>
                  </a:graphic>
                </wp:anchor>
              </w:drawing>
            </w:r>
            <w:r>
              <w:rPr>
                <w:rFonts w:ascii="Times New Roman" w:hAnsi="Times New Roman" w:cs="Times New Roman"/>
                <w:color w:val="000000" w:themeColor="text1"/>
                <w14:textFill>
                  <w14:solidFill>
                    <w14:schemeClr w14:val="tx1"/>
                  </w14:solidFill>
                </w14:textFill>
              </w:rPr>
              <w:drawing>
                <wp:inline distT="0" distB="0" distL="0" distR="0">
                  <wp:extent cx="4791075" cy="4095750"/>
                  <wp:effectExtent l="0" t="0" r="0" b="0"/>
                  <wp:docPr id="4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91075" cy="409575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图3-2  项目区土壤侵蚀图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⑷</w:t>
            </w:r>
            <w:r>
              <w:rPr>
                <w:rFonts w:ascii="Times New Roman" w:hAnsi="Times New Roman" w:cs="Times New Roman"/>
                <w:color w:val="000000" w:themeColor="text1"/>
                <w:sz w:val="24"/>
                <w14:textFill>
                  <w14:solidFill>
                    <w14:schemeClr w14:val="tx1"/>
                  </w14:solidFill>
                </w14:textFill>
              </w:rPr>
              <w:t>植被类型现状调查</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所在区域内自然植被类型一般为旱生和超旱生的小灌木和少量草本构成，以多年生草本、灌木、半灌木为主，种群少结构简单，森林资源缺乏。经现场调查，项目区内无国家重点保护、珍稀野生植物，根据现场调查治理区周边大多为林草地，主要以草地为主，植被覆盖度小于60%，生态条件脆弱。根据宁夏回族自治区植被分布图，项目区位于Ⅶ荒漠中54.红砂荒漠及56.合头草荒漠区，项目与宁夏回族自治区植被分布图位置关系见图3-3。</w:t>
            </w: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pStyle w:val="16"/>
              <w:rPr>
                <w:rFonts w:ascii="Times New Roman" w:hAnsi="Times New Roman" w:cs="Times New Roman"/>
                <w:color w:val="000000" w:themeColor="text1"/>
                <w14:textFill>
                  <w14:solidFill>
                    <w14:schemeClr w14:val="tx1"/>
                  </w14:solidFill>
                </w14:textFill>
              </w:rPr>
            </w:pPr>
          </w:p>
          <w:p>
            <w:pPr>
              <w:spacing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838835</wp:posOffset>
                      </wp:positionH>
                      <wp:positionV relativeFrom="paragraph">
                        <wp:posOffset>1610995</wp:posOffset>
                      </wp:positionV>
                      <wp:extent cx="1762125" cy="1217295"/>
                      <wp:effectExtent l="0" t="0" r="28575" b="20955"/>
                      <wp:wrapNone/>
                      <wp:docPr id="68" name="组合 68"/>
                      <wp:cNvGraphicFramePr/>
                      <a:graphic xmlns:a="http://schemas.openxmlformats.org/drawingml/2006/main">
                        <a:graphicData uri="http://schemas.microsoft.com/office/word/2010/wordprocessingGroup">
                          <wpg:wgp>
                            <wpg:cNvGrpSpPr/>
                            <wpg:grpSpPr>
                              <a:xfrm>
                                <a:off x="0" y="0"/>
                                <a:ext cx="1762125" cy="1217295"/>
                                <a:chOff x="38100" y="161925"/>
                                <a:chExt cx="1762125" cy="1217295"/>
                              </a:xfrm>
                            </wpg:grpSpPr>
                            <wps:wsp>
                              <wps:cNvPr id="69" name="矩形标注 35"/>
                              <wps:cNvSpPr>
                                <a:spLocks noChangeArrowheads="1"/>
                              </wps:cNvSpPr>
                              <wps:spPr bwMode="auto">
                                <a:xfrm>
                                  <a:off x="38100" y="161925"/>
                                  <a:ext cx="619125" cy="337185"/>
                                </a:xfrm>
                                <a:prstGeom prst="wedgeRectCallout">
                                  <a:avLst>
                                    <a:gd name="adj1" fmla="val 31686"/>
                                    <a:gd name="adj2" fmla="val 98668"/>
                                  </a:avLst>
                                </a:prstGeom>
                                <a:noFill/>
                                <a:ln w="12700" cap="flat" cmpd="sng" algn="ctr">
                                  <a:solidFill>
                                    <a:srgbClr val="000000"/>
                                  </a:solidFill>
                                  <a:prstDash val="solid"/>
                                  <a:miter lim="800000"/>
                                </a:ln>
                              </wps:spPr>
                              <wps:txbx>
                                <w:txbxContent>
                                  <w:p>
                                    <w:pPr>
                                      <w:jc w:val="center"/>
                                      <w:rPr>
                                        <w:bCs/>
                                        <w:color w:val="FF0000"/>
                                      </w:rPr>
                                    </w:pPr>
                                    <w:r>
                                      <w:rPr>
                                        <w:rFonts w:hint="eastAsia"/>
                                        <w:bCs/>
                                        <w:color w:val="FF0000"/>
                                      </w:rPr>
                                      <w:t>下游段</w:t>
                                    </w:r>
                                  </w:p>
                                </w:txbxContent>
                              </wps:txbx>
                              <wps:bodyPr rot="0" vert="horz" wrap="square" lIns="91440" tIns="45720" rIns="91440" bIns="45720" anchor="ctr" anchorCtr="0" upright="1">
                                <a:noAutofit/>
                              </wps:bodyPr>
                            </wps:wsp>
                            <wps:wsp>
                              <wps:cNvPr id="70" name="矩形标注 40"/>
                              <wps:cNvSpPr>
                                <a:spLocks noChangeArrowheads="1"/>
                              </wps:cNvSpPr>
                              <wps:spPr bwMode="auto">
                                <a:xfrm>
                                  <a:off x="1171575" y="1042035"/>
                                  <a:ext cx="628650" cy="337185"/>
                                </a:xfrm>
                                <a:prstGeom prst="wedgeRectCallout">
                                  <a:avLst>
                                    <a:gd name="adj1" fmla="val -14717"/>
                                    <a:gd name="adj2" fmla="val -108016"/>
                                  </a:avLst>
                                </a:prstGeom>
                                <a:noFill/>
                                <a:ln w="12700" cap="flat" cmpd="sng" algn="ctr">
                                  <a:solidFill>
                                    <a:srgbClr val="000000"/>
                                  </a:solidFill>
                                  <a:prstDash val="solid"/>
                                  <a:miter lim="800000"/>
                                </a:ln>
                              </wps:spPr>
                              <wps:txbx>
                                <w:txbxContent>
                                  <w:p>
                                    <w:pPr>
                                      <w:jc w:val="center"/>
                                      <w:rPr>
                                        <w:color w:val="FF0000"/>
                                      </w:rPr>
                                    </w:pPr>
                                    <w:r>
                                      <w:rPr>
                                        <w:rFonts w:hint="eastAsia"/>
                                        <w:bCs/>
                                        <w:color w:val="FF0000"/>
                                      </w:rPr>
                                      <w:t>上游段</w:t>
                                    </w:r>
                                  </w:p>
                                </w:txbxContent>
                              </wps:txbx>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66.05pt;margin-top:126.85pt;height:95.85pt;width:138.75pt;z-index:251674624;mso-width-relative:page;mso-height-relative:page;" coordorigin="38100,161925" coordsize="1762125,1217295" o:gfxdata="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YX7K/dsAAAALAQAADwAAAAAAAAAB&#10;ACAAAAAiAAAAZHJzL2Rvd25yZXYueG1sUEsBAhQAFAAAAAgAh07iQApFU/4qAwAADAkAAA4AAAAA&#10;AAAAAQAgAAAAKgEAAGRycy9lMm9Eb2MueG1sUEsFBgAAAAAGAAYAWQEAAMYGAAAAAA==&#10;">
                      <o:lock v:ext="edit" aspectratio="f"/>
                      <v:shape id="矩形标注 35" o:spid="_x0000_s1026" o:spt="61" type="#_x0000_t61" style="position:absolute;left:38100;top:161925;height:337185;width:619125;v-text-anchor:middle;" filled="f" stroked="t" coordsize="21600,21600" o:gfxdata="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4J1zvQAA&#10;ANsAAAAPAAAAAAAAAAEAIAAAACIAAABkcnMvZG93bnJldi54bWxQSwECFAAUAAAACACHTuJAMy8F&#10;njsAAAA5AAAAEAAAAAAAAAABACAAAAAMAQAAZHJzL3NoYXBleG1sLnhtbFBLBQYAAAAABgAGAFsB&#10;AAC2AwAAAAA=&#10;" adj="17644,32112">
                        <v:fill on="f" focussize="0,0"/>
                        <v:stroke weight="1pt" color="#000000" miterlimit="8" joinstyle="miter"/>
                        <v:imagedata o:title=""/>
                        <o:lock v:ext="edit" aspectratio="f"/>
                        <v:textbox>
                          <w:txbxContent>
                            <w:p>
                              <w:pPr>
                                <w:jc w:val="center"/>
                                <w:rPr>
                                  <w:bCs/>
                                  <w:color w:val="FF0000"/>
                                </w:rPr>
                              </w:pPr>
                              <w:r>
                                <w:rPr>
                                  <w:rFonts w:hint="eastAsia"/>
                                  <w:bCs/>
                                  <w:color w:val="FF0000"/>
                                </w:rPr>
                                <w:t>下游段</w:t>
                              </w:r>
                            </w:p>
                          </w:txbxContent>
                        </v:textbox>
                      </v:shape>
                      <v:shape id="矩形标注 40" o:spid="_x0000_s1026" o:spt="61" type="#_x0000_t61" style="position:absolute;left:1171575;top:1042035;height:337185;width:628650;v-text-anchor:middle;" filled="f" stroked="t" coordsize="21600,21600" o:gfxdata="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v7jbsAAADb&#10;AAAADwAAAAAAAAABACAAAAAiAAAAZHJzL2Rvd25yZXYueG1sUEsBAhQAFAAAAAgAh07iQDMvBZ47&#10;AAAAOQAAABAAAAAAAAAAAQAgAAAACgEAAGRycy9zaGFwZXhtbC54bWxQSwUGAAAAAAYABgBbAQAA&#10;tAMAAAAA&#10;" adj="7621,-12531">
                        <v:fill on="f" focussize="0,0"/>
                        <v:stroke weight="1pt" color="#000000" miterlimit="8" joinstyle="miter"/>
                        <v:imagedata o:title=""/>
                        <o:lock v:ext="edit" aspectratio="f"/>
                        <v:textbox>
                          <w:txbxContent>
                            <w:p>
                              <w:pPr>
                                <w:jc w:val="center"/>
                                <w:rPr>
                                  <w:color w:val="FF0000"/>
                                </w:rPr>
                              </w:pPr>
                              <w:r>
                                <w:rPr>
                                  <w:rFonts w:hint="eastAsia"/>
                                  <w:bCs/>
                                  <w:color w:val="FF0000"/>
                                </w:rPr>
                                <w:t>上游段</w:t>
                              </w:r>
                            </w:p>
                          </w:txbxContent>
                        </v:textbox>
                      </v:shape>
                    </v:group>
                  </w:pict>
                </mc:Fallback>
              </mc:AlternateContent>
            </w:r>
            <w:r>
              <w:rPr>
                <w:rFonts w:ascii="Times New Roman" w:hAnsi="Times New Roman" w:cs="Times New Roman"/>
                <w:b/>
                <w:bCs/>
                <w:color w:val="000000" w:themeColor="text1"/>
                <w:sz w:val="24"/>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column">
                        <wp:posOffset>1097280</wp:posOffset>
                      </wp:positionH>
                      <wp:positionV relativeFrom="paragraph">
                        <wp:posOffset>2085975</wp:posOffset>
                      </wp:positionV>
                      <wp:extent cx="1325245" cy="200025"/>
                      <wp:effectExtent l="0" t="0" r="27305" b="28575"/>
                      <wp:wrapNone/>
                      <wp:docPr id="71"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5383" cy="200025"/>
                                <a:chOff x="0" y="0"/>
                                <a:chExt cx="7463641" cy="1122219"/>
                              </a:xfrm>
                            </wpg:grpSpPr>
                            <wps:wsp>
                              <wps:cNvPr id="72" name="任意多边形 6"/>
                              <wps:cNvSpPr/>
                              <wps:spPr bwMode="auto">
                                <a:xfrm>
                                  <a:off x="0" y="0"/>
                                  <a:ext cx="2309750" cy="427512"/>
                                </a:xfrm>
                                <a:custGeom>
                                  <a:avLst/>
                                  <a:gdLst>
                                    <a:gd name="T0" fmla="*/ 0 w 2309750"/>
                                    <a:gd name="T1" fmla="*/ 0 h 427512"/>
                                    <a:gd name="T2" fmla="*/ 59378 w 2309750"/>
                                    <a:gd name="T3" fmla="*/ 95002 h 427512"/>
                                    <a:gd name="T4" fmla="*/ 225631 w 2309750"/>
                                    <a:gd name="T5" fmla="*/ 106878 h 427512"/>
                                    <a:gd name="T6" fmla="*/ 332509 w 2309750"/>
                                    <a:gd name="T7" fmla="*/ 124691 h 427512"/>
                                    <a:gd name="T8" fmla="*/ 510639 w 2309750"/>
                                    <a:gd name="T9" fmla="*/ 172193 h 427512"/>
                                    <a:gd name="T10" fmla="*/ 647205 w 2309750"/>
                                    <a:gd name="T11" fmla="*/ 243445 h 427512"/>
                                    <a:gd name="T12" fmla="*/ 712519 w 2309750"/>
                                    <a:gd name="T13" fmla="*/ 273133 h 427512"/>
                                    <a:gd name="T14" fmla="*/ 765958 w 2309750"/>
                                    <a:gd name="T15" fmla="*/ 326572 h 427512"/>
                                    <a:gd name="T16" fmla="*/ 813459 w 2309750"/>
                                    <a:gd name="T17" fmla="*/ 385948 h 427512"/>
                                    <a:gd name="T18" fmla="*/ 878774 w 2309750"/>
                                    <a:gd name="T19" fmla="*/ 403761 h 427512"/>
                                    <a:gd name="T20" fmla="*/ 896587 w 2309750"/>
                                    <a:gd name="T21" fmla="*/ 415637 h 427512"/>
                                    <a:gd name="T22" fmla="*/ 944088 w 2309750"/>
                                    <a:gd name="T23" fmla="*/ 374073 h 427512"/>
                                    <a:gd name="T24" fmla="*/ 985652 w 2309750"/>
                                    <a:gd name="T25" fmla="*/ 326572 h 427512"/>
                                    <a:gd name="T26" fmla="*/ 1015340 w 2309750"/>
                                    <a:gd name="T27" fmla="*/ 326572 h 427512"/>
                                    <a:gd name="T28" fmla="*/ 1104405 w 2309750"/>
                                    <a:gd name="T29" fmla="*/ 344385 h 427512"/>
                                    <a:gd name="T30" fmla="*/ 1181594 w 2309750"/>
                                    <a:gd name="T31" fmla="*/ 385948 h 427512"/>
                                    <a:gd name="T32" fmla="*/ 1229096 w 2309750"/>
                                    <a:gd name="T33" fmla="*/ 421574 h 427512"/>
                                    <a:gd name="T34" fmla="*/ 1347849 w 2309750"/>
                                    <a:gd name="T35" fmla="*/ 356260 h 427512"/>
                                    <a:gd name="T36" fmla="*/ 1401288 w 2309750"/>
                                    <a:gd name="T37" fmla="*/ 385948 h 427512"/>
                                    <a:gd name="T38" fmla="*/ 1698171 w 2309750"/>
                                    <a:gd name="T39" fmla="*/ 403761 h 427512"/>
                                    <a:gd name="T40" fmla="*/ 2000992 w 2309750"/>
                                    <a:gd name="T41" fmla="*/ 415637 h 427512"/>
                                    <a:gd name="T42" fmla="*/ 2155371 w 2309750"/>
                                    <a:gd name="T43" fmla="*/ 421574 h 427512"/>
                                    <a:gd name="T44" fmla="*/ 2250374 w 2309750"/>
                                    <a:gd name="T45" fmla="*/ 427512 h 427512"/>
                                    <a:gd name="T46" fmla="*/ 2309750 w 2309750"/>
                                    <a:gd name="T47" fmla="*/ 421574 h 4275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309750" h="427512">
                                      <a:moveTo>
                                        <a:pt x="0" y="0"/>
                                      </a:moveTo>
                                      <a:cubicBezTo>
                                        <a:pt x="1979" y="41564"/>
                                        <a:pt x="21773" y="77189"/>
                                        <a:pt x="59378" y="95002"/>
                                      </a:cubicBezTo>
                                      <a:cubicBezTo>
                                        <a:pt x="96983" y="112815"/>
                                        <a:pt x="180109" y="101930"/>
                                        <a:pt x="225631" y="106878"/>
                                      </a:cubicBezTo>
                                      <a:cubicBezTo>
                                        <a:pt x="271153" y="111826"/>
                                        <a:pt x="285008" y="113805"/>
                                        <a:pt x="332509" y="124691"/>
                                      </a:cubicBezTo>
                                      <a:cubicBezTo>
                                        <a:pt x="380010" y="135577"/>
                                        <a:pt x="458190" y="152401"/>
                                        <a:pt x="510639" y="172193"/>
                                      </a:cubicBezTo>
                                      <a:cubicBezTo>
                                        <a:pt x="563088" y="191985"/>
                                        <a:pt x="613558" y="226622"/>
                                        <a:pt x="647205" y="243445"/>
                                      </a:cubicBezTo>
                                      <a:cubicBezTo>
                                        <a:pt x="680852" y="260268"/>
                                        <a:pt x="692727" y="259279"/>
                                        <a:pt x="712519" y="273133"/>
                                      </a:cubicBezTo>
                                      <a:cubicBezTo>
                                        <a:pt x="732311" y="286987"/>
                                        <a:pt x="749135" y="307770"/>
                                        <a:pt x="765958" y="326572"/>
                                      </a:cubicBezTo>
                                      <a:cubicBezTo>
                                        <a:pt x="782781" y="345374"/>
                                        <a:pt x="794656" y="373083"/>
                                        <a:pt x="813459" y="385948"/>
                                      </a:cubicBezTo>
                                      <a:cubicBezTo>
                                        <a:pt x="832262" y="398813"/>
                                        <a:pt x="864919" y="398813"/>
                                        <a:pt x="878774" y="403761"/>
                                      </a:cubicBezTo>
                                      <a:cubicBezTo>
                                        <a:pt x="892629" y="408709"/>
                                        <a:pt x="885701" y="420585"/>
                                        <a:pt x="896587" y="415637"/>
                                      </a:cubicBezTo>
                                      <a:cubicBezTo>
                                        <a:pt x="907473" y="410689"/>
                                        <a:pt x="929244" y="388917"/>
                                        <a:pt x="944088" y="374073"/>
                                      </a:cubicBezTo>
                                      <a:cubicBezTo>
                                        <a:pt x="958932" y="359229"/>
                                        <a:pt x="973777" y="334489"/>
                                        <a:pt x="985652" y="326572"/>
                                      </a:cubicBezTo>
                                      <a:cubicBezTo>
                                        <a:pt x="997527" y="318655"/>
                                        <a:pt x="995548" y="323603"/>
                                        <a:pt x="1015340" y="326572"/>
                                      </a:cubicBezTo>
                                      <a:cubicBezTo>
                                        <a:pt x="1035132" y="329541"/>
                                        <a:pt x="1076696" y="334489"/>
                                        <a:pt x="1104405" y="344385"/>
                                      </a:cubicBezTo>
                                      <a:cubicBezTo>
                                        <a:pt x="1132114" y="354281"/>
                                        <a:pt x="1160812" y="373083"/>
                                        <a:pt x="1181594" y="385948"/>
                                      </a:cubicBezTo>
                                      <a:cubicBezTo>
                                        <a:pt x="1202376" y="398813"/>
                                        <a:pt x="1201387" y="426522"/>
                                        <a:pt x="1229096" y="421574"/>
                                      </a:cubicBezTo>
                                      <a:cubicBezTo>
                                        <a:pt x="1256805" y="416626"/>
                                        <a:pt x="1319150" y="362198"/>
                                        <a:pt x="1347849" y="356260"/>
                                      </a:cubicBezTo>
                                      <a:cubicBezTo>
                                        <a:pt x="1376548" y="350322"/>
                                        <a:pt x="1342901" y="378031"/>
                                        <a:pt x="1401288" y="385948"/>
                                      </a:cubicBezTo>
                                      <a:cubicBezTo>
                                        <a:pt x="1459675" y="393865"/>
                                        <a:pt x="1598220" y="398813"/>
                                        <a:pt x="1698171" y="403761"/>
                                      </a:cubicBezTo>
                                      <a:cubicBezTo>
                                        <a:pt x="1798122" y="408709"/>
                                        <a:pt x="2000992" y="415637"/>
                                        <a:pt x="2000992" y="415637"/>
                                      </a:cubicBezTo>
                                      <a:lnTo>
                                        <a:pt x="2155371" y="421574"/>
                                      </a:lnTo>
                                      <a:cubicBezTo>
                                        <a:pt x="2196935" y="423553"/>
                                        <a:pt x="2224644" y="427512"/>
                                        <a:pt x="2250374" y="427512"/>
                                      </a:cubicBezTo>
                                      <a:cubicBezTo>
                                        <a:pt x="2276104" y="427512"/>
                                        <a:pt x="2292927" y="424543"/>
                                        <a:pt x="2309750" y="421574"/>
                                      </a:cubicBezTo>
                                    </a:path>
                                  </a:pathLst>
                                </a:custGeom>
                                <a:solidFill>
                                  <a:srgbClr val="FFFFFF"/>
                                </a:solidFill>
                                <a:ln w="19050" cap="flat" cmpd="sng" algn="ctr">
                                  <a:solidFill>
                                    <a:srgbClr val="FF0000"/>
                                  </a:solidFill>
                                  <a:prstDash val="solid"/>
                                  <a:miter lim="800000"/>
                                </a:ln>
                              </wps:spPr>
                              <wps:bodyPr rot="0" vert="horz" wrap="square" lIns="91440" tIns="45720" rIns="91440" bIns="45720" anchor="ctr" anchorCtr="0" upright="1">
                                <a:noAutofit/>
                              </wps:bodyPr>
                            </wps:wsp>
                            <wps:wsp>
                              <wps:cNvPr id="73" name="任意多边形 7"/>
                              <wps:cNvSpPr/>
                              <wps:spPr bwMode="auto">
                                <a:xfrm>
                                  <a:off x="5011387" y="926276"/>
                                  <a:ext cx="2452254" cy="195943"/>
                                </a:xfrm>
                                <a:custGeom>
                                  <a:avLst/>
                                  <a:gdLst>
                                    <a:gd name="T0" fmla="*/ 0 w 2452254"/>
                                    <a:gd name="T1" fmla="*/ 0 h 195943"/>
                                    <a:gd name="T2" fmla="*/ 100940 w 2452254"/>
                                    <a:gd name="T3" fmla="*/ 23750 h 195943"/>
                                    <a:gd name="T4" fmla="*/ 160317 w 2452254"/>
                                    <a:gd name="T5" fmla="*/ 41563 h 195943"/>
                                    <a:gd name="T6" fmla="*/ 201880 w 2452254"/>
                                    <a:gd name="T7" fmla="*/ 35626 h 195943"/>
                                    <a:gd name="T8" fmla="*/ 296883 w 2452254"/>
                                    <a:gd name="T9" fmla="*/ 106878 h 195943"/>
                                    <a:gd name="T10" fmla="*/ 374072 w 2452254"/>
                                    <a:gd name="T11" fmla="*/ 130628 h 195943"/>
                                    <a:gd name="T12" fmla="*/ 439387 w 2452254"/>
                                    <a:gd name="T13" fmla="*/ 77189 h 195943"/>
                                    <a:gd name="T14" fmla="*/ 463137 w 2452254"/>
                                    <a:gd name="T15" fmla="*/ 65314 h 195943"/>
                                    <a:gd name="T16" fmla="*/ 516576 w 2452254"/>
                                    <a:gd name="T17" fmla="*/ 83127 h 195943"/>
                                    <a:gd name="T18" fmla="*/ 653142 w 2452254"/>
                                    <a:gd name="T19" fmla="*/ 148441 h 195943"/>
                                    <a:gd name="T20" fmla="*/ 771896 w 2452254"/>
                                    <a:gd name="T21" fmla="*/ 118753 h 195943"/>
                                    <a:gd name="T22" fmla="*/ 860961 w 2452254"/>
                                    <a:gd name="T23" fmla="*/ 100940 h 195943"/>
                                    <a:gd name="T24" fmla="*/ 926275 w 2452254"/>
                                    <a:gd name="T25" fmla="*/ 77189 h 195943"/>
                                    <a:gd name="T26" fmla="*/ 961901 w 2452254"/>
                                    <a:gd name="T27" fmla="*/ 59376 h 195943"/>
                                    <a:gd name="T28" fmla="*/ 1009402 w 2452254"/>
                                    <a:gd name="T29" fmla="*/ 53439 h 195943"/>
                                    <a:gd name="T30" fmla="*/ 1074717 w 2452254"/>
                                    <a:gd name="T31" fmla="*/ 59376 h 195943"/>
                                    <a:gd name="T32" fmla="*/ 1122218 w 2452254"/>
                                    <a:gd name="T33" fmla="*/ 95002 h 195943"/>
                                    <a:gd name="T34" fmla="*/ 1134093 w 2452254"/>
                                    <a:gd name="T35" fmla="*/ 148441 h 195943"/>
                                    <a:gd name="T36" fmla="*/ 1235033 w 2452254"/>
                                    <a:gd name="T37" fmla="*/ 136566 h 195943"/>
                                    <a:gd name="T38" fmla="*/ 1353787 w 2452254"/>
                                    <a:gd name="T39" fmla="*/ 112815 h 195943"/>
                                    <a:gd name="T40" fmla="*/ 1419101 w 2452254"/>
                                    <a:gd name="T41" fmla="*/ 106878 h 195943"/>
                                    <a:gd name="T42" fmla="*/ 1484415 w 2452254"/>
                                    <a:gd name="T43" fmla="*/ 112815 h 195943"/>
                                    <a:gd name="T44" fmla="*/ 1573480 w 2452254"/>
                                    <a:gd name="T45" fmla="*/ 148441 h 195943"/>
                                    <a:gd name="T46" fmla="*/ 1638794 w 2452254"/>
                                    <a:gd name="T47" fmla="*/ 184067 h 195943"/>
                                    <a:gd name="T48" fmla="*/ 1668483 w 2452254"/>
                                    <a:gd name="T49" fmla="*/ 190005 h 195943"/>
                                    <a:gd name="T50" fmla="*/ 1668483 w 2452254"/>
                                    <a:gd name="T51" fmla="*/ 142504 h 195943"/>
                                    <a:gd name="T52" fmla="*/ 1650670 w 2452254"/>
                                    <a:gd name="T53" fmla="*/ 95002 h 195943"/>
                                    <a:gd name="T54" fmla="*/ 1609106 w 2452254"/>
                                    <a:gd name="T55" fmla="*/ 83127 h 195943"/>
                                    <a:gd name="T56" fmla="*/ 1751610 w 2452254"/>
                                    <a:gd name="T57" fmla="*/ 65314 h 195943"/>
                                    <a:gd name="T58" fmla="*/ 1900052 w 2452254"/>
                                    <a:gd name="T59" fmla="*/ 89065 h 195943"/>
                                    <a:gd name="T60" fmla="*/ 2048493 w 2452254"/>
                                    <a:gd name="T61" fmla="*/ 118753 h 195943"/>
                                    <a:gd name="T62" fmla="*/ 2202872 w 2452254"/>
                                    <a:gd name="T63" fmla="*/ 124691 h 195943"/>
                                    <a:gd name="T64" fmla="*/ 2303813 w 2452254"/>
                                    <a:gd name="T65" fmla="*/ 124691 h 195943"/>
                                    <a:gd name="T66" fmla="*/ 2339439 w 2452254"/>
                                    <a:gd name="T67" fmla="*/ 124691 h 195943"/>
                                    <a:gd name="T68" fmla="*/ 2410691 w 2452254"/>
                                    <a:gd name="T69" fmla="*/ 172192 h 195943"/>
                                    <a:gd name="T70" fmla="*/ 2452254 w 2452254"/>
                                    <a:gd name="T71" fmla="*/ 195943 h 19594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452254" h="195943">
                                      <a:moveTo>
                                        <a:pt x="0" y="0"/>
                                      </a:moveTo>
                                      <a:lnTo>
                                        <a:pt x="100940" y="23750"/>
                                      </a:lnTo>
                                      <a:cubicBezTo>
                                        <a:pt x="127659" y="30677"/>
                                        <a:pt x="143494" y="39584"/>
                                        <a:pt x="160317" y="41563"/>
                                      </a:cubicBezTo>
                                      <a:cubicBezTo>
                                        <a:pt x="177140" y="43542"/>
                                        <a:pt x="179119" y="24740"/>
                                        <a:pt x="201880" y="35626"/>
                                      </a:cubicBezTo>
                                      <a:cubicBezTo>
                                        <a:pt x="224641" y="46512"/>
                                        <a:pt x="268184" y="91044"/>
                                        <a:pt x="296883" y="106878"/>
                                      </a:cubicBezTo>
                                      <a:cubicBezTo>
                                        <a:pt x="325582" y="122712"/>
                                        <a:pt x="350321" y="135576"/>
                                        <a:pt x="374072" y="130628"/>
                                      </a:cubicBezTo>
                                      <a:cubicBezTo>
                                        <a:pt x="397823" y="125680"/>
                                        <a:pt x="424543" y="88075"/>
                                        <a:pt x="439387" y="77189"/>
                                      </a:cubicBezTo>
                                      <a:cubicBezTo>
                                        <a:pt x="454231" y="66303"/>
                                        <a:pt x="450272" y="64324"/>
                                        <a:pt x="463137" y="65314"/>
                                      </a:cubicBezTo>
                                      <a:cubicBezTo>
                                        <a:pt x="476002" y="66304"/>
                                        <a:pt x="484908" y="69272"/>
                                        <a:pt x="516576" y="83127"/>
                                      </a:cubicBezTo>
                                      <a:cubicBezTo>
                                        <a:pt x="548244" y="96982"/>
                                        <a:pt x="610589" y="142503"/>
                                        <a:pt x="653142" y="148441"/>
                                      </a:cubicBezTo>
                                      <a:cubicBezTo>
                                        <a:pt x="695695" y="154379"/>
                                        <a:pt x="737260" y="126670"/>
                                        <a:pt x="771896" y="118753"/>
                                      </a:cubicBezTo>
                                      <a:cubicBezTo>
                                        <a:pt x="806533" y="110836"/>
                                        <a:pt x="835231" y="107867"/>
                                        <a:pt x="860961" y="100940"/>
                                      </a:cubicBezTo>
                                      <a:cubicBezTo>
                                        <a:pt x="886691" y="94013"/>
                                        <a:pt x="909452" y="84116"/>
                                        <a:pt x="926275" y="77189"/>
                                      </a:cubicBezTo>
                                      <a:cubicBezTo>
                                        <a:pt x="943098" y="70262"/>
                                        <a:pt x="948046" y="63334"/>
                                        <a:pt x="961901" y="59376"/>
                                      </a:cubicBezTo>
                                      <a:cubicBezTo>
                                        <a:pt x="975756" y="55418"/>
                                        <a:pt x="990599" y="53439"/>
                                        <a:pt x="1009402" y="53439"/>
                                      </a:cubicBezTo>
                                      <a:cubicBezTo>
                                        <a:pt x="1028205" y="53439"/>
                                        <a:pt x="1055914" y="52449"/>
                                        <a:pt x="1074717" y="59376"/>
                                      </a:cubicBezTo>
                                      <a:cubicBezTo>
                                        <a:pt x="1093520" y="66303"/>
                                        <a:pt x="1112322" y="80158"/>
                                        <a:pt x="1122218" y="95002"/>
                                      </a:cubicBezTo>
                                      <a:cubicBezTo>
                                        <a:pt x="1132114" y="109846"/>
                                        <a:pt x="1115291" y="141514"/>
                                        <a:pt x="1134093" y="148441"/>
                                      </a:cubicBezTo>
                                      <a:cubicBezTo>
                                        <a:pt x="1152896" y="155368"/>
                                        <a:pt x="1198417" y="142504"/>
                                        <a:pt x="1235033" y="136566"/>
                                      </a:cubicBezTo>
                                      <a:cubicBezTo>
                                        <a:pt x="1271649" y="130628"/>
                                        <a:pt x="1323109" y="117763"/>
                                        <a:pt x="1353787" y="112815"/>
                                      </a:cubicBezTo>
                                      <a:cubicBezTo>
                                        <a:pt x="1384465" y="107867"/>
                                        <a:pt x="1397330" y="106878"/>
                                        <a:pt x="1419101" y="106878"/>
                                      </a:cubicBezTo>
                                      <a:cubicBezTo>
                                        <a:pt x="1440872" y="106878"/>
                                        <a:pt x="1458685" y="105888"/>
                                        <a:pt x="1484415" y="112815"/>
                                      </a:cubicBezTo>
                                      <a:cubicBezTo>
                                        <a:pt x="1510145" y="119742"/>
                                        <a:pt x="1547750" y="136566"/>
                                        <a:pt x="1573480" y="148441"/>
                                      </a:cubicBezTo>
                                      <a:cubicBezTo>
                                        <a:pt x="1599210" y="160316"/>
                                        <a:pt x="1622960" y="177140"/>
                                        <a:pt x="1638794" y="184067"/>
                                      </a:cubicBezTo>
                                      <a:cubicBezTo>
                                        <a:pt x="1654628" y="190994"/>
                                        <a:pt x="1663535" y="196932"/>
                                        <a:pt x="1668483" y="190005"/>
                                      </a:cubicBezTo>
                                      <a:cubicBezTo>
                                        <a:pt x="1673431" y="183078"/>
                                        <a:pt x="1671452" y="158338"/>
                                        <a:pt x="1668483" y="142504"/>
                                      </a:cubicBezTo>
                                      <a:cubicBezTo>
                                        <a:pt x="1665514" y="126670"/>
                                        <a:pt x="1660566" y="104898"/>
                                        <a:pt x="1650670" y="95002"/>
                                      </a:cubicBezTo>
                                      <a:cubicBezTo>
                                        <a:pt x="1640774" y="85106"/>
                                        <a:pt x="1592283" y="88075"/>
                                        <a:pt x="1609106" y="83127"/>
                                      </a:cubicBezTo>
                                      <a:cubicBezTo>
                                        <a:pt x="1625929" y="78179"/>
                                        <a:pt x="1703119" y="64324"/>
                                        <a:pt x="1751610" y="65314"/>
                                      </a:cubicBezTo>
                                      <a:cubicBezTo>
                                        <a:pt x="1800101" y="66304"/>
                                        <a:pt x="1850571" y="80158"/>
                                        <a:pt x="1900052" y="89065"/>
                                      </a:cubicBezTo>
                                      <a:cubicBezTo>
                                        <a:pt x="1949533" y="97972"/>
                                        <a:pt x="1998023" y="112815"/>
                                        <a:pt x="2048493" y="118753"/>
                                      </a:cubicBezTo>
                                      <a:cubicBezTo>
                                        <a:pt x="2098963" y="124691"/>
                                        <a:pt x="2160319" y="123701"/>
                                        <a:pt x="2202872" y="124691"/>
                                      </a:cubicBezTo>
                                      <a:cubicBezTo>
                                        <a:pt x="2245425" y="125681"/>
                                        <a:pt x="2303813" y="124691"/>
                                        <a:pt x="2303813" y="124691"/>
                                      </a:cubicBezTo>
                                      <a:cubicBezTo>
                                        <a:pt x="2326574" y="124691"/>
                                        <a:pt x="2321626" y="116774"/>
                                        <a:pt x="2339439" y="124691"/>
                                      </a:cubicBezTo>
                                      <a:cubicBezTo>
                                        <a:pt x="2357252" y="132608"/>
                                        <a:pt x="2391889" y="160317"/>
                                        <a:pt x="2410691" y="172192"/>
                                      </a:cubicBezTo>
                                      <a:cubicBezTo>
                                        <a:pt x="2429493" y="184067"/>
                                        <a:pt x="2440873" y="190005"/>
                                        <a:pt x="2452254" y="195943"/>
                                      </a:cubicBezTo>
                                    </a:path>
                                  </a:pathLst>
                                </a:custGeom>
                                <a:solidFill>
                                  <a:srgbClr val="FFFFFF"/>
                                </a:solidFill>
                                <a:ln w="19050" cap="flat" cmpd="sng" algn="ctr">
                                  <a:solidFill>
                                    <a:srgbClr val="FF0000"/>
                                  </a:solidFill>
                                  <a:prstDash val="solid"/>
                                  <a:miter lim="800000"/>
                                </a:ln>
                              </wps:spPr>
                              <wps:bodyPr rot="0" vert="horz" wrap="square" lIns="91440" tIns="45720" rIns="91440" bIns="45720" anchor="ctr" anchorCtr="0" upright="1">
                                <a:noAutofit/>
                              </wps:bodyPr>
                            </wps:wsp>
                          </wpg:wgp>
                        </a:graphicData>
                      </a:graphic>
                    </wp:anchor>
                  </w:drawing>
                </mc:Choice>
                <mc:Fallback>
                  <w:pict>
                    <v:group id="组合 8" o:spid="_x0000_s1026" o:spt="203" style="position:absolute;left:0pt;margin-left:86.4pt;margin-top:164.25pt;height:15.75pt;width:104.35pt;z-index:251675648;mso-width-relative:page;mso-height-relative:page;" coordsize="7463641,1122219" o:gfxdata="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">
                      <o:lock v:ext="edit" aspectratio="t"/>
                      <v:shape id="任意多边形 6" o:spid="_x0000_s1026" o:spt="100" style="position:absolute;left:0;top:0;height:427512;width:2309750;v-text-anchor:middle;" fillcolor="#FFFFFF" filled="t" stroked="t" coordsize="2309750,427512" o:gfxdata="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taYvQAA&#10;ANsAAAAPAAAAAAAAAAEAIAAAACIAAABkcnMvZG93bnJldi54bWxQSwECFAAUAAAACACHTuJAMy8F&#10;njsAAAA5AAAAEAAAAAAAAAABACAAAAAMAQAAZHJzL3NoYXBleG1sLnhtbFBLBQYAAAAABgAGAFsB&#10;AAC2AwAAAAA=&#10;" path="m0,0c1979,41564,21773,77189,59378,95002c96983,112815,180109,101930,225631,106878c271153,111826,285008,113805,332509,124691c380010,135577,458190,152401,510639,172193c563088,191985,613558,226622,647205,243445c680852,260268,692727,259279,712519,273133c732311,286987,749135,307770,765958,326572c782781,345374,794656,373083,813459,385948c832262,398813,864919,398813,878774,403761c892629,408709,885701,420585,896587,415637c907473,410689,929244,388917,944088,374073c958932,359229,973777,334489,985652,326572c997527,318655,995548,323603,1015340,326572c1035132,329541,1076696,334489,1104405,344385c1132114,354281,1160812,373083,1181594,385948c1202376,398813,1201387,426522,1229096,421574c1256805,416626,1319150,362198,1347849,356260c1376548,350322,1342901,378031,1401288,385948c1459675,393865,1598220,398813,1698171,403761c1798122,408709,2000992,415637,2000992,415637l2155371,421574c2196935,423553,2224644,427512,2250374,427512c2276104,427512,2292927,424543,2309750,421574e">
                        <v:path o:connectlocs="0,0;59378,95002;225631,106878;332509,124691;510639,172193;647205,243445;712519,273133;765958,326572;813459,385948;878774,403761;896587,415637;944088,374073;985652,326572;1015340,326572;1104405,344385;1181594,385948;1229096,421574;1347849,356260;1401288,385948;1698171,403761;2000992,415637;2155371,421574;2250374,427512;2309750,421574" o:connectangles="0,0,0,0,0,0,0,0,0,0,0,0,0,0,0,0,0,0,0,0,0,0,0,0"/>
                        <v:fill on="t" focussize="0,0"/>
                        <v:stroke weight="1.5pt" color="#FF0000" miterlimit="8" joinstyle="miter"/>
                        <v:imagedata o:title=""/>
                        <o:lock v:ext="edit" aspectratio="f"/>
                      </v:shape>
                      <v:shape id="任意多边形 7" o:spid="_x0000_s1026" o:spt="100" style="position:absolute;left:5011387;top:926276;height:195943;width:2452254;v-text-anchor:middle;" fillcolor="#FFFFFF" filled="t" stroked="t" coordsize="2452254,195943" o:gfxdata="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MnwO8AAAA&#10;2wAAAA8AAAAAAAAAAQAgAAAAIgAAAGRycy9kb3ducmV2LnhtbFBLAQIUABQAAAAIAIdO4kAzLwWe&#10;OwAAADkAAAAQAAAAAAAAAAEAIAAAAAsBAABkcnMvc2hhcGV4bWwueG1sUEsFBgAAAAAGAAYAWwEA&#10;ALUDAAAAAA==&#10;" path="m0,0l100940,23750c127659,30677,143494,39584,160317,41563c177140,43542,179119,24740,201880,35626c224641,46512,268184,91044,296883,106878c325582,122712,350321,135576,374072,130628c397823,125680,424543,88075,439387,77189c454231,66303,450272,64324,463137,65314c476002,66304,484908,69272,516576,83127c548244,96982,610589,142503,653142,148441c695695,154379,737260,126670,771896,118753c806533,110836,835231,107867,860961,100940c886691,94013,909452,84116,926275,77189c943098,70262,948046,63334,961901,59376c975756,55418,990599,53439,1009402,53439c1028205,53439,1055914,52449,1074717,59376c1093520,66303,1112322,80158,1122218,95002c1132114,109846,1115291,141514,1134093,148441c1152896,155368,1198417,142504,1235033,136566c1271649,130628,1323109,117763,1353787,112815c1384465,107867,1397330,106878,1419101,106878c1440872,106878,1458685,105888,1484415,112815c1510145,119742,1547750,136566,1573480,148441c1599210,160316,1622960,177140,1638794,184067c1654628,190994,1663535,196932,1668483,190005c1673431,183078,1671452,158338,1668483,142504c1665514,126670,1660566,104898,1650670,95002c1640774,85106,1592283,88075,1609106,83127c1625929,78179,1703119,64324,1751610,65314c1800101,66304,1850571,80158,1900052,89065c1949533,97972,1998023,112815,2048493,118753c2098963,124691,2160319,123701,2202872,124691c2245425,125681,2303813,124691,2303813,124691c2326574,124691,2321626,116774,2339439,124691c2357252,132608,2391889,160317,2410691,172192c2429493,184067,2440873,190005,2452254,195943e">
                        <v:path o:connectlocs="0,0;100940,23750;160317,41563;201880,35626;296883,106878;374072,130628;439387,77189;463137,65314;516576,83127;653142,148441;771896,118753;860961,100940;926275,77189;961901,59376;1009402,53439;1074717,59376;1122218,95002;1134093,148441;1235033,136566;1353787,112815;1419101,106878;1484415,112815;1573480,148441;1638794,184067;1668483,190005;1668483,142504;1650670,95002;1609106,83127;1751610,65314;1900052,89065;2048493,118753;2202872,124691;2303813,124691;2339439,124691;2410691,172192;2452254,195943" o:connectangles="0,0,0,0,0,0,0,0,0,0,0,0,0,0,0,0,0,0,0,0,0,0,0,0,0,0,0,0,0,0,0,0,0,0,0,0"/>
                        <v:fill on="t" focussize="0,0"/>
                        <v:stroke weight="1.5pt" color="#FF0000" miterlimit="8" joinstyle="miter"/>
                        <v:imagedata o:title=""/>
                        <o:lock v:ext="edit" aspectratio="f"/>
                      </v:shape>
                    </v:group>
                  </w:pict>
                </mc:Fallback>
              </mc:AlternateContent>
            </w: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3073400</wp:posOffset>
                  </wp:positionH>
                  <wp:positionV relativeFrom="paragraph">
                    <wp:posOffset>2284730</wp:posOffset>
                  </wp:positionV>
                  <wp:extent cx="1610995" cy="1895475"/>
                  <wp:effectExtent l="0" t="0" r="0" b="0"/>
                  <wp:wrapNone/>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10995" cy="1895475"/>
                          </a:xfrm>
                          <a:prstGeom prst="rect">
                            <a:avLst/>
                          </a:prstGeom>
                          <a:noFill/>
                          <a:ln>
                            <a:noFill/>
                          </a:ln>
                        </pic:spPr>
                      </pic:pic>
                    </a:graphicData>
                  </a:graphic>
                </wp:anchor>
              </w:drawing>
            </w:r>
            <w:r>
              <w:rPr>
                <w:rFonts w:ascii="Times New Roman" w:hAnsi="Times New Roman" w:cs="Times New Roman"/>
                <w:color w:val="000000" w:themeColor="text1"/>
                <w14:textFill>
                  <w14:solidFill>
                    <w14:schemeClr w14:val="tx1"/>
                  </w14:solidFill>
                </w14:textFill>
              </w:rPr>
              <w:drawing>
                <wp:inline distT="0" distB="0" distL="0" distR="0">
                  <wp:extent cx="4457700" cy="4200525"/>
                  <wp:effectExtent l="0" t="0" r="0" b="0"/>
                  <wp:docPr id="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57700" cy="4200525"/>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图3-3  项目区植被分布图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⑸</w:t>
            </w:r>
            <w:r>
              <w:rPr>
                <w:rFonts w:ascii="Times New Roman" w:hAnsi="Times New Roman" w:cs="Times New Roman"/>
                <w:color w:val="000000" w:themeColor="text1"/>
                <w:sz w:val="24"/>
                <w14:textFill>
                  <w14:solidFill>
                    <w14:schemeClr w14:val="tx1"/>
                  </w14:solidFill>
                </w14:textFill>
              </w:rPr>
              <w:t>野生动物分布现状</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本项目所在区域为隆德县，隆德县境内陆栖脊椎动物分森林动物群、灌丛草地动物群、河谷动物群和田舍动物群4类，物种种类较多。根据现场勘察，整个评价区内没有发现珍稀、濒危动物物种的栖息地和繁殖地</w:t>
            </w:r>
            <w:r>
              <w:rPr>
                <w:rFonts w:ascii="Times New Roman" w:hAnsi="Times New Roman" w:cs="Times New Roman"/>
                <w:color w:val="000000" w:themeColor="text1"/>
                <w:kern w:val="0"/>
                <w:sz w:val="24"/>
                <w:lang w:bidi="ar"/>
                <w14:textFill>
                  <w14:solidFill>
                    <w14:schemeClr w14:val="tx1"/>
                  </w14:solidFill>
                </w14:textFill>
              </w:rPr>
              <w:t xml:space="preserve">。 </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⑹</w:t>
            </w:r>
            <w:r>
              <w:rPr>
                <w:rFonts w:ascii="Times New Roman" w:hAnsi="Times New Roman" w:cs="Times New Roman"/>
                <w:color w:val="000000" w:themeColor="text1"/>
                <w:kern w:val="0"/>
                <w:sz w:val="24"/>
                <w14:textFill>
                  <w14:solidFill>
                    <w14:schemeClr w14:val="tx1"/>
                  </w14:solidFill>
                </w14:textFill>
              </w:rPr>
              <w:t>水生生物</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通过查阅资料、现场勘查与走访调查，朱庄河主要水生植物除芦苇、水葱外，还有少量藻类，游泳动物主要为一些小鱼小虾，浮游动物种类主要为水蚤、轮虫，无底栖生物，无重要水生物种。</w:t>
            </w:r>
          </w:p>
          <w:p>
            <w:pPr>
              <w:spacing w:line="360" w:lineRule="auto"/>
              <w:ind w:firstLine="482"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2、环境空气质量现状</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本项目建设地点位于隆德县凤岭乡冯碑村、于河村、巩龙村，神林乡杨野河村，联财镇张楼村，按照《环境影响评价技术导则 大气环境》（HJ2.2-2018）中环境空气现状调查数据来源要求，采用《2021年宁夏生态环境质量报告》中隆德县的环境空气监测数据和结论（未</w:t>
            </w:r>
            <w:r>
              <w:rPr>
                <w:rFonts w:ascii="Times New Roman" w:hAnsi="Times New Roman" w:cs="Times New Roman"/>
                <w:bCs/>
                <w:color w:val="000000" w:themeColor="text1"/>
                <w:sz w:val="24"/>
                <w14:textFill>
                  <w14:solidFill>
                    <w14:schemeClr w14:val="tx1"/>
                  </w14:solidFill>
                </w14:textFill>
              </w:rPr>
              <w:t>剔除沙尘天气</w:t>
            </w:r>
            <w:r>
              <w:rPr>
                <w:rFonts w:ascii="Times New Roman" w:hAnsi="Times New Roman" w:cs="Times New Roman"/>
                <w:color w:val="000000" w:themeColor="text1"/>
                <w:sz w:val="24"/>
                <w14:textFill>
                  <w14:solidFill>
                    <w14:schemeClr w14:val="tx1"/>
                  </w14:solidFill>
                </w14:textFill>
              </w:rPr>
              <w:t>）作为本次评价依据，本项目所在区域环境空气质量状况表具体见表3-2。</w:t>
            </w:r>
          </w:p>
          <w:p>
            <w:pPr>
              <w:adjustRightInd w:val="0"/>
              <w:snapToGrid w:val="0"/>
              <w:jc w:val="center"/>
              <w:rPr>
                <w:rFonts w:ascii="Times New Roman" w:hAnsi="Times New Roman" w:cs="Times New Roman"/>
                <w:b/>
                <w:bCs/>
                <w:color w:val="000000" w:themeColor="text1"/>
                <w:kern w:val="0"/>
                <w:sz w:val="24"/>
                <w14:textFill>
                  <w14:solidFill>
                    <w14:schemeClr w14:val="tx1"/>
                  </w14:solidFill>
                </w14:textFill>
              </w:rPr>
            </w:pPr>
            <w:r>
              <w:rPr>
                <w:rFonts w:ascii="Times New Roman" w:hAnsi="Times New Roman" w:cs="Times New Roman"/>
                <w:b/>
                <w:bCs/>
                <w:color w:val="000000" w:themeColor="text1"/>
                <w:kern w:val="0"/>
                <w:sz w:val="24"/>
                <w14:textFill>
                  <w14:solidFill>
                    <w14:schemeClr w14:val="tx1"/>
                  </w14:solidFill>
                </w14:textFill>
              </w:rPr>
              <w:t xml:space="preserve">表3-2  区域环境空气质量现状  </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6"/>
              <w:gridCol w:w="2542"/>
              <w:gridCol w:w="1539"/>
              <w:gridCol w:w="1840"/>
              <w:gridCol w:w="10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污染物</w:t>
                  </w:r>
                </w:p>
              </w:tc>
              <w:tc>
                <w:tcPr>
                  <w:tcW w:w="2542"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年评价指标</w:t>
                  </w:r>
                </w:p>
              </w:tc>
              <w:tc>
                <w:tcPr>
                  <w:tcW w:w="1539"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现状浓度均值</w:t>
                  </w:r>
                </w:p>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μ</w:t>
                  </w:r>
                  <w:r>
                    <w:rPr>
                      <w:rFonts w:ascii="Times New Roman" w:hAnsi="Times New Roman" w:cs="Times New Roman"/>
                      <w:b/>
                      <w:bCs/>
                      <w:color w:val="000000" w:themeColor="text1"/>
                      <w:szCs w:val="21"/>
                      <w14:textFill>
                        <w14:solidFill>
                          <w14:schemeClr w14:val="tx1"/>
                        </w14:solidFill>
                      </w14:textFill>
                    </w:rPr>
                    <w:t>g/m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1840"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标准值</w:t>
                  </w:r>
                </w:p>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μ</w:t>
                  </w:r>
                  <w:r>
                    <w:rPr>
                      <w:rFonts w:ascii="Times New Roman" w:hAnsi="Times New Roman" w:cs="Times New Roman"/>
                      <w:b/>
                      <w:bCs/>
                      <w:color w:val="000000" w:themeColor="text1"/>
                      <w:szCs w:val="21"/>
                      <w14:textFill>
                        <w14:solidFill>
                          <w14:schemeClr w14:val="tx1"/>
                        </w14:solidFill>
                      </w14:textFill>
                    </w:rPr>
                    <w:t>g/m</w:t>
                  </w:r>
                  <w:r>
                    <w:rPr>
                      <w:rFonts w:ascii="Times New Roman" w:hAnsi="Times New Roman" w:cs="Times New Roman"/>
                      <w:b/>
                      <w:bCs/>
                      <w:color w:val="000000" w:themeColor="text1"/>
                      <w:szCs w:val="21"/>
                      <w:vertAlign w:val="superscript"/>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p>
              </w:tc>
              <w:tc>
                <w:tcPr>
                  <w:tcW w:w="1082"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10</w:t>
                  </w:r>
                </w:p>
              </w:tc>
              <w:tc>
                <w:tcPr>
                  <w:tcW w:w="2542"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年平均质量浓度</w:t>
                  </w: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2.5</w:t>
                  </w:r>
                </w:p>
              </w:tc>
              <w:tc>
                <w:tcPr>
                  <w:tcW w:w="2542"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2542"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w:t>
                  </w:r>
                  <w:r>
                    <w:rPr>
                      <w:rFonts w:ascii="Times New Roman" w:hAnsi="Times New Roman" w:cs="Times New Roman"/>
                      <w:color w:val="000000" w:themeColor="text1"/>
                      <w:szCs w:val="21"/>
                      <w:vertAlign w:val="subscript"/>
                      <w14:textFill>
                        <w14:solidFill>
                          <w14:schemeClr w14:val="tx1"/>
                        </w14:solidFill>
                      </w14:textFill>
                    </w:rPr>
                    <w:t>2</w:t>
                  </w:r>
                </w:p>
              </w:tc>
              <w:tc>
                <w:tcPr>
                  <w:tcW w:w="2542" w:type="dxa"/>
                  <w:vMerge w:val="continue"/>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w:t>
                  </w:r>
                </w:p>
              </w:tc>
              <w:tc>
                <w:tcPr>
                  <w:tcW w:w="254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24小时平均第95百分数浓度（mg/m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w:t>
                  </w: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0.7</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O</w:t>
                  </w:r>
                  <w:r>
                    <w:rPr>
                      <w:rFonts w:ascii="Times New Roman" w:hAnsi="Times New Roman" w:cs="Times New Roman"/>
                      <w:color w:val="000000" w:themeColor="text1"/>
                      <w:szCs w:val="21"/>
                      <w:vertAlign w:val="subscript"/>
                      <w14:textFill>
                        <w14:solidFill>
                          <w14:schemeClr w14:val="tx1"/>
                        </w14:solidFill>
                      </w14:textFill>
                    </w:rPr>
                    <w:t>3</w:t>
                  </w:r>
                </w:p>
              </w:tc>
              <w:tc>
                <w:tcPr>
                  <w:tcW w:w="254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日最大8小时滑动平均值的第90百分数浓度</w:t>
                  </w:r>
                </w:p>
              </w:tc>
              <w:tc>
                <w:tcPr>
                  <w:tcW w:w="153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125</w:t>
                  </w:r>
                </w:p>
              </w:tc>
              <w:tc>
                <w:tcPr>
                  <w:tcW w:w="184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160</w:t>
                  </w:r>
                </w:p>
              </w:tc>
              <w:tc>
                <w:tcPr>
                  <w:tcW w:w="108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达标</w:t>
                  </w:r>
                </w:p>
              </w:tc>
            </w:tr>
          </w:tbl>
          <w:p>
            <w:pPr>
              <w:adjustRightInd w:val="0"/>
              <w:snapToGrid w:val="0"/>
              <w:spacing w:line="360" w:lineRule="auto"/>
              <w:ind w:firstLine="480" w:firstLineChars="200"/>
              <w:rPr>
                <w:rFonts w:ascii="Times New Roman" w:hAnsi="Times New Roman" w:cs="Times New Roman"/>
                <w:b/>
                <w:bCs/>
                <w:snapToGrid w:val="0"/>
                <w:color w:val="000000" w:themeColor="text1"/>
                <w:kern w:val="0"/>
                <w:sz w:val="24"/>
                <w:lang w:val="zh-CN"/>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根据上表可知隆德县环境空气满足《环境空气质量标准》（GB3095-2012）中二级标准限值，属于达标区。</w:t>
            </w:r>
          </w:p>
          <w:p>
            <w:pPr>
              <w:autoSpaceDE w:val="0"/>
              <w:autoSpaceDN w:val="0"/>
              <w:adjustRightInd w:val="0"/>
              <w:snapToGrid w:val="0"/>
              <w:spacing w:line="360" w:lineRule="auto"/>
              <w:ind w:firstLine="482"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3、地表水环境现状</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本项目所在地最近的地表水体为</w:t>
            </w:r>
            <w:r>
              <w:rPr>
                <w:rFonts w:ascii="Times New Roman" w:hAnsi="Times New Roman" w:cs="Times New Roman"/>
                <w:color w:val="000000" w:themeColor="text1"/>
                <w:kern w:val="0"/>
                <w:sz w:val="24"/>
                <w:lang w:bidi="ar"/>
                <w14:textFill>
                  <w14:solidFill>
                    <w14:schemeClr w14:val="tx1"/>
                  </w14:solidFill>
                </w14:textFill>
              </w:rPr>
              <w:t>渝河</w:t>
            </w:r>
            <w:r>
              <w:rPr>
                <w:rFonts w:ascii="Times New Roman" w:hAnsi="Times New Roman" w:cs="Times New Roman"/>
                <w:color w:val="000000" w:themeColor="text1"/>
                <w:sz w:val="24"/>
                <w14:textFill>
                  <w14:solidFill>
                    <w14:schemeClr w14:val="tx1"/>
                  </w14:solidFill>
                </w14:textFill>
              </w:rPr>
              <w:t>，根据《2021年宁夏生态环境质量报告》</w:t>
            </w:r>
            <w:r>
              <w:rPr>
                <w:rFonts w:ascii="Times New Roman" w:hAnsi="Times New Roman" w:cs="Times New Roman"/>
                <w:color w:val="000000" w:themeColor="text1"/>
                <w:kern w:val="0"/>
                <w:sz w:val="24"/>
                <w:lang w:bidi="ar"/>
                <w14:textFill>
                  <w14:solidFill>
                    <w14:schemeClr w14:val="tx1"/>
                  </w14:solidFill>
                </w14:textFill>
              </w:rPr>
              <w:t>渝河联财断面（宁夏-甘肃省界）的监测数据评价本项目所在区域的地表水环境质量</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kern w:val="0"/>
                <w:sz w:val="24"/>
                <w:lang w:bidi="ar"/>
                <w14:textFill>
                  <w14:solidFill>
                    <w14:schemeClr w14:val="tx1"/>
                  </w14:solidFill>
                </w14:textFill>
              </w:rPr>
              <w:t>渝河</w:t>
            </w:r>
            <w:r>
              <w:rPr>
                <w:rFonts w:ascii="Times New Roman" w:hAnsi="Times New Roman" w:cs="Times New Roman"/>
                <w:color w:val="000000" w:themeColor="text1"/>
                <w:sz w:val="24"/>
                <w14:textFill>
                  <w14:solidFill>
                    <w14:schemeClr w14:val="tx1"/>
                  </w14:solidFill>
                </w14:textFill>
              </w:rPr>
              <w:t>位于本项目西北侧520m处，渝河环境质量情况见下表。</w:t>
            </w:r>
          </w:p>
          <w:p>
            <w:pPr>
              <w:ind w:firstLine="1205" w:firstLineChars="5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 xml:space="preserve">表3-3  2021年渝河联财断面（宁夏-甘肃省界）水质状况 </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871"/>
              <w:gridCol w:w="708"/>
              <w:gridCol w:w="852"/>
              <w:gridCol w:w="845"/>
              <w:gridCol w:w="1406"/>
              <w:gridCol w:w="1152"/>
              <w:gridCol w:w="10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1871"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断面名称</w:t>
                  </w:r>
                </w:p>
              </w:tc>
              <w:tc>
                <w:tcPr>
                  <w:tcW w:w="70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考核</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目标</w:t>
                  </w:r>
                </w:p>
              </w:tc>
              <w:tc>
                <w:tcPr>
                  <w:tcW w:w="1697"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水质类别</w:t>
                  </w:r>
                </w:p>
              </w:tc>
              <w:tc>
                <w:tcPr>
                  <w:tcW w:w="1406"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水质变化情况</w:t>
                  </w:r>
                </w:p>
              </w:tc>
              <w:tc>
                <w:tcPr>
                  <w:tcW w:w="2217" w:type="dxa"/>
                  <w:gridSpan w:val="2"/>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主要污染指标浓度（超过考核目标的倍数）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1871"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70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85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2021年</w:t>
                  </w:r>
                </w:p>
              </w:tc>
              <w:tc>
                <w:tcPr>
                  <w:tcW w:w="84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2020年</w:t>
                  </w:r>
                </w:p>
              </w:tc>
              <w:tc>
                <w:tcPr>
                  <w:tcW w:w="1406"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115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2021年</w:t>
                  </w:r>
                </w:p>
              </w:tc>
              <w:tc>
                <w:tcPr>
                  <w:tcW w:w="106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1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渝河联财断面（宁夏-甘肃省界）</w:t>
                  </w:r>
                </w:p>
              </w:tc>
              <w:tc>
                <w:tcPr>
                  <w:tcW w:w="70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Ⅲ类</w:t>
                  </w:r>
                </w:p>
              </w:tc>
              <w:tc>
                <w:tcPr>
                  <w:tcW w:w="85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Ⅱ类</w:t>
                  </w:r>
                </w:p>
              </w:tc>
              <w:tc>
                <w:tcPr>
                  <w:tcW w:w="84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Ⅱ类</w:t>
                  </w:r>
                </w:p>
              </w:tc>
              <w:tc>
                <w:tcPr>
                  <w:tcW w:w="140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无明显变化</w:t>
                  </w:r>
                </w:p>
              </w:tc>
              <w:tc>
                <w:tcPr>
                  <w:tcW w:w="115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06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bl>
          <w:p>
            <w:pPr>
              <w:pStyle w:val="12"/>
              <w:adjustRightInd w:val="0"/>
              <w:snapToGrid w:val="0"/>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由上表可知，2021年渝河联财断面（宁夏-甘肃省界）水质变好，满足</w:t>
            </w:r>
            <w:r>
              <w:rPr>
                <w:rFonts w:ascii="Times New Roman" w:hAnsi="Times New Roman" w:cs="Times New Roman"/>
                <w:bCs/>
                <w:color w:val="000000" w:themeColor="text1"/>
                <w:sz w:val="24"/>
                <w14:textFill>
                  <w14:solidFill>
                    <w14:schemeClr w14:val="tx1"/>
                  </w14:solidFill>
                </w14:textFill>
              </w:rPr>
              <w:t>《地表水环境质量标准》（GB 3838-2002）中</w:t>
            </w:r>
            <w:r>
              <w:rPr>
                <w:rFonts w:ascii="Times New Roman" w:hAnsi="Times New Roman" w:cs="Times New Roman"/>
                <w:color w:val="000000" w:themeColor="text1"/>
                <w:sz w:val="24"/>
                <w14:textFill>
                  <w14:solidFill>
                    <w14:schemeClr w14:val="tx1"/>
                  </w14:solidFill>
                </w14:textFill>
              </w:rPr>
              <w:t>Ⅲ</w:t>
            </w:r>
            <w:r>
              <w:rPr>
                <w:rFonts w:ascii="Times New Roman" w:hAnsi="Times New Roman" w:cs="Times New Roman"/>
                <w:bCs/>
                <w:color w:val="000000" w:themeColor="text1"/>
                <w:sz w:val="24"/>
                <w14:textFill>
                  <w14:solidFill>
                    <w14:schemeClr w14:val="tx1"/>
                  </w14:solidFill>
                </w14:textFill>
              </w:rPr>
              <w:t>类标准要求。</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为了进一步了解朱庄河的环境质量，于2022年8月25日委托宁夏隆兆检测技术有限公司对朱庄河上游段、朱庄河下游段的水质进行监测。</w:t>
            </w:r>
          </w:p>
          <w:p>
            <w:pPr>
              <w:pStyle w:val="12"/>
              <w:adjustRightInd w:val="0"/>
              <w:snapToGrid w:val="0"/>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⑴</w:t>
            </w:r>
            <w:r>
              <w:rPr>
                <w:rFonts w:ascii="Times New Roman" w:hAnsi="Times New Roman" w:cs="Times New Roman"/>
                <w:b/>
                <w:color w:val="000000" w:themeColor="text1"/>
                <w:sz w:val="24"/>
                <w14:textFill>
                  <w14:solidFill>
                    <w14:schemeClr w14:val="tx1"/>
                  </w14:solidFill>
                </w14:textFill>
              </w:rPr>
              <w:t>检测信息</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地表水</w:t>
            </w:r>
            <w:r>
              <w:rPr>
                <w:rFonts w:hint="eastAsia" w:ascii="Times New Roman" w:hAnsi="Times New Roman" w:cs="Times New Roman"/>
                <w:color w:val="000000" w:themeColor="text1"/>
                <w:sz w:val="24"/>
                <w14:textFill>
                  <w14:solidFill>
                    <w14:schemeClr w14:val="tx1"/>
                  </w14:solidFill>
                </w14:textFill>
              </w:rPr>
              <w:t>检测</w:t>
            </w:r>
            <w:r>
              <w:rPr>
                <w:rFonts w:ascii="Times New Roman" w:hAnsi="Times New Roman" w:cs="Times New Roman"/>
                <w:color w:val="000000" w:themeColor="text1"/>
                <w:sz w:val="24"/>
                <w14:textFill>
                  <w14:solidFill>
                    <w14:schemeClr w14:val="tx1"/>
                  </w14:solidFill>
                </w14:textFill>
              </w:rPr>
              <w:t>信息见下表</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地表水监测点位示意图见图</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-4</w:t>
            </w:r>
            <w:r>
              <w:rPr>
                <w:rFonts w:hint="eastAsia" w:ascii="Times New Roman" w:hAnsi="Times New Roman" w:cs="Times New Roman"/>
                <w:color w:val="000000" w:themeColor="text1"/>
                <w:sz w:val="24"/>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表3-4  检测信息一览表</w:t>
            </w:r>
          </w:p>
          <w:tbl>
            <w:tblPr>
              <w:tblStyle w:val="62"/>
              <w:tblW w:w="7899"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757"/>
              <w:gridCol w:w="1155"/>
              <w:gridCol w:w="2899"/>
              <w:gridCol w:w="885"/>
              <w:gridCol w:w="836"/>
              <w:gridCol w:w="136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462" w:hRule="atLeast"/>
              </w:trPr>
              <w:tc>
                <w:tcPr>
                  <w:tcW w:w="757"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样品类型</w:t>
                  </w:r>
                </w:p>
              </w:tc>
              <w:tc>
                <w:tcPr>
                  <w:tcW w:w="115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采样位置</w:t>
                  </w:r>
                </w:p>
              </w:tc>
              <w:tc>
                <w:tcPr>
                  <w:tcW w:w="2899"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8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检测频次</w:t>
                  </w:r>
                </w:p>
              </w:tc>
              <w:tc>
                <w:tcPr>
                  <w:tcW w:w="83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采样方式</w:t>
                  </w:r>
                </w:p>
              </w:tc>
              <w:tc>
                <w:tcPr>
                  <w:tcW w:w="1367"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样品描述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752" w:hRule="atLeast"/>
              </w:trPr>
              <w:tc>
                <w:tcPr>
                  <w:tcW w:w="757"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地表水</w:t>
                  </w:r>
                </w:p>
              </w:tc>
              <w:tc>
                <w:tcPr>
                  <w:tcW w:w="115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1#朱庄河上游中心点</w:t>
                  </w:r>
                </w:p>
              </w:tc>
              <w:tc>
                <w:tcPr>
                  <w:tcW w:w="2899"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水温、pH值、溶解氧、高锰酸盐指数、化学需氧量、五日生化需氧量、氨氮、总氮、总磷、铜、锌、氟化物、硒、砷、汞、镉、铬、铅、氰化物、挥发酚、石油类、阴离子表面活性剂、硫化物、粪大肠菌群</w:t>
                  </w:r>
                </w:p>
              </w:tc>
              <w:tc>
                <w:tcPr>
                  <w:tcW w:w="885"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3 次/天， 监测 1 天</w:t>
                  </w:r>
                </w:p>
              </w:tc>
              <w:tc>
                <w:tcPr>
                  <w:tcW w:w="836"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人工瞬时 (pH 为现 场监测)</w:t>
                  </w:r>
                </w:p>
              </w:tc>
              <w:tc>
                <w:tcPr>
                  <w:tcW w:w="1367"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浅黄色、无异 味、无浮油、清</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809" w:hRule="atLeast"/>
              </w:trPr>
              <w:tc>
                <w:tcPr>
                  <w:tcW w:w="757"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115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2#朱庄河下游中心点</w:t>
                  </w:r>
                </w:p>
              </w:tc>
              <w:tc>
                <w:tcPr>
                  <w:tcW w:w="2899"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885"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836"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1367"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无色、无异味、 无浮油、清</w:t>
                  </w:r>
                </w:p>
              </w:tc>
            </w:tr>
          </w:tbl>
          <w:p>
            <w:pPr>
              <w:pStyle w:val="13"/>
              <w:rPr>
                <w:rFonts w:ascii="Times New Roman" w:hAnsi="Times New Roman" w:cs="Times New Roman"/>
                <w:color w:val="000000" w:themeColor="text1"/>
                <w14:textFill>
                  <w14:solidFill>
                    <w14:schemeClr w14:val="tx1"/>
                  </w14:solidFill>
                </w14:textFill>
              </w:rPr>
            </w:pPr>
          </w:p>
          <w:p>
            <w:pPr>
              <w:spacing w:line="4368" w:lineRule="exac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27955" cy="2683510"/>
                  <wp:effectExtent l="0" t="0" r="0" b="2540"/>
                  <wp:docPr id="1" name="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1"/>
                          <pic:cNvPicPr>
                            <a:picLocks noChangeAspect="1"/>
                          </pic:cNvPicPr>
                        </pic:nvPicPr>
                        <pic:blipFill>
                          <a:blip r:embed="rId29"/>
                          <a:stretch>
                            <a:fillRect/>
                          </a:stretch>
                        </pic:blipFill>
                        <pic:spPr>
                          <a:xfrm>
                            <a:off x="0" y="0"/>
                            <a:ext cx="5238115" cy="2688899"/>
                          </a:xfrm>
                          <a:prstGeom prst="rect">
                            <a:avLst/>
                          </a:prstGeom>
                        </pic:spPr>
                      </pic:pic>
                    </a:graphicData>
                  </a:graphic>
                </wp:inline>
              </w:drawing>
            </w:r>
          </w:p>
          <w:p>
            <w:pPr>
              <w:spacing w:before="184" w:line="4304" w:lineRule="exact"/>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36210" cy="2649220"/>
                  <wp:effectExtent l="0" t="0" r="2540" b="0"/>
                  <wp:docPr id="2" name="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 2"/>
                          <pic:cNvPicPr>
                            <a:picLocks noChangeAspect="1"/>
                          </pic:cNvPicPr>
                        </pic:nvPicPr>
                        <pic:blipFill>
                          <a:blip r:embed="rId30"/>
                          <a:stretch>
                            <a:fillRect/>
                          </a:stretch>
                        </pic:blipFill>
                        <pic:spPr>
                          <a:xfrm>
                            <a:off x="0" y="0"/>
                            <a:ext cx="5252041" cy="2657533"/>
                          </a:xfrm>
                          <a:prstGeom prst="rect">
                            <a:avLst/>
                          </a:prstGeom>
                        </pic:spPr>
                      </pic:pic>
                    </a:graphicData>
                  </a:graphic>
                </wp:inline>
              </w:drawing>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图3-4  地表水监测点位示意图</w:t>
            </w:r>
          </w:p>
          <w:p>
            <w:pPr>
              <w:adjustRightInd w:val="0"/>
              <w:snapToGrid w:val="0"/>
              <w:spacing w:line="360" w:lineRule="auto"/>
              <w:ind w:firstLine="482" w:firstLineChars="200"/>
              <w:rPr>
                <w:rFonts w:ascii="Times New Roman" w:hAnsi="Times New Roman" w:cs="Times New Roman"/>
                <w:b/>
                <w:color w:val="000000" w:themeColor="text1"/>
                <w:kern w:val="0"/>
                <w:sz w:val="24"/>
                <w14:textFill>
                  <w14:solidFill>
                    <w14:schemeClr w14:val="tx1"/>
                  </w14:solidFill>
                </w14:textFill>
              </w:rPr>
            </w:pPr>
            <w:r>
              <w:rPr>
                <w:rFonts w:hint="eastAsia" w:ascii="Times New Roman" w:hAnsi="Times New Roman" w:cs="Times New Roman"/>
                <w:b/>
                <w:color w:val="000000" w:themeColor="text1"/>
                <w:kern w:val="0"/>
                <w:sz w:val="24"/>
                <w14:textFill>
                  <w14:solidFill>
                    <w14:schemeClr w14:val="tx1"/>
                  </w14:solidFill>
                </w14:textFill>
              </w:rPr>
              <w:t>⑵</w:t>
            </w:r>
            <w:r>
              <w:rPr>
                <w:rFonts w:ascii="Times New Roman" w:hAnsi="Times New Roman" w:cs="Times New Roman"/>
                <w:b/>
                <w:color w:val="000000" w:themeColor="text1"/>
                <w:kern w:val="0"/>
                <w:sz w:val="24"/>
                <w14:textFill>
                  <w14:solidFill>
                    <w14:schemeClr w14:val="tx1"/>
                  </w14:solidFill>
                </w14:textFill>
              </w:rPr>
              <w:t>检测结果</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表3-5  检测结果一览表</w:t>
            </w:r>
          </w:p>
          <w:tbl>
            <w:tblPr>
              <w:tblStyle w:val="62"/>
              <w:tblW w:w="790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0"/>
              <w:gridCol w:w="665"/>
              <w:gridCol w:w="822"/>
              <w:gridCol w:w="822"/>
              <w:gridCol w:w="822"/>
              <w:gridCol w:w="823"/>
              <w:gridCol w:w="822"/>
              <w:gridCol w:w="823"/>
              <w:gridCol w:w="822"/>
              <w:gridCol w:w="7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7903" w:type="dxa"/>
                  <w:gridSpan w:val="11"/>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1#朱庄河上游中心点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水温</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pH 值</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溶解氧</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高锰酸盐 指数</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化学需 氧量</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五日生化 需氧量</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氨氮</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restart"/>
                  <w:tcBorders>
                    <w:bottom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18.4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6.8</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2.6</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0. 174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top w:val="nil"/>
                    <w:bottom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17.6</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7.21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1.7</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0. 153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top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19.3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7. 13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6.7</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10</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0. 186</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无量纲</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≥5</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≤20</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总磷</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铜</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锌</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氟化物</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硒</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砷</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汞</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restart"/>
                  <w:tcBorders>
                    <w:bottom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0. 152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top w:val="nil"/>
                    <w:bottom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0. 184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top w:val="nil"/>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0. 169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≤0.0001</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铬</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铅</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氰化物</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挥发酚</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石油类</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阴离子表 面活性剂</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硫化物</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粪大肠 菌群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06" w:type="dxa"/>
                  <w:vMerge w:val="restart"/>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755" w:type="dxa"/>
                  <w:gridSpan w:val="2"/>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06" w:type="dxa"/>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755" w:type="dxa"/>
                  <w:gridSpan w:val="2"/>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06" w:type="dxa"/>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755" w:type="dxa"/>
                  <w:gridSpan w:val="2"/>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940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MPN/L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7903" w:type="dxa"/>
                  <w:gridSpan w:val="11"/>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2#朱庄河下游中心点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水温</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pH 值</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溶解氧</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高锰酸盐 指数</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化学需 氧量</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五日生化 需氧量</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氨氮</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restart"/>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17.2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7.84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6.2</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3.3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2.7</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0. 193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17.9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7.49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6.5</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4.0</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3.4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0.226</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18.6</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7.63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3.7</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3.1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0.207</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无量纲</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≥5</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≤6</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≤20</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≤4</w:t>
                  </w:r>
                </w:p>
              </w:tc>
              <w:tc>
                <w:tcPr>
                  <w:tcW w:w="822" w:type="dxa"/>
                  <w:vAlign w:val="center"/>
                </w:tcPr>
                <w:p>
                  <w:pPr>
                    <w:rPr>
                      <w:rFonts w:ascii="Times New Roman" w:hAnsi="Times New Roman" w:cs="Times New Roman" w:eastAsiaTheme="minorEastAsia"/>
                      <w:snapToGrid w:val="0"/>
                      <w:color w:val="000000" w:themeColor="text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总磷</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铜</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锌</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氟化物</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硒</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砷</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汞</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restart"/>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0. 174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0. 189</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&lt;0.009</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0. 192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&lt;0.00004</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≤0.0001</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铬</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铅</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氰化物</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挥发酚</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石油类</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阴离子表 面活性剂</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硫化物</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粪大肠 菌群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restart"/>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 结果</w:t>
                  </w: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第一次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第二次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696" w:type="dxa"/>
                  <w:gridSpan w:val="2"/>
                  <w:vMerge w:val="continue"/>
                  <w:tcBorders>
                    <w:righ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665" w:type="dxa"/>
                  <w:tcBorders>
                    <w:left w:val="single" w:color="auto" w:sz="4" w:space="0"/>
                  </w:tcBorders>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第三次</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&lt;0.001</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&lt;0.004</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&lt;0.0003</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&lt;0.01</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&lt;0.003</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单位</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mg/L</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MPN/L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361" w:type="dxa"/>
                  <w:gridSpan w:val="3"/>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限值标准</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≤0.005</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≤0.05</w:t>
                  </w:r>
                </w:p>
              </w:tc>
              <w:tc>
                <w:tcPr>
                  <w:tcW w:w="82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8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≤0.2</w:t>
                  </w:r>
                </w:p>
              </w:tc>
              <w:tc>
                <w:tcPr>
                  <w:tcW w:w="786"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 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7903" w:type="dxa"/>
                  <w:gridSpan w:val="11"/>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注：1.检测结果中“&lt;”表示检测结果低于检出限，“&lt;”后数值为该项目检出限，“/”表示该标准无此限值； 2. 限值标准参照《地表水环境质量标准》GB 3838-2002 Ⅲ类标准值。</w:t>
                  </w:r>
                </w:p>
              </w:tc>
            </w:tr>
          </w:tbl>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由上表可知，朱庄河水质环境较好，满足《地表水环境质量标准》（GB 3838-2002）中</w:t>
            </w:r>
            <w:r>
              <w:rPr>
                <w:rFonts w:ascii="Times New Roman" w:hAnsi="Times New Roman" w:cs="Times New Roman"/>
                <w:color w:val="000000" w:themeColor="text1"/>
                <w:sz w:val="24"/>
                <w14:textFill>
                  <w14:solidFill>
                    <w14:schemeClr w14:val="tx1"/>
                  </w14:solidFill>
                </w14:textFill>
              </w:rPr>
              <w:t>Ⅲ</w:t>
            </w:r>
            <w:r>
              <w:rPr>
                <w:rFonts w:ascii="Times New Roman" w:hAnsi="Times New Roman" w:cs="Times New Roman"/>
                <w:color w:val="000000" w:themeColor="text1"/>
                <w:kern w:val="0"/>
                <w:sz w:val="24"/>
                <w14:textFill>
                  <w14:solidFill>
                    <w14:schemeClr w14:val="tx1"/>
                  </w14:solidFill>
                </w14:textFill>
              </w:rPr>
              <w:t>类标准要求。</w:t>
            </w:r>
          </w:p>
          <w:p>
            <w:pPr>
              <w:autoSpaceDE w:val="0"/>
              <w:autoSpaceDN w:val="0"/>
              <w:adjustRightInd w:val="0"/>
              <w:snapToGrid w:val="0"/>
              <w:spacing w:line="360" w:lineRule="auto"/>
              <w:ind w:firstLine="482" w:firstLineChars="200"/>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4、声环境质量现状</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根据现场调查，项目所在区固原市隆德县</w:t>
            </w:r>
            <w:r>
              <w:rPr>
                <w:rFonts w:ascii="Times New Roman" w:hAnsi="Times New Roman" w:cs="Times New Roman"/>
                <w:color w:val="000000" w:themeColor="text1"/>
                <w:sz w:val="24"/>
                <w14:textFill>
                  <w14:solidFill>
                    <w14:schemeClr w14:val="tx1"/>
                  </w14:solidFill>
                </w14:textFill>
              </w:rPr>
              <w:t>朱庄河流域，涉及凤岭乡冯碑、于河、巩龙村，神林乡杨野河、双村及联财镇张楼村等6个行政村，主要交通干道有202乡道</w:t>
            </w:r>
            <w:r>
              <w:rPr>
                <w:rFonts w:ascii="Times New Roman" w:hAnsi="Times New Roman" w:cs="Times New Roman"/>
                <w:color w:val="000000" w:themeColor="text1"/>
                <w:kern w:val="0"/>
                <w:sz w:val="24"/>
                <w14:textFill>
                  <w14:solidFill>
                    <w14:schemeClr w14:val="tx1"/>
                  </w14:solidFill>
                </w14:textFill>
              </w:rPr>
              <w:t>。项目区周边以旱地、坑塘水面、内陆滩涂、其他草地、林地为主，无大型噪声源，人为噪声源相对较少，区域声环境质量总体良好。根据现场调查本项目沿线评价50m范围内有声环境敏感保护目标。因此项目沿线50m范围内敏感目标进行声环境质量现状进行监测。</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（1）监测点的布设 </w:t>
            </w: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项目噪声现状监测共布设3个声环境质量监测点。</w:t>
            </w:r>
          </w:p>
          <w:p>
            <w:pPr>
              <w:pStyle w:val="2"/>
              <w:ind w:left="0" w:leftChars="0" w:firstLine="0" w:firstLineChars="0"/>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1158240</wp:posOffset>
                      </wp:positionH>
                      <wp:positionV relativeFrom="paragraph">
                        <wp:posOffset>568960</wp:posOffset>
                      </wp:positionV>
                      <wp:extent cx="398780" cy="295910"/>
                      <wp:effectExtent l="0" t="0" r="3175" b="190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398780" cy="295910"/>
                              </a:xfrm>
                              <a:prstGeom prst="rect">
                                <a:avLst/>
                              </a:prstGeom>
                              <a:noFill/>
                              <a:ln>
                                <a:noFill/>
                              </a:ln>
                            </wps:spPr>
                            <wps:txbx>
                              <w:txbxContent>
                                <w:p>
                                  <w:pPr>
                                    <w:rPr>
                                      <w:b/>
                                      <w:bCs/>
                                      <w:color w:val="FF0000"/>
                                      <w:sz w:val="24"/>
                                      <w:szCs w:val="32"/>
                                    </w:rPr>
                                  </w:pPr>
                                  <w:r>
                                    <w:rPr>
                                      <w:b/>
                                      <w:bCs/>
                                      <w:color w:val="FF0000"/>
                                      <w:sz w:val="24"/>
                                      <w:szCs w:val="32"/>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2pt;margin-top:44.8pt;height:23.3pt;width:31.4pt;z-index:251677696;mso-width-relative:page;mso-height-relative:page;" filled="f" stroked="f" coordsize="21600,21600" o:gfxdata="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d8/UrWAAAACgEAAA8AAAAAAAAAAQAgAAAAIgAAAGRycy9kb3ducmV2Lnht&#10;bFBLAQIUABQAAAAIAIdO4kDV5gRW+wEAAMgDAAAOAAAAAAAAAAEAIAAAACUBAABkcnMvZTJvRG9j&#10;LnhtbFBLBQYAAAAABgAGAFkBAACSBQAAAAA=&#10;">
                      <v:fill on="f" focussize="0,0"/>
                      <v:stroke on="f"/>
                      <v:imagedata o:title=""/>
                      <o:lock v:ext="edit" aspectratio="f"/>
                      <v:textbox>
                        <w:txbxContent>
                          <w:p>
                            <w:pPr>
                              <w:rPr>
                                <w:b/>
                                <w:bCs/>
                                <w:color w:val="FF0000"/>
                                <w:sz w:val="24"/>
                                <w:szCs w:val="32"/>
                              </w:rPr>
                            </w:pPr>
                            <w:r>
                              <w:rPr>
                                <w:b/>
                                <w:bCs/>
                                <w:color w:val="FF0000"/>
                                <w:sz w:val="24"/>
                                <w:szCs w:val="32"/>
                              </w:rPr>
                              <w:t>2#</w:t>
                            </w:r>
                          </w:p>
                        </w:txbxContent>
                      </v:textbox>
                    </v:shape>
                  </w:pict>
                </mc:Fallback>
              </mc:AlternateContent>
            </w: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4143375</wp:posOffset>
                      </wp:positionH>
                      <wp:positionV relativeFrom="paragraph">
                        <wp:posOffset>855980</wp:posOffset>
                      </wp:positionV>
                      <wp:extent cx="398780" cy="295910"/>
                      <wp:effectExtent l="0" t="0" r="3175" b="1905"/>
                      <wp:wrapNone/>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398780" cy="295910"/>
                              </a:xfrm>
                              <a:prstGeom prst="rect">
                                <a:avLst/>
                              </a:prstGeom>
                              <a:noFill/>
                              <a:ln>
                                <a:noFill/>
                              </a:ln>
                            </wps:spPr>
                            <wps:txbx>
                              <w:txbxContent>
                                <w:p>
                                  <w:pPr>
                                    <w:rPr>
                                      <w:b/>
                                      <w:bCs/>
                                      <w:color w:val="FF0000"/>
                                      <w:sz w:val="24"/>
                                      <w:szCs w:val="32"/>
                                    </w:rPr>
                                  </w:pPr>
                                  <w:r>
                                    <w:rPr>
                                      <w:b/>
                                      <w:bCs/>
                                      <w:color w:val="FF0000"/>
                                      <w:sz w:val="24"/>
                                      <w:szCs w:val="32"/>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6.25pt;margin-top:67.4pt;height:23.3pt;width:31.4pt;z-index:251681792;mso-width-relative:page;mso-height-relative:page;" filled="f" stroked="f" coordsize="21600,21600" o:gfxdata="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DI84fYAAAACwEAAA8AAAAAAAAAAQAgAAAAIgAAAGRycy9kb3ducmV2&#10;LnhtbFBLAQIUABQAAAAIAIdO4kBQLxr6/AEAAMgDAAAOAAAAAAAAAAEAIAAAACcBAABkcnMvZTJv&#10;RG9jLnhtbFBLBQYAAAAABgAGAFkBAACVBQAAAAA=&#10;">
                      <v:fill on="f" focussize="0,0"/>
                      <v:stroke on="f"/>
                      <v:imagedata o:title=""/>
                      <o:lock v:ext="edit" aspectratio="f"/>
                      <v:textbox>
                        <w:txbxContent>
                          <w:p>
                            <w:pPr>
                              <w:rPr>
                                <w:b/>
                                <w:bCs/>
                                <w:color w:val="FF0000"/>
                                <w:sz w:val="24"/>
                                <w:szCs w:val="32"/>
                              </w:rPr>
                            </w:pPr>
                            <w:r>
                              <w:rPr>
                                <w:b/>
                                <w:bCs/>
                                <w:color w:val="FF0000"/>
                                <w:sz w:val="24"/>
                                <w:szCs w:val="32"/>
                              </w:rPr>
                              <w:t>1#</w:t>
                            </w:r>
                          </w:p>
                        </w:txbxContent>
                      </v:textbox>
                    </v:shape>
                  </w:pict>
                </mc:Fallback>
              </mc:AlternateContent>
            </w: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4086225</wp:posOffset>
                      </wp:positionH>
                      <wp:positionV relativeFrom="paragraph">
                        <wp:posOffset>952500</wp:posOffset>
                      </wp:positionV>
                      <wp:extent cx="144780" cy="119380"/>
                      <wp:effectExtent l="13970" t="20320" r="22225" b="12700"/>
                      <wp:wrapNone/>
                      <wp:docPr id="96" name="等腰三角形 96"/>
                      <wp:cNvGraphicFramePr/>
                      <a:graphic xmlns:a="http://schemas.openxmlformats.org/drawingml/2006/main">
                        <a:graphicData uri="http://schemas.microsoft.com/office/word/2010/wordprocessingShape">
                          <wps:wsp>
                            <wps:cNvSpPr>
                              <a:spLocks noChangeArrowheads="1"/>
                            </wps:cNvSpPr>
                            <wps:spPr bwMode="auto">
                              <a:xfrm>
                                <a:off x="0" y="0"/>
                                <a:ext cx="144780" cy="119380"/>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21.75pt;margin-top:75pt;height:9.4pt;width:11.4pt;z-index:251680768;mso-width-relative:page;mso-height-relative:page;" fillcolor="#FF0000" filled="t" stroked="t" coordsize="21600,21600" o:gfxdata="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iyjB2AAAAAsBAAAPAAAAAAAAAAEAIAAAACIAAABkcnMv&#10;ZG93bnJldi54bWxQSwECFAAUAAAACACHTuJAf1OkXjwCAABbBAAADgAAAAAAAAABACAAAAAnAQAA&#10;ZHJzL2Uyb0RvYy54bWxQSwUGAAAAAAYABgBZAQAA1QUAAAAA&#10;" adj="10800">
                      <v:fill on="t" focussize="0,0"/>
                      <v:stroke color="#FF0000" miterlimit="8" joinstyle="miter"/>
                      <v:imagedata o:title=""/>
                      <o:lock v:ext="edit" aspectratio="f"/>
                    </v:shape>
                  </w:pict>
                </mc:Fallback>
              </mc:AlternateContent>
            </w: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1238250</wp:posOffset>
                      </wp:positionH>
                      <wp:positionV relativeFrom="paragraph">
                        <wp:posOffset>476250</wp:posOffset>
                      </wp:positionV>
                      <wp:extent cx="144780" cy="119380"/>
                      <wp:effectExtent l="13970" t="20320" r="22225" b="12700"/>
                      <wp:wrapNone/>
                      <wp:docPr id="95" name="等腰三角形 95"/>
                      <wp:cNvGraphicFramePr/>
                      <a:graphic xmlns:a="http://schemas.openxmlformats.org/drawingml/2006/main">
                        <a:graphicData uri="http://schemas.microsoft.com/office/word/2010/wordprocessingShape">
                          <wps:wsp>
                            <wps:cNvSpPr>
                              <a:spLocks noChangeArrowheads="1"/>
                            </wps:cNvSpPr>
                            <wps:spPr bwMode="auto">
                              <a:xfrm>
                                <a:off x="0" y="0"/>
                                <a:ext cx="144780" cy="119380"/>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7.5pt;margin-top:37.5pt;height:9.4pt;width:11.4pt;z-index:251679744;mso-width-relative:page;mso-height-relative:page;" fillcolor="#FF0000" filled="t" stroked="t" coordsize="21600,21600" o:gfxdata="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9DtcNgAAAAJAQAADwAAAAAAAAABACAAAAAiAAAAZHJzL2Rv&#10;d25yZXYueG1sUEsBAhQAFAAAAAgAh07iQL/lNGg6AgAAWwQAAA4AAAAAAAAAAQAgAAAAJwEAAGRy&#10;cy9lMm9Eb2MueG1sUEsFBgAAAAAGAAYAWQEAANMFAAAAAA==&#10;" adj="10800">
                      <v:fill on="t" focussize="0,0"/>
                      <v:stroke color="#FF0000" miterlimit="8" joinstyle="miter"/>
                      <v:imagedata o:title=""/>
                      <o:lock v:ext="edit" aspectratio="f"/>
                    </v:shape>
                  </w:pict>
                </mc:Fallback>
              </mc:AlternateContent>
            </w: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88900</wp:posOffset>
                      </wp:positionH>
                      <wp:positionV relativeFrom="paragraph">
                        <wp:posOffset>502920</wp:posOffset>
                      </wp:positionV>
                      <wp:extent cx="455295" cy="258445"/>
                      <wp:effectExtent l="0" t="0" r="3810" b="1905"/>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455295" cy="258445"/>
                              </a:xfrm>
                              <a:prstGeom prst="rect">
                                <a:avLst/>
                              </a:prstGeom>
                              <a:noFill/>
                              <a:ln>
                                <a:noFill/>
                              </a:ln>
                            </wps:spPr>
                            <wps:txbx>
                              <w:txbxContent>
                                <w:p>
                                  <w:pPr>
                                    <w:rPr>
                                      <w:b/>
                                      <w:bCs/>
                                      <w:color w:val="FF0000"/>
                                      <w:sz w:val="24"/>
                                      <w:szCs w:val="32"/>
                                    </w:rPr>
                                  </w:pPr>
                                  <w:r>
                                    <w:rPr>
                                      <w:b/>
                                      <w:bCs/>
                                      <w:color w:val="FF0000"/>
                                      <w:sz w:val="24"/>
                                      <w:szCs w:val="32"/>
                                    </w:rPr>
                                    <w:t>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pt;margin-top:39.6pt;height:20.35pt;width:35.85pt;z-index:251678720;mso-width-relative:page;mso-height-relative:page;" filled="f" stroked="f" coordsize="21600,21600" o:gfxdata="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tGr39UAAAAIAQAADwAAAAAAAAABACAAAAAiAAAAZHJzL2Rvd25yZXYueG1s&#10;UEsBAhQAFAAAAAgAh07iQBzKNdb7AQAAyAMAAA4AAAAAAAAAAQAgAAAAJAEAAGRycy9lMm9Eb2Mu&#10;eG1sUEsFBgAAAAAGAAYAWQEAAJEFAAAAAA==&#10;">
                      <v:fill on="f" focussize="0,0"/>
                      <v:stroke on="f"/>
                      <v:imagedata o:title=""/>
                      <o:lock v:ext="edit" aspectratio="f"/>
                      <v:textbox>
                        <w:txbxContent>
                          <w:p>
                            <w:pPr>
                              <w:rPr>
                                <w:b/>
                                <w:bCs/>
                                <w:color w:val="FF0000"/>
                                <w:sz w:val="24"/>
                                <w:szCs w:val="32"/>
                              </w:rPr>
                            </w:pPr>
                            <w:r>
                              <w:rPr>
                                <w:b/>
                                <w:bCs/>
                                <w:color w:val="FF0000"/>
                                <w:sz w:val="24"/>
                                <w:szCs w:val="32"/>
                              </w:rPr>
                              <w:t>3#</w:t>
                            </w:r>
                          </w:p>
                        </w:txbxContent>
                      </v:textbox>
                    </v:shape>
                  </w:pict>
                </mc:Fallback>
              </mc:AlternateContent>
            </w:r>
            <w:r>
              <w:rPr>
                <w:rFonts w:ascii="Times New Roman" w:hAnsi="Times New Roman" w:cs="Times New Roman"/>
                <w:color w:val="000000" w:themeColor="text1"/>
                <w:kern w:val="0"/>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393065</wp:posOffset>
                      </wp:positionV>
                      <wp:extent cx="144780" cy="119380"/>
                      <wp:effectExtent l="13970" t="20320" r="22225" b="12700"/>
                      <wp:wrapNone/>
                      <wp:docPr id="82" name="等腰三角形 82"/>
                      <wp:cNvGraphicFramePr/>
                      <a:graphic xmlns:a="http://schemas.openxmlformats.org/drawingml/2006/main">
                        <a:graphicData uri="http://schemas.microsoft.com/office/word/2010/wordprocessingShape">
                          <wps:wsp>
                            <wps:cNvSpPr>
                              <a:spLocks noChangeArrowheads="1"/>
                            </wps:cNvSpPr>
                            <wps:spPr bwMode="auto">
                              <a:xfrm>
                                <a:off x="0" y="0"/>
                                <a:ext cx="144780" cy="119380"/>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5pt;margin-top:30.95pt;height:9.4pt;width:11.4pt;z-index:251676672;mso-width-relative:page;mso-height-relative:page;" fillcolor="#FF0000" filled="t" stroked="t" coordsize="21600,21600" o:gfxdata="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dtwcHVAAAABwEAAA8AAAAAAAAAAQAgAAAAIgAAAGRycy9kb3du&#10;cmV2LnhtbFBLAQIUABQAAAAIAIdO4kB91KthOwIAAFsEAAAOAAAAAAAAAAEAIAAAACQBAABkcnMv&#10;ZTJvRG9jLnhtbFBLBQYAAAAABgAGAFkBAADRBQAAAAA=&#10;" adj="10800">
                      <v:fill on="t" focussize="0,0"/>
                      <v:stroke color="#FF0000" miterlimit="8" joinstyle="miter"/>
                      <v:imagedata o:title=""/>
                      <o:lock v:ext="edit" aspectratio="f"/>
                    </v:shape>
                  </w:pict>
                </mc:Fallback>
              </mc:AlternateContent>
            </w:r>
            <w:r>
              <w:rPr>
                <w:rFonts w:ascii="Times New Roman" w:hAnsi="Times New Roman" w:cs="Times New Roman"/>
                <w:color w:val="000000" w:themeColor="text1"/>
                <w14:textFill>
                  <w14:solidFill>
                    <w14:schemeClr w14:val="tx1"/>
                  </w14:solidFill>
                </w14:textFill>
              </w:rPr>
              <w:drawing>
                <wp:inline distT="0" distB="0" distL="0" distR="0">
                  <wp:extent cx="5210175" cy="145161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32626" cy="1458437"/>
                          </a:xfrm>
                          <a:prstGeom prst="rect">
                            <a:avLst/>
                          </a:prstGeom>
                        </pic:spPr>
                      </pic:pic>
                    </a:graphicData>
                  </a:graphic>
                </wp:inline>
              </w:drawing>
            </w:r>
          </w:p>
          <w:p>
            <w:pPr>
              <w:adjustRightInd w:val="0"/>
              <w:snapToGrid w:val="0"/>
              <w:spacing w:line="360" w:lineRule="auto"/>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图3-5  噪声监测点位示意图</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（2）监测时间及频率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2022年8月2~3日在项目沿线进行了声环境质量现状监测，连续监测2天，每天监测2次，昼夜各1次。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（3）评价标准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采用《声环境质量标准》（GB3096-2008）1 类标准。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（4）评价方法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根据现状监测结果，采用各监测点等效声级值与评价标准相比较的方法得出声环境质量现状评价结果。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（5）监测结果统计与评价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环境噪声监测结果见表3-6。</w:t>
            </w:r>
          </w:p>
          <w:p>
            <w:pPr>
              <w:widowControl/>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 xml:space="preserve">                     表3-6 </w:t>
            </w:r>
            <w:r>
              <w:rPr>
                <w:rFonts w:ascii="Times New Roman" w:hAnsi="Times New Roman" w:cs="Times New Roman"/>
                <w:b/>
                <w:bCs/>
                <w:color w:val="000000" w:themeColor="text1"/>
                <w:kern w:val="0"/>
                <w:sz w:val="24"/>
                <w:lang w:bidi="ar"/>
                <w14:textFill>
                  <w14:solidFill>
                    <w14:schemeClr w14:val="tx1"/>
                  </w14:solidFill>
                </w14:textFill>
              </w:rPr>
              <w:t>噪声监测结果           单位 dB（A）</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899"/>
              <w:gridCol w:w="802"/>
              <w:gridCol w:w="850"/>
              <w:gridCol w:w="851"/>
              <w:gridCol w:w="850"/>
              <w:gridCol w:w="851"/>
              <w:gridCol w:w="850"/>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vMerge w:val="restart"/>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监测点名称</w:t>
                  </w:r>
                </w:p>
              </w:tc>
              <w:tc>
                <w:tcPr>
                  <w:tcW w:w="3402" w:type="dxa"/>
                  <w:gridSpan w:val="4"/>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监测结果dB(A)</w:t>
                  </w:r>
                </w:p>
              </w:tc>
              <w:tc>
                <w:tcPr>
                  <w:tcW w:w="2551" w:type="dxa"/>
                  <w:gridSpan w:val="3"/>
                  <w:vMerge w:val="restart"/>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评价标准</w:t>
                  </w:r>
                </w:p>
              </w:tc>
              <w:tc>
                <w:tcPr>
                  <w:tcW w:w="641" w:type="dxa"/>
                  <w:vMerge w:val="restart"/>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评价</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vMerge w:val="continue"/>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p>
              </w:tc>
              <w:tc>
                <w:tcPr>
                  <w:tcW w:w="1701" w:type="dxa"/>
                  <w:gridSpan w:val="2"/>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8月2日</w:t>
                  </w:r>
                </w:p>
              </w:tc>
              <w:tc>
                <w:tcPr>
                  <w:tcW w:w="1701" w:type="dxa"/>
                  <w:gridSpan w:val="2"/>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8月3日</w:t>
                  </w:r>
                </w:p>
              </w:tc>
              <w:tc>
                <w:tcPr>
                  <w:tcW w:w="2551" w:type="dxa"/>
                  <w:gridSpan w:val="3"/>
                  <w:vMerge w:val="continue"/>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p>
              </w:tc>
              <w:tc>
                <w:tcPr>
                  <w:tcW w:w="64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vMerge w:val="continue"/>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p>
              </w:tc>
              <w:tc>
                <w:tcPr>
                  <w:tcW w:w="899"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昼间</w:t>
                  </w:r>
                </w:p>
              </w:tc>
              <w:tc>
                <w:tcPr>
                  <w:tcW w:w="802"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夜间</w:t>
                  </w:r>
                </w:p>
              </w:tc>
              <w:tc>
                <w:tcPr>
                  <w:tcW w:w="850"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昼间</w:t>
                  </w:r>
                </w:p>
              </w:tc>
              <w:tc>
                <w:tcPr>
                  <w:tcW w:w="851"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夜间</w:t>
                  </w:r>
                </w:p>
              </w:tc>
              <w:tc>
                <w:tcPr>
                  <w:tcW w:w="850"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标准</w:t>
                  </w:r>
                </w:p>
              </w:tc>
              <w:tc>
                <w:tcPr>
                  <w:tcW w:w="851"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昼间</w:t>
                  </w:r>
                </w:p>
              </w:tc>
              <w:tc>
                <w:tcPr>
                  <w:tcW w:w="850" w:type="dxa"/>
                  <w:shd w:val="clear" w:color="auto" w:fill="auto"/>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夜间</w:t>
                  </w:r>
                </w:p>
              </w:tc>
              <w:tc>
                <w:tcPr>
                  <w:tcW w:w="64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1#李家嘴</w:t>
                  </w:r>
                </w:p>
              </w:tc>
              <w:tc>
                <w:tcPr>
                  <w:tcW w:w="899"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48</w:t>
                  </w:r>
                </w:p>
              </w:tc>
              <w:tc>
                <w:tcPr>
                  <w:tcW w:w="802"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38</w:t>
                  </w:r>
                </w:p>
              </w:tc>
              <w:tc>
                <w:tcPr>
                  <w:tcW w:w="850"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47</w:t>
                  </w:r>
                </w:p>
              </w:tc>
              <w:tc>
                <w:tcPr>
                  <w:tcW w:w="851"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39</w:t>
                  </w:r>
                </w:p>
              </w:tc>
              <w:tc>
                <w:tcPr>
                  <w:tcW w:w="850" w:type="dxa"/>
                  <w:vMerge w:val="restart"/>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1类</w:t>
                  </w:r>
                </w:p>
              </w:tc>
              <w:tc>
                <w:tcPr>
                  <w:tcW w:w="851" w:type="dxa"/>
                  <w:vMerge w:val="restart"/>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55</w:t>
                  </w:r>
                </w:p>
              </w:tc>
              <w:tc>
                <w:tcPr>
                  <w:tcW w:w="850" w:type="dxa"/>
                  <w:vMerge w:val="restart"/>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w:t>
                  </w:r>
                </w:p>
              </w:tc>
              <w:tc>
                <w:tcPr>
                  <w:tcW w:w="641" w:type="dxa"/>
                  <w:vMerge w:val="restart"/>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2#杨野河村</w:t>
                  </w:r>
                </w:p>
              </w:tc>
              <w:tc>
                <w:tcPr>
                  <w:tcW w:w="899"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49</w:t>
                  </w:r>
                </w:p>
              </w:tc>
              <w:tc>
                <w:tcPr>
                  <w:tcW w:w="802"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39</w:t>
                  </w:r>
                </w:p>
              </w:tc>
              <w:tc>
                <w:tcPr>
                  <w:tcW w:w="850"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38</w:t>
                  </w:r>
                </w:p>
              </w:tc>
              <w:tc>
                <w:tcPr>
                  <w:tcW w:w="851"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37</w:t>
                  </w:r>
                </w:p>
              </w:tc>
              <w:tc>
                <w:tcPr>
                  <w:tcW w:w="850"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85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850"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64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5"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3#双村</w:t>
                  </w:r>
                </w:p>
              </w:tc>
              <w:tc>
                <w:tcPr>
                  <w:tcW w:w="899"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43</w:t>
                  </w:r>
                </w:p>
              </w:tc>
              <w:tc>
                <w:tcPr>
                  <w:tcW w:w="802"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30</w:t>
                  </w:r>
                </w:p>
              </w:tc>
              <w:tc>
                <w:tcPr>
                  <w:tcW w:w="850"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39</w:t>
                  </w:r>
                </w:p>
              </w:tc>
              <w:tc>
                <w:tcPr>
                  <w:tcW w:w="851" w:type="dxa"/>
                  <w:shd w:val="clear" w:color="auto" w:fill="auto"/>
                  <w:vAlign w:val="center"/>
                </w:tcPr>
                <w:p>
                  <w:pPr>
                    <w:spacing w:line="240" w:lineRule="exact"/>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32</w:t>
                  </w:r>
                </w:p>
              </w:tc>
              <w:tc>
                <w:tcPr>
                  <w:tcW w:w="850"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85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850"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641" w:type="dxa"/>
                  <w:vMerge w:val="continue"/>
                  <w:shd w:val="clear" w:color="auto" w:fill="auto"/>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bl>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由上表可知，噪声监测点昼间等效声级范围为38～49dB(A)，夜间等效声级范围为30～39dB(A)，噪声监测点昼、夜间等效声级均能满足《声环境质量标准》（GB3096-2008）1类标准要求。</w:t>
            </w:r>
          </w:p>
          <w:p>
            <w:pPr>
              <w:autoSpaceDE w:val="0"/>
              <w:autoSpaceDN w:val="0"/>
              <w:adjustRightInd w:val="0"/>
              <w:snapToGrid w:val="0"/>
              <w:spacing w:line="360" w:lineRule="auto"/>
              <w:ind w:firstLine="482"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5、地下水、土壤环境质量现状</w:t>
            </w:r>
          </w:p>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根据《建设项目环境影响报告表编制技术指南》（生态影响类）（试行）要求“项目涉及的水、大气、声、土壤等其他环境要素，应明确项目所在区域的环境质量现状”。</w:t>
            </w:r>
          </w:p>
          <w:p>
            <w:pPr>
              <w:autoSpaceDE w:val="0"/>
              <w:autoSpaceDN w:val="0"/>
              <w:adjustRightInd w:val="0"/>
              <w:snapToGrid w:val="0"/>
              <w:spacing w:line="360" w:lineRule="auto"/>
              <w:ind w:firstLine="480" w:firstLineChars="20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本项目为朱庄河流域国土空间生态修复工程，</w:t>
            </w:r>
            <w:r>
              <w:rPr>
                <w:rFonts w:ascii="Times New Roman" w:hAnsi="Times New Roman" w:cs="Times New Roman"/>
                <w:color w:val="000000" w:themeColor="text1"/>
                <w:sz w:val="24"/>
                <w14:textFill>
                  <w14:solidFill>
                    <w14:schemeClr w14:val="tx1"/>
                  </w14:solidFill>
                </w14:textFill>
              </w:rPr>
              <w:t>建设内容主要包括陡坎生态修复工程、河床生态修复工程、护岸生态修复工程、生态经济林工程，营造水土保持林和采取封育治理措施。</w:t>
            </w:r>
            <w:r>
              <w:rPr>
                <w:rFonts w:ascii="Times New Roman" w:hAnsi="Times New Roman" w:cs="Times New Roman"/>
                <w:color w:val="000000" w:themeColor="text1"/>
                <w:kern w:val="0"/>
                <w:sz w:val="24"/>
                <w14:textFill>
                  <w14:solidFill>
                    <w14:schemeClr w14:val="tx1"/>
                  </w14:solidFill>
                </w14:textFill>
              </w:rPr>
              <w:t>周边无地下水环境敏感目标，因此本项目不需进行地下水、</w:t>
            </w:r>
            <w:r>
              <w:rPr>
                <w:rFonts w:ascii="Times New Roman" w:hAnsi="Times New Roman" w:cs="Times New Roman"/>
                <w:snapToGrid w:val="0"/>
                <w:color w:val="000000" w:themeColor="text1"/>
                <w:sz w:val="24"/>
                <w14:textFill>
                  <w14:solidFill>
                    <w14:schemeClr w14:val="tx1"/>
                  </w14:solidFill>
                </w14:textFill>
              </w:rPr>
              <w:t>土壤环境现状调查。</w:t>
            </w:r>
          </w:p>
          <w:p>
            <w:pPr>
              <w:autoSpaceDE w:val="0"/>
              <w:autoSpaceDN w:val="0"/>
              <w:adjustRightInd w:val="0"/>
              <w:snapToGrid w:val="0"/>
              <w:spacing w:line="360" w:lineRule="auto"/>
              <w:ind w:firstLine="482" w:firstLineChars="200"/>
              <w:rPr>
                <w:rFonts w:ascii="Times New Roman" w:hAnsi="Times New Roman" w:cs="Times New Roman"/>
                <w:b/>
                <w:color w:val="000000" w:themeColor="text1"/>
                <w:kern w:val="0"/>
                <w:sz w:val="24"/>
                <w14:textFill>
                  <w14:solidFill>
                    <w14:schemeClr w14:val="tx1"/>
                  </w14:solidFill>
                </w14:textFill>
              </w:rPr>
            </w:pPr>
            <w:r>
              <w:rPr>
                <w:rFonts w:hint="eastAsia" w:ascii="Times New Roman" w:hAnsi="Times New Roman" w:cs="Times New Roman"/>
                <w:b/>
                <w:color w:val="000000" w:themeColor="text1"/>
                <w:kern w:val="0"/>
                <w:sz w:val="24"/>
                <w14:textFill>
                  <w14:solidFill>
                    <w14:schemeClr w14:val="tx1"/>
                  </w14:solidFill>
                </w14:textFill>
              </w:rPr>
              <w:t>6、底泥监测现状</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为了进一步了解朱庄河的</w:t>
            </w:r>
            <w:r>
              <w:rPr>
                <w:rFonts w:hint="eastAsia" w:ascii="Times New Roman" w:hAnsi="Times New Roman" w:cs="Times New Roman"/>
                <w:color w:val="000000" w:themeColor="text1"/>
                <w:sz w:val="24"/>
                <w14:textFill>
                  <w14:solidFill>
                    <w14:schemeClr w14:val="tx1"/>
                  </w14:solidFill>
                </w14:textFill>
              </w:rPr>
              <w:t>底泥</w:t>
            </w:r>
            <w:r>
              <w:rPr>
                <w:rFonts w:ascii="Times New Roman" w:hAnsi="Times New Roman" w:cs="Times New Roman"/>
                <w:color w:val="000000" w:themeColor="text1"/>
                <w:sz w:val="24"/>
                <w14:textFill>
                  <w14:solidFill>
                    <w14:schemeClr w14:val="tx1"/>
                  </w14:solidFill>
                </w14:textFill>
              </w:rPr>
              <w:t>质量，于2022年9月25日委托</w:t>
            </w:r>
            <w:r>
              <w:rPr>
                <w:rFonts w:hint="eastAsia" w:ascii="Times New Roman" w:hAnsi="Times New Roman" w:cs="Times New Roman"/>
                <w:color w:val="000000" w:themeColor="text1"/>
                <w:sz w:val="24"/>
                <w14:textFill>
                  <w14:solidFill>
                    <w14:schemeClr w14:val="tx1"/>
                  </w14:solidFill>
                </w14:textFill>
              </w:rPr>
              <w:t>宁夏</w:t>
            </w:r>
            <w:r>
              <w:rPr>
                <w:rFonts w:ascii="Times New Roman" w:hAnsi="Times New Roman" w:cs="Times New Roman"/>
                <w:color w:val="000000" w:themeColor="text1"/>
                <w:sz w:val="24"/>
                <w14:textFill>
                  <w14:solidFill>
                    <w14:schemeClr w14:val="tx1"/>
                  </w14:solidFill>
                </w14:textFill>
              </w:rPr>
              <w:t>华鼎环保科技有限公司对朱庄河上游段、朱庄河下游段的</w:t>
            </w:r>
            <w:r>
              <w:rPr>
                <w:rFonts w:hint="eastAsia" w:ascii="Times New Roman" w:hAnsi="Times New Roman" w:cs="Times New Roman"/>
                <w:color w:val="000000" w:themeColor="text1"/>
                <w:sz w:val="24"/>
                <w14:textFill>
                  <w14:solidFill>
                    <w14:schemeClr w14:val="tx1"/>
                  </w14:solidFill>
                </w14:textFill>
              </w:rPr>
              <w:t>底泥</w:t>
            </w:r>
            <w:r>
              <w:rPr>
                <w:rFonts w:ascii="Times New Roman" w:hAnsi="Times New Roman" w:cs="Times New Roman"/>
                <w:color w:val="000000" w:themeColor="text1"/>
                <w:sz w:val="24"/>
                <w14:textFill>
                  <w14:solidFill>
                    <w14:schemeClr w14:val="tx1"/>
                  </w14:solidFill>
                </w14:textFill>
              </w:rPr>
              <w:t>进行监测。</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⑴</w:t>
            </w:r>
            <w:r>
              <w:rPr>
                <w:rFonts w:ascii="Times New Roman" w:hAnsi="Times New Roman" w:cs="Times New Roman"/>
                <w:color w:val="000000" w:themeColor="text1"/>
                <w:sz w:val="24"/>
                <w14:textFill>
                  <w14:solidFill>
                    <w14:schemeClr w14:val="tx1"/>
                  </w14:solidFill>
                </w14:textFill>
              </w:rPr>
              <w:t>检测信息</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底泥检测信息见下表</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监测点位图见图</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-6</w:t>
            </w:r>
            <w:r>
              <w:rPr>
                <w:rFonts w:hint="eastAsia" w:ascii="Times New Roman" w:hAnsi="Times New Roman" w:cs="Times New Roman"/>
                <w:color w:val="000000" w:themeColor="text1"/>
                <w:sz w:val="24"/>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表3-7  检测信息一览表</w:t>
            </w:r>
          </w:p>
          <w:tbl>
            <w:tblPr>
              <w:tblStyle w:val="62"/>
              <w:tblW w:w="7899"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022"/>
              <w:gridCol w:w="2551"/>
              <w:gridCol w:w="2692"/>
              <w:gridCol w:w="1043"/>
              <w:gridCol w:w="591"/>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102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hint="eastAsia" w:ascii="Times New Roman" w:hAnsi="Times New Roman" w:cs="Times New Roman" w:eastAsiaTheme="minorEastAsia"/>
                      <w:snapToGrid w:val="0"/>
                      <w:color w:val="000000" w:themeColor="text1"/>
                      <w:szCs w:val="21"/>
                      <w14:textFill>
                        <w14:solidFill>
                          <w14:schemeClr w14:val="tx1"/>
                        </w14:solidFill>
                      </w14:textFill>
                    </w:rPr>
                    <w:t>采样时间</w:t>
                  </w:r>
                </w:p>
              </w:tc>
              <w:tc>
                <w:tcPr>
                  <w:tcW w:w="2551"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采样位置</w:t>
                  </w:r>
                </w:p>
              </w:tc>
              <w:tc>
                <w:tcPr>
                  <w:tcW w:w="2692"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检测项目</w:t>
                  </w:r>
                </w:p>
              </w:tc>
              <w:tc>
                <w:tcPr>
                  <w:tcW w:w="1043"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检测频次</w:t>
                  </w:r>
                </w:p>
              </w:tc>
              <w:tc>
                <w:tcPr>
                  <w:tcW w:w="591"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采样方式</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1022"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hint="eastAsia" w:ascii="Times New Roman" w:hAnsi="Times New Roman" w:cs="Times New Roman" w:eastAsiaTheme="minorEastAsia"/>
                      <w:snapToGrid w:val="0"/>
                      <w:color w:val="000000" w:themeColor="text1"/>
                      <w:szCs w:val="21"/>
                      <w14:textFill>
                        <w14:solidFill>
                          <w14:schemeClr w14:val="tx1"/>
                        </w14:solidFill>
                      </w14:textFill>
                    </w:rPr>
                    <w:t>2</w:t>
                  </w:r>
                  <w:r>
                    <w:rPr>
                      <w:rFonts w:ascii="Times New Roman" w:hAnsi="Times New Roman" w:cs="Times New Roman" w:eastAsiaTheme="minorEastAsia"/>
                      <w:snapToGrid w:val="0"/>
                      <w:color w:val="000000" w:themeColor="text1"/>
                      <w:szCs w:val="21"/>
                      <w14:textFill>
                        <w14:solidFill>
                          <w14:schemeClr w14:val="tx1"/>
                        </w14:solidFill>
                      </w14:textFill>
                    </w:rPr>
                    <w:t>022年</w:t>
                  </w:r>
                  <w:r>
                    <w:rPr>
                      <w:rFonts w:hint="eastAsia" w:ascii="Times New Roman" w:hAnsi="Times New Roman" w:cs="Times New Roman" w:eastAsiaTheme="minorEastAsia"/>
                      <w:snapToGrid w:val="0"/>
                      <w:color w:val="000000" w:themeColor="text1"/>
                      <w:szCs w:val="21"/>
                      <w14:textFill>
                        <w14:solidFill>
                          <w14:schemeClr w14:val="tx1"/>
                        </w14:solidFill>
                      </w14:textFill>
                    </w:rPr>
                    <w:t>11月1</w:t>
                  </w:r>
                  <w:r>
                    <w:rPr>
                      <w:rFonts w:ascii="Times New Roman" w:hAnsi="Times New Roman" w:cs="Times New Roman" w:eastAsiaTheme="minorEastAsia"/>
                      <w:snapToGrid w:val="0"/>
                      <w:color w:val="000000" w:themeColor="text1"/>
                      <w:szCs w:val="21"/>
                      <w14:textFill>
                        <w14:solidFill>
                          <w14:schemeClr w14:val="tx1"/>
                        </w14:solidFill>
                      </w14:textFill>
                    </w:rPr>
                    <w:t>4日</w:t>
                  </w:r>
                </w:p>
              </w:tc>
              <w:tc>
                <w:tcPr>
                  <w:tcW w:w="2551"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1#朱庄河上游</w:t>
                  </w:r>
                  <w:r>
                    <w:rPr>
                      <w:rFonts w:hint="eastAsia" w:ascii="Times New Roman" w:hAnsi="Times New Roman" w:cs="Times New Roman" w:eastAsiaTheme="minorEastAsia"/>
                      <w:snapToGrid w:val="0"/>
                      <w:color w:val="000000" w:themeColor="text1"/>
                      <w:szCs w:val="21"/>
                      <w14:textFill>
                        <w14:solidFill>
                          <w14:schemeClr w14:val="tx1"/>
                        </w14:solidFill>
                      </w14:textFill>
                    </w:rPr>
                    <w:t>（表中层）</w:t>
                  </w:r>
                </w:p>
              </w:tc>
              <w:tc>
                <w:tcPr>
                  <w:tcW w:w="2692"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hint="eastAsia" w:ascii="Times New Roman" w:hAnsi="Times New Roman" w:cs="Times New Roman" w:eastAsiaTheme="minorEastAsia"/>
                      <w:snapToGrid w:val="0"/>
                      <w:color w:val="000000" w:themeColor="text1"/>
                      <w:szCs w:val="21"/>
                      <w14:textFill>
                        <w14:solidFill>
                          <w14:schemeClr w14:val="tx1"/>
                        </w14:solidFill>
                      </w14:textFill>
                    </w:rPr>
                    <w:t>汞、砷、铅、镉、铜、镍、锌、铬、全氮、全磷、水分（干基）、全盐量</w:t>
                  </w:r>
                </w:p>
              </w:tc>
              <w:tc>
                <w:tcPr>
                  <w:tcW w:w="1043"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1次/天，监测1天</w:t>
                  </w:r>
                </w:p>
              </w:tc>
              <w:tc>
                <w:tcPr>
                  <w:tcW w:w="591" w:type="dxa"/>
                  <w:vMerge w:val="restart"/>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人工</w:t>
                  </w:r>
                  <w:r>
                    <w:rPr>
                      <w:rFonts w:hint="eastAsia" w:ascii="Times New Roman" w:hAnsi="Times New Roman" w:cs="Times New Roman" w:eastAsiaTheme="minorEastAsia"/>
                      <w:snapToGrid w:val="0"/>
                      <w:color w:val="000000" w:themeColor="text1"/>
                      <w:szCs w:val="21"/>
                      <w14:textFill>
                        <w14:solidFill>
                          <w14:schemeClr w14:val="tx1"/>
                        </w14:solidFill>
                      </w14:textFill>
                    </w:rPr>
                    <w:t>采样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jc w:val="center"/>
              </w:trPr>
              <w:tc>
                <w:tcPr>
                  <w:tcW w:w="1022"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2551" w:type="dxa"/>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r>
                    <w:rPr>
                      <w:rFonts w:ascii="Times New Roman" w:hAnsi="Times New Roman" w:cs="Times New Roman" w:eastAsiaTheme="minorEastAsia"/>
                      <w:snapToGrid w:val="0"/>
                      <w:color w:val="000000" w:themeColor="text1"/>
                      <w:szCs w:val="21"/>
                      <w14:textFill>
                        <w14:solidFill>
                          <w14:schemeClr w14:val="tx1"/>
                        </w14:solidFill>
                      </w14:textFill>
                    </w:rPr>
                    <w:t>2#朱庄河下游</w:t>
                  </w:r>
                  <w:r>
                    <w:rPr>
                      <w:rFonts w:hint="eastAsia" w:ascii="Times New Roman" w:hAnsi="Times New Roman" w:cs="Times New Roman" w:eastAsiaTheme="minorEastAsia"/>
                      <w:snapToGrid w:val="0"/>
                      <w:color w:val="000000" w:themeColor="text1"/>
                      <w:szCs w:val="21"/>
                      <w14:textFill>
                        <w14:solidFill>
                          <w14:schemeClr w14:val="tx1"/>
                        </w14:solidFill>
                      </w14:textFill>
                    </w:rPr>
                    <w:t>（表中层）</w:t>
                  </w:r>
                </w:p>
              </w:tc>
              <w:tc>
                <w:tcPr>
                  <w:tcW w:w="2692"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1043"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c>
                <w:tcPr>
                  <w:tcW w:w="591" w:type="dxa"/>
                  <w:vMerge w:val="continue"/>
                  <w:vAlign w:val="center"/>
                </w:tcPr>
                <w:p>
                  <w:pPr>
                    <w:jc w:val="center"/>
                    <w:rPr>
                      <w:rFonts w:ascii="Times New Roman" w:hAnsi="Times New Roman" w:cs="Times New Roman" w:eastAsiaTheme="minorEastAsia"/>
                      <w:snapToGrid w:val="0"/>
                      <w:color w:val="000000" w:themeColor="text1"/>
                      <w:szCs w:val="21"/>
                      <w14:textFill>
                        <w14:solidFill>
                          <w14:schemeClr w14:val="tx1"/>
                        </w14:solidFill>
                      </w14:textFill>
                    </w:rPr>
                  </w:pPr>
                </w:p>
              </w:tc>
            </w:tr>
          </w:tbl>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p>
          <w:p>
            <w:pPr>
              <w:pStyle w:val="12"/>
              <w:adjustRightInd w:val="0"/>
              <w:snapToGrid w:val="0"/>
              <w:spacing w:line="360" w:lineRule="auto"/>
              <w:rPr>
                <w:rFonts w:ascii="Times New Roman" w:hAnsi="Times New Roman" w:cs="Times New Roman"/>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022215" cy="302069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22215" cy="3020695"/>
                          </a:xfrm>
                          <a:prstGeom prst="rect">
                            <a:avLst/>
                          </a:prstGeom>
                        </pic:spPr>
                      </pic:pic>
                    </a:graphicData>
                  </a:graphic>
                </wp:inline>
              </w:drawing>
            </w:r>
          </w:p>
          <w:p>
            <w:pPr>
              <w:pStyle w:val="12"/>
              <w:adjustRightInd w:val="0"/>
              <w:snapToGrid w:val="0"/>
              <w:spacing w:line="360" w:lineRule="auto"/>
              <w:ind w:firstLine="482" w:firstLineChars="20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图3-6  底泥监测点位示意图</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⑵检测结果</w:t>
            </w:r>
          </w:p>
          <w:p>
            <w:pPr>
              <w:pStyle w:val="12"/>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根据朱庄河水质检测结果</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pH&gt;7.5</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评价标准限值选用《土壤环境质</w:t>
            </w:r>
            <w:r>
              <w:rPr>
                <w:rFonts w:hint="eastAsia" w:ascii="Times New Roman" w:hAnsi="Times New Roman" w:cs="Times New Roman"/>
                <w:color w:val="000000" w:themeColor="text1"/>
                <w:sz w:val="24"/>
                <w14:textFill>
                  <w14:solidFill>
                    <w14:schemeClr w14:val="tx1"/>
                  </w14:solidFill>
                </w14:textFill>
              </w:rPr>
              <w:t>量</w:t>
            </w:r>
            <w:r>
              <w:rPr>
                <w:rFonts w:ascii="Times New Roman" w:hAnsi="Times New Roman" w:cs="Times New Roman"/>
                <w:color w:val="000000" w:themeColor="text1"/>
                <w:sz w:val="24"/>
                <w14:textFill>
                  <w14:solidFill>
                    <w14:schemeClr w14:val="tx1"/>
                  </w14:solidFill>
                </w14:textFill>
              </w:rPr>
              <w:t>农用地土壤污染风险管控标准（试行）》</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GB15618-2018）表</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中筛选值</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pH&gt;7.5</w:t>
            </w:r>
            <w:r>
              <w:rPr>
                <w:rFonts w:hint="eastAsia" w:ascii="Times New Roman" w:hAnsi="Times New Roman" w:cs="Times New Roman"/>
                <w:color w:val="000000" w:themeColor="text1"/>
                <w:sz w:val="24"/>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hint="eastAsia" w:ascii="Times New Roman" w:hAnsi="Times New Roman" w:cs="Times New Roman"/>
                <w:b/>
                <w:color w:val="000000" w:themeColor="text1"/>
                <w:kern w:val="0"/>
                <w:sz w:val="24"/>
                <w14:textFill>
                  <w14:solidFill>
                    <w14:schemeClr w14:val="tx1"/>
                  </w14:solidFill>
                </w14:textFill>
              </w:rPr>
              <w:t>表</w:t>
            </w:r>
            <w:r>
              <w:rPr>
                <w:rFonts w:ascii="Times New Roman" w:hAnsi="Times New Roman" w:cs="Times New Roman"/>
                <w:b/>
                <w:color w:val="000000" w:themeColor="text1"/>
                <w:kern w:val="0"/>
                <w:sz w:val="24"/>
                <w14:textFill>
                  <w14:solidFill>
                    <w14:schemeClr w14:val="tx1"/>
                  </w14:solidFill>
                </w14:textFill>
              </w:rPr>
              <w:t xml:space="preserve">3-8  </w:t>
            </w:r>
            <w:r>
              <w:rPr>
                <w:rFonts w:hint="eastAsia" w:ascii="Times New Roman" w:hAnsi="Times New Roman" w:cs="Times New Roman"/>
                <w:b/>
                <w:color w:val="000000" w:themeColor="text1"/>
                <w:kern w:val="0"/>
                <w:sz w:val="24"/>
                <w14:textFill>
                  <w14:solidFill>
                    <w14:schemeClr w14:val="tx1"/>
                  </w14:solidFill>
                </w14:textFill>
              </w:rPr>
              <w:t>检测结果一览表</w:t>
            </w:r>
          </w:p>
          <w:tbl>
            <w:tblPr>
              <w:tblStyle w:val="28"/>
              <w:tblW w:w="78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851"/>
              <w:gridCol w:w="1231"/>
              <w:gridCol w:w="1179"/>
              <w:gridCol w:w="1134"/>
              <w:gridCol w:w="1275"/>
              <w:gridCol w:w="709"/>
              <w:gridCol w:w="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Merge w:val="restart"/>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监测</w:t>
                  </w:r>
                </w:p>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因子</w:t>
                  </w:r>
                </w:p>
              </w:tc>
              <w:tc>
                <w:tcPr>
                  <w:tcW w:w="851" w:type="dxa"/>
                  <w:vMerge w:val="restart"/>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单位</w:t>
                  </w:r>
                </w:p>
              </w:tc>
              <w:tc>
                <w:tcPr>
                  <w:tcW w:w="4819" w:type="dxa"/>
                  <w:gridSpan w:val="4"/>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检测结果</w:t>
                  </w:r>
                </w:p>
              </w:tc>
              <w:tc>
                <w:tcPr>
                  <w:tcW w:w="709" w:type="dxa"/>
                  <w:vMerge w:val="restart"/>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标准限值</w:t>
                  </w:r>
                </w:p>
              </w:tc>
              <w:tc>
                <w:tcPr>
                  <w:tcW w:w="641" w:type="dxa"/>
                  <w:vMerge w:val="restart"/>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Merge w:val="continue"/>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p>
              </w:tc>
              <w:tc>
                <w:tcPr>
                  <w:tcW w:w="851" w:type="dxa"/>
                  <w:vMerge w:val="continue"/>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朱庄河上游（1#）</w:t>
                  </w:r>
                </w:p>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（表层）</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朱庄河上游（1#）</w:t>
                  </w:r>
                </w:p>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（中层）</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朱庄河下游（</w:t>
                  </w:r>
                  <w:r>
                    <w:rPr>
                      <w:rFonts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w:t>
                  </w:r>
                </w:p>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（表层）</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朱庄河下游（1#）</w:t>
                  </w:r>
                </w:p>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（表层）</w:t>
                  </w:r>
                </w:p>
              </w:tc>
              <w:tc>
                <w:tcPr>
                  <w:tcW w:w="709" w:type="dxa"/>
                  <w:vMerge w:val="continue"/>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p>
              </w:tc>
              <w:tc>
                <w:tcPr>
                  <w:tcW w:w="641" w:type="dxa"/>
                  <w:vMerge w:val="continue"/>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水分</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.4</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.2</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.4</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.2</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全盐量</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.0</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.8</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.2</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.2</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全氮</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7</w:t>
                  </w:r>
                  <w:r>
                    <w:rPr>
                      <w:rFonts w:ascii="Times New Roman" w:hAnsi="Times New Roman" w:cs="Times New Roman"/>
                      <w:color w:val="000000" w:themeColor="text1"/>
                      <w:kern w:val="0"/>
                      <w:szCs w:val="21"/>
                      <w14:textFill>
                        <w14:solidFill>
                          <w14:schemeClr w14:val="tx1"/>
                        </w14:solidFill>
                      </w14:textFill>
                    </w:rPr>
                    <w:t>09</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81</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6</w:t>
                  </w:r>
                  <w:r>
                    <w:rPr>
                      <w:rFonts w:ascii="Times New Roman" w:hAnsi="Times New Roman" w:cs="Times New Roman"/>
                      <w:color w:val="000000" w:themeColor="text1"/>
                      <w:kern w:val="0"/>
                      <w:szCs w:val="21"/>
                      <w14:textFill>
                        <w14:solidFill>
                          <w14:schemeClr w14:val="tx1"/>
                        </w14:solidFill>
                      </w14:textFill>
                    </w:rPr>
                    <w:t>77</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72</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汞</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.117</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.105</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.122</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.114</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.4</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砷</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4.1</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1.6</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13.7</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2.1</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5</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铅</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5</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9</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2</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7</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70</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镉</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.05</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.07</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.06</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.06</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.6</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铜</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7</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5</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4</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1</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00</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镍</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4</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8</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2</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1</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90</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铬</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0</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5</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4</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2</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50</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锌</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9</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7</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9</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5</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00</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8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全磷</w:t>
                  </w:r>
                </w:p>
              </w:tc>
              <w:tc>
                <w:tcPr>
                  <w:tcW w:w="85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mg</w:t>
                  </w:r>
                  <w:r>
                    <w:rPr>
                      <w:rFonts w:ascii="Times New Roman" w:hAnsi="Times New Roman" w:cs="Times New Roman"/>
                      <w:color w:val="000000" w:themeColor="text1"/>
                      <w:kern w:val="0"/>
                      <w:szCs w:val="21"/>
                      <w14:textFill>
                        <w14:solidFill>
                          <w14:schemeClr w14:val="tx1"/>
                        </w14:solidFill>
                      </w14:textFill>
                    </w:rPr>
                    <w:t>/kg</w:t>
                  </w:r>
                </w:p>
              </w:tc>
              <w:tc>
                <w:tcPr>
                  <w:tcW w:w="123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.69</w:t>
                  </w:r>
                </w:p>
              </w:tc>
              <w:tc>
                <w:tcPr>
                  <w:tcW w:w="117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.78</w:t>
                  </w:r>
                </w:p>
              </w:tc>
              <w:tc>
                <w:tcPr>
                  <w:tcW w:w="1134"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.67</w:t>
                  </w:r>
                </w:p>
              </w:tc>
              <w:tc>
                <w:tcPr>
                  <w:tcW w:w="1275"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0</w:t>
                  </w:r>
                  <w:r>
                    <w:rPr>
                      <w:rFonts w:ascii="Times New Roman" w:hAnsi="Times New Roman" w:cs="Times New Roman"/>
                      <w:color w:val="000000" w:themeColor="text1"/>
                      <w:kern w:val="0"/>
                      <w:szCs w:val="21"/>
                      <w14:textFill>
                        <w14:solidFill>
                          <w14:schemeClr w14:val="tx1"/>
                        </w14:solidFill>
                      </w14:textFill>
                    </w:rPr>
                    <w:t>.84</w:t>
                  </w:r>
                </w:p>
              </w:tc>
              <w:tc>
                <w:tcPr>
                  <w:tcW w:w="709"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641" w:type="dxa"/>
                  <w:vAlign w:val="center"/>
                </w:tcPr>
                <w:p>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7899" w:type="dxa"/>
                  <w:gridSpan w:val="8"/>
                  <w:vAlign w:val="center"/>
                </w:tcPr>
                <w:p>
                  <w:pPr>
                    <w:autoSpaceDE w:val="0"/>
                    <w:autoSpaceDN w:val="0"/>
                    <w:adjustRightInd w:val="0"/>
                    <w:snapToGrid w:val="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备注</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pH&gt;7.5</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土壤检测因子执行《土壤环境质噩农用地土壤污染风险管控标准（试行）》</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GB15618-2018</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表</w:t>
                  </w: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中筛选值要求。</w:t>
                  </w:r>
                </w:p>
              </w:tc>
            </w:tr>
          </w:tbl>
          <w:p>
            <w:pPr>
              <w:autoSpaceDE w:val="0"/>
              <w:autoSpaceDN w:val="0"/>
              <w:adjustRightInd w:val="0"/>
              <w:snapToGrid w:val="0"/>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由上表可知，底泥检测结果满足</w:t>
            </w:r>
            <w:r>
              <w:rPr>
                <w:rFonts w:ascii="Times New Roman" w:hAnsi="Times New Roman" w:cs="Times New Roman"/>
                <w:color w:val="000000" w:themeColor="text1"/>
                <w:kern w:val="0"/>
                <w:sz w:val="24"/>
                <w14:textFill>
                  <w14:solidFill>
                    <w14:schemeClr w14:val="tx1"/>
                  </w14:solidFill>
                </w14:textFill>
              </w:rPr>
              <w:t>《土壤环境质</w:t>
            </w:r>
            <w:r>
              <w:rPr>
                <w:rFonts w:hint="eastAsia" w:ascii="Times New Roman" w:hAnsi="Times New Roman" w:cs="Times New Roman"/>
                <w:color w:val="000000" w:themeColor="text1"/>
                <w:kern w:val="0"/>
                <w:sz w:val="24"/>
                <w14:textFill>
                  <w14:solidFill>
                    <w14:schemeClr w14:val="tx1"/>
                  </w14:solidFill>
                </w14:textFill>
              </w:rPr>
              <w:t>量</w:t>
            </w:r>
            <w:r>
              <w:rPr>
                <w:rFonts w:ascii="Times New Roman" w:hAnsi="Times New Roman" w:cs="Times New Roman"/>
                <w:color w:val="000000" w:themeColor="text1"/>
                <w:kern w:val="0"/>
                <w:sz w:val="24"/>
                <w14:textFill>
                  <w14:solidFill>
                    <w14:schemeClr w14:val="tx1"/>
                  </w14:solidFill>
                </w14:textFill>
              </w:rPr>
              <w:t>农用地土壤污染风险管控标准（试行）》</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GB15618-2018</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表l中筛选值的要求</w:t>
            </w:r>
            <w:r>
              <w:rPr>
                <w:rFonts w:hint="eastAsia" w:ascii="Times New Roman" w:hAnsi="Times New Roman" w:cs="Times New Roman"/>
                <w:color w:val="000000" w:themeColor="text1"/>
                <w:ker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与项目有关的原有环境污染和生态破坏问题</w:t>
            </w:r>
          </w:p>
        </w:tc>
        <w:tc>
          <w:tcPr>
            <w:tcW w:w="8125" w:type="dxa"/>
            <w:vAlign w:val="center"/>
          </w:tcPr>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近年来，由于受经济条件制约，朱庄河流域上游凤岭段、下游神林段河道未进行系统的治理，河道受洪水冲刷和砂石开采等影响，导致河岸坍塌，河道淤积，河形极不规整，行洪能力不足。洪水冲刷造成岸坡坍塌、耕地流失以及河道下切等灾害时有发生，致使河道两侧遍布陡坡、凸坎、高悬崖等，河道内杂草丛生，生态环境恶化，危及人民生命财产安全，对朱庄河流域生态环境造成很大的影响。</w:t>
            </w:r>
          </w:p>
          <w:p>
            <w:pPr>
              <w:pStyle w:val="38"/>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通过测量数据计算朱庄河现状河道比降为1：70至1:100，河道纵向坡度较陡，横断面呈“V”或“U”型，阶梯型河漫滩不发育，河道的洪枯变幅大，枯水期流量小。山区暴雨的积雨面积大、集中强度大，汇流时间短、水流速度快、挟沙能力和冲刷能力强，其推移质和悬移质多，危害性极大。河道两侧陡坎上不远处大多是居民住宅、耕地及入户道路，每次行洪时，轻则河岸坍塌、淤塞河床，重则损毁耕地、居民地，直接威胁人民群众的生命财产安全。本次设计崩塌地质灾害险情点共计12处。</w:t>
            </w:r>
          </w:p>
          <w:p>
            <w:pPr>
              <w:pStyle w:val="38"/>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本项目主要对项目区内朱庄河流域凤岭乡段、神林乡段进行生态空间修复，提高项目区生态环境和人居环境。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生态环境保护目标</w:t>
            </w:r>
          </w:p>
        </w:tc>
        <w:tc>
          <w:tcPr>
            <w:tcW w:w="8125" w:type="dxa"/>
            <w:vAlign w:val="center"/>
          </w:tcPr>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建设项目环境影响评价分类管理名录》中关于环境敏感因素的界定原则，本项目评价区域内无国家及自治区级人民政府划定的自然保护区、风景旅游区、文化遗产保护区、水源地等，环境保护目标及敏感点见表3-9</w:t>
            </w:r>
            <w:r>
              <w:rPr>
                <w:rFonts w:ascii="Times New Roman" w:hAnsi="Times New Roman" w:cs="Times New Roman"/>
                <w:color w:val="000000" w:themeColor="text1"/>
                <w:kern w:val="0"/>
                <w:sz w:val="24"/>
                <w:lang w:bidi="ar"/>
                <w14:textFill>
                  <w14:solidFill>
                    <w14:schemeClr w14:val="tx1"/>
                  </w14:solidFill>
                </w14:textFill>
              </w:rPr>
              <w:t>。</w:t>
            </w:r>
          </w:p>
          <w:p>
            <w:pPr>
              <w:widowControl/>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表3-9  项目所在区域环境空气环境、声环境保护目标</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55"/>
              <w:gridCol w:w="1075"/>
              <w:gridCol w:w="1559"/>
              <w:gridCol w:w="1276"/>
              <w:gridCol w:w="1134"/>
              <w:gridCol w:w="709"/>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环境要素</w:t>
                  </w:r>
                </w:p>
              </w:tc>
              <w:tc>
                <w:tcPr>
                  <w:tcW w:w="1075"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名称</w:t>
                  </w:r>
                </w:p>
              </w:tc>
              <w:tc>
                <w:tcPr>
                  <w:tcW w:w="1559"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坐标</w:t>
                  </w:r>
                </w:p>
              </w:tc>
              <w:tc>
                <w:tcPr>
                  <w:tcW w:w="1276"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保护</w:t>
                  </w:r>
                  <w:r>
                    <w:rPr>
                      <w:rFonts w:hint="eastAsia" w:ascii="Times New Roman" w:hAnsi="Times New Roman" w:cs="Times New Roman"/>
                      <w:b/>
                      <w:bCs/>
                      <w:color w:val="000000" w:themeColor="text1"/>
                      <w:kern w:val="0"/>
                      <w:szCs w:val="21"/>
                      <w:lang w:bidi="ar"/>
                      <w14:textFill>
                        <w14:solidFill>
                          <w14:schemeClr w14:val="tx1"/>
                        </w14:solidFill>
                      </w14:textFill>
                    </w:rPr>
                    <w:t>内容</w:t>
                  </w:r>
                </w:p>
              </w:tc>
              <w:tc>
                <w:tcPr>
                  <w:tcW w:w="1134"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相对方位</w:t>
                  </w:r>
                </w:p>
              </w:tc>
              <w:tc>
                <w:tcPr>
                  <w:tcW w:w="709"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相对</w:t>
                  </w:r>
                </w:p>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距离</w:t>
                  </w:r>
                </w:p>
              </w:tc>
              <w:tc>
                <w:tcPr>
                  <w:tcW w:w="1491" w:type="dxa"/>
                  <w:vAlign w:val="center"/>
                </w:tcPr>
                <w:p>
                  <w:pPr>
                    <w:widowControl/>
                    <w:jc w:val="center"/>
                    <w:rPr>
                      <w:rFonts w:ascii="Times New Roman" w:hAnsi="Times New Roman" w:cs="Times New Roman"/>
                      <w:b/>
                      <w:bCs/>
                      <w:color w:val="000000" w:themeColor="text1"/>
                      <w:kern w:val="0"/>
                      <w:szCs w:val="21"/>
                      <w:lang w:bidi="ar"/>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功能要求及保护级别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restart"/>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环境空气</w:t>
                  </w: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巩龙村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106.059687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N：35.539332</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上游东北侧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172m</w:t>
                  </w:r>
                </w:p>
              </w:tc>
              <w:tc>
                <w:tcPr>
                  <w:tcW w:w="1491" w:type="dxa"/>
                  <w:vMerge w:val="restart"/>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《环境空气质量标准》GB3095-2012）及修改单二级标准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卜家河村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E：106.050159</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N：35.541567</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90人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233m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李家河村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E：106.042864</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N：35.539821</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60人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96m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于家河村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E：106.036212</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N：35.539607</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凤岭乡</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E：106.015237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N：35.541938</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李家嘴</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E：106.0140</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N：35.538307</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110人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何湾村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E：105.960263</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N：35.551890</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60人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下游东北侧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422m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杨野河村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E：105.943225</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N：35.553042</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下游北侧及南侧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辛家堡子</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E：105.930136</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N：35.554369</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70人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双村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E：105.910137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N：35.556289</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60人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restart"/>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声环境</w:t>
                  </w: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巩龙村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E：106.059687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N：35.539332</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上游东北侧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172m</w:t>
                  </w:r>
                </w:p>
              </w:tc>
              <w:tc>
                <w:tcPr>
                  <w:tcW w:w="1491" w:type="dxa"/>
                  <w:vMerge w:val="restart"/>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《声环境质量标准》(GB3096-2008)中1类标准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李家河村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E：106.042864</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N：35.539821</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60人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96m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于家河村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E：106.036212</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N：35.539607</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80m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凤岭乡</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E：106.015237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N：35.541938</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李家嘴</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E：106.0140</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N：35.538307</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110人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上游南侧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杨野河村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E：105.943225</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N：35.553042</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，8</w:t>
                  </w:r>
                  <w:r>
                    <w:rPr>
                      <w:rFonts w:ascii="Times New Roman" w:hAnsi="Times New Roman" w:cs="Times New Roman"/>
                      <w:color w:val="000000" w:themeColor="text1"/>
                      <w:kern w:val="0"/>
                      <w:szCs w:val="21"/>
                      <w:lang w:bidi="ar"/>
                      <w14:textFill>
                        <w14:solidFill>
                          <w14:schemeClr w14:val="tx1"/>
                        </w14:solidFill>
                      </w14:textFill>
                    </w:rPr>
                    <w:t>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下游北侧及南侧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辛家堡子</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E：105.930136</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N：35.554369</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70人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130m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双村</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E：105.910137</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N：35.556289</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居住</w:t>
                  </w:r>
                  <w:r>
                    <w:rPr>
                      <w:rFonts w:hint="eastAsia" w:ascii="Times New Roman" w:hAnsi="Times New Roman"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kern w:val="0"/>
                      <w:szCs w:val="21"/>
                      <w:lang w:bidi="ar"/>
                      <w14:textFill>
                        <w14:solidFill>
                          <w14:schemeClr w14:val="tx1"/>
                        </w14:solidFill>
                      </w14:textFill>
                    </w:rPr>
                    <w:t>60人</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restart"/>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地表水</w:t>
                  </w: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朱庄河</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灌溉</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491" w:type="dxa"/>
                  <w:vMerge w:val="restart"/>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《地表水环境质量标准》（GB 3838-2002）中</w:t>
                  </w:r>
                  <w:r>
                    <w:rPr>
                      <w:rFonts w:ascii="Times New Roman" w:hAnsi="Times New Roman" w:cs="Times New Roman"/>
                      <w:color w:val="000000" w:themeColor="text1"/>
                      <w:szCs w:val="21"/>
                      <w14:textFill>
                        <w14:solidFill>
                          <w14:schemeClr w14:val="tx1"/>
                        </w14:solidFill>
                      </w14:textFill>
                    </w:rPr>
                    <w:t>Ⅲ</w:t>
                  </w:r>
                  <w:r>
                    <w:rPr>
                      <w:rFonts w:ascii="Times New Roman" w:hAnsi="Times New Roman" w:cs="Times New Roman"/>
                      <w:color w:val="000000" w:themeColor="text1"/>
                      <w:kern w:val="0"/>
                      <w:szCs w:val="21"/>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前河水库</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灌溉</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Cs w:val="21"/>
                      <w:lang w:bidi="ar"/>
                      <w14:textFill>
                        <w14:solidFill>
                          <w14:schemeClr w14:val="tx1"/>
                        </w14:solidFill>
                      </w14:textFill>
                    </w:rPr>
                    <w:t>/</w:t>
                  </w:r>
                </w:p>
              </w:tc>
              <w:tc>
                <w:tcPr>
                  <w:tcW w:w="1491" w:type="dxa"/>
                  <w:vMerge w:val="continue"/>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c>
                <w:tcPr>
                  <w:tcW w:w="1075"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渝河</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灌溉</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下游西北侧</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520m</w:t>
                  </w:r>
                </w:p>
              </w:tc>
              <w:tc>
                <w:tcPr>
                  <w:tcW w:w="1491" w:type="dxa"/>
                  <w:vMerge w:val="continue"/>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5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w:t>
                  </w:r>
                </w:p>
              </w:tc>
              <w:tc>
                <w:tcPr>
                  <w:tcW w:w="1075"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农田、</w:t>
                  </w:r>
                </w:p>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14:textFill>
                        <w14:solidFill>
                          <w14:schemeClr w14:val="tx1"/>
                        </w14:solidFill>
                      </w14:textFill>
                    </w:rPr>
                    <w:t>植被</w:t>
                  </w:r>
                </w:p>
              </w:tc>
              <w:tc>
                <w:tcPr>
                  <w:tcW w:w="155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276"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w:t>
                  </w:r>
                </w:p>
              </w:tc>
              <w:tc>
                <w:tcPr>
                  <w:tcW w:w="1134"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周边沿线</w:t>
                  </w:r>
                </w:p>
              </w:tc>
              <w:tc>
                <w:tcPr>
                  <w:tcW w:w="709" w:type="dxa"/>
                  <w:vAlign w:val="center"/>
                </w:tcPr>
                <w:p>
                  <w:pPr>
                    <w:widowControl/>
                    <w:jc w:val="center"/>
                    <w:rPr>
                      <w:rFonts w:ascii="Times New Roman" w:hAnsi="Times New Roman" w:cs="Times New Roman"/>
                      <w:color w:val="000000" w:themeColor="text1"/>
                      <w:kern w:val="0"/>
                      <w:szCs w:val="21"/>
                      <w:lang w:bidi="ar"/>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周边沿线</w:t>
                  </w:r>
                </w:p>
              </w:tc>
              <w:tc>
                <w:tcPr>
                  <w:tcW w:w="1491" w:type="dxa"/>
                  <w:vAlign w:val="center"/>
                </w:tcPr>
                <w:p>
                  <w:pPr>
                    <w:widowControl/>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w:t>
                  </w:r>
                </w:p>
              </w:tc>
            </w:tr>
          </w:tbl>
          <w:p>
            <w:pPr>
              <w:widowControl/>
              <w:spacing w:line="360" w:lineRule="auto"/>
              <w:ind w:firstLine="420" w:firstLineChars="20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评价</w:t>
            </w:r>
          </w:p>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标准</w:t>
            </w:r>
          </w:p>
        </w:tc>
        <w:tc>
          <w:tcPr>
            <w:tcW w:w="8125" w:type="dxa"/>
            <w:vAlign w:val="center"/>
          </w:tcPr>
          <w:p>
            <w:pPr>
              <w:adjustRightInd w:val="0"/>
              <w:snapToGrid w:val="0"/>
              <w:spacing w:before="120" w:beforeLines="50" w:line="360" w:lineRule="auto"/>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1、环境质量标准</w:t>
            </w:r>
          </w:p>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fldChar w:fldCharType="begin"/>
            </w:r>
            <w:r>
              <w:rPr>
                <w:rFonts w:ascii="Times New Roman" w:hAnsi="Times New Roman" w:cs="Times New Roman"/>
                <w:color w:val="000000" w:themeColor="text1"/>
                <w:sz w:val="24"/>
                <w:szCs w:val="20"/>
                <w14:textFill>
                  <w14:solidFill>
                    <w14:schemeClr w14:val="tx1"/>
                  </w14:solidFill>
                </w14:textFill>
              </w:rPr>
              <w:instrText xml:space="preserve"> = 1 \* GB2 </w:instrText>
            </w:r>
            <w:r>
              <w:rPr>
                <w:rFonts w:ascii="Times New Roman" w:hAnsi="Times New Roman" w:cs="Times New Roman"/>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rFonts w:ascii="Times New Roman" w:hAnsi="Times New Roman" w:cs="Times New Roman"/>
                <w:color w:val="000000" w:themeColor="text1"/>
                <w:sz w:val="24"/>
                <w:szCs w:val="20"/>
                <w14:textFill>
                  <w14:solidFill>
                    <w14:schemeClr w14:val="tx1"/>
                  </w14:solidFill>
                </w14:textFill>
              </w:rPr>
              <w:fldChar w:fldCharType="end"/>
            </w:r>
            <w:r>
              <w:rPr>
                <w:rFonts w:ascii="Times New Roman" w:hAnsi="Times New Roman" w:cs="Times New Roman"/>
                <w:color w:val="000000" w:themeColor="text1"/>
                <w:sz w:val="24"/>
                <w:szCs w:val="20"/>
                <w14:textFill>
                  <w14:solidFill>
                    <w14:schemeClr w14:val="tx1"/>
                  </w14:solidFill>
                </w14:textFill>
              </w:rPr>
              <w:t>环境空气质量标准</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本项目位于隆德县，所在区环境空气功能区为二类区，PM</w:t>
            </w:r>
            <w:r>
              <w:rPr>
                <w:rFonts w:ascii="Times New Roman" w:hAnsi="Times New Roman" w:cs="Times New Roman"/>
                <w:color w:val="000000" w:themeColor="text1"/>
                <w:sz w:val="24"/>
                <w:szCs w:val="20"/>
                <w:vertAlign w:val="subscript"/>
                <w14:textFill>
                  <w14:solidFill>
                    <w14:schemeClr w14:val="tx1"/>
                  </w14:solidFill>
                </w14:textFill>
              </w:rPr>
              <w:t>10</w:t>
            </w:r>
            <w:r>
              <w:rPr>
                <w:rFonts w:ascii="Times New Roman" w:hAnsi="Times New Roman" w:cs="Times New Roman"/>
                <w:color w:val="000000" w:themeColor="text1"/>
                <w:sz w:val="24"/>
                <w:szCs w:val="20"/>
                <w14:textFill>
                  <w14:solidFill>
                    <w14:schemeClr w14:val="tx1"/>
                  </w14:solidFill>
                </w14:textFill>
              </w:rPr>
              <w:t>、PM</w:t>
            </w:r>
            <w:r>
              <w:rPr>
                <w:rFonts w:ascii="Times New Roman" w:hAnsi="Times New Roman" w:cs="Times New Roman"/>
                <w:color w:val="000000" w:themeColor="text1"/>
                <w:sz w:val="24"/>
                <w:szCs w:val="20"/>
                <w:vertAlign w:val="subscript"/>
                <w14:textFill>
                  <w14:solidFill>
                    <w14:schemeClr w14:val="tx1"/>
                  </w14:solidFill>
                </w14:textFill>
              </w:rPr>
              <w:t>2.5</w:t>
            </w:r>
            <w:r>
              <w:rPr>
                <w:rFonts w:ascii="Times New Roman" w:hAnsi="Times New Roman" w:cs="Times New Roman"/>
                <w:color w:val="000000" w:themeColor="text1"/>
                <w:sz w:val="24"/>
                <w:szCs w:val="20"/>
                <w14:textFill>
                  <w14:solidFill>
                    <w14:schemeClr w14:val="tx1"/>
                  </w14:solidFill>
                </w14:textFill>
              </w:rPr>
              <w:t>、SO</w:t>
            </w:r>
            <w:r>
              <w:rPr>
                <w:rFonts w:ascii="Times New Roman" w:hAnsi="Times New Roman" w:cs="Times New Roman"/>
                <w:color w:val="000000" w:themeColor="text1"/>
                <w:sz w:val="24"/>
                <w:szCs w:val="20"/>
                <w:vertAlign w:val="subscript"/>
                <w14:textFill>
                  <w14:solidFill>
                    <w14:schemeClr w14:val="tx1"/>
                  </w14:solidFill>
                </w14:textFill>
              </w:rPr>
              <w:t>2</w:t>
            </w:r>
            <w:r>
              <w:rPr>
                <w:rFonts w:ascii="Times New Roman" w:hAnsi="Times New Roman" w:cs="Times New Roman"/>
                <w:color w:val="000000" w:themeColor="text1"/>
                <w:sz w:val="24"/>
                <w:szCs w:val="20"/>
                <w14:textFill>
                  <w14:solidFill>
                    <w14:schemeClr w14:val="tx1"/>
                  </w14:solidFill>
                </w14:textFill>
              </w:rPr>
              <w:t>、NO</w:t>
            </w:r>
            <w:r>
              <w:rPr>
                <w:rFonts w:ascii="Times New Roman" w:hAnsi="Times New Roman" w:cs="Times New Roman"/>
                <w:color w:val="000000" w:themeColor="text1"/>
                <w:sz w:val="24"/>
                <w:szCs w:val="20"/>
                <w:vertAlign w:val="subscript"/>
                <w14:textFill>
                  <w14:solidFill>
                    <w14:schemeClr w14:val="tx1"/>
                  </w14:solidFill>
                </w14:textFill>
              </w:rPr>
              <w:t>2</w:t>
            </w:r>
            <w:r>
              <w:rPr>
                <w:rFonts w:ascii="Times New Roman" w:hAnsi="Times New Roman" w:cs="Times New Roman"/>
                <w:color w:val="000000" w:themeColor="text1"/>
                <w:sz w:val="24"/>
                <w:szCs w:val="20"/>
                <w14:textFill>
                  <w14:solidFill>
                    <w14:schemeClr w14:val="tx1"/>
                  </w14:solidFill>
                </w14:textFill>
              </w:rPr>
              <w:t>、CO、臭氧执行《环境空气质量标准》（GB3095-2012及2018年修改单）二级标准，</w:t>
            </w:r>
            <w:r>
              <w:rPr>
                <w:rFonts w:ascii="Times New Roman" w:hAnsi="Times New Roman" w:cs="Times New Roman"/>
                <w:color w:val="000000" w:themeColor="text1"/>
                <w:sz w:val="24"/>
                <w14:textFill>
                  <w14:solidFill>
                    <w14:schemeClr w14:val="tx1"/>
                  </w14:solidFill>
                </w14:textFill>
              </w:rPr>
              <w:t>环境空气质量执行标准见表3-10。</w:t>
            </w:r>
          </w:p>
          <w:p>
            <w:pPr>
              <w:adjustRightInd w:val="0"/>
              <w:snapToGrid w:val="0"/>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表3-10  环境空气质量评价因子执行标准</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1071"/>
              <w:gridCol w:w="1364"/>
              <w:gridCol w:w="1275"/>
              <w:gridCol w:w="993"/>
              <w:gridCol w:w="20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年平均</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24小时平均</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1小时平均</w:t>
                  </w:r>
                </w:p>
              </w:tc>
              <w:tc>
                <w:tcPr>
                  <w:tcW w:w="993" w:type="dxa"/>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单位</w:t>
                  </w:r>
                </w:p>
              </w:tc>
              <w:tc>
                <w:tcPr>
                  <w:tcW w:w="2058" w:type="dxa"/>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500</w:t>
                  </w:r>
                </w:p>
              </w:tc>
              <w:tc>
                <w:tcPr>
                  <w:tcW w:w="993"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μg/m</w:t>
                  </w:r>
                  <w:r>
                    <w:rPr>
                      <w:rFonts w:ascii="Times New Roman" w:hAnsi="Times New Roman" w:cs="Times New Roman"/>
                      <w:color w:val="000000" w:themeColor="text1"/>
                      <w:szCs w:val="21"/>
                      <w:vertAlign w:val="superscript"/>
                      <w14:textFill>
                        <w14:solidFill>
                          <w14:schemeClr w14:val="tx1"/>
                        </w14:solidFill>
                      </w14:textFill>
                    </w:rPr>
                    <w:t>3</w:t>
                  </w:r>
                </w:p>
              </w:tc>
              <w:tc>
                <w:tcPr>
                  <w:tcW w:w="2058"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《环境空气质量标准》（GB3095-2012）及其修改单中二级标准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w:t>
                  </w:r>
                  <w:r>
                    <w:rPr>
                      <w:rFonts w:ascii="Times New Roman" w:hAnsi="Times New Roman" w:cs="Times New Roman"/>
                      <w:color w:val="000000" w:themeColor="text1"/>
                      <w:szCs w:val="21"/>
                      <w:vertAlign w:val="subscript"/>
                      <w14:textFill>
                        <w14:solidFill>
                          <w14:schemeClr w14:val="tx1"/>
                        </w14:solidFill>
                      </w14:textFill>
                    </w:rPr>
                    <w:t>2</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80</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O</w:t>
                  </w:r>
                  <w:r>
                    <w:rPr>
                      <w:rFonts w:ascii="Times New Roman" w:hAnsi="Times New Roman" w:cs="Times New Roman"/>
                      <w:color w:val="000000" w:themeColor="text1"/>
                      <w:szCs w:val="21"/>
                      <w:vertAlign w:val="subscript"/>
                      <w14:textFill>
                        <w14:solidFill>
                          <w14:schemeClr w14:val="tx1"/>
                        </w14:solidFill>
                      </w14:textFill>
                    </w:rPr>
                    <w:t>3</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160</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TSP</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10</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150</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w:t>
                  </w:r>
                  <w:r>
                    <w:rPr>
                      <w:rFonts w:ascii="Times New Roman" w:hAnsi="Times New Roman" w:cs="Times New Roman"/>
                      <w:color w:val="000000" w:themeColor="text1"/>
                      <w:szCs w:val="21"/>
                      <w:vertAlign w:val="subscript"/>
                      <w14:textFill>
                        <w14:solidFill>
                          <w14:schemeClr w14:val="tx1"/>
                        </w14:solidFill>
                      </w14:textFill>
                    </w:rPr>
                    <w:t>2.5</w:t>
                  </w:r>
                </w:p>
              </w:tc>
              <w:tc>
                <w:tcPr>
                  <w:tcW w:w="107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w:t>
                  </w:r>
                </w:p>
              </w:tc>
              <w:tc>
                <w:tcPr>
                  <w:tcW w:w="136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75</w:t>
                  </w:r>
                </w:p>
              </w:tc>
              <w:tc>
                <w:tcPr>
                  <w:tcW w:w="127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93"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58" w:type="dxa"/>
                  <w:vMerge w:val="continue"/>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fldChar w:fldCharType="begin"/>
            </w:r>
            <w:r>
              <w:rPr>
                <w:rFonts w:ascii="Times New Roman" w:hAnsi="Times New Roman" w:cs="Times New Roman"/>
                <w:color w:val="000000" w:themeColor="text1"/>
                <w:sz w:val="24"/>
                <w:szCs w:val="20"/>
                <w14:textFill>
                  <w14:solidFill>
                    <w14:schemeClr w14:val="tx1"/>
                  </w14:solidFill>
                </w14:textFill>
              </w:rPr>
              <w:instrText xml:space="preserve"> = 2 \* GB2 </w:instrText>
            </w:r>
            <w:r>
              <w:rPr>
                <w:rFonts w:ascii="Times New Roman" w:hAnsi="Times New Roman" w:cs="Times New Roman"/>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⑵</w:t>
            </w:r>
            <w:r>
              <w:rPr>
                <w:rFonts w:ascii="Times New Roman" w:hAnsi="Times New Roman" w:cs="Times New Roman"/>
                <w:color w:val="000000" w:themeColor="text1"/>
                <w:sz w:val="24"/>
                <w:szCs w:val="20"/>
                <w14:textFill>
                  <w14:solidFill>
                    <w14:schemeClr w14:val="tx1"/>
                  </w14:solidFill>
                </w14:textFill>
              </w:rPr>
              <w:fldChar w:fldCharType="end"/>
            </w:r>
            <w:r>
              <w:rPr>
                <w:rFonts w:ascii="Times New Roman" w:hAnsi="Times New Roman" w:cs="Times New Roman"/>
                <w:color w:val="000000" w:themeColor="text1"/>
                <w:sz w:val="24"/>
                <w:szCs w:val="20"/>
                <w14:textFill>
                  <w14:solidFill>
                    <w14:schemeClr w14:val="tx1"/>
                  </w14:solidFill>
                </w14:textFill>
              </w:rPr>
              <w:t>地表水环境质量标准</w:t>
            </w:r>
          </w:p>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距离本项目最近地表水体为渝河及朱庄河，执行《地表水环境质量标准》（GB3838-2002）</w:t>
            </w:r>
            <w:r>
              <w:rPr>
                <w:rFonts w:ascii="Times New Roman" w:hAnsi="Times New Roman" w:cs="Times New Roman"/>
                <w:color w:val="000000" w:themeColor="text1"/>
                <w:kern w:val="0"/>
                <w:sz w:val="24"/>
                <w14:textFill>
                  <w14:solidFill>
                    <w14:schemeClr w14:val="tx1"/>
                  </w14:solidFill>
                </w14:textFill>
              </w:rPr>
              <w:t>Ⅲ</w:t>
            </w:r>
            <w:r>
              <w:rPr>
                <w:rFonts w:ascii="Times New Roman" w:hAnsi="Times New Roman" w:cs="Times New Roman"/>
                <w:color w:val="000000" w:themeColor="text1"/>
                <w:sz w:val="24"/>
                <w:szCs w:val="20"/>
                <w14:textFill>
                  <w14:solidFill>
                    <w14:schemeClr w14:val="tx1"/>
                  </w14:solidFill>
                </w14:textFill>
              </w:rPr>
              <w:t>类标准；</w:t>
            </w:r>
            <w:r>
              <w:rPr>
                <w:rFonts w:ascii="Times New Roman" w:hAnsi="Times New Roman" w:cs="Times New Roman"/>
                <w:bCs/>
                <w:color w:val="000000" w:themeColor="text1"/>
                <w:kern w:val="0"/>
                <w:sz w:val="24"/>
                <w14:textFill>
                  <w14:solidFill>
                    <w14:schemeClr w14:val="tx1"/>
                  </w14:solidFill>
                </w14:textFill>
              </w:rPr>
              <w:t>地表水环境质量执行标准见表3-11。</w:t>
            </w:r>
          </w:p>
          <w:p>
            <w:pPr>
              <w:ind w:left="981" w:hanging="56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表3-11  地表水质量评价因子执行标准限值   单位：mg/L(pH无量纲)</w:t>
            </w:r>
          </w:p>
          <w:tbl>
            <w:tblPr>
              <w:tblStyle w:val="27"/>
              <w:tblW w:w="789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649"/>
              <w:gridCol w:w="2038"/>
              <w:gridCol w:w="1193"/>
              <w:gridCol w:w="649"/>
              <w:gridCol w:w="2171"/>
              <w:gridCol w:w="11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序号</w:t>
                  </w:r>
                </w:p>
              </w:tc>
              <w:tc>
                <w:tcPr>
                  <w:tcW w:w="2038"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项目</w:t>
                  </w:r>
                </w:p>
              </w:tc>
              <w:tc>
                <w:tcPr>
                  <w:tcW w:w="1193"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Ⅲ标准值</w:t>
                  </w:r>
                </w:p>
              </w:tc>
              <w:tc>
                <w:tcPr>
                  <w:tcW w:w="649"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序号</w:t>
                  </w:r>
                </w:p>
              </w:tc>
              <w:tc>
                <w:tcPr>
                  <w:tcW w:w="2171"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项目</w:t>
                  </w:r>
                </w:p>
              </w:tc>
              <w:tc>
                <w:tcPr>
                  <w:tcW w:w="1193" w:type="dxa"/>
                  <w:vAlign w:val="center"/>
                </w:tcPr>
                <w:p>
                  <w:pPr>
                    <w:adjustRightInd w:val="0"/>
                    <w:snapToGrid w:val="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Ⅲ标准值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pH值（无量纲）</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6-9</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铜</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溶解氧</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≥5.0</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锌</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高锰酸盐指数</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≤6</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氟化物</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生化需氧量</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≤4</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硒</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氨氮</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≤1.0</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砷</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汞</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≤0.0001</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镉</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铅</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≤0.05</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六价铬</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挥发酚</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≤0.005</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19</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氰化物</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石油类</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≤0.05</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阴离子表面活性剂</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化学需氧量</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20</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21</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硫化物</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Ex>
              <w:trPr>
                <w:trHeight w:val="364" w:hRule="atLeast"/>
                <w:jc w:val="center"/>
              </w:trPr>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2038"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总磷</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≤0.2</w:t>
                  </w:r>
                </w:p>
              </w:tc>
              <w:tc>
                <w:tcPr>
                  <w:tcW w:w="649"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2171"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1193"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lang w:bidi="en-US"/>
                      <w14:textFill>
                        <w14:solidFill>
                          <w14:schemeClr w14:val="tx1"/>
                        </w14:solidFill>
                      </w14:textFill>
                    </w:rPr>
                    <w:t>/</w:t>
                  </w:r>
                </w:p>
              </w:tc>
            </w:tr>
          </w:tbl>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fldChar w:fldCharType="begin"/>
            </w:r>
            <w:r>
              <w:rPr>
                <w:rFonts w:ascii="Times New Roman" w:hAnsi="Times New Roman" w:cs="Times New Roman"/>
                <w:color w:val="000000" w:themeColor="text1"/>
                <w:sz w:val="24"/>
                <w:szCs w:val="20"/>
                <w14:textFill>
                  <w14:solidFill>
                    <w14:schemeClr w14:val="tx1"/>
                  </w14:solidFill>
                </w14:textFill>
              </w:rPr>
              <w:instrText xml:space="preserve"> = 3 \* GB2 </w:instrText>
            </w:r>
            <w:r>
              <w:rPr>
                <w:rFonts w:ascii="Times New Roman" w:hAnsi="Times New Roman" w:cs="Times New Roman"/>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⑶</w:t>
            </w:r>
            <w:r>
              <w:rPr>
                <w:rFonts w:ascii="Times New Roman" w:hAnsi="Times New Roman" w:cs="Times New Roman"/>
                <w:color w:val="000000" w:themeColor="text1"/>
                <w:sz w:val="24"/>
                <w:szCs w:val="20"/>
                <w14:textFill>
                  <w14:solidFill>
                    <w14:schemeClr w14:val="tx1"/>
                  </w14:solidFill>
                </w14:textFill>
              </w:rPr>
              <w:fldChar w:fldCharType="end"/>
            </w:r>
            <w:r>
              <w:rPr>
                <w:rFonts w:ascii="Times New Roman" w:hAnsi="Times New Roman" w:cs="Times New Roman"/>
                <w:color w:val="000000" w:themeColor="text1"/>
                <w:sz w:val="24"/>
                <w:szCs w:val="20"/>
                <w14:textFill>
                  <w14:solidFill>
                    <w14:schemeClr w14:val="tx1"/>
                  </w14:solidFill>
                </w14:textFill>
              </w:rPr>
              <w:t>声环境质量标准</w:t>
            </w:r>
          </w:p>
          <w:p>
            <w:pPr>
              <w:spacing w:line="360" w:lineRule="auto"/>
              <w:ind w:firstLine="480" w:firstLineChars="200"/>
              <w:rPr>
                <w:rFonts w:ascii="Times New Roman" w:hAnsi="Times New Roman" w:cs="Times New Roman"/>
                <w:bCs/>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项目位于隆德县凤岭乡冯碑村、于河村、巩龙村，神林乡杨野河村，联财镇张楼村，根据《声环境功能区划分技术规范》（GB/T15190-2014），项目所在区域可划分为1类声功能区，</w:t>
            </w:r>
            <w:r>
              <w:rPr>
                <w:rFonts w:ascii="Times New Roman" w:hAnsi="Times New Roman" w:cs="Times New Roman"/>
                <w:bCs/>
                <w:color w:val="000000" w:themeColor="text1"/>
                <w:sz w:val="24"/>
                <w:szCs w:val="20"/>
                <w14:textFill>
                  <w14:solidFill>
                    <w14:schemeClr w14:val="tx1"/>
                  </w14:solidFill>
                </w14:textFill>
              </w:rPr>
              <w:t>声环境质量执行《声环境质量标准》（GB3096-2008）1类区标准，标准值详见表3-12。</w:t>
            </w:r>
          </w:p>
          <w:p>
            <w:pPr>
              <w:adjustRightInd w:val="0"/>
              <w:snapToGrid w:val="0"/>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 xml:space="preserve">            表3-12  声环境质量执行标准        单位：dB(A)</w:t>
            </w:r>
          </w:p>
          <w:tbl>
            <w:tblPr>
              <w:tblStyle w:val="27"/>
              <w:tblW w:w="789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50"/>
              <w:gridCol w:w="3152"/>
              <w:gridCol w:w="31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类别</w:t>
                  </w:r>
                </w:p>
              </w:tc>
              <w:tc>
                <w:tcPr>
                  <w:tcW w:w="3152" w:type="dxa"/>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昼间</w:t>
                  </w:r>
                  <w:r>
                    <w:rPr>
                      <w:rFonts w:ascii="Times New Roman" w:hAnsi="Times New Roman" w:cs="Times New Roman"/>
                      <w:bCs/>
                      <w:color w:val="000000" w:themeColor="text1"/>
                      <w:szCs w:val="21"/>
                      <w14:textFill>
                        <w14:solidFill>
                          <w14:schemeClr w14:val="tx1"/>
                        </w14:solidFill>
                      </w14:textFill>
                    </w:rPr>
                    <w:t>dB(A)</w:t>
                  </w:r>
                </w:p>
              </w:tc>
              <w:tc>
                <w:tcPr>
                  <w:tcW w:w="3197" w:type="dxa"/>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夜间</w:t>
                  </w:r>
                  <w:r>
                    <w:rPr>
                      <w:rFonts w:ascii="Times New Roman" w:hAnsi="Times New Roman" w:cs="Times New Roman"/>
                      <w:bCs/>
                      <w:color w:val="000000" w:themeColor="text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1类</w:t>
                  </w:r>
                </w:p>
              </w:tc>
              <w:tc>
                <w:tcPr>
                  <w:tcW w:w="3152" w:type="dxa"/>
                  <w:vAlign w:val="center"/>
                </w:tcPr>
                <w:p>
                  <w:pPr>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55</w:t>
                  </w:r>
                </w:p>
              </w:tc>
              <w:tc>
                <w:tcPr>
                  <w:tcW w:w="3197" w:type="dxa"/>
                  <w:vAlign w:val="center"/>
                </w:tcPr>
                <w:p>
                  <w:pPr>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45</w:t>
                  </w:r>
                </w:p>
              </w:tc>
            </w:tr>
          </w:tbl>
          <w:p>
            <w:pPr>
              <w:adjustRightInd w:val="0"/>
              <w:snapToGrid w:val="0"/>
              <w:spacing w:line="360" w:lineRule="auto"/>
              <w:ind w:firstLine="482" w:firstLineChars="200"/>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2、污染物排放标准</w:t>
            </w:r>
          </w:p>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⑴</w:t>
            </w:r>
            <w:r>
              <w:rPr>
                <w:rFonts w:ascii="Times New Roman" w:hAnsi="Times New Roman" w:cs="Times New Roman"/>
                <w:color w:val="000000" w:themeColor="text1"/>
                <w:sz w:val="24"/>
                <w:szCs w:val="20"/>
                <w14:textFill>
                  <w14:solidFill>
                    <w14:schemeClr w14:val="tx1"/>
                  </w14:solidFill>
                </w14:textFill>
              </w:rPr>
              <w:t>废气排放标准</w:t>
            </w:r>
          </w:p>
          <w:p>
            <w:pPr>
              <w:spacing w:line="360" w:lineRule="auto"/>
              <w:ind w:firstLine="480" w:firstLineChars="20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颗粒物执行《大气污染物综合排放标准》（GB16297-1996）表2无组织排放监控浓度限值标准，</w:t>
            </w:r>
            <w:r>
              <w:rPr>
                <w:rFonts w:ascii="Times New Roman" w:hAnsi="Times New Roman" w:cs="Times New Roman"/>
                <w:bCs/>
                <w:color w:val="000000" w:themeColor="text1"/>
                <w:sz w:val="24"/>
                <w:szCs w:val="20"/>
                <w14:textFill>
                  <w14:solidFill>
                    <w14:schemeClr w14:val="tx1"/>
                  </w14:solidFill>
                </w14:textFill>
              </w:rPr>
              <w:t>标准值详见表3-13</w:t>
            </w:r>
            <w:r>
              <w:rPr>
                <w:rFonts w:ascii="Times New Roman" w:hAnsi="Times New Roman" w:cs="Times New Roman"/>
                <w:color w:val="000000" w:themeColor="text1"/>
                <w:sz w:val="24"/>
                <w:szCs w:val="20"/>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表3-13  《大气污染物综合排放标准》（GB16297-1996）表2</w:t>
            </w:r>
          </w:p>
          <w:tbl>
            <w:tblPr>
              <w:tblStyle w:val="27"/>
              <w:tblW w:w="789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09"/>
              <w:gridCol w:w="3059"/>
              <w:gridCol w:w="27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09" w:type="dxa"/>
                  <w:vMerge w:val="restart"/>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污染物</w:t>
                  </w:r>
                </w:p>
              </w:tc>
              <w:tc>
                <w:tcPr>
                  <w:tcW w:w="5784" w:type="dxa"/>
                  <w:gridSpan w:val="2"/>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无组织排放监控浓度值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09" w:type="dxa"/>
                  <w:vMerge w:val="continue"/>
                  <w:vAlign w:val="center"/>
                </w:tcPr>
                <w:p>
                  <w:pPr>
                    <w:widowControl/>
                    <w:snapToGrid w:val="0"/>
                    <w:jc w:val="left"/>
                    <w:rPr>
                      <w:rFonts w:ascii="Times New Roman" w:hAnsi="Times New Roman" w:cs="Times New Roman"/>
                      <w:b/>
                      <w:color w:val="000000" w:themeColor="text1"/>
                      <w:szCs w:val="21"/>
                      <w14:textFill>
                        <w14:solidFill>
                          <w14:schemeClr w14:val="tx1"/>
                        </w14:solidFill>
                      </w14:textFill>
                    </w:rPr>
                  </w:pPr>
                </w:p>
              </w:tc>
              <w:tc>
                <w:tcPr>
                  <w:tcW w:w="3059" w:type="dxa"/>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监控点</w:t>
                  </w:r>
                </w:p>
              </w:tc>
              <w:tc>
                <w:tcPr>
                  <w:tcW w:w="2725" w:type="dxa"/>
                  <w:vAlign w:val="center"/>
                </w:tcPr>
                <w:p>
                  <w:pPr>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浓度（mg/m</w:t>
                  </w:r>
                  <w:r>
                    <w:rPr>
                      <w:rFonts w:ascii="Times New Roman" w:hAnsi="Times New Roman" w:cs="Times New Roman"/>
                      <w:b/>
                      <w:color w:val="000000" w:themeColor="text1"/>
                      <w:szCs w:val="21"/>
                      <w:vertAlign w:val="superscript"/>
                      <w14:textFill>
                        <w14:solidFill>
                          <w14:schemeClr w14:val="tx1"/>
                        </w14:solidFill>
                      </w14:textFill>
                    </w:rPr>
                    <w:t>3</w:t>
                  </w:r>
                  <w:r>
                    <w:rPr>
                      <w:rFonts w:ascii="Times New Roman" w:hAnsi="Times New Roman" w:cs="Times New Roman"/>
                      <w:b/>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09" w:type="dxa"/>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3059" w:type="dxa"/>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周界外浓度最高点</w:t>
                  </w:r>
                </w:p>
              </w:tc>
              <w:tc>
                <w:tcPr>
                  <w:tcW w:w="2725" w:type="dxa"/>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bl>
          <w:p>
            <w:pPr>
              <w:pStyle w:val="64"/>
              <w:numPr>
                <w:ilvl w:val="0"/>
                <w:numId w:val="2"/>
              </w:numPr>
              <w:spacing w:line="360" w:lineRule="auto"/>
              <w:ind w:firstLineChars="0"/>
              <w:rPr>
                <w:rFonts w:ascii="Times New Roman" w:hAnsi="Times New Roman" w:cs="Times New Roman"/>
                <w:color w:val="000000" w:themeColor="text1"/>
                <w:sz w:val="24"/>
                <w:szCs w:val="20"/>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噪声排放标准</w:t>
            </w:r>
          </w:p>
          <w:p>
            <w:pPr>
              <w:autoSpaceDE w:val="0"/>
              <w:autoSpaceDN w:val="0"/>
              <w:adjustRightInd w:val="0"/>
              <w:spacing w:line="360" w:lineRule="auto"/>
              <w:ind w:right="-59" w:rightChars="-28"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施工期噪声执行《建筑施工场界环境噪声排放标准》（GB12523-2011）标准，</w:t>
            </w:r>
            <w:r>
              <w:rPr>
                <w:rFonts w:ascii="Times New Roman" w:hAnsi="Times New Roman" w:cs="Times New Roman"/>
                <w:bCs/>
                <w:color w:val="000000" w:themeColor="text1"/>
                <w:sz w:val="24"/>
                <w:szCs w:val="20"/>
                <w14:textFill>
                  <w14:solidFill>
                    <w14:schemeClr w14:val="tx1"/>
                  </w14:solidFill>
                </w14:textFill>
              </w:rPr>
              <w:t>标准值详见表3-14</w:t>
            </w:r>
            <w:r>
              <w:rPr>
                <w:rFonts w:ascii="Times New Roman" w:hAnsi="Times New Roman" w:cs="Times New Roman"/>
                <w:color w:val="000000" w:themeColor="text1"/>
                <w:sz w:val="24"/>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表3-14  环境噪声排放标准</w:t>
            </w:r>
          </w:p>
          <w:tbl>
            <w:tblPr>
              <w:tblStyle w:val="27"/>
              <w:tblW w:w="789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289"/>
              <w:gridCol w:w="2377"/>
              <w:gridCol w:w="22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40" w:hRule="atLeast"/>
                <w:jc w:val="center"/>
              </w:trPr>
              <w:tc>
                <w:tcPr>
                  <w:tcW w:w="3289" w:type="dxa"/>
                  <w:vAlign w:val="center"/>
                </w:tcPr>
                <w:p>
                  <w:pPr>
                    <w:snapToGrid w:val="0"/>
                    <w:ind w:left="-53" w:leftChars="-25" w:right="-53" w:rightChars="-25"/>
                    <w:jc w:val="center"/>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标准名称</w:t>
                  </w:r>
                </w:p>
              </w:tc>
              <w:tc>
                <w:tcPr>
                  <w:tcW w:w="2377" w:type="dxa"/>
                  <w:vAlign w:val="center"/>
                </w:tcPr>
                <w:p>
                  <w:pPr>
                    <w:snapToGrid w:val="0"/>
                    <w:ind w:left="-53" w:leftChars="-25" w:right="-53" w:rightChars="-25"/>
                    <w:jc w:val="center"/>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取值时间</w:t>
                  </w:r>
                </w:p>
              </w:tc>
              <w:tc>
                <w:tcPr>
                  <w:tcW w:w="2227" w:type="dxa"/>
                  <w:vAlign w:val="center"/>
                </w:tcPr>
                <w:p>
                  <w:pPr>
                    <w:snapToGrid w:val="0"/>
                    <w:ind w:left="-53" w:leftChars="-25" w:right="-53" w:rightChars="-25"/>
                    <w:jc w:val="center"/>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40" w:hRule="atLeast"/>
                <w:jc w:val="center"/>
              </w:trPr>
              <w:tc>
                <w:tcPr>
                  <w:tcW w:w="3289" w:type="dxa"/>
                  <w:vMerge w:val="restart"/>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《建筑施工场界环境噪声排放标准》（GB12523-2011）</w:t>
                  </w:r>
                </w:p>
              </w:tc>
              <w:tc>
                <w:tcPr>
                  <w:tcW w:w="2377" w:type="dxa"/>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昼间</w:t>
                  </w:r>
                </w:p>
              </w:tc>
              <w:tc>
                <w:tcPr>
                  <w:tcW w:w="2227" w:type="dxa"/>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70dB(A)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40" w:hRule="atLeast"/>
                <w:jc w:val="center"/>
              </w:trPr>
              <w:tc>
                <w:tcPr>
                  <w:tcW w:w="3289" w:type="dxa"/>
                  <w:vMerge w:val="continue"/>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p>
              </w:tc>
              <w:tc>
                <w:tcPr>
                  <w:tcW w:w="2377" w:type="dxa"/>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夜间</w:t>
                  </w:r>
                </w:p>
              </w:tc>
              <w:tc>
                <w:tcPr>
                  <w:tcW w:w="2227" w:type="dxa"/>
                  <w:vAlign w:val="center"/>
                </w:tcPr>
                <w:p>
                  <w:pPr>
                    <w:snapToGrid w:val="0"/>
                    <w:ind w:left="-53" w:leftChars="-25" w:right="-53" w:rightChars="-25"/>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55dB(A)</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⑶</w:t>
            </w:r>
            <w:r>
              <w:rPr>
                <w:rFonts w:ascii="Times New Roman" w:hAnsi="Times New Roman" w:cs="Times New Roman"/>
                <w:color w:val="000000" w:themeColor="text1"/>
                <w:sz w:val="24"/>
                <w14:textFill>
                  <w14:solidFill>
                    <w14:schemeClr w14:val="tx1"/>
                  </w14:solidFill>
                </w14:textFill>
              </w:rPr>
              <w:t>固体废物处置要求</w:t>
            </w:r>
          </w:p>
          <w:p>
            <w:pPr>
              <w:adjustRightInd w:val="0"/>
              <w:snapToGrid w:val="0"/>
              <w:spacing w:line="360" w:lineRule="auto"/>
              <w:ind w:firstLine="480" w:firstLineChars="200"/>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生活垃圾及一般工业固体废物执行《中华人民共和国固体废物污染环境防治法》（2020修订）中的相关要求。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其他</w:t>
            </w:r>
          </w:p>
        </w:tc>
        <w:tc>
          <w:tcPr>
            <w:tcW w:w="8125" w:type="dxa"/>
            <w:vAlign w:val="center"/>
          </w:tcPr>
          <w:p>
            <w:pPr>
              <w:widowControl/>
              <w:spacing w:line="360" w:lineRule="auto"/>
              <w:ind w:firstLine="480" w:firstLineChars="200"/>
              <w:rPr>
                <w:rStyle w:val="26"/>
                <w:rFonts w:ascii="Times New Roman" w:hAnsi="Times New Roman" w:cs="Times New Roman"/>
                <w:color w:val="000000" w:themeColor="text1"/>
                <w:kern w:val="0"/>
                <w:sz w:val="24"/>
                <w14:textFill>
                  <w14:solidFill>
                    <w14:schemeClr w14:val="tx1"/>
                  </w14:solidFill>
                </w14:textFill>
              </w:rPr>
            </w:pPr>
          </w:p>
          <w:p>
            <w:pPr>
              <w:widowControl/>
              <w:spacing w:line="360" w:lineRule="auto"/>
              <w:ind w:firstLine="480" w:firstLineChars="200"/>
              <w:rPr>
                <w:rFonts w:ascii="Times New Roman" w:hAnsi="Times New Roman" w:cs="Times New Roman"/>
                <w:color w:val="000000" w:themeColor="text1"/>
                <w:sz w:val="24"/>
                <w:lang w:bidi="ar"/>
                <w14:textFill>
                  <w14:solidFill>
                    <w14:schemeClr w14:val="tx1"/>
                  </w14:solidFill>
                </w14:textFill>
              </w:rPr>
            </w:pPr>
            <w:r>
              <w:rPr>
                <w:rStyle w:val="26"/>
                <w:rFonts w:ascii="Times New Roman" w:hAnsi="Times New Roman" w:cs="Times New Roman"/>
                <w:color w:val="000000" w:themeColor="text1"/>
                <w:kern w:val="0"/>
                <w:sz w:val="24"/>
                <w14:textFill>
                  <w14:solidFill>
                    <w14:schemeClr w14:val="tx1"/>
                  </w14:solidFill>
                </w14:textFill>
              </w:rPr>
              <w:t>无</w:t>
            </w:r>
          </w:p>
          <w:p>
            <w:pPr>
              <w:rPr>
                <w:rFonts w:ascii="Times New Roman" w:hAnsi="Times New Roman" w:cs="Times New Roman"/>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22"/>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四、生态环境影响分析</w:t>
      </w:r>
    </w:p>
    <w:tbl>
      <w:tblPr>
        <w:tblStyle w:val="27"/>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s="Times New Roman"/>
                <w:bCs/>
                <w:color w:val="000000" w:themeColor="text1"/>
                <w:kern w:val="2"/>
                <w14:textFill>
                  <w14:solidFill>
                    <w14:schemeClr w14:val="tx1"/>
                  </w14:solidFill>
                </w14:textFill>
              </w:rPr>
            </w:pPr>
            <w:bookmarkStart w:id="79" w:name="_Hlk49796138"/>
            <w:r>
              <w:rPr>
                <w:rFonts w:ascii="Times New Roman" w:hAnsi="Times New Roman" w:cs="Times New Roman"/>
                <w:bCs/>
                <w:color w:val="000000" w:themeColor="text1"/>
                <w:spacing w:val="10"/>
                <w:kern w:val="2"/>
                <w14:textFill>
                  <w14:solidFill>
                    <w14:schemeClr w14:val="tx1"/>
                  </w14:solidFill>
                </w14:textFill>
              </w:rPr>
              <w:t>施工期生态环境影响分析</w:t>
            </w:r>
            <w:bookmarkEnd w:id="79"/>
          </w:p>
        </w:tc>
        <w:tc>
          <w:tcPr>
            <w:tcW w:w="8363" w:type="dxa"/>
          </w:tcPr>
          <w:p>
            <w:pPr>
              <w:widowControl/>
              <w:spacing w:line="360" w:lineRule="auto"/>
              <w:ind w:firstLine="482" w:firstLineChars="200"/>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1、生态环境影响分析</w:t>
            </w:r>
            <w:r>
              <w:rPr>
                <w:rFonts w:ascii="Times New Roman" w:hAnsi="Times New Roman" w:cs="Times New Roman"/>
                <w:color w:val="000000" w:themeColor="text1"/>
                <w:sz w:val="24"/>
                <w14:textFill>
                  <w14:solidFill>
                    <w14:schemeClr w14:val="tx1"/>
                  </w14:solidFill>
                </w14:textFill>
              </w:rPr>
              <w:t xml:space="preserve">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根据设计资料，项目修复治理面积240hm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，工程施工期对生态环境影响主要表现在：</w:t>
            </w:r>
          </w:p>
          <w:p>
            <w:pPr>
              <w:pStyle w:val="64"/>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对植被的影响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所在区域内自然植被类型一般为旱生和超旱生的小灌木和少量草本构成，以多年生草本、灌木、半灌木为主，种群少结构简单，森林资源缺乏。经现场调查，项目区内无国家重点保护、珍稀野生植物，根据现场调查治理区周边大多为林草地，主要以草地为主，植被覆盖度小于60%，生态条件脆弱。</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施工期对植被的影响主要表现在车辆、施工机械和施工人员在施工过程清除、碾压和踩踏植被以及工程永久占地铲除植被等。工程施工期的道路施工及临时占地将会对周边植造成破坏。经过实地考察发现，项目区无国家和省级重点保护植物、古树名木、特有植物和独特的资源植物，多为一般种，种群分布广泛，适应性强。临时占地的作用时间较短，破坏的植被恢复的可能性较大。</w:t>
            </w:r>
            <w:r>
              <w:rPr>
                <w:rFonts w:ascii="Times New Roman" w:hAnsi="Times New Roman" w:cs="Times New Roman"/>
                <w:color w:val="000000" w:themeColor="text1"/>
                <w:sz w:val="24"/>
                <w14:textFill>
                  <w14:solidFill>
                    <w14:schemeClr w14:val="tx1"/>
                  </w14:solidFill>
                </w14:textFill>
              </w:rPr>
              <w:t>本项目为生态修复项目，通过重建植被，恢复原有的地形地貌及土地资源，可以使遭到破坏的生态环境得到改善和基本恢复。</w:t>
            </w:r>
          </w:p>
          <w:p>
            <w:pPr>
              <w:pStyle w:val="64"/>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对动物的影响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现场调查，本项目场址现有动物种类及数量较少，施工期间对动物的影响主要表现为施工期间地表清理对动物活动场所的破坏以及施工期间的机械噪声给动物带来惊扰，部分动物将暂时离开以躲避人类的活动；施工对植被的破坏也将迫使动物离开栖息环境而迁移到周边区域，但由于评价区范围内或附近具有相同的生境，其容易找到栖息场所。上述影响随着施工活动的结束和施工完成后绿化工程的完成而结束，动物的种类和数量基本不会减少。</w:t>
            </w:r>
          </w:p>
          <w:p>
            <w:pPr>
              <w:pStyle w:val="64"/>
              <w:widowControl/>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对水生生态的影响</w:t>
            </w:r>
          </w:p>
          <w:p>
            <w:pPr>
              <w:widowControl/>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朱庄河主要作用为灌溉及排洪，经查阅资料、现场调查及走访周边居民，朱庄河内水生生物量较少，项目施工过程会在一定程度上影响</w:t>
            </w:r>
            <w:r>
              <w:rPr>
                <w:rFonts w:ascii="Times New Roman" w:hAnsi="Times New Roman" w:cs="Times New Roman"/>
                <w:bCs/>
                <w:color w:val="000000" w:themeColor="text1"/>
                <w:sz w:val="24"/>
                <w14:textFill>
                  <w14:solidFill>
                    <w14:schemeClr w14:val="tx1"/>
                  </w14:solidFill>
                </w14:textFill>
              </w:rPr>
              <w:t>河道局部水质及水量，水质影响主要为沟道清淤对沟底的扰动，使河底沉积物上浮、局部悬浮物浓度上升。水量影响主要为施工过程导致过水断面变窄、局部流量变大。但项目施工期较短，可将对水质及水量的影响降至最低水平，加之沟道内水生生物较少，可避开施工区域，因此，对水生生态的影响在可接受范围之内。</w:t>
            </w:r>
          </w:p>
          <w:p>
            <w:pPr>
              <w:pStyle w:val="64"/>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生态景观影响分析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所在区域地形简单，地貌单一，地貌为平原地貌。工程主要在沟道内进行，不会破坏沟道原本地貌，施工期施工区域可能带来局部景观不协调等问题，但随着工程完成，沟道两侧砌护后，整条沟将形成和谐统一的自然生态景观。因此，对自然生态景观的影响较小。</w:t>
            </w:r>
          </w:p>
          <w:p>
            <w:pPr>
              <w:pStyle w:val="64"/>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水土保持影响分析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本项目为生态修复项目，</w:t>
            </w:r>
            <w:r>
              <w:rPr>
                <w:rFonts w:ascii="Times New Roman" w:hAnsi="Times New Roman" w:cs="Times New Roman"/>
                <w:bCs/>
                <w:color w:val="000000" w:themeColor="text1"/>
                <w:sz w:val="24"/>
                <w14:textFill>
                  <w14:solidFill>
                    <w14:schemeClr w14:val="tx1"/>
                  </w14:solidFill>
                </w14:textFill>
              </w:rPr>
              <w:t>通过对陡坎削坡、护岸砌筑、坡面绿植等措施，对朱庄河流域上游及下游进行修复。</w:t>
            </w:r>
            <w:r>
              <w:rPr>
                <w:rFonts w:ascii="Times New Roman" w:hAnsi="Times New Roman" w:cs="Times New Roman"/>
                <w:color w:val="000000" w:themeColor="text1"/>
                <w:sz w:val="24"/>
                <w14:textFill>
                  <w14:solidFill>
                    <w14:schemeClr w14:val="tx1"/>
                  </w14:solidFill>
                </w14:textFill>
              </w:rPr>
              <w:t>随着施工场地开挖、填方、平整，原有地表土层受到破坏，土壤松动，或者施工过程中由于挖方及填方过程中形成的土堆不能及时清理，遇到较大降雨冲刷，易发生水土流失，使局部生态环境受到影响。考虑到本项目拟建场区地形条件的特点，</w:t>
            </w:r>
            <w:r>
              <w:rPr>
                <w:color w:val="000000" w:themeColor="text1"/>
                <w:sz w:val="24"/>
                <w14:textFill>
                  <w14:solidFill>
                    <w14:schemeClr w14:val="tx1"/>
                  </w14:solidFill>
                </w14:textFill>
              </w:rPr>
              <w:t>严禁雨</w:t>
            </w:r>
            <w:r>
              <w:rPr>
                <w:rFonts w:hint="eastAsia"/>
                <w:color w:val="000000" w:themeColor="text1"/>
                <w:sz w:val="24"/>
                <w14:textFill>
                  <w14:solidFill>
                    <w14:schemeClr w14:val="tx1"/>
                  </w14:solidFill>
                </w14:textFill>
              </w:rPr>
              <w:t>天</w:t>
            </w:r>
            <w:r>
              <w:rPr>
                <w:color w:val="000000" w:themeColor="text1"/>
                <w:sz w:val="24"/>
                <w14:textFill>
                  <w14:solidFill>
                    <w14:schemeClr w14:val="tx1"/>
                  </w14:solidFill>
                </w14:textFill>
              </w:rPr>
              <w:t>作业</w:t>
            </w:r>
            <w:r>
              <w:rPr>
                <w:rFonts w:hint="eastAsia"/>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工程设计时尽量将产生土方贮存，并设置临时防护措施。同时加强施工管理，合理安排施工进度，处理场终场后应制定土地整治、复原计划，做好场区的植被恢复，使场区的水土保持功效逐步复原，就可以有效控制水土流失，对水土保持的影响较小</w:t>
            </w:r>
            <w:r>
              <w:rPr>
                <w:rFonts w:hint="eastAsia" w:ascii="Times New Roman" w:hAnsi="Times New Roman" w:cs="Times New Roman"/>
                <w:color w:val="000000" w:themeColor="text1"/>
                <w:sz w:val="24"/>
                <w14:textFill>
                  <w14:solidFill>
                    <w14:schemeClr w14:val="tx1"/>
                  </w14:solidFill>
                </w14:textFill>
              </w:rPr>
              <w:t>。</w:t>
            </w:r>
          </w:p>
          <w:p>
            <w:pPr>
              <w:pStyle w:val="64"/>
              <w:numPr>
                <w:ilvl w:val="0"/>
                <w:numId w:val="3"/>
              </w:numPr>
              <w:spacing w:line="360" w:lineRule="auto"/>
              <w:ind w:firstLineChars="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土地利用性质调整的正面影响分析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恢复原始地形，恢复植被，从源头上消除安全隐患，能有效消除对周边造成的危险隐患。通过覆土、绿化等措施增加草地土地资源，显著增加植被覆盖率，强化植被固沙护土能力，使土地资源恢复其利用价值，为实现当地经济的可持续发展，构建和谐社会奠定良好的基础。</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⑺</w:t>
            </w:r>
            <w:r>
              <w:rPr>
                <w:rFonts w:ascii="Times New Roman" w:hAnsi="Times New Roman" w:cs="Times New Roman"/>
                <w:color w:val="000000" w:themeColor="text1"/>
                <w:sz w:val="24"/>
                <w14:textFill>
                  <w14:solidFill>
                    <w14:schemeClr w14:val="tx1"/>
                  </w14:solidFill>
                </w14:textFill>
              </w:rPr>
              <w:t>施工车辆及施工机械行驶路线对生态的影响分析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整体生态环境脆弱，为减小对本项目区域影响，施工期间施工车辆应按照规划的施工便道行驶，施工机械应当按照规划的施工便道行驶进入指定区域进行施工作业，以免无序碾压造成更大的生态破坏，施工结束后，对车辆行驶区域及施工便道进行生态恢复，对周边生态的影响较小。</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⑻</w:t>
            </w:r>
            <w:r>
              <w:rPr>
                <w:rFonts w:ascii="Times New Roman" w:hAnsi="Times New Roman" w:cs="Times New Roman"/>
                <w:color w:val="000000" w:themeColor="text1"/>
                <w:sz w:val="24"/>
                <w14:textFill>
                  <w14:solidFill>
                    <w14:schemeClr w14:val="tx1"/>
                  </w14:solidFill>
                </w14:textFill>
              </w:rPr>
              <w:t>结论</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所述，本项目施工期会对区域的生态环境产生一定的影响，但随着施工期的结束，项目对区域生态环境的影响将得到缓解，生态环境正效益显现。通过施工过程中采取的相应措施及后期水土保持措施的介入，可提高区域植被覆盖率，改善区域生态环境质量。</w:t>
            </w:r>
          </w:p>
          <w:p>
            <w:pPr>
              <w:widowControl/>
              <w:spacing w:line="360" w:lineRule="auto"/>
              <w:ind w:firstLine="482" w:firstLineChars="200"/>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 xml:space="preserve">2、大气环境影响分析 </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 xml:space="preserve">（1）施工扬尘 </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本工程施工扬尘主要来自临时施工场地、土石方及建筑材料（石料、骨料等）运输过程中产生的扬尘及边坡砌护过程中的起尘等。根据同类施工现场类比调查现场监测结果可知：</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施工现场因土石方挖填倒运、粉状物料堆放等活动产生的施工扬尘中TSP在50m范围内浓度远高于《大气污染物综合排放标准》（GB16297-1996）中无组织排放监控浓度限值（周界外浓度最高点：1.0mg/m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），但是随着距施工现场距离的增加，同时对施工场地洒水降尘等措施的更进，大气环境中TSP浓度逐渐降低，至150m以外将不会造成明显影响；</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t>散体材料在临时堆料场装卸、转运及暂存时，受风力作用也易发生扬尘，且扬尘基本上集中在下风向50m范围内，考虑到扬尘对人体健康和植被的有害作用，要求对散装物料存放点及时做好防护工作，通过定期洒水、篷布遮挡等措施，可有效防止风吹起尘，将临时堆料场内的扬尘影响控制在较低水平。</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本项目主要对朱庄河进行陡坎生态修复、河床生态修复、护岸生态修复、</w:t>
            </w:r>
            <w:r>
              <w:rPr>
                <w:rFonts w:ascii="Times New Roman" w:hAnsi="Times New Roman" w:cs="Times New Roman"/>
                <w:bCs/>
                <w:color w:val="000000" w:themeColor="text1"/>
                <w:sz w:val="24"/>
                <w14:textFill>
                  <w14:solidFill>
                    <w14:schemeClr w14:val="tx1"/>
                  </w14:solidFill>
                </w14:textFill>
              </w:rPr>
              <w:t>生态经济林工程等</w:t>
            </w:r>
            <w:r>
              <w:rPr>
                <w:rFonts w:ascii="Times New Roman" w:hAnsi="Times New Roman" w:cs="Times New Roman"/>
                <w:color w:val="000000" w:themeColor="text1"/>
                <w:sz w:val="24"/>
                <w14:textFill>
                  <w14:solidFill>
                    <w14:schemeClr w14:val="tx1"/>
                  </w14:solidFill>
                </w14:textFill>
              </w:rPr>
              <w:t>，治理过程中的土壤较为潮湿，且大部分有植被覆盖，施工过程扬尘产尘量较小，对周边大气环境影响较小。</w:t>
            </w:r>
          </w:p>
          <w:p>
            <w:pPr>
              <w:adjustRightInd w:val="0"/>
              <w:snapToGrid w:val="0"/>
              <w:spacing w:line="360" w:lineRule="auto"/>
              <w:ind w:firstLine="482" w:firstLineChars="200"/>
              <w:rPr>
                <w:rFonts w:ascii="Times New Roman" w:hAnsi="Times New Roman" w:cs="Times New Roman"/>
                <w:b/>
                <w:color w:val="000000" w:themeColor="text1"/>
                <w:sz w:val="24"/>
                <w:lang w:bidi="ar"/>
                <w14:textFill>
                  <w14:solidFill>
                    <w14:schemeClr w14:val="tx1"/>
                  </w14:solidFill>
                </w14:textFill>
              </w:rPr>
            </w:pPr>
            <w:r>
              <w:rPr>
                <w:rFonts w:hint="eastAsia" w:ascii="宋体" w:hAnsi="宋体" w:cs="宋体"/>
                <w:b/>
                <w:color w:val="000000" w:themeColor="text1"/>
                <w:sz w:val="24"/>
                <w:lang w:bidi="ar"/>
                <w14:textFill>
                  <w14:solidFill>
                    <w14:schemeClr w14:val="tx1"/>
                  </w14:solidFill>
                </w14:textFill>
              </w:rPr>
              <w:t>⑵</w:t>
            </w:r>
            <w:r>
              <w:rPr>
                <w:rFonts w:ascii="Times New Roman" w:hAnsi="Times New Roman" w:cs="Times New Roman"/>
                <w:b/>
                <w:color w:val="000000" w:themeColor="text1"/>
                <w:sz w:val="24"/>
                <w:lang w:bidi="ar"/>
                <w14:textFill>
                  <w14:solidFill>
                    <w14:schemeClr w14:val="tx1"/>
                  </w14:solidFill>
                </w14:textFill>
              </w:rPr>
              <w:t>施工作业机械尾气</w:t>
            </w:r>
          </w:p>
          <w:p>
            <w:pPr>
              <w:adjustRightInd w:val="0"/>
              <w:snapToGrid w:val="0"/>
              <w:spacing w:line="360" w:lineRule="auto"/>
              <w:ind w:firstLine="480" w:firstLineChars="200"/>
              <w:rPr>
                <w:rFonts w:ascii="Times New Roman" w:hAnsi="Times New Roman" w:cs="Times New Roman"/>
                <w:bCs/>
                <w:color w:val="000000" w:themeColor="text1"/>
                <w:sz w:val="24"/>
                <w:lang w:bidi="ar"/>
                <w14:textFill>
                  <w14:solidFill>
                    <w14:schemeClr w14:val="tx1"/>
                  </w14:solidFill>
                </w14:textFill>
              </w:rPr>
            </w:pPr>
            <w:r>
              <w:rPr>
                <w:rFonts w:ascii="Times New Roman" w:hAnsi="Times New Roman" w:cs="Times New Roman"/>
                <w:bCs/>
                <w:color w:val="000000" w:themeColor="text1"/>
                <w:sz w:val="24"/>
                <w:lang w:bidi="ar"/>
                <w14:textFill>
                  <w14:solidFill>
                    <w14:schemeClr w14:val="tx1"/>
                  </w14:solidFill>
                </w14:textFill>
              </w:rPr>
              <w:t>本项目施工期施工机械主要有挖掘机、推土机、装载机、柴油动力机械等燃油机械，其排放的污染物主要有CO、NO</w:t>
            </w:r>
            <w:r>
              <w:rPr>
                <w:rFonts w:ascii="Times New Roman" w:hAnsi="Times New Roman" w:cs="Times New Roman"/>
                <w:bCs/>
                <w:color w:val="000000" w:themeColor="text1"/>
                <w:sz w:val="24"/>
                <w:vertAlign w:val="subscript"/>
                <w:lang w:bidi="ar"/>
                <w14:textFill>
                  <w14:solidFill>
                    <w14:schemeClr w14:val="tx1"/>
                  </w14:solidFill>
                </w14:textFill>
              </w:rPr>
              <w:t>x</w:t>
            </w:r>
            <w:r>
              <w:rPr>
                <w:rFonts w:ascii="Times New Roman" w:hAnsi="Times New Roman" w:cs="Times New Roman"/>
                <w:bCs/>
                <w:color w:val="000000" w:themeColor="text1"/>
                <w:sz w:val="24"/>
                <w:lang w:bidi="ar"/>
                <w14:textFill>
                  <w14:solidFill>
                    <w14:schemeClr w14:val="tx1"/>
                  </w14:solidFill>
                </w14:textFill>
              </w:rPr>
              <w:t>、碳氢化合物；参考其他类似工程施工现场监测结果，在距离现场50m处，空气环境中CO、NO</w:t>
            </w:r>
            <w:r>
              <w:rPr>
                <w:rFonts w:ascii="Times New Roman" w:hAnsi="Times New Roman" w:cs="Times New Roman"/>
                <w:bCs/>
                <w:color w:val="000000" w:themeColor="text1"/>
                <w:sz w:val="24"/>
                <w:vertAlign w:val="subscript"/>
                <w:lang w:bidi="ar"/>
                <w14:textFill>
                  <w14:solidFill>
                    <w14:schemeClr w14:val="tx1"/>
                  </w14:solidFill>
                </w14:textFill>
              </w:rPr>
              <w:t>x</w:t>
            </w:r>
            <w:r>
              <w:rPr>
                <w:rFonts w:ascii="Times New Roman" w:hAnsi="Times New Roman" w:cs="Times New Roman"/>
                <w:bCs/>
                <w:color w:val="000000" w:themeColor="text1"/>
                <w:sz w:val="24"/>
                <w:lang w:bidi="ar"/>
                <w14:textFill>
                  <w14:solidFill>
                    <w14:schemeClr w14:val="tx1"/>
                  </w14:solidFill>
                </w14:textFill>
              </w:rPr>
              <w:t>1小时平均浓度分别为0.20mg/m</w:t>
            </w:r>
            <w:r>
              <w:rPr>
                <w:rFonts w:ascii="Times New Roman" w:hAnsi="Times New Roman" w:cs="Times New Roman"/>
                <w:bCs/>
                <w:color w:val="000000" w:themeColor="text1"/>
                <w:sz w:val="24"/>
                <w:vertAlign w:val="superscript"/>
                <w:lang w:bidi="ar"/>
                <w14:textFill>
                  <w14:solidFill>
                    <w14:schemeClr w14:val="tx1"/>
                  </w14:solidFill>
                </w14:textFill>
              </w:rPr>
              <w:t>3</w:t>
            </w:r>
            <w:r>
              <w:rPr>
                <w:rFonts w:ascii="Times New Roman" w:hAnsi="Times New Roman" w:cs="Times New Roman"/>
                <w:bCs/>
                <w:color w:val="000000" w:themeColor="text1"/>
                <w:sz w:val="24"/>
                <w:lang w:bidi="ar"/>
                <w14:textFill>
                  <w14:solidFill>
                    <w14:schemeClr w14:val="tx1"/>
                  </w14:solidFill>
                </w14:textFill>
              </w:rPr>
              <w:t>和0.13mg/m</w:t>
            </w:r>
            <w:r>
              <w:rPr>
                <w:rFonts w:ascii="Times New Roman" w:hAnsi="Times New Roman" w:cs="Times New Roman"/>
                <w:bCs/>
                <w:color w:val="000000" w:themeColor="text1"/>
                <w:sz w:val="24"/>
                <w:vertAlign w:val="superscript"/>
                <w:lang w:bidi="ar"/>
                <w14:textFill>
                  <w14:solidFill>
                    <w14:schemeClr w14:val="tx1"/>
                  </w14:solidFill>
                </w14:textFill>
              </w:rPr>
              <w:t>3</w:t>
            </w:r>
            <w:r>
              <w:rPr>
                <w:rFonts w:ascii="Times New Roman" w:hAnsi="Times New Roman" w:cs="Times New Roman"/>
                <w:bCs/>
                <w:color w:val="000000" w:themeColor="text1"/>
                <w:sz w:val="24"/>
                <w:lang w:bidi="ar"/>
                <w14:textFill>
                  <w14:solidFill>
                    <w14:schemeClr w14:val="tx1"/>
                  </w14:solidFill>
                </w14:textFill>
              </w:rPr>
              <w:t>；24小时平均浓度分别为0.13mg/m</w:t>
            </w:r>
            <w:r>
              <w:rPr>
                <w:rFonts w:ascii="Times New Roman" w:hAnsi="Times New Roman" w:cs="Times New Roman"/>
                <w:bCs/>
                <w:color w:val="000000" w:themeColor="text1"/>
                <w:sz w:val="24"/>
                <w:vertAlign w:val="superscript"/>
                <w:lang w:bidi="ar"/>
                <w14:textFill>
                  <w14:solidFill>
                    <w14:schemeClr w14:val="tx1"/>
                  </w14:solidFill>
                </w14:textFill>
              </w:rPr>
              <w:t>3</w:t>
            </w:r>
            <w:r>
              <w:rPr>
                <w:rFonts w:ascii="Times New Roman" w:hAnsi="Times New Roman" w:cs="Times New Roman"/>
                <w:bCs/>
                <w:color w:val="000000" w:themeColor="text1"/>
                <w:sz w:val="24"/>
                <w:lang w:bidi="ar"/>
                <w14:textFill>
                  <w14:solidFill>
                    <w14:schemeClr w14:val="tx1"/>
                  </w14:solidFill>
                </w14:textFill>
              </w:rPr>
              <w:t>和0.062mg/m</w:t>
            </w:r>
            <w:r>
              <w:rPr>
                <w:rFonts w:ascii="Times New Roman" w:hAnsi="Times New Roman" w:cs="Times New Roman"/>
                <w:bCs/>
                <w:color w:val="000000" w:themeColor="text1"/>
                <w:sz w:val="24"/>
                <w:vertAlign w:val="superscript"/>
                <w:lang w:bidi="ar"/>
                <w14:textFill>
                  <w14:solidFill>
                    <w14:schemeClr w14:val="tx1"/>
                  </w14:solidFill>
                </w14:textFill>
              </w:rPr>
              <w:t>3</w:t>
            </w:r>
            <w:r>
              <w:rPr>
                <w:rFonts w:ascii="Times New Roman" w:hAnsi="Times New Roman" w:cs="Times New Roman"/>
                <w:bCs/>
                <w:color w:val="000000" w:themeColor="text1"/>
                <w:sz w:val="24"/>
                <w:lang w:bidi="ar"/>
                <w14:textFill>
                  <w14:solidFill>
                    <w14:schemeClr w14:val="tx1"/>
                  </w14:solidFill>
                </w14:textFill>
              </w:rPr>
              <w:t xml:space="preserve">，均能满足《环境空气质量标准》（GB3095-2012）中二级标准的要求，施工机械尾气对评价范围内大气环境不利影响较小。 </w:t>
            </w:r>
          </w:p>
          <w:p>
            <w:pPr>
              <w:widowControl/>
              <w:spacing w:line="360" w:lineRule="auto"/>
              <w:ind w:firstLine="482" w:firstLineChars="200"/>
              <w:rPr>
                <w:rFonts w:ascii="Times New Roman" w:hAnsi="Times New Roman" w:cs="Times New Roman"/>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⑶</w:t>
            </w:r>
            <w:r>
              <w:rPr>
                <w:rFonts w:ascii="Times New Roman" w:hAnsi="Times New Roman" w:cs="Times New Roman"/>
                <w:b/>
                <w:bCs/>
                <w:color w:val="000000" w:themeColor="text1"/>
                <w:sz w:val="24"/>
                <w14:textFill>
                  <w14:solidFill>
                    <w14:schemeClr w14:val="tx1"/>
                  </w14:solidFill>
                </w14:textFill>
              </w:rPr>
              <w:t>清淤恶臭</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本项目清淤作业时会有少量臭味产生，主要来自于河道清淤过程和淤泥堆放、干化过程，由于清理深度内淤泥量不大，且采用分段清淤，清淤产生的淤泥及时清运，所以臭味有限。根据底泥监测报告可知</w:t>
            </w:r>
            <w:r>
              <w:rPr>
                <w:rFonts w:hint="eastAsia" w:ascii="Times New Roman" w:hAnsi="Times New Roman" w:cs="Times New Roman"/>
                <w:color w:val="000000" w:themeColor="text1"/>
                <w:sz w:val="24"/>
                <w14:textFill>
                  <w14:solidFill>
                    <w14:schemeClr w14:val="tx1"/>
                  </w14:solidFill>
                </w14:textFill>
              </w:rPr>
              <w:t>，底泥检测结果满足</w:t>
            </w:r>
            <w:r>
              <w:rPr>
                <w:rFonts w:ascii="Times New Roman" w:hAnsi="Times New Roman" w:cs="Times New Roman"/>
                <w:color w:val="000000" w:themeColor="text1"/>
                <w:sz w:val="24"/>
                <w14:textFill>
                  <w14:solidFill>
                    <w14:schemeClr w14:val="tx1"/>
                  </w14:solidFill>
                </w14:textFill>
              </w:rPr>
              <w:t>《土壤环境质</w:t>
            </w:r>
            <w:r>
              <w:rPr>
                <w:rFonts w:hint="eastAsia" w:ascii="Times New Roman" w:hAnsi="Times New Roman" w:cs="Times New Roman"/>
                <w:color w:val="000000" w:themeColor="text1"/>
                <w:sz w:val="24"/>
                <w14:textFill>
                  <w14:solidFill>
                    <w14:schemeClr w14:val="tx1"/>
                  </w14:solidFill>
                </w14:textFill>
              </w:rPr>
              <w:t>量</w:t>
            </w:r>
            <w:r>
              <w:rPr>
                <w:rFonts w:ascii="Times New Roman" w:hAnsi="Times New Roman" w:cs="Times New Roman"/>
                <w:color w:val="000000" w:themeColor="text1"/>
                <w:sz w:val="24"/>
                <w14:textFill>
                  <w14:solidFill>
                    <w14:schemeClr w14:val="tx1"/>
                  </w14:solidFill>
                </w14:textFill>
              </w:rPr>
              <w:t>农用地土壤污染风险管控标准（试行）》</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GB15618-2018</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表l中筛选值的要求</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可直接全部用于场地内摊平压实</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清淤作业主要集中在3~9月，施工时将河道单侧引流，围挡内河水采用潜水泵抽排至流通沟道内，清淤时为干清淤，可减少对周边环境的影响。</w:t>
            </w:r>
          </w:p>
          <w:p>
            <w:pPr>
              <w:widowControl/>
              <w:spacing w:line="360" w:lineRule="auto"/>
              <w:ind w:firstLine="482"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3、水环境影响分析</w:t>
            </w:r>
            <w:r>
              <w:rPr>
                <w:rFonts w:ascii="Times New Roman" w:hAnsi="Times New Roman" w:cs="Times New Roman"/>
                <w:color w:val="000000" w:themeColor="text1"/>
                <w:sz w:val="24"/>
                <w14:textFill>
                  <w14:solidFill>
                    <w14:schemeClr w14:val="tx1"/>
                  </w14:solidFill>
                </w14:textFill>
              </w:rPr>
              <w:t xml:space="preserve"> </w:t>
            </w:r>
          </w:p>
          <w:p>
            <w:pPr>
              <w:pStyle w:val="54"/>
              <w:spacing w:line="360" w:lineRule="auto"/>
              <w:ind w:firstLine="482" w:firstLineChars="200"/>
              <w:jc w:val="both"/>
              <w:rPr>
                <w:rFonts w:hint="default" w:ascii="Times New Roman" w:hAnsi="Times New Roman" w:cs="Times New Roman"/>
                <w:b/>
                <w:color w:val="000000" w:themeColor="text1"/>
                <w14:textFill>
                  <w14:solidFill>
                    <w14:schemeClr w14:val="tx1"/>
                  </w14:solidFill>
                </w14:textFill>
              </w:rPr>
            </w:pPr>
            <w:r>
              <w:rPr>
                <w:b/>
                <w:color w:val="000000" w:themeColor="text1"/>
                <w14:textFill>
                  <w14:solidFill>
                    <w14:schemeClr w14:val="tx1"/>
                  </w14:solidFill>
                </w14:textFill>
              </w:rPr>
              <w:t>⑴</w:t>
            </w:r>
            <w:r>
              <w:rPr>
                <w:rFonts w:hint="default" w:ascii="Times New Roman" w:hAnsi="Times New Roman" w:cs="Times New Roman"/>
                <w:b/>
                <w:color w:val="000000" w:themeColor="text1"/>
                <w14:textFill>
                  <w14:solidFill>
                    <w14:schemeClr w14:val="tx1"/>
                  </w14:solidFill>
                </w14:textFill>
              </w:rPr>
              <w:t>施工期地表水环境影响分析</w:t>
            </w:r>
          </w:p>
          <w:p>
            <w:pPr>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施工期废水主要为施工人员生活污水和施工过程中产生的施工废水。</w:t>
            </w:r>
          </w:p>
          <w:p>
            <w:pPr>
              <w:adjustRightInd w:val="0"/>
              <w:snapToGrid w:val="0"/>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施工人员最大高峰人数为40人，</w:t>
            </w:r>
            <w:r>
              <w:rPr>
                <w:rFonts w:ascii="Times New Roman" w:hAnsi="Times New Roman" w:cs="Times New Roman"/>
                <w:bCs/>
                <w:color w:val="000000" w:themeColor="text1"/>
                <w:sz w:val="24"/>
                <w14:textFill>
                  <w14:solidFill>
                    <w14:schemeClr w14:val="tx1"/>
                  </w14:solidFill>
                </w14:textFill>
              </w:rPr>
              <w:t>每人每天生活用水量按50L计，则用水量为2m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/d，以水的消耗率为20%计，则生活污水排放量约1.6m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/d，主要污染物为COD、SS、BOD</w:t>
            </w:r>
            <w:r>
              <w:rPr>
                <w:rFonts w:ascii="Times New Roman" w:hAnsi="Times New Roman" w:cs="Times New Roman"/>
                <w:bCs/>
                <w:color w:val="000000" w:themeColor="text1"/>
                <w:sz w:val="24"/>
                <w:vertAlign w:val="subscript"/>
                <w14:textFill>
                  <w14:solidFill>
                    <w14:schemeClr w14:val="tx1"/>
                  </w14:solidFill>
                </w14:textFill>
              </w:rPr>
              <w:t>5</w:t>
            </w:r>
            <w:r>
              <w:rPr>
                <w:rFonts w:ascii="Times New Roman" w:hAnsi="Times New Roman" w:cs="Times New Roman"/>
                <w:bCs/>
                <w:color w:val="000000" w:themeColor="text1"/>
                <w:sz w:val="24"/>
                <w14:textFill>
                  <w14:solidFill>
                    <w14:schemeClr w14:val="tx1"/>
                  </w14:solidFill>
                </w14:textFill>
              </w:rPr>
              <w:t>等，废水依托周边民居。</w:t>
            </w:r>
          </w:p>
          <w:p>
            <w:pPr>
              <w:adjustRightInd w:val="0"/>
              <w:snapToGrid w:val="0"/>
              <w:spacing w:line="360" w:lineRule="auto"/>
              <w:ind w:firstLine="480" w:firstLineChars="200"/>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施工生产废水主要是设备和车辆冲洗废水，废水具有悬浮物浓度高、水量小、间歇集中排放等特点，每次冲洗产生的污水约3m</w:t>
            </w:r>
            <w:r>
              <w:rPr>
                <w:rFonts w:ascii="Times New Roman" w:hAnsi="Times New Roman" w:cs="Times New Roman"/>
                <w:bCs/>
                <w:color w:val="000000" w:themeColor="text1"/>
                <w:sz w:val="24"/>
                <w:vertAlign w:val="superscript"/>
                <w14:textFill>
                  <w14:solidFill>
                    <w14:schemeClr w14:val="tx1"/>
                  </w14:solidFill>
                </w14:textFill>
              </w:rPr>
              <w:t>3</w:t>
            </w:r>
            <w:r>
              <w:rPr>
                <w:rFonts w:ascii="Times New Roman" w:hAnsi="Times New Roman" w:cs="Times New Roman"/>
                <w:bCs/>
                <w:color w:val="000000" w:themeColor="text1"/>
                <w:sz w:val="24"/>
                <w14:textFill>
                  <w14:solidFill>
                    <w14:schemeClr w14:val="tx1"/>
                  </w14:solidFill>
                </w14:textFill>
              </w:rPr>
              <w:t>，其主要污染物为SS，浓度可达到2000～4000mg/L。施工废水产生量较少，</w:t>
            </w:r>
            <w:r>
              <w:rPr>
                <w:rFonts w:ascii="Times New Roman" w:hAnsi="Times New Roman" w:cs="Times New Roman"/>
                <w:color w:val="000000" w:themeColor="text1"/>
                <w:sz w:val="24"/>
                <w:szCs w:val="32"/>
                <w14:textFill>
                  <w14:solidFill>
                    <w14:schemeClr w14:val="tx1"/>
                  </w14:solidFill>
                </w14:textFill>
              </w:rPr>
              <w:t>生态修复区入口设置一座洗车池，进出机械车辆从洗车池通过，减少车辆扬尘。每处生态修复区域内均设置1座5m³的沉淀池，施工废水经沉淀后用于洒水抑尘，严禁向周边地表水体排放。</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在沟道内施工，在一定程度上会影响沟道局部水质及水文情势，水质影响主要为沟道清淤对沟底的扰动，使沟底沉积物上浮、局部悬浮物浓度上升，但本项目清淤施工为局部施工，水体悬浮物的增加仅限于施工的局部区域，并且影响是暂时的，随着清淤工程的结束将很快恢复。沟道内无鱼类产卵场、索饵场、越冬场、洄游通道，且无重点保护野生动植物。水量及水位影响主要为沟内围堰导致过水断面变窄、围堰处及下游一定范围内流量变大，围堰上游及过水断面局部水位上升，但上升幅度及影响范围均仅限于施工的局部区域</w:t>
            </w:r>
            <w:r>
              <w:rPr>
                <w:rFonts w:ascii="Times New Roman" w:hAnsi="Times New Roman" w:cs="Times New Roman"/>
                <w:color w:val="000000" w:themeColor="text1"/>
                <w:sz w:val="24"/>
                <w14:textFill>
                  <w14:solidFill>
                    <w14:schemeClr w14:val="tx1"/>
                  </w14:solidFill>
                </w14:textFill>
              </w:rPr>
              <w:t>。</w:t>
            </w:r>
          </w:p>
          <w:p>
            <w:pPr>
              <w:pStyle w:val="54"/>
              <w:spacing w:line="360" w:lineRule="auto"/>
              <w:ind w:firstLine="482" w:firstLineChars="200"/>
              <w:rPr>
                <w:rFonts w:hint="default" w:ascii="Times New Roman" w:hAnsi="Times New Roman" w:cs="Times New Roman"/>
                <w:b/>
                <w:color w:val="000000" w:themeColor="text1"/>
                <w14:textFill>
                  <w14:solidFill>
                    <w14:schemeClr w14:val="tx1"/>
                  </w14:solidFill>
                </w14:textFill>
              </w:rPr>
            </w:pPr>
            <w:r>
              <w:rPr>
                <w:b/>
                <w:color w:val="000000" w:themeColor="text1"/>
                <w14:textFill>
                  <w14:solidFill>
                    <w14:schemeClr w14:val="tx1"/>
                  </w14:solidFill>
                </w14:textFill>
              </w:rPr>
              <w:t>⑵</w:t>
            </w:r>
            <w:r>
              <w:rPr>
                <w:rFonts w:hint="default" w:ascii="Times New Roman" w:hAnsi="Times New Roman" w:cs="Times New Roman"/>
                <w:b/>
                <w:color w:val="000000" w:themeColor="text1"/>
                <w14:textFill>
                  <w14:solidFill>
                    <w14:schemeClr w14:val="tx1"/>
                  </w14:solidFill>
                </w14:textFill>
              </w:rPr>
              <w:t>施工期地下水环境影响分析</w:t>
            </w:r>
          </w:p>
          <w:p>
            <w:pPr>
              <w:pStyle w:val="54"/>
              <w:spacing w:line="360" w:lineRule="auto"/>
              <w:ind w:firstLine="480" w:firstLineChars="200"/>
              <w:jc w:val="both"/>
              <w:rPr>
                <w:rFonts w:hint="default" w:ascii="Times New Roman" w:hAnsi="Times New Roman" w:cs="Times New Roman"/>
                <w:color w:val="000000" w:themeColor="text1"/>
                <w:kern w:val="2"/>
                <w:szCs w:val="24"/>
                <w:lang w:val="zh-CN"/>
                <w14:textFill>
                  <w14:solidFill>
                    <w14:schemeClr w14:val="tx1"/>
                  </w14:solidFill>
                </w14:textFill>
              </w:rPr>
            </w:pPr>
            <w:r>
              <w:rPr>
                <w:rFonts w:hint="default" w:ascii="Times New Roman" w:hAnsi="Times New Roman" w:cs="Times New Roman"/>
                <w:color w:val="000000" w:themeColor="text1"/>
                <w:kern w:val="2"/>
                <w:szCs w:val="24"/>
                <w:lang w:val="zh-CN"/>
                <w14:textFill>
                  <w14:solidFill>
                    <w14:schemeClr w14:val="tx1"/>
                  </w14:solidFill>
                </w14:textFill>
              </w:rPr>
              <w:t>本项目不涉及深度下挖工程，项目建设和运行不会改变区域地下水资源利用状况，不对地下水径流流场产生影响；项目评价范围内无水源地保护区、农村集中供水工程等分布，因此，项目的实施不会对区域地下水环境产生不利影响。</w:t>
            </w:r>
          </w:p>
          <w:p>
            <w:pPr>
              <w:widowControl/>
              <w:spacing w:line="360" w:lineRule="auto"/>
              <w:ind w:firstLine="482" w:firstLineChars="200"/>
              <w:jc w:val="left"/>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 xml:space="preserve">4、声环境影响分析 </w:t>
            </w:r>
          </w:p>
          <w:p>
            <w:pPr>
              <w:widowControl/>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⑴</w:t>
            </w:r>
            <w:r>
              <w:rPr>
                <w:rFonts w:ascii="Times New Roman" w:hAnsi="Times New Roman" w:cs="Times New Roman"/>
                <w:b/>
                <w:color w:val="000000" w:themeColor="text1"/>
                <w:sz w:val="24"/>
                <w14:textFill>
                  <w14:solidFill>
                    <w14:schemeClr w14:val="tx1"/>
                  </w14:solidFill>
                </w14:textFill>
              </w:rPr>
              <w:t>噪声污染源统计分析</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在施工过程中，由于各种施工机械设备的运转和各类车辆的运行，不可避免地将产生噪声污染。施工中使用的各种施工机械、运输车辆等都是噪声的产生源。根据有关资料主要施工机械的噪声状况列于下表：</w:t>
            </w:r>
          </w:p>
          <w:p>
            <w:pPr>
              <w:widowControl/>
              <w:spacing w:line="360" w:lineRule="auto"/>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表4-1    施工机械设备噪声</w:t>
            </w:r>
          </w:p>
          <w:tbl>
            <w:tblPr>
              <w:tblStyle w:val="27"/>
              <w:tblW w:w="813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032"/>
              <w:gridCol w:w="50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3032"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施工设备名称</w:t>
                  </w:r>
                </w:p>
              </w:tc>
              <w:tc>
                <w:tcPr>
                  <w:tcW w:w="5099"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声功率级dB（A）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3032"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反铲挖掘机</w:t>
                  </w:r>
                </w:p>
              </w:tc>
              <w:tc>
                <w:tcPr>
                  <w:tcW w:w="509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3032"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推土机</w:t>
                  </w:r>
                </w:p>
              </w:tc>
              <w:tc>
                <w:tcPr>
                  <w:tcW w:w="509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3032"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装载机</w:t>
                  </w:r>
                </w:p>
              </w:tc>
              <w:tc>
                <w:tcPr>
                  <w:tcW w:w="509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3032"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自卸汽车</w:t>
                  </w:r>
                </w:p>
              </w:tc>
              <w:tc>
                <w:tcPr>
                  <w:tcW w:w="509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85</w:t>
                  </w:r>
                </w:p>
              </w:tc>
            </w:tr>
          </w:tbl>
          <w:p>
            <w:pPr>
              <w:widowControl/>
              <w:spacing w:line="360" w:lineRule="auto"/>
              <w:ind w:firstLine="480"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由上表可以看出现场施工机械设备噪声很高，在实际施工过程中，往往是各种机械同时工作，各种噪声源辐射的相互叠加，噪声级将会更高，辐射面也会更大。</w:t>
            </w:r>
          </w:p>
          <w:p>
            <w:pPr>
              <w:widowControl/>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⑵</w:t>
            </w:r>
            <w:r>
              <w:rPr>
                <w:rFonts w:ascii="Times New Roman" w:hAnsi="Times New Roman" w:cs="Times New Roman"/>
                <w:b/>
                <w:color w:val="000000" w:themeColor="text1"/>
                <w:sz w:val="24"/>
                <w14:textFill>
                  <w14:solidFill>
                    <w14:schemeClr w14:val="tx1"/>
                  </w14:solidFill>
                </w14:textFill>
              </w:rPr>
              <w:t>噪声影响分析</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类比同类施工场地噪声监测结果，昼间施工机械在距离施工边界20m范围内施工，边界噪声将超标；本工程施工噪声对周围区域环境有一定的影响，但这种影响是短期的、暂时的，而且具有局部特性。建设单位通过合理安排施工机械设备的位置，将固定式高噪声设备设置在操作间内，并对高噪声设备采取减振、隔音、选择合理施工时间等措施，可保证项目施工场界噪声满足《建筑施工场界环境噪声排放标准》(GB12523-2011)的要求。本项目施工场地附近200m范围内的居民主要为两侧的李家河村、于家河村、凤岭乡、李家嘴、杨野河村、辛家堡子、双村居民，可将高噪声设备设置于远离居民一侧，并且严禁夜间施工</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以此来降低对周边居民的影响</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由于项目施工边界距离居民点较近</w:t>
            </w:r>
            <w:r>
              <w:rPr>
                <w:rFonts w:hint="eastAsia" w:ascii="Times New Roman" w:hAnsi="Times New Roman" w:cs="Times New Roman"/>
                <w:color w:val="000000" w:themeColor="text1"/>
                <w:sz w:val="24"/>
                <w14:textFill>
                  <w14:solidFill>
                    <w14:schemeClr w14:val="tx1"/>
                  </w14:solidFill>
                </w14:textFill>
              </w:rPr>
              <w:t>，涉及到的人员较少，噪声源多为移动源，</w:t>
            </w:r>
            <w:r>
              <w:rPr>
                <w:rFonts w:ascii="Times New Roman" w:hAnsi="Times New Roman" w:cs="Times New Roman"/>
                <w:color w:val="000000" w:themeColor="text1"/>
                <w:sz w:val="24"/>
                <w14:textFill>
                  <w14:solidFill>
                    <w14:schemeClr w14:val="tx1"/>
                  </w14:solidFill>
                </w14:textFill>
              </w:rPr>
              <w:t>可以与周边居民进行协调</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施工时间尽量避开居民的休息时间</w:t>
            </w:r>
            <w:r>
              <w:rPr>
                <w:rFonts w:hint="eastAsia" w:ascii="Times New Roman" w:hAnsi="Times New Roman" w:cs="Times New Roman"/>
                <w:color w:val="000000" w:themeColor="text1"/>
                <w:sz w:val="24"/>
                <w14:textFill>
                  <w14:solidFill>
                    <w14:schemeClr w14:val="tx1"/>
                  </w14:solidFill>
                </w14:textFill>
              </w:rPr>
              <w:t>，施工机械尽量余力居民点，最大限度的</w:t>
            </w:r>
            <w:r>
              <w:rPr>
                <w:rFonts w:ascii="Times New Roman" w:hAnsi="Times New Roman" w:cs="Times New Roman"/>
                <w:color w:val="000000" w:themeColor="text1"/>
                <w:sz w:val="24"/>
                <w14:textFill>
                  <w14:solidFill>
                    <w14:schemeClr w14:val="tx1"/>
                  </w14:solidFill>
                </w14:textFill>
              </w:rPr>
              <w:t>减少对居民的影响。</w:t>
            </w:r>
          </w:p>
          <w:p>
            <w:pPr>
              <w:widowControl/>
              <w:spacing w:line="360" w:lineRule="auto"/>
              <w:ind w:firstLine="482"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kern w:val="0"/>
                <w:sz w:val="24"/>
                <w:lang w:bidi="ar"/>
                <w14:textFill>
                  <w14:solidFill>
                    <w14:schemeClr w14:val="tx1"/>
                  </w14:solidFill>
                </w14:textFill>
              </w:rPr>
              <w:t>5、固体废物影响分析</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施工期固体废物主要为挖掘土方、淤泥、废建筑材料及生活垃圾。</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土方工程产生的土方全部用于场地内摊平压实，由于朱庄河的主要用途灌溉及泄洪，未受到污染，清淤过程中产生的淤泥经干化后可用于周边</w:t>
            </w:r>
            <w:r>
              <w:rPr>
                <w:rFonts w:ascii="Times New Roman" w:hAnsi="Times New Roman" w:cs="Times New Roman"/>
                <w:color w:val="000000" w:themeColor="text1"/>
                <w:sz w:val="24"/>
                <w14:textFill>
                  <w14:solidFill>
                    <w14:schemeClr w14:val="tx1"/>
                  </w14:solidFill>
                </w14:textFill>
              </w:rPr>
              <w:t>低洼地平整</w:t>
            </w:r>
            <w:r>
              <w:rPr>
                <w:rFonts w:ascii="Times New Roman" w:hAnsi="Times New Roman" w:cs="Times New Roman"/>
                <w:color w:val="000000" w:themeColor="text1"/>
                <w:kern w:val="0"/>
                <w:sz w:val="24"/>
                <w:lang w:bidi="ar"/>
                <w14:textFill>
                  <w14:solidFill>
                    <w14:schemeClr w14:val="tx1"/>
                  </w14:solidFill>
                </w14:textFill>
              </w:rPr>
              <w:t>；建筑垃圾中可回收利用的回收利用，不能回收利用的运送至建筑垃圾堆场进行处置；施工人员生活垃圾及谷草杂木经统一收集后由当地环卫部门统一清运处置。施工期固体废物得到妥善的处理处置，对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s="Times New Roman"/>
                <w:bCs/>
                <w:color w:val="000000" w:themeColor="text1"/>
                <w:kern w:val="2"/>
                <w14:textFill>
                  <w14:solidFill>
                    <w14:schemeClr w14:val="tx1"/>
                  </w14:solidFill>
                </w14:textFill>
              </w:rPr>
            </w:pPr>
            <w:r>
              <w:rPr>
                <w:rFonts w:ascii="Times New Roman" w:hAnsi="Times New Roman" w:cs="Times New Roman"/>
                <w:bCs/>
                <w:color w:val="000000" w:themeColor="text1"/>
                <w:spacing w:val="10"/>
                <w:kern w:val="2"/>
                <w14:textFill>
                  <w14:solidFill>
                    <w14:schemeClr w14:val="tx1"/>
                  </w14:solidFill>
                </w14:textFill>
              </w:rPr>
              <w:t>运营期生态环境影响分析</w:t>
            </w:r>
          </w:p>
        </w:tc>
        <w:tc>
          <w:tcPr>
            <w:tcW w:w="8363" w:type="dxa"/>
          </w:tcPr>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本项目为</w:t>
            </w:r>
            <w:r>
              <w:rPr>
                <w:rFonts w:ascii="Times New Roman" w:hAnsi="Times New Roman" w:cs="Times New Roman"/>
                <w:color w:val="000000" w:themeColor="text1"/>
                <w:sz w:val="24"/>
                <w14:textFill>
                  <w14:solidFill>
                    <w14:schemeClr w14:val="tx1"/>
                  </w14:solidFill>
                </w14:textFill>
              </w:rPr>
              <w:t>朱庄河流域国土空间生态修复</w:t>
            </w:r>
            <w:r>
              <w:rPr>
                <w:rFonts w:ascii="Times New Roman" w:hAnsi="Times New Roman" w:cs="Times New Roman"/>
                <w:color w:val="000000" w:themeColor="text1"/>
                <w:kern w:val="0"/>
                <w:sz w:val="24"/>
                <w:lang w:bidi="ar"/>
                <w14:textFill>
                  <w14:solidFill>
                    <w14:schemeClr w14:val="tx1"/>
                  </w14:solidFill>
                </w14:textFill>
              </w:rPr>
              <w:t>工程，主要工程内容为</w:t>
            </w:r>
            <w:r>
              <w:rPr>
                <w:rFonts w:ascii="Times New Roman" w:hAnsi="Times New Roman" w:cs="Times New Roman"/>
                <w:color w:val="000000" w:themeColor="text1"/>
                <w:sz w:val="24"/>
                <w14:textFill>
                  <w14:solidFill>
                    <w14:schemeClr w14:val="tx1"/>
                  </w14:solidFill>
                </w14:textFill>
              </w:rPr>
              <w:t>陡坎生态修复工程、河床生态修复工程、护岸生态修复工程及生态经济林工程</w:t>
            </w:r>
            <w:r>
              <w:rPr>
                <w:rFonts w:ascii="Times New Roman" w:hAnsi="Times New Roman" w:cs="Times New Roman"/>
                <w:color w:val="000000" w:themeColor="text1"/>
                <w:kern w:val="0"/>
                <w:sz w:val="24"/>
                <w:lang w:bidi="ar"/>
                <w14:textFill>
                  <w14:solidFill>
                    <w14:schemeClr w14:val="tx1"/>
                  </w14:solidFill>
                </w14:textFill>
              </w:rPr>
              <w:t>，运营期项目无噪声、固废、废气产生，对周边环境影响较小。</w:t>
            </w:r>
          </w:p>
          <w:p>
            <w:pPr>
              <w:widowControl/>
              <w:spacing w:line="360" w:lineRule="auto"/>
              <w:ind w:firstLine="480" w:firstLineChars="2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项目在施工结束后，对朱庄河两岸砌护加固，有效的防治暴雨及水对边坡的冲刷、侵蚀，用时也有助于朱庄河水质和水生微生物生境的改善，项目的建设能有效保障周边生态植物的生长及水土保持。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9" w:type="dxa"/>
            <w:vAlign w:val="center"/>
          </w:tcPr>
          <w:p>
            <w:pPr>
              <w:pStyle w:val="22"/>
              <w:adjustRightInd w:val="0"/>
              <w:snapToGrid w:val="0"/>
              <w:spacing w:before="0" w:beforeAutospacing="0" w:after="0" w:afterAutospacing="0"/>
              <w:jc w:val="center"/>
              <w:rPr>
                <w:rFonts w:ascii="Times New Roman" w:hAnsi="Times New Roman" w:cs="Times New Roman"/>
                <w:bCs/>
                <w:color w:val="000000" w:themeColor="text1"/>
                <w:kern w:val="2"/>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选址选线环境合理性分析</w:t>
            </w:r>
          </w:p>
        </w:tc>
        <w:tc>
          <w:tcPr>
            <w:tcW w:w="8363" w:type="dxa"/>
          </w:tcPr>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项目位于固原市隆德县，项目为朱庄河流域国土空间生态修复项目，因本项目施工方案需沿朱庄河上游和下游布置，因此选线具有唯一性。</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工程临时占地在施工结束后大部分恢复原貌，少部分根据工程占压区实物指标调查成果按拟定的补偿标准分别计算各项投资。</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 xml:space="preserve">项目施工布置永久占地及临时占地均不涉自然保护区、饮用水源地、文化遗址、生态敏感区等。因本项目为强化河流、湿地、树木、山水林田湖理念落实，改善河流的生态空间，提高抵御自然灾害的能力。根据项目初步设计方案，本项目的总平面布置在符合区域规划的基础上，根据拟建项目的性质、规模、流程、以及安全、施工等要求，结合场地自然条件，经过技术经济比较后择优确定，平面布置紧凑、降低能耗，节约用地，符合土地利用政策和相关规范要求。项目占地不属于国土资源部和发展改革委员会颁布的《限制用地项目目录》（2012年本）和《禁止用地项目目录》（2012年本）中所列目录。项目周边有道路，交通运输方便，与城市建设、道路交通规划相符。 </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因此，从环境保护角度工程选址合理。</w:t>
            </w:r>
          </w:p>
        </w:tc>
      </w:tr>
    </w:tbl>
    <w:p>
      <w:pPr>
        <w:pStyle w:val="22"/>
        <w:adjustRightInd w:val="0"/>
        <w:snapToGrid w:val="0"/>
        <w:spacing w:before="0" w:beforeAutospacing="0" w:after="0" w:afterAutospacing="0" w:line="14" w:lineRule="exact"/>
        <w:rPr>
          <w:rFonts w:ascii="Times New Roman" w:hAnsi="Times New Roman" w:eastAsia="黑体" w:cs="Times New Roman"/>
          <w:snapToGrid w:val="0"/>
          <w:color w:val="000000" w:themeColor="text1"/>
          <w:sz w:val="36"/>
          <w:szCs w:val="36"/>
          <w14:textFill>
            <w14:solidFill>
              <w14:schemeClr w14:val="tx1"/>
            </w14:solidFill>
          </w14:textFill>
        </w:rPr>
      </w:pPr>
    </w:p>
    <w:p>
      <w:pPr>
        <w:pStyle w:val="22"/>
        <w:adjustRightInd w:val="0"/>
        <w:snapToGrid w:val="0"/>
        <w:spacing w:before="0" w:beforeAutospacing="0" w:after="0" w:afterAutospacing="0" w:line="14" w:lineRule="exact"/>
        <w:jc w:val="center"/>
        <w:rPr>
          <w:rFonts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五、主要生态环境保护措施</w:t>
      </w:r>
    </w:p>
    <w:tbl>
      <w:tblPr>
        <w:tblStyle w:val="27"/>
        <w:tblW w:w="88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5" w:type="dxa"/>
            <w:tcMar>
              <w:left w:w="28" w:type="dxa"/>
              <w:right w:w="28" w:type="dxa"/>
            </w:tcMar>
            <w:vAlign w:val="center"/>
          </w:tcPr>
          <w:p>
            <w:pPr>
              <w:adjustRightInd w:val="0"/>
              <w:snapToGrid w:val="0"/>
              <w:jc w:val="center"/>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pacing w:val="10"/>
                <w:sz w:val="24"/>
                <w14:textFill>
                  <w14:solidFill>
                    <w14:schemeClr w14:val="tx1"/>
                  </w14:solidFill>
                </w14:textFill>
              </w:rPr>
              <w:t>施工期生态环境保护措施</w:t>
            </w:r>
          </w:p>
        </w:tc>
        <w:tc>
          <w:tcPr>
            <w:tcW w:w="8090" w:type="dxa"/>
          </w:tcPr>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1、生态环境</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⑴</w:t>
            </w:r>
            <w:r>
              <w:rPr>
                <w:rFonts w:ascii="Times New Roman" w:hAnsi="Times New Roman" w:cs="Times New Roman"/>
                <w:bCs/>
                <w:color w:val="000000" w:themeColor="text1"/>
                <w:sz w:val="24"/>
                <w14:textFill>
                  <w14:solidFill>
                    <w14:schemeClr w14:val="tx1"/>
                  </w14:solidFill>
                </w14:textFill>
              </w:rPr>
              <w:t>施工工程环境保护措施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施工过程中将进行土石方的填挖，基础施工等工程，不仅需要运用土石方，而且有施工机械及人员的活动。施工期对区域生态环境的影响主要表现为土壤的扰动，地表植被的破坏等。为将这些负面影响降到最小程度，实现开发建设与生态保护协调发展，在工程实施全过程中，采取一定的环保对策与措施，是工程中必不可少的工作。为此提出以下要求：</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ascii="Times New Roman" w:hAnsi="Times New Roman" w:cs="Times New Roman"/>
                <w:bCs/>
                <w:color w:val="000000" w:themeColor="text1"/>
                <w:sz w:val="24"/>
                <w14:textFill>
                  <w14:solidFill>
                    <w14:schemeClr w14:val="tx1"/>
                  </w14:solidFill>
                </w14:textFill>
              </w:rPr>
              <w:t>施工时要求按照设计严格控制工程施工范围，减少对地表的扰动和对植被的破坏。</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ascii="Times New Roman" w:hAnsi="Times New Roman" w:cs="Times New Roman"/>
                <w:bCs/>
                <w:color w:val="000000" w:themeColor="text1"/>
                <w:sz w:val="24"/>
                <w14:textFill>
                  <w14:solidFill>
                    <w14:schemeClr w14:val="tx1"/>
                  </w14:solidFill>
                </w14:textFill>
              </w:rPr>
              <w:t>优化施工组织和制定严格的施工作业制度。缩短土石方的堆置时间，开挖的土石方必须严格限制在征地范围内堆置，并采取草包填土维护、开挖截排水沟等防护措施。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rFonts w:ascii="Times New Roman" w:hAnsi="Times New Roman" w:cs="Times New Roman"/>
                <w:bCs/>
                <w:color w:val="000000" w:themeColor="text1"/>
                <w:sz w:val="24"/>
                <w14:textFill>
                  <w14:solidFill>
                    <w14:schemeClr w14:val="tx1"/>
                  </w14:solidFill>
                </w14:textFill>
              </w:rPr>
              <w:t>对施工期间产生的临时土石方要采取加盖篷布等临时水土保持措施。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rFonts w:ascii="Times New Roman" w:hAnsi="Times New Roman" w:cs="Times New Roman"/>
                <w:bCs/>
                <w:color w:val="000000" w:themeColor="text1"/>
                <w:sz w:val="24"/>
                <w14:textFill>
                  <w14:solidFill>
                    <w14:schemeClr w14:val="tx1"/>
                  </w14:solidFill>
                </w14:textFill>
              </w:rPr>
              <w:t>施工结束后，所有施工场地应拆除临时建筑物，清除建筑垃圾，恢复原有土地的功能。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⑵</w:t>
            </w:r>
            <w:r>
              <w:rPr>
                <w:rFonts w:ascii="Times New Roman" w:hAnsi="Times New Roman" w:cs="Times New Roman"/>
                <w:bCs/>
                <w:color w:val="000000" w:themeColor="text1"/>
                <w:sz w:val="24"/>
                <w14:textFill>
                  <w14:solidFill>
                    <w14:schemeClr w14:val="tx1"/>
                  </w14:solidFill>
                </w14:textFill>
              </w:rPr>
              <w:t>动植物保护措施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施工期首先采取预防保护措施，通过进一步优化施工布置，控制施工占地，减少对工程地区现有植被的占压和破坏，加强施工管理，优化施工工艺，减轻工程活动对当地动植物的不利影响，维护工程及周边区域的生态完整性，同时加大宣传教育，提高工人的生态保护意识等方式减小对本项目区域内动植物影响，</w:t>
            </w:r>
            <w:r>
              <w:rPr>
                <w:rFonts w:ascii="Times New Roman" w:hAnsi="Times New Roman" w:cs="Times New Roman"/>
                <w:color w:val="000000" w:themeColor="text1"/>
                <w:sz w:val="24"/>
                <w14:textFill>
                  <w14:solidFill>
                    <w14:schemeClr w14:val="tx1"/>
                  </w14:solidFill>
                </w14:textFill>
              </w:rPr>
              <w:t>施工过程中严禁施工人员捕鱼，并且禁止将废水及固体废物弃置沟内</w:t>
            </w:r>
            <w:r>
              <w:rPr>
                <w:rFonts w:ascii="Times New Roman" w:hAnsi="Times New Roman" w:cs="Times New Roman"/>
                <w:bCs/>
                <w:color w:val="000000" w:themeColor="text1"/>
                <w:sz w:val="24"/>
                <w14:textFill>
                  <w14:solidFill>
                    <w14:schemeClr w14:val="tx1"/>
                  </w14:solidFill>
                </w14:textFill>
              </w:rPr>
              <w:t>。工程实施完成后植被覆盖率将得到明显提升，有效改善区域内的生态环境。</w:t>
            </w:r>
          </w:p>
          <w:p>
            <w:pPr>
              <w:spacing w:line="360" w:lineRule="auto"/>
              <w:ind w:firstLine="482"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2、大气环境</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⑴</w:t>
            </w:r>
            <w:r>
              <w:rPr>
                <w:rFonts w:ascii="Times New Roman" w:hAnsi="Times New Roman" w:cs="Times New Roman"/>
                <w:bCs/>
                <w:color w:val="000000" w:themeColor="text1"/>
                <w:sz w:val="24"/>
                <w14:textFill>
                  <w14:solidFill>
                    <w14:schemeClr w14:val="tx1"/>
                  </w14:solidFill>
                </w14:textFill>
              </w:rPr>
              <w:t>施工扬尘</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为减少施工扬尘，施工时须满足《关于进一步加强施工工地和道路扬尘管控工作的通知》（建办质[2019]23号）、《宁夏回族自治区大气污染防治条例》相关要求，施工作业避开大风天气等措施。在采取上述措施后，施工作业现场产生的扬尘对周围环境影响较小，具体措施如下：</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(1)根据施工过程的实际情况，施工现场设围栏，以减少施工扬尘扩散范围。</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(2)避免在大风日以及夏季暴雨时节施工，尽可能缩短施工时间，提高施工效率，减少地表裸露的时间，遇有大风天气时，避免进行挖掘、回填等大土方量作业或采取洒水抑尘措施。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(3)施工单位必须加强施工区的规划管理：建筑材料的堆放应定点定位，并采取防尘、抑尘措施，如在大风天气，对散料堆场应采用水喷淋法防尘，以减少建设过程中使用的建筑材料在装卸、堆放过程中的粉尘外逸，降低项目建设对当地的空气污染。</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(5)加强对施工机械、车辆的维修保养，禁止以柴油为燃料的施工机械超负荷工作，减少烟尘和颗粒物的排放。</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(6)对堆放的施工废料采取必要的防扬尘措施。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施工期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综上所述，施工期采取的扬尘污染防治措施技术可行、经济合理，在落实上述措施后对区域噪声影响较小。</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⑵</w:t>
            </w:r>
            <w:r>
              <w:rPr>
                <w:rFonts w:ascii="Times New Roman" w:hAnsi="Times New Roman" w:cs="Times New Roman"/>
                <w:b/>
                <w:color w:val="000000" w:themeColor="text1"/>
                <w:sz w:val="24"/>
                <w14:textFill>
                  <w14:solidFill>
                    <w14:schemeClr w14:val="tx1"/>
                  </w14:solidFill>
                </w14:textFill>
              </w:rPr>
              <w:t>施工机械尾气</w:t>
            </w:r>
          </w:p>
          <w:p>
            <w:pPr>
              <w:spacing w:line="360" w:lineRule="auto"/>
              <w:ind w:firstLine="480"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由于拟建项目所在地较为开阔，空气流通较好，车辆排放的尾气能够较快地扩散，不会对当地的环境空气产生较大影响。通过选用低能耗、低污染排放的施工运输车辆，加强施工机械的维护及保养，减少因车辆状况不佳造成的空气污染等措施进一步降低对环境空气的影响。</w:t>
            </w:r>
          </w:p>
          <w:p>
            <w:pPr>
              <w:widowControl/>
              <w:spacing w:line="360" w:lineRule="auto"/>
              <w:ind w:firstLine="482" w:firstLineChars="200"/>
              <w:jc w:val="left"/>
              <w:rPr>
                <w:rFonts w:ascii="Times New Roman" w:hAnsi="Times New Roman" w:cs="Times New Roman"/>
                <w:b/>
                <w:bCs/>
                <w:color w:val="000000" w:themeColor="text1"/>
                <w:kern w:val="0"/>
                <w:sz w:val="24"/>
                <w:lang w:bidi="ar"/>
                <w14:textFill>
                  <w14:solidFill>
                    <w14:schemeClr w14:val="tx1"/>
                  </w14:solidFill>
                </w14:textFill>
              </w:rPr>
            </w:pPr>
            <w:r>
              <w:rPr>
                <w:rFonts w:hint="eastAsia" w:ascii="宋体" w:hAnsi="宋体" w:cs="宋体"/>
                <w:b/>
                <w:bCs/>
                <w:color w:val="000000" w:themeColor="text1"/>
                <w:kern w:val="0"/>
                <w:sz w:val="24"/>
                <w:lang w:bidi="ar"/>
                <w14:textFill>
                  <w14:solidFill>
                    <w14:schemeClr w14:val="tx1"/>
                  </w14:solidFill>
                </w14:textFill>
              </w:rPr>
              <w:t>⑶</w:t>
            </w:r>
            <w:r>
              <w:rPr>
                <w:rFonts w:ascii="Times New Roman" w:hAnsi="Times New Roman" w:cs="Times New Roman"/>
                <w:b/>
                <w:bCs/>
                <w:color w:val="000000" w:themeColor="text1"/>
                <w:kern w:val="0"/>
                <w:sz w:val="24"/>
                <w:lang w:bidi="ar"/>
                <w14:textFill>
                  <w14:solidFill>
                    <w14:schemeClr w14:val="tx1"/>
                  </w14:solidFill>
                </w14:textFill>
              </w:rPr>
              <w:t>清淤恶臭</w:t>
            </w:r>
          </w:p>
          <w:p>
            <w:pPr>
              <w:widowControl/>
              <w:spacing w:line="360" w:lineRule="auto"/>
              <w:ind w:firstLine="480" w:firstLineChars="200"/>
              <w:rPr>
                <w:rFonts w:ascii="Times New Roman" w:hAnsi="Times New Roman" w:cs="Times New Roman"/>
                <w:b/>
                <w:bCs/>
                <w:color w:val="000000" w:themeColor="text1"/>
                <w:kern w:val="0"/>
                <w:sz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最大限度的减小项目施工期清淤过程恶臭对周边环境的影响，本项目采用环保型清淤方式，即项目在机械或人工清淤前，先向河道淤泥层投加功能微生物抑制剂或微生物促生剂，利用微生物大量分解河道淤泥中的污染物，减小淤泥散发的臭味，清除的淤泥进行机械脱水，脱水干化后的淤泥用于周边低洼地段的平整。采取以上措施后，本项目河道清淤过程产生的臭味对周围环境的影响较小。</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3、水环境</w:t>
            </w:r>
          </w:p>
          <w:p>
            <w:pPr>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施工期废水主要为施工人员生活污水和施工过程中产生的施工废水，生活污水主要为施工人员及本项目人员的洗漱废水，主要污染物为COD、SS、BOD</w:t>
            </w:r>
            <w:r>
              <w:rPr>
                <w:rFonts w:ascii="Times New Roman" w:hAnsi="Times New Roman" w:cs="Times New Roman"/>
                <w:bCs/>
                <w:color w:val="000000" w:themeColor="text1"/>
                <w:sz w:val="24"/>
                <w:vertAlign w:val="subscript"/>
                <w14:textFill>
                  <w14:solidFill>
                    <w14:schemeClr w14:val="tx1"/>
                  </w14:solidFill>
                </w14:textFill>
              </w:rPr>
              <w:t>5</w:t>
            </w:r>
            <w:r>
              <w:rPr>
                <w:rFonts w:ascii="Times New Roman" w:hAnsi="Times New Roman" w:cs="Times New Roman"/>
                <w:bCs/>
                <w:color w:val="000000" w:themeColor="text1"/>
                <w:sz w:val="24"/>
                <w14:textFill>
                  <w14:solidFill>
                    <w14:schemeClr w14:val="tx1"/>
                  </w14:solidFill>
                </w14:textFill>
              </w:rPr>
              <w:t>等，依托周边民居；</w:t>
            </w:r>
            <w:r>
              <w:rPr>
                <w:rFonts w:ascii="Times New Roman" w:hAnsi="Times New Roman" w:cs="Times New Roman"/>
                <w:color w:val="000000" w:themeColor="text1"/>
                <w:sz w:val="24"/>
                <w:szCs w:val="32"/>
                <w14:textFill>
                  <w14:solidFill>
                    <w14:schemeClr w14:val="tx1"/>
                  </w14:solidFill>
                </w14:textFill>
              </w:rPr>
              <w:t>施工废水经临时沉淀池沉淀后用于洒水抑尘，产生的废水严禁排入朱庄河内。</w:t>
            </w:r>
            <w:r>
              <w:rPr>
                <w:rFonts w:ascii="Times New Roman" w:hAnsi="Times New Roman" w:cs="Times New Roman"/>
                <w:bCs/>
                <w:color w:val="000000" w:themeColor="text1"/>
                <w:spacing w:val="10"/>
                <w:sz w:val="24"/>
                <w14:textFill>
                  <w14:solidFill>
                    <w14:schemeClr w14:val="tx1"/>
                  </w14:solidFill>
                </w14:textFill>
              </w:rPr>
              <w:t>项目采取分段施工，以减少对地表水体水质及水量的影响。通过</w:t>
            </w:r>
            <w:r>
              <w:rPr>
                <w:rFonts w:ascii="Times New Roman" w:hAnsi="Times New Roman" w:cs="Times New Roman"/>
                <w:bCs/>
                <w:color w:val="000000" w:themeColor="text1"/>
                <w:sz w:val="24"/>
                <w14:textFill>
                  <w14:solidFill>
                    <w14:schemeClr w14:val="tx1"/>
                  </w14:solidFill>
                </w14:textFill>
              </w:rPr>
              <w:t>采取上述措施后，施工中产生的废水能够全部做到综合利用，不会向地表水体排放，对地表水环境影响较小。</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4、声环境</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项目施工期间，不同施工阶段使用不同的施工机械设备，因而产生不同施工阶段噪声。根据本项目的施工特点，主要产噪施工机械有挖掘机、推土机和装载机及运输车辆等。根据项目施工特点，项目通过采用低噪声机械设备、合理安排施工计划和时间以及距离防护和隔声等措施减少施工噪声对区域声环境的影响，结合施工进展，具体采取如下防治措施：</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(1)要求施工期使用的主要机械设备为低噪声机械设备，并在施工中有专人对其进行保养维护，施工单位应对现场使用设备的人员进行培训，严格按操作规范使用各类机械。</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(2)尽可能利用距离衰减措施，在不影响施工情况下将强噪声设备移至距离居民点相对较远的地方。</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(3)在施工阶段，对建筑物的外部及邻近居民点的一侧采用围挡，</w:t>
            </w:r>
            <w:r>
              <w:rPr>
                <w:rFonts w:ascii="Times New Roman" w:hAnsi="Times New Roman" w:cs="Times New Roman"/>
                <w:color w:val="000000" w:themeColor="text1"/>
                <w:kern w:val="0"/>
                <w:sz w:val="24"/>
                <w:lang w:bidi="ar"/>
                <w14:textFill>
                  <w14:solidFill>
                    <w14:schemeClr w14:val="tx1"/>
                  </w14:solidFill>
                </w14:textFill>
              </w:rPr>
              <w:t xml:space="preserve"> </w:t>
            </w:r>
            <w:r>
              <w:rPr>
                <w:rFonts w:ascii="Times New Roman" w:hAnsi="Times New Roman" w:cs="Times New Roman"/>
                <w:bCs/>
                <w:color w:val="000000" w:themeColor="text1"/>
                <w:sz w:val="24"/>
                <w14:textFill>
                  <w14:solidFill>
                    <w14:schemeClr w14:val="tx1"/>
                  </w14:solidFill>
                </w14:textFill>
              </w:rPr>
              <w:t>减轻施工噪声对外环境的影响。</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(4)运载建筑材料及建筑垃圾的车辆要选择合时的时间、路线进行运输，运输车辆行驶路线尽量避开居民点和环境敏感点。</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综上所述，采取的施工期噪声污染防治措施技术可行、经济合理，在落实上述措施后对区域噪声影响较小。</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5、固体废物</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施工期的固体废物主要施工废弃物及施工人员生活垃圾，可采取以下措施减少其对环境的影响：</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⑴</w:t>
            </w:r>
            <w:r>
              <w:rPr>
                <w:rFonts w:ascii="Times New Roman" w:hAnsi="Times New Roman" w:cs="Times New Roman"/>
                <w:bCs/>
                <w:color w:val="000000" w:themeColor="text1"/>
                <w:sz w:val="24"/>
                <w14:textFill>
                  <w14:solidFill>
                    <w14:schemeClr w14:val="tx1"/>
                  </w14:solidFill>
                </w14:textFill>
              </w:rPr>
              <w:t>运送建筑废物的车辆离开施工场地时，要及时清理干净车辆粘带的泥土，并用篷布遮盖拉运；</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⑵</w:t>
            </w:r>
            <w:r>
              <w:rPr>
                <w:rFonts w:ascii="Times New Roman" w:hAnsi="Times New Roman" w:cs="Times New Roman"/>
                <w:bCs/>
                <w:color w:val="000000" w:themeColor="text1"/>
                <w:sz w:val="24"/>
                <w14:textFill>
                  <w14:solidFill>
                    <w14:schemeClr w14:val="tx1"/>
                  </w14:solidFill>
                </w14:textFill>
              </w:rPr>
              <w:t>遗留在现场的废弃物要及时清运；</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⑶</w:t>
            </w:r>
            <w:r>
              <w:rPr>
                <w:rFonts w:ascii="Times New Roman" w:hAnsi="Times New Roman" w:cs="Times New Roman"/>
                <w:bCs/>
                <w:color w:val="000000" w:themeColor="text1"/>
                <w:sz w:val="24"/>
                <w14:textFill>
                  <w14:solidFill>
                    <w14:schemeClr w14:val="tx1"/>
                  </w14:solidFill>
                </w14:textFill>
              </w:rPr>
              <w:t>施工期土石工程挖填量应平衡计算，开挖的土石方要定点堆放，并用篷布遮盖；</w:t>
            </w:r>
          </w:p>
          <w:p>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⑷</w:t>
            </w:r>
            <w:r>
              <w:rPr>
                <w:rFonts w:ascii="Times New Roman" w:hAnsi="Times New Roman" w:cs="Times New Roman"/>
                <w:bCs/>
                <w:color w:val="000000" w:themeColor="text1"/>
                <w:sz w:val="24"/>
                <w14:textFill>
                  <w14:solidFill>
                    <w14:schemeClr w14:val="tx1"/>
                  </w14:solidFill>
                </w14:textFill>
              </w:rPr>
              <w:t>施工人员的生活垃圾也及时收集到指定的垃圾箱（桶）内，定期集中收集外运至附近的垃圾转运站，统一由环卫部门清运。</w:t>
            </w:r>
          </w:p>
          <w:p>
            <w:pPr>
              <w:widowControl/>
              <w:spacing w:line="360" w:lineRule="auto"/>
              <w:ind w:firstLine="480" w:firstLineChars="200"/>
              <w:jc w:val="left"/>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本项目采取上述固体废物处置措施后，施工期产生的固体废物对主要环境保护目标的影响较小。</w:t>
            </w:r>
          </w:p>
          <w:p>
            <w:pPr>
              <w:spacing w:line="360" w:lineRule="auto"/>
              <w:ind w:left="482"/>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6、施工期监测计划</w:t>
            </w:r>
          </w:p>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w:t>
            </w:r>
            <w:bookmarkStart w:id="80" w:name="_GoBack"/>
            <w:bookmarkEnd w:id="80"/>
            <w:r>
              <w:rPr>
                <w:rFonts w:ascii="Times New Roman" w:hAnsi="Times New Roman" w:cs="Times New Roman"/>
                <w:color w:val="000000" w:themeColor="text1"/>
                <w:sz w:val="24"/>
                <w14:textFill>
                  <w14:solidFill>
                    <w14:schemeClr w14:val="tx1"/>
                  </w14:solidFill>
                </w14:textFill>
              </w:rPr>
              <w:t>目施工期监测计划见表5-1</w:t>
            </w:r>
            <w:r>
              <w:rPr>
                <w:rFonts w:ascii="Times New Roman" w:hAnsi="Times New Roman" w:cs="Times New Roman"/>
                <w:color w:val="000000" w:themeColor="text1"/>
                <w:kern w:val="0"/>
                <w:sz w:val="24"/>
                <w:lang w:bidi="ar"/>
                <w14:textFill>
                  <w14:solidFill>
                    <w14:schemeClr w14:val="tx1"/>
                  </w14:solidFill>
                </w14:textFill>
              </w:rPr>
              <w:t>。</w:t>
            </w:r>
          </w:p>
          <w:p>
            <w:pPr>
              <w:adjustRightInd w:val="0"/>
              <w:snapToGrid w:val="0"/>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表5-1      施工期环境监测计划表</w:t>
            </w:r>
          </w:p>
          <w:tbl>
            <w:tblPr>
              <w:tblStyle w:val="27"/>
              <w:tblW w:w="78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
            <w:tblGrid>
              <w:gridCol w:w="938"/>
              <w:gridCol w:w="1744"/>
              <w:gridCol w:w="2031"/>
              <w:gridCol w:w="31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38"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环境监测</w:t>
                  </w:r>
                </w:p>
              </w:tc>
              <w:tc>
                <w:tcPr>
                  <w:tcW w:w="1744"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监测项目</w:t>
                  </w:r>
                </w:p>
              </w:tc>
              <w:tc>
                <w:tcPr>
                  <w:tcW w:w="2031"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监测位置</w:t>
                  </w:r>
                </w:p>
              </w:tc>
              <w:tc>
                <w:tcPr>
                  <w:tcW w:w="3145"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38"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环境空气</w:t>
                  </w:r>
                </w:p>
              </w:tc>
              <w:tc>
                <w:tcPr>
                  <w:tcW w:w="1744"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TSP</w:t>
                  </w:r>
                </w:p>
              </w:tc>
              <w:tc>
                <w:tcPr>
                  <w:tcW w:w="2031" w:type="dxa"/>
                  <w:vMerge w:val="restart"/>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施工场界</w:t>
                  </w:r>
                </w:p>
              </w:tc>
              <w:tc>
                <w:tcPr>
                  <w:tcW w:w="3145" w:type="dxa"/>
                  <w:vMerge w:val="restart"/>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施工过程中每90天监测1次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38"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w:t>
                  </w:r>
                </w:p>
              </w:tc>
              <w:tc>
                <w:tcPr>
                  <w:tcW w:w="1744"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等效声级L</w:t>
                  </w:r>
                  <w:r>
                    <w:rPr>
                      <w:rFonts w:ascii="Times New Roman" w:hAnsi="Times New Roman" w:cs="Times New Roman"/>
                      <w:color w:val="000000" w:themeColor="text1"/>
                      <w:szCs w:val="21"/>
                      <w:vertAlign w:val="subscript"/>
                      <w14:textFill>
                        <w14:solidFill>
                          <w14:schemeClr w14:val="tx1"/>
                        </w14:solidFill>
                      </w14:textFill>
                    </w:rPr>
                    <w:t>Aeq</w:t>
                  </w:r>
                </w:p>
              </w:tc>
              <w:tc>
                <w:tcPr>
                  <w:tcW w:w="2031" w:type="dxa"/>
                  <w:vMerge w:val="continue"/>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p>
              </w:tc>
              <w:tc>
                <w:tcPr>
                  <w:tcW w:w="3145" w:type="dxa"/>
                  <w:vMerge w:val="continue"/>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38"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w:t>
                  </w:r>
                </w:p>
              </w:tc>
              <w:tc>
                <w:tcPr>
                  <w:tcW w:w="1744"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SS</w:t>
                  </w:r>
                </w:p>
              </w:tc>
              <w:tc>
                <w:tcPr>
                  <w:tcW w:w="2031"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朱庄河下游断面</w:t>
                  </w:r>
                </w:p>
              </w:tc>
              <w:tc>
                <w:tcPr>
                  <w:tcW w:w="3145" w:type="dxa"/>
                  <w:vAlign w:val="center"/>
                </w:tcPr>
                <w:p>
                  <w:pPr>
                    <w:adjustRightInd w:val="0"/>
                    <w:snapToGrid w:val="0"/>
                    <w:jc w:val="center"/>
                    <w:textAlignment w:val="baseline"/>
                    <w:outlineLvl w:val="3"/>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施工过程中监测1次</w:t>
                  </w:r>
                </w:p>
              </w:tc>
            </w:tr>
          </w:tbl>
          <w:p>
            <w:pPr>
              <w:pStyle w:val="2"/>
              <w:rPr>
                <w:rFonts w:ascii="Times New Roman" w:hAnsi="Times New Roman" w:cs="Times New Roman"/>
                <w:color w:val="000000" w:themeColor="text1"/>
                <w:lang w:bidi="ar"/>
                <w14:textFill>
                  <w14:solidFill>
                    <w14:schemeClr w14:val="tx1"/>
                  </w14:solidFill>
                </w14:textFill>
              </w:rPr>
            </w:pPr>
            <w:r>
              <w:rPr>
                <w:rFonts w:hint="eastAsia" w:ascii="Times New Roman" w:hAnsi="Times New Roman" w:cs="Times New Roman"/>
                <w:color w:val="000000" w:themeColor="text1"/>
                <w:lang w:bidi="ar"/>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5" w:type="dxa"/>
            <w:tcMar>
              <w:left w:w="28" w:type="dxa"/>
              <w:right w:w="28" w:type="dxa"/>
            </w:tcMar>
            <w:vAlign w:val="center"/>
          </w:tcPr>
          <w:p>
            <w:pPr>
              <w:adjustRightInd w:val="0"/>
              <w:snapToGrid w:val="0"/>
              <w:jc w:val="center"/>
              <w:rPr>
                <w:rFonts w:ascii="Times New Roman" w:hAnsi="Times New Roman" w:cs="Times New Roman"/>
                <w:bCs/>
                <w:color w:val="000000" w:themeColor="text1"/>
                <w:spacing w:val="10"/>
                <w:sz w:val="24"/>
                <w14:textFill>
                  <w14:solidFill>
                    <w14:schemeClr w14:val="tx1"/>
                  </w14:solidFill>
                </w14:textFill>
              </w:rPr>
            </w:pPr>
            <w:r>
              <w:rPr>
                <w:rFonts w:ascii="Times New Roman" w:hAnsi="Times New Roman" w:cs="Times New Roman"/>
                <w:bCs/>
                <w:color w:val="000000" w:themeColor="text1"/>
                <w:spacing w:val="10"/>
                <w:sz w:val="24"/>
                <w14:textFill>
                  <w14:solidFill>
                    <w14:schemeClr w14:val="tx1"/>
                  </w14:solidFill>
                </w14:textFill>
              </w:rPr>
              <w:t>运营期生态环境保护措施</w:t>
            </w:r>
          </w:p>
        </w:tc>
        <w:tc>
          <w:tcPr>
            <w:tcW w:w="8090" w:type="dxa"/>
          </w:tcPr>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属于朱庄河治理工程。项目运营期将会产生较大的生态环境效益。根据本项目特点，项目营运期不产生废气、废水、噪声仅有固体废物产生。项目运营期主要进行沟道内日常清理固废（水面漂浮物、丝状藻，清理枯死的植物等）。对植被恢复情况进行监测，定期洒水</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及时对未成活植被进行补种</w:t>
            </w:r>
            <w:r>
              <w:rPr>
                <w:rFonts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运营期监测计划见表5-2。</w:t>
            </w:r>
          </w:p>
          <w:p>
            <w:pPr>
              <w:adjustRightInd w:val="0"/>
              <w:snapToGrid w:val="0"/>
              <w:ind w:firstLine="482" w:firstLineChars="200"/>
              <w:jc w:val="center"/>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表5-2   运营期环境监测计划表</w:t>
            </w:r>
          </w:p>
          <w:tbl>
            <w:tblPr>
              <w:tblStyle w:val="27"/>
              <w:tblW w:w="78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
            <w:tblGrid>
              <w:gridCol w:w="979"/>
              <w:gridCol w:w="4259"/>
              <w:gridCol w:w="26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79"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监测项目</w:t>
                  </w:r>
                </w:p>
              </w:tc>
              <w:tc>
                <w:tcPr>
                  <w:tcW w:w="4259"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监测位置</w:t>
                  </w:r>
                </w:p>
              </w:tc>
              <w:tc>
                <w:tcPr>
                  <w:tcW w:w="2620" w:type="dxa"/>
                  <w:vAlign w:val="center"/>
                </w:tcPr>
                <w:p>
                  <w:pPr>
                    <w:adjustRightInd w:val="0"/>
                    <w:snapToGrid w:val="0"/>
                    <w:jc w:val="center"/>
                    <w:textAlignment w:val="baseline"/>
                    <w:outlineLvl w:val="3"/>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1" w:type="dxa"/>
                  <w:bottom w:w="0" w:type="dxa"/>
                  <w:right w:w="11" w:type="dxa"/>
                </w:tblCellMar>
              </w:tblPrEx>
              <w:trPr>
                <w:trHeight w:val="340" w:hRule="atLeast"/>
              </w:trPr>
              <w:tc>
                <w:tcPr>
                  <w:tcW w:w="97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植被生态监测</w:t>
                  </w:r>
                </w:p>
              </w:tc>
              <w:tc>
                <w:tcPr>
                  <w:tcW w:w="4259" w:type="dxa"/>
                  <w:vAlign w:val="center"/>
                </w:tcPr>
                <w:p>
                  <w:pPr>
                    <w:widowControl/>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采用样方调查方式监测生态修复区内植被恢复情况，分析恢复效果。对草本植物，监测种类、株数、均高、盖度、生物量。</w:t>
                  </w:r>
                </w:p>
              </w:tc>
              <w:tc>
                <w:tcPr>
                  <w:tcW w:w="26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完工后2年，对植被成活情况实施人工监测，春、夏、秋，每个季节监测1次</w:t>
                  </w:r>
                </w:p>
              </w:tc>
            </w:tr>
          </w:tbl>
          <w:p>
            <w:pPr>
              <w:pStyle w:val="2"/>
              <w:rPr>
                <w:rFonts w:ascii="Times New Roman" w:hAnsi="Times New Roman" w:cs="Times New Roman"/>
                <w:color w:val="000000" w:themeColor="text1"/>
                <w:lang w:bidi="ar"/>
                <w14:textFill>
                  <w14:solidFill>
                    <w14:schemeClr w14:val="tx1"/>
                  </w14:solidFill>
                </w14:textFill>
              </w:rPr>
            </w:pPr>
            <w:r>
              <w:rPr>
                <w:rFonts w:hint="eastAsia" w:ascii="Times New Roman" w:hAnsi="Times New Roman" w:cs="Times New Roman"/>
                <w:color w:val="000000" w:themeColor="text1"/>
                <w:lang w:bidi="ar"/>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5" w:type="dxa"/>
            <w:vAlign w:val="center"/>
          </w:tcPr>
          <w:p>
            <w:pPr>
              <w:adjustRightInd w:val="0"/>
              <w:snapToGrid w:val="0"/>
              <w:jc w:val="center"/>
              <w:rPr>
                <w:rFonts w:ascii="Times New Roman" w:hAnsi="Times New Roman" w:cs="Times New Roman"/>
                <w:bCs/>
                <w:color w:val="000000" w:themeColor="text1"/>
                <w:spacing w:val="10"/>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其他</w:t>
            </w:r>
          </w:p>
        </w:tc>
        <w:tc>
          <w:tcPr>
            <w:tcW w:w="8090" w:type="dxa"/>
          </w:tcPr>
          <w:p>
            <w:pPr>
              <w:widowControl/>
              <w:spacing w:line="360" w:lineRule="auto"/>
              <w:ind w:firstLine="482" w:firstLineChars="200"/>
              <w:rPr>
                <w:rFonts w:ascii="Times New Roman" w:hAnsi="Times New Roman" w:cs="Times New Roman"/>
                <w:b/>
                <w:bCs/>
                <w:color w:val="000000" w:themeColor="text1"/>
                <w:kern w:val="0"/>
                <w:sz w:val="24"/>
                <w:lang w:bidi="ar"/>
                <w14:textFill>
                  <w14:solidFill>
                    <w14:schemeClr w14:val="tx1"/>
                  </w14:solidFill>
                </w14:textFill>
              </w:rPr>
            </w:pPr>
          </w:p>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 xml:space="preserve">无 </w:t>
            </w:r>
          </w:p>
          <w:p>
            <w:pPr>
              <w:pStyle w:val="2"/>
              <w:rPr>
                <w:rFonts w:ascii="Times New Roman" w:hAnsi="Times New Roman" w:cs="Times New Roman"/>
                <w:color w:val="000000" w:themeColor="text1"/>
                <w:lang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35" w:type="dxa"/>
            <w:vAlign w:val="center"/>
          </w:tcPr>
          <w:p>
            <w:pPr>
              <w:adjustRightInd w:val="0"/>
              <w:snapToGrid w:val="0"/>
              <w:jc w:val="center"/>
              <w:rPr>
                <w:rFonts w:ascii="Times New Roman" w:hAnsi="Times New Roman" w:cs="Times New Roman"/>
                <w:bCs/>
                <w:color w:val="000000" w:themeColor="text1"/>
                <w:spacing w:val="10"/>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环保投资</w:t>
            </w:r>
          </w:p>
        </w:tc>
        <w:tc>
          <w:tcPr>
            <w:tcW w:w="8090" w:type="dxa"/>
          </w:tcPr>
          <w:p>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项目总投资为3328.62万元，环保投资总额为32.3万元，环保投资占工程总投资的0.97%，环保投资一看表见表5-3。</w:t>
            </w:r>
          </w:p>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lang w:bidi="ar"/>
                <w14:textFill>
                  <w14:solidFill>
                    <w14:schemeClr w14:val="tx1"/>
                  </w14:solidFill>
                </w14:textFill>
              </w:rPr>
              <w:t>表5-3 项目环保投资一览表  单位：万元</w:t>
            </w:r>
          </w:p>
          <w:tbl>
            <w:tblPr>
              <w:tblStyle w:val="27"/>
              <w:tblW w:w="78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343"/>
              <w:gridCol w:w="4003"/>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Align w:val="center"/>
                </w:tcPr>
                <w:p>
                  <w:pPr>
                    <w:pStyle w:val="4"/>
                    <w:spacing w:before="0" w:after="0" w:line="240" w:lineRule="auto"/>
                    <w:ind w:right="0" w:firstLine="0" w:firstLineChars="0"/>
                    <w:jc w:val="center"/>
                    <w:rPr>
                      <w:rFonts w:ascii="Times New Roman" w:hAnsi="Times New Roman" w:cs="Times New Roman"/>
                      <w:b/>
                      <w:bCs/>
                      <w:color w:val="000000" w:themeColor="text1"/>
                      <w:kern w:val="21"/>
                      <w:sz w:val="21"/>
                      <w:szCs w:val="21"/>
                      <w14:textFill>
                        <w14:solidFill>
                          <w14:schemeClr w14:val="tx1"/>
                        </w14:solidFill>
                      </w14:textFill>
                    </w:rPr>
                  </w:pPr>
                  <w:r>
                    <w:rPr>
                      <w:rFonts w:ascii="Times New Roman" w:hAnsi="Times New Roman" w:cs="Times New Roman"/>
                      <w:b/>
                      <w:bCs/>
                      <w:color w:val="000000" w:themeColor="text1"/>
                      <w:kern w:val="21"/>
                      <w:sz w:val="21"/>
                      <w:szCs w:val="21"/>
                      <w14:textFill>
                        <w14:solidFill>
                          <w14:schemeClr w14:val="tx1"/>
                        </w14:solidFill>
                      </w14:textFill>
                    </w:rPr>
                    <w:t>类型</w:t>
                  </w:r>
                </w:p>
              </w:tc>
              <w:tc>
                <w:tcPr>
                  <w:tcW w:w="1343" w:type="dxa"/>
                  <w:vAlign w:val="center"/>
                </w:tcPr>
                <w:p>
                  <w:pPr>
                    <w:pStyle w:val="4"/>
                    <w:spacing w:before="0" w:after="0" w:line="240" w:lineRule="auto"/>
                    <w:ind w:right="0" w:firstLine="0" w:firstLineChars="0"/>
                    <w:jc w:val="center"/>
                    <w:rPr>
                      <w:rFonts w:ascii="Times New Roman" w:hAnsi="Times New Roman" w:cs="Times New Roman"/>
                      <w:b/>
                      <w:bCs/>
                      <w:color w:val="000000" w:themeColor="text1"/>
                      <w:kern w:val="21"/>
                      <w:sz w:val="21"/>
                      <w:szCs w:val="21"/>
                      <w14:textFill>
                        <w14:solidFill>
                          <w14:schemeClr w14:val="tx1"/>
                        </w14:solidFill>
                      </w14:textFill>
                    </w:rPr>
                  </w:pPr>
                  <w:r>
                    <w:rPr>
                      <w:rFonts w:ascii="Times New Roman" w:hAnsi="Times New Roman" w:cs="Times New Roman"/>
                      <w:b/>
                      <w:bCs/>
                      <w:color w:val="000000" w:themeColor="text1"/>
                      <w:kern w:val="21"/>
                      <w:sz w:val="21"/>
                      <w:szCs w:val="21"/>
                      <w14:textFill>
                        <w14:solidFill>
                          <w14:schemeClr w14:val="tx1"/>
                        </w14:solidFill>
                      </w14:textFill>
                    </w:rPr>
                    <w:t>内容</w:t>
                  </w:r>
                </w:p>
              </w:tc>
              <w:tc>
                <w:tcPr>
                  <w:tcW w:w="4003" w:type="dxa"/>
                  <w:vAlign w:val="center"/>
                </w:tcPr>
                <w:p>
                  <w:pPr>
                    <w:pStyle w:val="4"/>
                    <w:spacing w:before="0" w:after="0" w:line="240" w:lineRule="auto"/>
                    <w:ind w:right="0" w:firstLine="0" w:firstLineChars="0"/>
                    <w:jc w:val="center"/>
                    <w:rPr>
                      <w:rFonts w:ascii="Times New Roman" w:hAnsi="Times New Roman" w:cs="Times New Roman"/>
                      <w:b/>
                      <w:bCs/>
                      <w:color w:val="000000" w:themeColor="text1"/>
                      <w:kern w:val="21"/>
                      <w:sz w:val="21"/>
                      <w:szCs w:val="21"/>
                      <w14:textFill>
                        <w14:solidFill>
                          <w14:schemeClr w14:val="tx1"/>
                        </w14:solidFill>
                      </w14:textFill>
                    </w:rPr>
                  </w:pPr>
                  <w:r>
                    <w:rPr>
                      <w:rFonts w:ascii="Times New Roman" w:hAnsi="Times New Roman" w:cs="Times New Roman"/>
                      <w:b/>
                      <w:bCs/>
                      <w:color w:val="000000" w:themeColor="text1"/>
                      <w:kern w:val="21"/>
                      <w:sz w:val="21"/>
                      <w:szCs w:val="21"/>
                      <w14:textFill>
                        <w14:solidFill>
                          <w14:schemeClr w14:val="tx1"/>
                        </w14:solidFill>
                      </w14:textFill>
                    </w:rPr>
                    <w:t>治理措施或设备</w:t>
                  </w:r>
                </w:p>
              </w:tc>
              <w:tc>
                <w:tcPr>
                  <w:tcW w:w="1279" w:type="dxa"/>
                  <w:vAlign w:val="center"/>
                </w:tcPr>
                <w:p>
                  <w:pPr>
                    <w:pStyle w:val="4"/>
                    <w:spacing w:before="0" w:after="0" w:line="240" w:lineRule="auto"/>
                    <w:ind w:right="0" w:firstLine="0" w:firstLineChars="0"/>
                    <w:jc w:val="center"/>
                    <w:rPr>
                      <w:rFonts w:ascii="Times New Roman" w:hAnsi="Times New Roman" w:cs="Times New Roman"/>
                      <w:b/>
                      <w:bCs/>
                      <w:color w:val="000000" w:themeColor="text1"/>
                      <w:kern w:val="21"/>
                      <w:sz w:val="21"/>
                      <w:szCs w:val="21"/>
                      <w14:textFill>
                        <w14:solidFill>
                          <w14:schemeClr w14:val="tx1"/>
                        </w14:solidFill>
                      </w14:textFill>
                    </w:rPr>
                  </w:pPr>
                  <w:r>
                    <w:rPr>
                      <w:rFonts w:ascii="Times New Roman" w:hAnsi="Times New Roman" w:cs="Times New Roman"/>
                      <w:b/>
                      <w:bCs/>
                      <w:color w:val="000000" w:themeColor="text1"/>
                      <w:kern w:val="21"/>
                      <w:sz w:val="21"/>
                      <w:szCs w:val="21"/>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restart"/>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施工期</w:t>
                  </w:r>
                </w:p>
              </w:tc>
              <w:tc>
                <w:tcPr>
                  <w:tcW w:w="1343"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施工扬尘</w:t>
                  </w:r>
                </w:p>
              </w:tc>
              <w:tc>
                <w:tcPr>
                  <w:tcW w:w="4003" w:type="dxa"/>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kern w:val="21"/>
                      <w:szCs w:val="21"/>
                      <w14:textFill>
                        <w14:solidFill>
                          <w14:schemeClr w14:val="tx1"/>
                        </w14:solidFill>
                      </w14:textFill>
                    </w:rPr>
                    <w:t>车辆篷布、临时道路等的喷淋及施工场地周边设置围挡。</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p>
              </w:tc>
              <w:tc>
                <w:tcPr>
                  <w:tcW w:w="1343"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污水治理</w:t>
                  </w:r>
                </w:p>
              </w:tc>
              <w:tc>
                <w:tcPr>
                  <w:tcW w:w="4003" w:type="dxa"/>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kern w:val="21"/>
                      <w:szCs w:val="21"/>
                      <w14:textFill>
                        <w14:solidFill>
                          <w14:schemeClr w14:val="tx1"/>
                        </w14:solidFill>
                      </w14:textFill>
                    </w:rPr>
                    <w:t>10m</w:t>
                  </w:r>
                  <w:r>
                    <w:rPr>
                      <w:rFonts w:ascii="Times New Roman" w:hAnsi="Times New Roman" w:cs="Times New Roman"/>
                      <w:color w:val="000000" w:themeColor="text1"/>
                      <w:kern w:val="21"/>
                      <w:szCs w:val="21"/>
                      <w:vertAlign w:val="superscript"/>
                      <w14:textFill>
                        <w14:solidFill>
                          <w14:schemeClr w14:val="tx1"/>
                        </w14:solidFill>
                      </w14:textFill>
                    </w:rPr>
                    <w:t>3</w:t>
                  </w:r>
                  <w:r>
                    <w:rPr>
                      <w:rFonts w:ascii="Times New Roman" w:hAnsi="Times New Roman" w:cs="Times New Roman"/>
                      <w:color w:val="000000" w:themeColor="text1"/>
                      <w:kern w:val="21"/>
                      <w:szCs w:val="21"/>
                      <w14:textFill>
                        <w14:solidFill>
                          <w14:schemeClr w14:val="tx1"/>
                        </w14:solidFill>
                      </w14:textFill>
                    </w:rPr>
                    <w:t>临时沉淀池及防渗地坪、集水沟</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p>
              </w:tc>
              <w:tc>
                <w:tcPr>
                  <w:tcW w:w="1343"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噪声防治</w:t>
                  </w:r>
                </w:p>
              </w:tc>
              <w:tc>
                <w:tcPr>
                  <w:tcW w:w="4003" w:type="dxa"/>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kern w:val="21"/>
                      <w:szCs w:val="21"/>
                      <w14:textFill>
                        <w14:solidFill>
                          <w14:schemeClr w14:val="tx1"/>
                        </w14:solidFill>
                      </w14:textFill>
                    </w:rPr>
                    <w:t>设备减振、消声措施、施工场地围挡等措施</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p>
              </w:tc>
              <w:tc>
                <w:tcPr>
                  <w:tcW w:w="1343"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固体废物</w:t>
                  </w:r>
                </w:p>
              </w:tc>
              <w:tc>
                <w:tcPr>
                  <w:tcW w:w="4003" w:type="dxa"/>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kern w:val="21"/>
                      <w:szCs w:val="21"/>
                      <w14:textFill>
                        <w14:solidFill>
                          <w14:schemeClr w14:val="tx1"/>
                        </w14:solidFill>
                      </w14:textFill>
                    </w:rPr>
                    <w:t>施工生活垃圾、</w:t>
                  </w:r>
                  <w:r>
                    <w:rPr>
                      <w:rFonts w:ascii="Times New Roman" w:hAnsi="Times New Roman" w:cs="Times New Roman"/>
                      <w:color w:val="000000" w:themeColor="text1"/>
                      <w:szCs w:val="21"/>
                      <w14:textFill>
                        <w14:solidFill>
                          <w14:schemeClr w14:val="tx1"/>
                        </w14:solidFill>
                      </w14:textFill>
                    </w:rPr>
                    <w:t>杂草枯枝</w:t>
                  </w:r>
                  <w:r>
                    <w:rPr>
                      <w:rFonts w:ascii="Times New Roman" w:hAnsi="Times New Roman" w:cs="Times New Roman"/>
                      <w:color w:val="000000" w:themeColor="text1"/>
                      <w:kern w:val="21"/>
                      <w:szCs w:val="21"/>
                      <w14:textFill>
                        <w14:solidFill>
                          <w14:schemeClr w14:val="tx1"/>
                        </w14:solidFill>
                      </w14:textFill>
                    </w:rPr>
                    <w:t>及建筑垃圾清运处置</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p>
              </w:tc>
              <w:tc>
                <w:tcPr>
                  <w:tcW w:w="1343"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生态环境</w:t>
                  </w:r>
                </w:p>
              </w:tc>
              <w:tc>
                <w:tcPr>
                  <w:tcW w:w="4003" w:type="dxa"/>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临时占地植被恢复、水土流失治理措施</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人员培训</w:t>
                  </w:r>
                </w:p>
              </w:tc>
              <w:tc>
                <w:tcPr>
                  <w:tcW w:w="5346" w:type="dxa"/>
                  <w:gridSpan w:val="2"/>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施工相关人员环保业务培训</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环境监测</w:t>
                  </w:r>
                </w:p>
              </w:tc>
              <w:tc>
                <w:tcPr>
                  <w:tcW w:w="5346" w:type="dxa"/>
                  <w:gridSpan w:val="2"/>
                  <w:vAlign w:val="center"/>
                </w:tcPr>
                <w:p>
                  <w:pPr>
                    <w:widowControl/>
                    <w:jc w:val="center"/>
                    <w:rPr>
                      <w:rFonts w:ascii="Times New Roman" w:hAnsi="Times New Roman" w:cs="Times New Roman"/>
                      <w:color w:val="000000" w:themeColor="text1"/>
                      <w:kern w:val="2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施工期及运营期环境监测</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85" w:type="dxa"/>
                  <w:gridSpan w:val="3"/>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合计</w:t>
                  </w:r>
                </w:p>
              </w:tc>
              <w:tc>
                <w:tcPr>
                  <w:tcW w:w="1279" w:type="dxa"/>
                  <w:vAlign w:val="center"/>
                </w:tcPr>
                <w:p>
                  <w:pPr>
                    <w:pStyle w:val="4"/>
                    <w:spacing w:before="0" w:after="0" w:line="240" w:lineRule="auto"/>
                    <w:ind w:right="0" w:firstLine="0" w:firstLineChars="0"/>
                    <w:jc w:val="center"/>
                    <w:rPr>
                      <w:rFonts w:ascii="Times New Roman" w:hAnsi="Times New Roman" w:cs="Times New Roman"/>
                      <w:color w:val="000000" w:themeColor="text1"/>
                      <w:kern w:val="21"/>
                      <w:sz w:val="21"/>
                      <w:szCs w:val="21"/>
                      <w14:textFill>
                        <w14:solidFill>
                          <w14:schemeClr w14:val="tx1"/>
                        </w14:solidFill>
                      </w14:textFill>
                    </w:rPr>
                  </w:pPr>
                  <w:r>
                    <w:rPr>
                      <w:rFonts w:ascii="Times New Roman" w:hAnsi="Times New Roman" w:cs="Times New Roman"/>
                      <w:color w:val="000000" w:themeColor="text1"/>
                      <w:kern w:val="21"/>
                      <w:sz w:val="21"/>
                      <w:szCs w:val="21"/>
                      <w14:textFill>
                        <w14:solidFill>
                          <w14:schemeClr w14:val="tx1"/>
                        </w14:solidFill>
                      </w14:textFill>
                    </w:rPr>
                    <w:t>32.3</w:t>
                  </w:r>
                </w:p>
              </w:tc>
            </w:tr>
          </w:tbl>
          <w:p>
            <w:pPr>
              <w:adjustRightInd w:val="0"/>
              <w:snapToGrid w:val="0"/>
              <w:rPr>
                <w:rFonts w:ascii="Times New Roman" w:hAnsi="Times New Roman" w:cs="Times New Roman"/>
                <w:bCs/>
                <w:color w:val="000000" w:themeColor="text1"/>
                <w:spacing w:val="10"/>
                <w:szCs w:val="2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pPr>
          </w:p>
          <w:p>
            <w:pPr>
              <w:pStyle w:val="4"/>
              <w:ind w:firstLine="180"/>
              <w:rPr>
                <w:rFonts w:ascii="Times New Roman" w:hAnsi="Times New Roman" w:cs="Times New Roman"/>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ind w:firstLine="180"/>
              <w:rPr>
                <w:color w:val="000000" w:themeColor="text1"/>
                <w14:textFill>
                  <w14:solidFill>
                    <w14:schemeClr w14:val="tx1"/>
                  </w14:solidFill>
                </w14:textFill>
              </w:rPr>
            </w:pPr>
          </w:p>
          <w:p>
            <w:pPr>
              <w:pStyle w:val="2"/>
              <w:ind w:left="0" w:leftChars="0" w:firstLine="0" w:firstLineChars="0"/>
              <w:rPr>
                <w:rFonts w:ascii="Times New Roman" w:hAnsi="Times New Roman" w:cs="Times New Roman"/>
                <w:color w:val="000000" w:themeColor="text1"/>
                <w14:textFill>
                  <w14:solidFill>
                    <w14:schemeClr w14:val="tx1"/>
                  </w14:solidFill>
                </w14:textFill>
              </w:rPr>
            </w:pPr>
          </w:p>
        </w:tc>
      </w:tr>
    </w:tbl>
    <w:p>
      <w:pPr>
        <w:rPr>
          <w:rFonts w:ascii="Times New Roman" w:hAnsi="Times New Roman" w:cs="Times New Roman"/>
          <w:color w:val="000000" w:themeColor="text1"/>
          <w14:textFill>
            <w14:solidFill>
              <w14:schemeClr w14:val="tx1"/>
            </w14:solidFill>
          </w14:textFill>
        </w:rPr>
        <w:sectPr>
          <w:pgSz w:w="11907" w:h="16840"/>
          <w:pgMar w:top="1701" w:right="1531" w:bottom="1701" w:left="1531" w:header="851" w:footer="1077" w:gutter="0"/>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六、生态环境保护措施监督检查清单</w:t>
      </w:r>
    </w:p>
    <w:tbl>
      <w:tblPr>
        <w:tblStyle w:val="27"/>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266"/>
        <w:gridCol w:w="2834"/>
        <w:gridCol w:w="1472"/>
        <w:gridCol w:w="1364"/>
        <w:gridCol w:w="1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Merge w:val="restart"/>
            <w:tcBorders>
              <w:tl2br w:val="single" w:color="auto" w:sz="4" w:space="0"/>
            </w:tcBorders>
          </w:tcPr>
          <w:p>
            <w:pPr>
              <w:pStyle w:val="22"/>
              <w:adjustRightInd w:val="0"/>
              <w:snapToGrid w:val="0"/>
              <w:spacing w:before="0" w:beforeAutospacing="0" w:after="0" w:afterAutospacing="0"/>
              <w:jc w:val="center"/>
              <w:outlineLvl w:val="0"/>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 xml:space="preserve">   内容</w:t>
            </w:r>
          </w:p>
          <w:p>
            <w:pPr>
              <w:pStyle w:val="22"/>
              <w:adjustRightInd w:val="0"/>
              <w:snapToGrid w:val="0"/>
              <w:spacing w:before="0" w:beforeAutospacing="0" w:after="0" w:afterAutospacing="0"/>
              <w:outlineLvl w:val="0"/>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 xml:space="preserve">  </w:t>
            </w:r>
          </w:p>
          <w:p>
            <w:pPr>
              <w:pStyle w:val="22"/>
              <w:adjustRightInd w:val="0"/>
              <w:snapToGrid w:val="0"/>
              <w:spacing w:before="0" w:beforeAutospacing="0" w:after="0" w:afterAutospacing="0"/>
              <w:outlineLvl w:val="0"/>
              <w:rPr>
                <w:rFonts w:ascii="Times New Roman" w:hAnsi="Times New Roman" w:cs="Times New Roman"/>
                <w:color w:val="000000" w:themeColor="text1"/>
                <w:kern w:val="2"/>
                <w14:textFill>
                  <w14:solidFill>
                    <w14:schemeClr w14:val="tx1"/>
                  </w14:solidFill>
                </w14:textFill>
              </w:rPr>
            </w:pPr>
          </w:p>
          <w:p>
            <w:pPr>
              <w:pStyle w:val="22"/>
              <w:adjustRightInd w:val="0"/>
              <w:snapToGrid w:val="0"/>
              <w:spacing w:before="0" w:beforeAutospacing="0" w:after="0" w:afterAutospacing="0"/>
              <w:outlineLvl w:val="0"/>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要素</w:t>
            </w:r>
          </w:p>
        </w:tc>
        <w:tc>
          <w:tcPr>
            <w:tcW w:w="4306" w:type="dxa"/>
            <w:gridSpan w:val="2"/>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施工期</w:t>
            </w:r>
          </w:p>
        </w:tc>
        <w:tc>
          <w:tcPr>
            <w:tcW w:w="3252" w:type="dxa"/>
            <w:gridSpan w:val="2"/>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Merge w:val="continue"/>
          </w:tcPr>
          <w:p>
            <w:pPr>
              <w:pStyle w:val="22"/>
              <w:adjustRightInd w:val="0"/>
              <w:snapToGrid w:val="0"/>
              <w:spacing w:before="0" w:beforeAutospacing="0" w:after="0" w:afterAutospacing="0"/>
              <w:jc w:val="center"/>
              <w:outlineLvl w:val="0"/>
              <w:rPr>
                <w:rFonts w:ascii="Times New Roman" w:hAnsi="Times New Roman" w:cs="Times New Roman"/>
                <w:color w:val="000000" w:themeColor="text1"/>
                <w:kern w:val="2"/>
                <w14:textFill>
                  <w14:solidFill>
                    <w14:schemeClr w14:val="tx1"/>
                  </w14:solidFill>
                </w14:textFill>
              </w:rPr>
            </w:pPr>
          </w:p>
        </w:tc>
        <w:tc>
          <w:tcPr>
            <w:tcW w:w="2834" w:type="dxa"/>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环境保护措施</w:t>
            </w:r>
          </w:p>
        </w:tc>
        <w:tc>
          <w:tcPr>
            <w:tcW w:w="1472" w:type="dxa"/>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验收要求</w:t>
            </w:r>
          </w:p>
        </w:tc>
        <w:tc>
          <w:tcPr>
            <w:tcW w:w="1364" w:type="dxa"/>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环境保护措施</w:t>
            </w:r>
          </w:p>
        </w:tc>
        <w:tc>
          <w:tcPr>
            <w:tcW w:w="1888" w:type="dxa"/>
            <w:vAlign w:val="center"/>
          </w:tcPr>
          <w:p>
            <w:pPr>
              <w:pStyle w:val="22"/>
              <w:adjustRightInd w:val="0"/>
              <w:snapToGrid w:val="0"/>
              <w:spacing w:before="0" w:beforeAutospacing="0" w:after="0" w:afterAutospacing="0"/>
              <w:jc w:val="center"/>
              <w:rPr>
                <w:rFonts w:ascii="Times New Roman" w:hAnsi="Times New Roman" w:cs="Times New Roman"/>
                <w:color w:val="000000" w:themeColor="text1"/>
                <w:kern w:val="2"/>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陆生生态</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lang w:bidi="ar"/>
                <w14:textFill>
                  <w14:solidFill>
                    <w14:schemeClr w14:val="tx1"/>
                  </w14:solidFill>
                </w14:textFill>
              </w:rPr>
              <w:t>严格控制施工区域占地，对周边植物进行保护，文明施工。</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减轻对周边</w:t>
            </w:r>
          </w:p>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环境的影响</w:t>
            </w:r>
          </w:p>
        </w:tc>
        <w:tc>
          <w:tcPr>
            <w:tcW w:w="136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人工监测植被覆盖度临时占地做土地平整</w:t>
            </w:r>
          </w:p>
        </w:tc>
        <w:tc>
          <w:tcPr>
            <w:tcW w:w="1888"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进行绿化维护，必要时进行补植，能够恢复到与周边植被覆盖度相近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水生生态</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①</w:t>
            </w:r>
            <w:r>
              <w:rPr>
                <w:rFonts w:ascii="Times New Roman" w:hAnsi="Times New Roman" w:cs="Times New Roman"/>
                <w:color w:val="000000" w:themeColor="text1"/>
                <w:kern w:val="0"/>
                <w:sz w:val="24"/>
                <w:lang w:bidi="ar"/>
                <w14:textFill>
                  <w14:solidFill>
                    <w14:schemeClr w14:val="tx1"/>
                  </w14:solidFill>
                </w14:textFill>
              </w:rPr>
              <w:t>加强对施工人员自然保护教育；</w:t>
            </w:r>
            <w:r>
              <w:rPr>
                <w:rFonts w:hint="eastAsia" w:ascii="宋体" w:hAnsi="宋体" w:cs="宋体"/>
                <w:color w:val="000000" w:themeColor="text1"/>
                <w:kern w:val="0"/>
                <w:sz w:val="24"/>
                <w:lang w:bidi="ar"/>
                <w14:textFill>
                  <w14:solidFill>
                    <w14:schemeClr w14:val="tx1"/>
                  </w14:solidFill>
                </w14:textFill>
              </w:rPr>
              <w:t>②</w:t>
            </w:r>
            <w:r>
              <w:rPr>
                <w:rFonts w:ascii="Times New Roman" w:hAnsi="Times New Roman" w:cs="Times New Roman"/>
                <w:color w:val="000000" w:themeColor="text1"/>
                <w:kern w:val="0"/>
                <w:sz w:val="24"/>
                <w:lang w:bidi="ar"/>
                <w14:textFill>
                  <w14:solidFill>
                    <w14:schemeClr w14:val="tx1"/>
                  </w14:solidFill>
                </w14:textFill>
              </w:rPr>
              <w:t>施工前必须对可能影响到的河段进行认真调查；</w:t>
            </w:r>
          </w:p>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③</w:t>
            </w:r>
            <w:r>
              <w:rPr>
                <w:rFonts w:ascii="Times New Roman" w:hAnsi="Times New Roman" w:cs="Times New Roman"/>
                <w:color w:val="000000" w:themeColor="text1"/>
                <w:kern w:val="0"/>
                <w:sz w:val="24"/>
                <w:lang w:bidi="ar"/>
                <w14:textFill>
                  <w14:solidFill>
                    <w14:schemeClr w14:val="tx1"/>
                  </w14:solidFill>
                </w14:textFill>
              </w:rPr>
              <w:t>加强施工期“三废”的管理</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减轻对周边</w:t>
            </w:r>
          </w:p>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环境的影响</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地表水环境</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施工废水沉淀回用或泼洒降尘、生活污水依托周边民居</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无废水外排</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地下水及土壤环境</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声环境</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合理安排施工机械作业时间，尽量选用低噪声的机械设备，合理布局施工设备，采取工程降噪措施，明确施工噪声控制责任，对施工期间材料、设备运输车辆，也应合理安排，限制车辆鸣笛等综合降噪措施</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厂界噪声满足《建筑施工场界环境噪声排放标准》（GB12523-2011）表1限值</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振动</w:t>
            </w:r>
          </w:p>
        </w:tc>
        <w:tc>
          <w:tcPr>
            <w:tcW w:w="283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47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大气环境</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运输道路洒水抑尘、施工围挡、运输车辆以及施工区域遮盖等措施；环保清淤</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满足《大气污染物综合排放标准》（GB16297-1996）中无组织排放监控浓度限值</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固体废物</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土方工程产生的土方及淤泥全部用于场地内摊平压实；建筑垃圾中可回收利用的回收利用，不能回收利用的运送至建筑垃圾堆场进行处置；施工人员生活垃圾及</w:t>
            </w:r>
            <w:r>
              <w:rPr>
                <w:rFonts w:ascii="Times New Roman" w:hAnsi="Times New Roman" w:cs="Times New Roman"/>
                <w:color w:val="000000" w:themeColor="text1"/>
                <w:sz w:val="24"/>
                <w14:textFill>
                  <w14:solidFill>
                    <w14:schemeClr w14:val="tx1"/>
                  </w14:solidFill>
                </w14:textFill>
              </w:rPr>
              <w:t>杂草枯枝</w:t>
            </w:r>
            <w:r>
              <w:rPr>
                <w:rFonts w:ascii="Times New Roman" w:hAnsi="Times New Roman" w:cs="Times New Roman"/>
                <w:color w:val="000000" w:themeColor="text1"/>
                <w:kern w:val="0"/>
                <w:sz w:val="24"/>
                <w:lang w:bidi="ar"/>
                <w14:textFill>
                  <w14:solidFill>
                    <w14:schemeClr w14:val="tx1"/>
                  </w14:solidFill>
                </w14:textFill>
              </w:rPr>
              <w:t>经统一收集后由当地环卫部门统一清运处置</w:t>
            </w:r>
          </w:p>
        </w:tc>
        <w:tc>
          <w:tcPr>
            <w:tcW w:w="1472"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无建筑垃圾、生活垃圾遗留现场</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电磁环境</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47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环境风险</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47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环境监测</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监测噪声、TSP及地表水</w:t>
            </w:r>
          </w:p>
        </w:tc>
        <w:tc>
          <w:tcPr>
            <w:tcW w:w="147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监测点达标</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1266"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其他</w:t>
            </w:r>
          </w:p>
        </w:tc>
        <w:tc>
          <w:tcPr>
            <w:tcW w:w="2834" w:type="dxa"/>
            <w:vAlign w:val="center"/>
          </w:tcPr>
          <w:p>
            <w:pPr>
              <w:widowControl/>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472"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364"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c>
          <w:tcPr>
            <w:tcW w:w="1888" w:type="dxa"/>
            <w:vAlign w:val="center"/>
          </w:tcPr>
          <w:p>
            <w:pPr>
              <w:adjustRightInd w:val="0"/>
              <w:snapToGrid w:val="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p>
        </w:tc>
      </w:tr>
    </w:tbl>
    <w:p>
      <w:pPr>
        <w:pStyle w:val="22"/>
        <w:spacing w:before="192" w:beforeLines="8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22"/>
        <w:spacing w:before="0" w:beforeAutospacing="0"/>
        <w:jc w:val="center"/>
        <w:outlineLvl w:val="0"/>
        <w:rPr>
          <w:rFonts w:ascii="Times New Roman" w:hAnsi="Times New Roman" w:eastAsia="黑体" w:cs="Times New Roman"/>
          <w:snapToGrid w:val="0"/>
          <w:color w:val="000000" w:themeColor="text1"/>
          <w:sz w:val="30"/>
          <w:szCs w:val="30"/>
          <w14:textFill>
            <w14:solidFill>
              <w14:schemeClr w14:val="tx1"/>
            </w14:solidFill>
          </w14:textFill>
        </w:rPr>
      </w:pPr>
      <w:r>
        <w:rPr>
          <w:rFonts w:ascii="Times New Roman" w:hAnsi="Times New Roman" w:eastAsia="黑体" w:cs="Times New Roman"/>
          <w:snapToGrid w:val="0"/>
          <w:color w:val="000000" w:themeColor="text1"/>
          <w:sz w:val="30"/>
          <w:szCs w:val="30"/>
          <w14:textFill>
            <w14:solidFill>
              <w14:schemeClr w14:val="tx1"/>
            </w14:solidFill>
          </w14:textFill>
        </w:rPr>
        <w:t>七、结论</w:t>
      </w:r>
    </w:p>
    <w:tbl>
      <w:tblPr>
        <w:tblStyle w:val="27"/>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72" w:hRule="atLeast"/>
          <w:jc w:val="center"/>
        </w:trPr>
        <w:tc>
          <w:tcPr>
            <w:tcW w:w="8824" w:type="dxa"/>
          </w:tcPr>
          <w:p>
            <w:pPr>
              <w:widowControl/>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bCs/>
                <w:color w:val="000000" w:themeColor="text1"/>
                <w:kern w:val="0"/>
                <w:sz w:val="24"/>
                <w:lang w:bidi="ar"/>
                <w14:textFill>
                  <w14:solidFill>
                    <w14:schemeClr w14:val="tx1"/>
                  </w14:solidFill>
                </w14:textFill>
              </w:rPr>
              <w:t>项目建设符合国家相关产业政策、“三线一单”，本项目建设过程和运营期污染物经过相应的治理措施治理后，废气、废水和噪声可实现达标排放；固体废物均得到合理处置，对周围环境影响可接受，具有较好的社会效益、环境效益和经济效益，并有利于带动地方经济的发展。在严格执行“三同时”制度、落实本报告表提出的各项环保措施的前提下，从环境保护角度分析，本项目的建设是可行的。</w:t>
            </w:r>
          </w:p>
          <w:p>
            <w:pPr>
              <w:widowControl/>
              <w:spacing w:line="360" w:lineRule="auto"/>
              <w:rPr>
                <w:rFonts w:ascii="Times New Roman" w:hAnsi="Times New Roman" w:cs="Times New Roman"/>
                <w:color w:val="000000" w:themeColor="text1"/>
                <w14:textFill>
                  <w14:solidFill>
                    <w14:schemeClr w14:val="tx1"/>
                  </w14:solidFill>
                </w14:textFill>
              </w:rPr>
            </w:pPr>
          </w:p>
          <w:p>
            <w:pPr>
              <w:adjustRightInd w:val="0"/>
              <w:snapToGrid w:val="0"/>
              <w:rPr>
                <w:rFonts w:ascii="Times New Roman" w:hAnsi="Times New Roman" w:cs="Times New Roman"/>
                <w:color w:val="000000" w:themeColor="text1"/>
                <w:szCs w:val="21"/>
                <w14:textFill>
                  <w14:solidFill>
                    <w14:schemeClr w14:val="tx1"/>
                  </w14:solidFill>
                </w14:textFill>
              </w:rPr>
            </w:pPr>
          </w:p>
        </w:tc>
      </w:tr>
    </w:tbl>
    <w:p>
      <w:pPr>
        <w:adjustRightInd w:val="0"/>
        <w:snapToGrid w:val="0"/>
        <w:spacing w:before="192" w:beforeLines="80"/>
        <w:rPr>
          <w:rFonts w:ascii="Times New Roman" w:hAnsi="Times New Roman" w:cs="Times New Roman"/>
          <w:color w:val="000000" w:themeColor="text1"/>
          <w14:textFill>
            <w14:solidFill>
              <w14:schemeClr w14:val="tx1"/>
            </w14:solidFill>
          </w14:textFill>
        </w:rPr>
      </w:pPr>
    </w:p>
    <w:sectPr>
      <w:pgSz w:w="11906" w:h="16838"/>
      <w:pgMar w:top="1701" w:right="1531" w:bottom="1701" w:left="153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91334"/>
    <w:multiLevelType w:val="multilevel"/>
    <w:tmpl w:val="31D91334"/>
    <w:lvl w:ilvl="0" w:tentative="0">
      <w:start w:val="1"/>
      <w:numFmt w:val="decimalEnclosedParen"/>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60CF3E3"/>
    <w:multiLevelType w:val="singleLevel"/>
    <w:tmpl w:val="460CF3E3"/>
    <w:lvl w:ilvl="0" w:tentative="0">
      <w:start w:val="1"/>
      <w:numFmt w:val="decimal"/>
      <w:suff w:val="nothing"/>
      <w:lvlText w:val="（%1）"/>
      <w:lvlJc w:val="left"/>
      <w:pPr>
        <w:ind w:left="-140"/>
      </w:pPr>
    </w:lvl>
  </w:abstractNum>
  <w:abstractNum w:abstractNumId="2">
    <w:nsid w:val="656E08C9"/>
    <w:multiLevelType w:val="multilevel"/>
    <w:tmpl w:val="656E08C9"/>
    <w:lvl w:ilvl="0" w:tentative="0">
      <w:start w:val="1"/>
      <w:numFmt w:val="decimalEnclosedParen"/>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A14947"/>
    <w:rsid w:val="00001CED"/>
    <w:rsid w:val="00001E67"/>
    <w:rsid w:val="00003CD8"/>
    <w:rsid w:val="00006B15"/>
    <w:rsid w:val="00014965"/>
    <w:rsid w:val="0001523A"/>
    <w:rsid w:val="00016ECB"/>
    <w:rsid w:val="00021692"/>
    <w:rsid w:val="00021A20"/>
    <w:rsid w:val="000269F6"/>
    <w:rsid w:val="00031939"/>
    <w:rsid w:val="00032D25"/>
    <w:rsid w:val="00035CBF"/>
    <w:rsid w:val="00037F54"/>
    <w:rsid w:val="0005219D"/>
    <w:rsid w:val="0005568F"/>
    <w:rsid w:val="0006153D"/>
    <w:rsid w:val="00061B1F"/>
    <w:rsid w:val="0006423A"/>
    <w:rsid w:val="000664DB"/>
    <w:rsid w:val="0007127D"/>
    <w:rsid w:val="00071AE5"/>
    <w:rsid w:val="00073036"/>
    <w:rsid w:val="00074783"/>
    <w:rsid w:val="0007614A"/>
    <w:rsid w:val="000801E0"/>
    <w:rsid w:val="00082A29"/>
    <w:rsid w:val="0008331D"/>
    <w:rsid w:val="00083C18"/>
    <w:rsid w:val="00092899"/>
    <w:rsid w:val="000A178E"/>
    <w:rsid w:val="000A557E"/>
    <w:rsid w:val="000B0334"/>
    <w:rsid w:val="000B058F"/>
    <w:rsid w:val="000B693F"/>
    <w:rsid w:val="000B714F"/>
    <w:rsid w:val="000C09AC"/>
    <w:rsid w:val="000C0A63"/>
    <w:rsid w:val="000C437E"/>
    <w:rsid w:val="000D290E"/>
    <w:rsid w:val="000E5F16"/>
    <w:rsid w:val="000F2E84"/>
    <w:rsid w:val="000F4452"/>
    <w:rsid w:val="000F6DA1"/>
    <w:rsid w:val="000F701B"/>
    <w:rsid w:val="001056A0"/>
    <w:rsid w:val="00115279"/>
    <w:rsid w:val="00117459"/>
    <w:rsid w:val="0011749A"/>
    <w:rsid w:val="00127A68"/>
    <w:rsid w:val="00140B13"/>
    <w:rsid w:val="00141B68"/>
    <w:rsid w:val="00142353"/>
    <w:rsid w:val="001466DA"/>
    <w:rsid w:val="00154DE1"/>
    <w:rsid w:val="00155B40"/>
    <w:rsid w:val="00157435"/>
    <w:rsid w:val="001631DD"/>
    <w:rsid w:val="00163EEA"/>
    <w:rsid w:val="00167A07"/>
    <w:rsid w:val="0017046A"/>
    <w:rsid w:val="001704A3"/>
    <w:rsid w:val="0017504D"/>
    <w:rsid w:val="00177422"/>
    <w:rsid w:val="00184F10"/>
    <w:rsid w:val="00184FF3"/>
    <w:rsid w:val="00185546"/>
    <w:rsid w:val="0019146B"/>
    <w:rsid w:val="00194398"/>
    <w:rsid w:val="001A7D2A"/>
    <w:rsid w:val="001B574C"/>
    <w:rsid w:val="001C0AF9"/>
    <w:rsid w:val="001C155A"/>
    <w:rsid w:val="001C48C0"/>
    <w:rsid w:val="001D6726"/>
    <w:rsid w:val="001E5C42"/>
    <w:rsid w:val="001F1018"/>
    <w:rsid w:val="001F3347"/>
    <w:rsid w:val="001F3D6E"/>
    <w:rsid w:val="001F4440"/>
    <w:rsid w:val="001F69E4"/>
    <w:rsid w:val="0020302F"/>
    <w:rsid w:val="00206A65"/>
    <w:rsid w:val="0020707C"/>
    <w:rsid w:val="00212D31"/>
    <w:rsid w:val="002130C7"/>
    <w:rsid w:val="00214ABF"/>
    <w:rsid w:val="0021573F"/>
    <w:rsid w:val="0022116B"/>
    <w:rsid w:val="002218A8"/>
    <w:rsid w:val="0022306D"/>
    <w:rsid w:val="00226574"/>
    <w:rsid w:val="002278EC"/>
    <w:rsid w:val="002301BA"/>
    <w:rsid w:val="002357C7"/>
    <w:rsid w:val="002367C4"/>
    <w:rsid w:val="0025183E"/>
    <w:rsid w:val="0025679E"/>
    <w:rsid w:val="002605F2"/>
    <w:rsid w:val="00260C68"/>
    <w:rsid w:val="002648B0"/>
    <w:rsid w:val="00266A4B"/>
    <w:rsid w:val="0027419D"/>
    <w:rsid w:val="00275271"/>
    <w:rsid w:val="0027535E"/>
    <w:rsid w:val="00275AA6"/>
    <w:rsid w:val="002807D5"/>
    <w:rsid w:val="00282CCD"/>
    <w:rsid w:val="0029293E"/>
    <w:rsid w:val="00294D1F"/>
    <w:rsid w:val="002972DD"/>
    <w:rsid w:val="002A168C"/>
    <w:rsid w:val="002A2C48"/>
    <w:rsid w:val="002A3EED"/>
    <w:rsid w:val="002A4A39"/>
    <w:rsid w:val="002A5A17"/>
    <w:rsid w:val="002A6425"/>
    <w:rsid w:val="002B49E2"/>
    <w:rsid w:val="002B6CE9"/>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23AF5"/>
    <w:rsid w:val="00331C85"/>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822BB"/>
    <w:rsid w:val="003845C7"/>
    <w:rsid w:val="00391D1A"/>
    <w:rsid w:val="003A1948"/>
    <w:rsid w:val="003B152A"/>
    <w:rsid w:val="003B545B"/>
    <w:rsid w:val="003D3EE9"/>
    <w:rsid w:val="003E7681"/>
    <w:rsid w:val="003F0809"/>
    <w:rsid w:val="003F3911"/>
    <w:rsid w:val="003F611C"/>
    <w:rsid w:val="003F6AC9"/>
    <w:rsid w:val="003F755C"/>
    <w:rsid w:val="004031EA"/>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06C5"/>
    <w:rsid w:val="004727B0"/>
    <w:rsid w:val="00480247"/>
    <w:rsid w:val="0048081D"/>
    <w:rsid w:val="0048117E"/>
    <w:rsid w:val="004855F6"/>
    <w:rsid w:val="00486F0C"/>
    <w:rsid w:val="00494670"/>
    <w:rsid w:val="00496486"/>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0F6D"/>
    <w:rsid w:val="00524547"/>
    <w:rsid w:val="005258A2"/>
    <w:rsid w:val="00530F7C"/>
    <w:rsid w:val="00534567"/>
    <w:rsid w:val="00534F43"/>
    <w:rsid w:val="00535A84"/>
    <w:rsid w:val="00536889"/>
    <w:rsid w:val="00542E07"/>
    <w:rsid w:val="00554A7B"/>
    <w:rsid w:val="0055572C"/>
    <w:rsid w:val="0056064F"/>
    <w:rsid w:val="00561B84"/>
    <w:rsid w:val="00561C1B"/>
    <w:rsid w:val="00571637"/>
    <w:rsid w:val="00571D98"/>
    <w:rsid w:val="005720AE"/>
    <w:rsid w:val="0058030D"/>
    <w:rsid w:val="00582045"/>
    <w:rsid w:val="00590AE3"/>
    <w:rsid w:val="005918F1"/>
    <w:rsid w:val="005A06B7"/>
    <w:rsid w:val="005A1759"/>
    <w:rsid w:val="005C5065"/>
    <w:rsid w:val="005D0369"/>
    <w:rsid w:val="005D2E7C"/>
    <w:rsid w:val="005D53FE"/>
    <w:rsid w:val="005D7A0F"/>
    <w:rsid w:val="005E0438"/>
    <w:rsid w:val="005E0B3F"/>
    <w:rsid w:val="005E1791"/>
    <w:rsid w:val="005E2CE6"/>
    <w:rsid w:val="005E6324"/>
    <w:rsid w:val="005E687C"/>
    <w:rsid w:val="005F228B"/>
    <w:rsid w:val="005F29CD"/>
    <w:rsid w:val="005F4DFB"/>
    <w:rsid w:val="005F6CC0"/>
    <w:rsid w:val="00603E5B"/>
    <w:rsid w:val="00604BC8"/>
    <w:rsid w:val="00605773"/>
    <w:rsid w:val="00615B4C"/>
    <w:rsid w:val="00615B5D"/>
    <w:rsid w:val="0062146F"/>
    <w:rsid w:val="006257D2"/>
    <w:rsid w:val="006343AF"/>
    <w:rsid w:val="0063634A"/>
    <w:rsid w:val="0064250D"/>
    <w:rsid w:val="006433F7"/>
    <w:rsid w:val="00646D67"/>
    <w:rsid w:val="00646E8A"/>
    <w:rsid w:val="006535EB"/>
    <w:rsid w:val="00663016"/>
    <w:rsid w:val="00674605"/>
    <w:rsid w:val="006748B8"/>
    <w:rsid w:val="00676897"/>
    <w:rsid w:val="0068535B"/>
    <w:rsid w:val="0068736E"/>
    <w:rsid w:val="0069290A"/>
    <w:rsid w:val="00697032"/>
    <w:rsid w:val="006975AC"/>
    <w:rsid w:val="006A15FB"/>
    <w:rsid w:val="006A3132"/>
    <w:rsid w:val="006A53ED"/>
    <w:rsid w:val="006A72BF"/>
    <w:rsid w:val="006B332A"/>
    <w:rsid w:val="006B33BD"/>
    <w:rsid w:val="006B5A42"/>
    <w:rsid w:val="006B69BA"/>
    <w:rsid w:val="006C2D4E"/>
    <w:rsid w:val="006C3F75"/>
    <w:rsid w:val="006D170E"/>
    <w:rsid w:val="006D197D"/>
    <w:rsid w:val="006D63BA"/>
    <w:rsid w:val="006E06AF"/>
    <w:rsid w:val="006E4AE5"/>
    <w:rsid w:val="006F1789"/>
    <w:rsid w:val="006F3F15"/>
    <w:rsid w:val="00706C5D"/>
    <w:rsid w:val="007118E6"/>
    <w:rsid w:val="00714D18"/>
    <w:rsid w:val="007225C9"/>
    <w:rsid w:val="00722D64"/>
    <w:rsid w:val="00726525"/>
    <w:rsid w:val="00734EBC"/>
    <w:rsid w:val="00735CD7"/>
    <w:rsid w:val="007520F2"/>
    <w:rsid w:val="00754034"/>
    <w:rsid w:val="00754BF1"/>
    <w:rsid w:val="00755A30"/>
    <w:rsid w:val="00755E1C"/>
    <w:rsid w:val="00756556"/>
    <w:rsid w:val="0076132B"/>
    <w:rsid w:val="007623AE"/>
    <w:rsid w:val="00770B19"/>
    <w:rsid w:val="00772E84"/>
    <w:rsid w:val="00773DBD"/>
    <w:rsid w:val="00774FA0"/>
    <w:rsid w:val="00776620"/>
    <w:rsid w:val="00777B6D"/>
    <w:rsid w:val="00784855"/>
    <w:rsid w:val="00784F39"/>
    <w:rsid w:val="0078545C"/>
    <w:rsid w:val="007906C4"/>
    <w:rsid w:val="007940EA"/>
    <w:rsid w:val="007949C1"/>
    <w:rsid w:val="007967E8"/>
    <w:rsid w:val="007A0504"/>
    <w:rsid w:val="007A63F2"/>
    <w:rsid w:val="007B68DE"/>
    <w:rsid w:val="007C1857"/>
    <w:rsid w:val="007C3E0A"/>
    <w:rsid w:val="007C514F"/>
    <w:rsid w:val="007D0F95"/>
    <w:rsid w:val="007D7ECB"/>
    <w:rsid w:val="007E25A1"/>
    <w:rsid w:val="007E4BD2"/>
    <w:rsid w:val="007E7145"/>
    <w:rsid w:val="007F16B2"/>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8E6"/>
    <w:rsid w:val="00845F57"/>
    <w:rsid w:val="008521E0"/>
    <w:rsid w:val="008525B0"/>
    <w:rsid w:val="00867CBC"/>
    <w:rsid w:val="00876C30"/>
    <w:rsid w:val="00877017"/>
    <w:rsid w:val="008773C0"/>
    <w:rsid w:val="00880364"/>
    <w:rsid w:val="00881CA9"/>
    <w:rsid w:val="00885DD2"/>
    <w:rsid w:val="00886C4C"/>
    <w:rsid w:val="0088711C"/>
    <w:rsid w:val="00892ECF"/>
    <w:rsid w:val="00892F06"/>
    <w:rsid w:val="00894285"/>
    <w:rsid w:val="008960D6"/>
    <w:rsid w:val="008A2672"/>
    <w:rsid w:val="008A40AE"/>
    <w:rsid w:val="008A4E19"/>
    <w:rsid w:val="008A67C5"/>
    <w:rsid w:val="008B22E1"/>
    <w:rsid w:val="008B3C78"/>
    <w:rsid w:val="008B4AE9"/>
    <w:rsid w:val="008B7E17"/>
    <w:rsid w:val="008C30AD"/>
    <w:rsid w:val="008C5AE5"/>
    <w:rsid w:val="008D068E"/>
    <w:rsid w:val="008D0C36"/>
    <w:rsid w:val="008D0F7A"/>
    <w:rsid w:val="008D63BE"/>
    <w:rsid w:val="008E0CFF"/>
    <w:rsid w:val="008E5D6B"/>
    <w:rsid w:val="008E689B"/>
    <w:rsid w:val="008E76F0"/>
    <w:rsid w:val="008F15FE"/>
    <w:rsid w:val="008F2A94"/>
    <w:rsid w:val="008F5187"/>
    <w:rsid w:val="008F709C"/>
    <w:rsid w:val="0090312B"/>
    <w:rsid w:val="00904961"/>
    <w:rsid w:val="00906066"/>
    <w:rsid w:val="0091736D"/>
    <w:rsid w:val="00931001"/>
    <w:rsid w:val="00931863"/>
    <w:rsid w:val="00933524"/>
    <w:rsid w:val="00940CA1"/>
    <w:rsid w:val="0094278D"/>
    <w:rsid w:val="009457A3"/>
    <w:rsid w:val="009462F4"/>
    <w:rsid w:val="0095308A"/>
    <w:rsid w:val="00955AEE"/>
    <w:rsid w:val="00956F14"/>
    <w:rsid w:val="00957319"/>
    <w:rsid w:val="009620FD"/>
    <w:rsid w:val="0096247A"/>
    <w:rsid w:val="00963CFC"/>
    <w:rsid w:val="00964391"/>
    <w:rsid w:val="00965F4B"/>
    <w:rsid w:val="00970F8A"/>
    <w:rsid w:val="00971027"/>
    <w:rsid w:val="00971FB5"/>
    <w:rsid w:val="00972D2A"/>
    <w:rsid w:val="00975CC5"/>
    <w:rsid w:val="00976328"/>
    <w:rsid w:val="00976B4E"/>
    <w:rsid w:val="00984458"/>
    <w:rsid w:val="00985283"/>
    <w:rsid w:val="00987322"/>
    <w:rsid w:val="009959AA"/>
    <w:rsid w:val="009A05CF"/>
    <w:rsid w:val="009A0F3B"/>
    <w:rsid w:val="009A72C7"/>
    <w:rsid w:val="009A796B"/>
    <w:rsid w:val="009B0897"/>
    <w:rsid w:val="009B1A6C"/>
    <w:rsid w:val="009B40F6"/>
    <w:rsid w:val="009D0852"/>
    <w:rsid w:val="009D1FBF"/>
    <w:rsid w:val="009E399C"/>
    <w:rsid w:val="009E43C1"/>
    <w:rsid w:val="009E7E95"/>
    <w:rsid w:val="009F116F"/>
    <w:rsid w:val="009F29BB"/>
    <w:rsid w:val="009F329E"/>
    <w:rsid w:val="009F7ED3"/>
    <w:rsid w:val="00A03607"/>
    <w:rsid w:val="00A047FF"/>
    <w:rsid w:val="00A04FEF"/>
    <w:rsid w:val="00A06274"/>
    <w:rsid w:val="00A122CD"/>
    <w:rsid w:val="00A12A32"/>
    <w:rsid w:val="00A14248"/>
    <w:rsid w:val="00A14947"/>
    <w:rsid w:val="00A23DC5"/>
    <w:rsid w:val="00A24283"/>
    <w:rsid w:val="00A33CF3"/>
    <w:rsid w:val="00A34028"/>
    <w:rsid w:val="00A34E8A"/>
    <w:rsid w:val="00A35568"/>
    <w:rsid w:val="00A37056"/>
    <w:rsid w:val="00A37D5E"/>
    <w:rsid w:val="00A4358F"/>
    <w:rsid w:val="00A46F67"/>
    <w:rsid w:val="00A52F3C"/>
    <w:rsid w:val="00A54AA1"/>
    <w:rsid w:val="00A568FF"/>
    <w:rsid w:val="00A61496"/>
    <w:rsid w:val="00A61833"/>
    <w:rsid w:val="00A624C6"/>
    <w:rsid w:val="00A63CEC"/>
    <w:rsid w:val="00A64C61"/>
    <w:rsid w:val="00A7031E"/>
    <w:rsid w:val="00A728B1"/>
    <w:rsid w:val="00A763DE"/>
    <w:rsid w:val="00A803D6"/>
    <w:rsid w:val="00A81282"/>
    <w:rsid w:val="00A8713F"/>
    <w:rsid w:val="00A91167"/>
    <w:rsid w:val="00A9171C"/>
    <w:rsid w:val="00A92FFD"/>
    <w:rsid w:val="00A95975"/>
    <w:rsid w:val="00A9708D"/>
    <w:rsid w:val="00A9773F"/>
    <w:rsid w:val="00AA2C17"/>
    <w:rsid w:val="00AA4041"/>
    <w:rsid w:val="00AA4172"/>
    <w:rsid w:val="00AB1914"/>
    <w:rsid w:val="00AB505B"/>
    <w:rsid w:val="00AB5330"/>
    <w:rsid w:val="00AB7747"/>
    <w:rsid w:val="00AC2532"/>
    <w:rsid w:val="00AD1507"/>
    <w:rsid w:val="00AD5A70"/>
    <w:rsid w:val="00AD738B"/>
    <w:rsid w:val="00AE1BF4"/>
    <w:rsid w:val="00AE5D97"/>
    <w:rsid w:val="00AE6794"/>
    <w:rsid w:val="00B010DE"/>
    <w:rsid w:val="00B01110"/>
    <w:rsid w:val="00B02262"/>
    <w:rsid w:val="00B03CEC"/>
    <w:rsid w:val="00B1209F"/>
    <w:rsid w:val="00B12AD0"/>
    <w:rsid w:val="00B24F30"/>
    <w:rsid w:val="00B31ABF"/>
    <w:rsid w:val="00B335AE"/>
    <w:rsid w:val="00B37CE1"/>
    <w:rsid w:val="00B40ACF"/>
    <w:rsid w:val="00B426E5"/>
    <w:rsid w:val="00B46BAA"/>
    <w:rsid w:val="00B50A33"/>
    <w:rsid w:val="00B50B5F"/>
    <w:rsid w:val="00B54128"/>
    <w:rsid w:val="00B55826"/>
    <w:rsid w:val="00B60426"/>
    <w:rsid w:val="00B622DD"/>
    <w:rsid w:val="00B63522"/>
    <w:rsid w:val="00B6710A"/>
    <w:rsid w:val="00B76F1D"/>
    <w:rsid w:val="00B92A19"/>
    <w:rsid w:val="00B9544C"/>
    <w:rsid w:val="00BA29E9"/>
    <w:rsid w:val="00BB3618"/>
    <w:rsid w:val="00BC0C9E"/>
    <w:rsid w:val="00BC32DC"/>
    <w:rsid w:val="00BC3405"/>
    <w:rsid w:val="00BC41B9"/>
    <w:rsid w:val="00BC4223"/>
    <w:rsid w:val="00BD1B51"/>
    <w:rsid w:val="00BD47F6"/>
    <w:rsid w:val="00BE0B43"/>
    <w:rsid w:val="00BE312D"/>
    <w:rsid w:val="00BE3FCA"/>
    <w:rsid w:val="00C01F05"/>
    <w:rsid w:val="00C05719"/>
    <w:rsid w:val="00C10578"/>
    <w:rsid w:val="00C17D62"/>
    <w:rsid w:val="00C21FDC"/>
    <w:rsid w:val="00C24EE7"/>
    <w:rsid w:val="00C2596A"/>
    <w:rsid w:val="00C271BE"/>
    <w:rsid w:val="00C27425"/>
    <w:rsid w:val="00C328FE"/>
    <w:rsid w:val="00C33A05"/>
    <w:rsid w:val="00C42500"/>
    <w:rsid w:val="00C4409D"/>
    <w:rsid w:val="00C455BE"/>
    <w:rsid w:val="00C47FC3"/>
    <w:rsid w:val="00C51E5F"/>
    <w:rsid w:val="00C61E4B"/>
    <w:rsid w:val="00C62E3A"/>
    <w:rsid w:val="00C64503"/>
    <w:rsid w:val="00C64A1F"/>
    <w:rsid w:val="00C64BFF"/>
    <w:rsid w:val="00C75BF5"/>
    <w:rsid w:val="00C763C9"/>
    <w:rsid w:val="00C80057"/>
    <w:rsid w:val="00C81A6A"/>
    <w:rsid w:val="00C82C79"/>
    <w:rsid w:val="00C84753"/>
    <w:rsid w:val="00C91611"/>
    <w:rsid w:val="00C971BB"/>
    <w:rsid w:val="00C97812"/>
    <w:rsid w:val="00CA3585"/>
    <w:rsid w:val="00CA3D5A"/>
    <w:rsid w:val="00CA4574"/>
    <w:rsid w:val="00CA4C7C"/>
    <w:rsid w:val="00CB0183"/>
    <w:rsid w:val="00CB1EA3"/>
    <w:rsid w:val="00CB552C"/>
    <w:rsid w:val="00CB6A9E"/>
    <w:rsid w:val="00CC6181"/>
    <w:rsid w:val="00CD2BCD"/>
    <w:rsid w:val="00CD36AA"/>
    <w:rsid w:val="00CD3791"/>
    <w:rsid w:val="00CD65B0"/>
    <w:rsid w:val="00CE02CD"/>
    <w:rsid w:val="00CE10E9"/>
    <w:rsid w:val="00CE3004"/>
    <w:rsid w:val="00D0072E"/>
    <w:rsid w:val="00D15727"/>
    <w:rsid w:val="00D16332"/>
    <w:rsid w:val="00D17FE0"/>
    <w:rsid w:val="00D24972"/>
    <w:rsid w:val="00D2515E"/>
    <w:rsid w:val="00D308ED"/>
    <w:rsid w:val="00D41758"/>
    <w:rsid w:val="00D56178"/>
    <w:rsid w:val="00D56CF0"/>
    <w:rsid w:val="00D56F5C"/>
    <w:rsid w:val="00D64A6C"/>
    <w:rsid w:val="00D704B1"/>
    <w:rsid w:val="00D70B63"/>
    <w:rsid w:val="00D72B92"/>
    <w:rsid w:val="00D72ED4"/>
    <w:rsid w:val="00D73F61"/>
    <w:rsid w:val="00D754C0"/>
    <w:rsid w:val="00D776A2"/>
    <w:rsid w:val="00D801C4"/>
    <w:rsid w:val="00D8724F"/>
    <w:rsid w:val="00D90836"/>
    <w:rsid w:val="00D95896"/>
    <w:rsid w:val="00D95CC6"/>
    <w:rsid w:val="00D975C9"/>
    <w:rsid w:val="00D97D0D"/>
    <w:rsid w:val="00DA2DA3"/>
    <w:rsid w:val="00DA6615"/>
    <w:rsid w:val="00DA76AE"/>
    <w:rsid w:val="00DB181E"/>
    <w:rsid w:val="00DB1C7A"/>
    <w:rsid w:val="00DB2983"/>
    <w:rsid w:val="00DB343D"/>
    <w:rsid w:val="00DB5579"/>
    <w:rsid w:val="00DB5CFE"/>
    <w:rsid w:val="00DC6EAE"/>
    <w:rsid w:val="00DC72A6"/>
    <w:rsid w:val="00DD2113"/>
    <w:rsid w:val="00DD265E"/>
    <w:rsid w:val="00DE5B35"/>
    <w:rsid w:val="00DF1930"/>
    <w:rsid w:val="00DF514A"/>
    <w:rsid w:val="00E0358D"/>
    <w:rsid w:val="00E03D27"/>
    <w:rsid w:val="00E06327"/>
    <w:rsid w:val="00E12EB1"/>
    <w:rsid w:val="00E15618"/>
    <w:rsid w:val="00E17A69"/>
    <w:rsid w:val="00E2064B"/>
    <w:rsid w:val="00E25239"/>
    <w:rsid w:val="00E25355"/>
    <w:rsid w:val="00E265B1"/>
    <w:rsid w:val="00E275B0"/>
    <w:rsid w:val="00E3131B"/>
    <w:rsid w:val="00E341C7"/>
    <w:rsid w:val="00E412D0"/>
    <w:rsid w:val="00E432CE"/>
    <w:rsid w:val="00E47CDB"/>
    <w:rsid w:val="00E5521F"/>
    <w:rsid w:val="00E566BC"/>
    <w:rsid w:val="00E60982"/>
    <w:rsid w:val="00E60C8D"/>
    <w:rsid w:val="00E6162F"/>
    <w:rsid w:val="00E6311B"/>
    <w:rsid w:val="00E6532E"/>
    <w:rsid w:val="00E65D97"/>
    <w:rsid w:val="00E670CC"/>
    <w:rsid w:val="00E67EFD"/>
    <w:rsid w:val="00E702DC"/>
    <w:rsid w:val="00E71FFB"/>
    <w:rsid w:val="00E76D1D"/>
    <w:rsid w:val="00E806F8"/>
    <w:rsid w:val="00E84747"/>
    <w:rsid w:val="00E87752"/>
    <w:rsid w:val="00E8793B"/>
    <w:rsid w:val="00E90F81"/>
    <w:rsid w:val="00E91A6D"/>
    <w:rsid w:val="00E9242D"/>
    <w:rsid w:val="00E92CC8"/>
    <w:rsid w:val="00EB041C"/>
    <w:rsid w:val="00EB2C94"/>
    <w:rsid w:val="00EC5874"/>
    <w:rsid w:val="00EC5A96"/>
    <w:rsid w:val="00ED192D"/>
    <w:rsid w:val="00ED30B4"/>
    <w:rsid w:val="00ED31F5"/>
    <w:rsid w:val="00ED514D"/>
    <w:rsid w:val="00EF2759"/>
    <w:rsid w:val="00EF45EB"/>
    <w:rsid w:val="00EF5099"/>
    <w:rsid w:val="00EF5E33"/>
    <w:rsid w:val="00F00075"/>
    <w:rsid w:val="00F07822"/>
    <w:rsid w:val="00F15C95"/>
    <w:rsid w:val="00F22985"/>
    <w:rsid w:val="00F241AB"/>
    <w:rsid w:val="00F25B9F"/>
    <w:rsid w:val="00F31382"/>
    <w:rsid w:val="00F318B6"/>
    <w:rsid w:val="00F35829"/>
    <w:rsid w:val="00F40922"/>
    <w:rsid w:val="00F42088"/>
    <w:rsid w:val="00F42868"/>
    <w:rsid w:val="00F465A7"/>
    <w:rsid w:val="00F50B7C"/>
    <w:rsid w:val="00F5202D"/>
    <w:rsid w:val="00F52CF6"/>
    <w:rsid w:val="00F54496"/>
    <w:rsid w:val="00F61097"/>
    <w:rsid w:val="00F72DDB"/>
    <w:rsid w:val="00F74345"/>
    <w:rsid w:val="00F74441"/>
    <w:rsid w:val="00F77F30"/>
    <w:rsid w:val="00F82589"/>
    <w:rsid w:val="00F82B19"/>
    <w:rsid w:val="00F879A5"/>
    <w:rsid w:val="00F90AA7"/>
    <w:rsid w:val="00F9212D"/>
    <w:rsid w:val="00FA301A"/>
    <w:rsid w:val="00FA406A"/>
    <w:rsid w:val="00FA5CB6"/>
    <w:rsid w:val="00FC66AC"/>
    <w:rsid w:val="00FD18F4"/>
    <w:rsid w:val="00FD74B4"/>
    <w:rsid w:val="00FE5A06"/>
    <w:rsid w:val="00FF6FCE"/>
    <w:rsid w:val="00FF7518"/>
    <w:rsid w:val="00FF7FD8"/>
    <w:rsid w:val="011C44BE"/>
    <w:rsid w:val="012E3330"/>
    <w:rsid w:val="01A958ED"/>
    <w:rsid w:val="01C51B0E"/>
    <w:rsid w:val="01F8542F"/>
    <w:rsid w:val="034712B7"/>
    <w:rsid w:val="037F208C"/>
    <w:rsid w:val="03D23758"/>
    <w:rsid w:val="043C38E3"/>
    <w:rsid w:val="04CF728E"/>
    <w:rsid w:val="0501124A"/>
    <w:rsid w:val="05742AC8"/>
    <w:rsid w:val="05934B2F"/>
    <w:rsid w:val="05A4365A"/>
    <w:rsid w:val="05B45354"/>
    <w:rsid w:val="06352F05"/>
    <w:rsid w:val="063E7D85"/>
    <w:rsid w:val="06531903"/>
    <w:rsid w:val="06570B7D"/>
    <w:rsid w:val="06573975"/>
    <w:rsid w:val="06913258"/>
    <w:rsid w:val="06F41E9E"/>
    <w:rsid w:val="070875E0"/>
    <w:rsid w:val="07293586"/>
    <w:rsid w:val="07295285"/>
    <w:rsid w:val="07442078"/>
    <w:rsid w:val="07770C56"/>
    <w:rsid w:val="077A1F3E"/>
    <w:rsid w:val="07924419"/>
    <w:rsid w:val="07E31CC8"/>
    <w:rsid w:val="080C1562"/>
    <w:rsid w:val="0865674A"/>
    <w:rsid w:val="086F6E4A"/>
    <w:rsid w:val="08850B9A"/>
    <w:rsid w:val="08966904"/>
    <w:rsid w:val="08996E7A"/>
    <w:rsid w:val="09187B5E"/>
    <w:rsid w:val="092217DD"/>
    <w:rsid w:val="092A27BC"/>
    <w:rsid w:val="093A5A24"/>
    <w:rsid w:val="093A7294"/>
    <w:rsid w:val="09A542CD"/>
    <w:rsid w:val="09AA7C1E"/>
    <w:rsid w:val="09B13896"/>
    <w:rsid w:val="09E26787"/>
    <w:rsid w:val="09EA5535"/>
    <w:rsid w:val="0A0A7C81"/>
    <w:rsid w:val="0A6A2E3F"/>
    <w:rsid w:val="0A794B51"/>
    <w:rsid w:val="0AB47515"/>
    <w:rsid w:val="0B125101"/>
    <w:rsid w:val="0BD27BF6"/>
    <w:rsid w:val="0BF20F5E"/>
    <w:rsid w:val="0C3E2C52"/>
    <w:rsid w:val="0C67530F"/>
    <w:rsid w:val="0C6B70D3"/>
    <w:rsid w:val="0CCC401E"/>
    <w:rsid w:val="0CE168F3"/>
    <w:rsid w:val="0D074D8E"/>
    <w:rsid w:val="0DD57ECE"/>
    <w:rsid w:val="0E110D06"/>
    <w:rsid w:val="0E313206"/>
    <w:rsid w:val="0E5E0B3E"/>
    <w:rsid w:val="0E606E91"/>
    <w:rsid w:val="0EB360A5"/>
    <w:rsid w:val="0F13775A"/>
    <w:rsid w:val="0F331FA6"/>
    <w:rsid w:val="0F9A112B"/>
    <w:rsid w:val="104114CB"/>
    <w:rsid w:val="106D2F64"/>
    <w:rsid w:val="109E0C3D"/>
    <w:rsid w:val="10A9403E"/>
    <w:rsid w:val="10B30C1C"/>
    <w:rsid w:val="10B63710"/>
    <w:rsid w:val="111C2F7A"/>
    <w:rsid w:val="113013DE"/>
    <w:rsid w:val="11A402E3"/>
    <w:rsid w:val="11DD37F5"/>
    <w:rsid w:val="122B06C2"/>
    <w:rsid w:val="130A23C8"/>
    <w:rsid w:val="135F5E12"/>
    <w:rsid w:val="137B3A06"/>
    <w:rsid w:val="13951726"/>
    <w:rsid w:val="142F4E66"/>
    <w:rsid w:val="14333EAA"/>
    <w:rsid w:val="14396509"/>
    <w:rsid w:val="1447165C"/>
    <w:rsid w:val="14F56B39"/>
    <w:rsid w:val="15007E85"/>
    <w:rsid w:val="15A74787"/>
    <w:rsid w:val="15D61571"/>
    <w:rsid w:val="17735226"/>
    <w:rsid w:val="17C262AF"/>
    <w:rsid w:val="181D3803"/>
    <w:rsid w:val="1899131C"/>
    <w:rsid w:val="18C95366"/>
    <w:rsid w:val="193F5087"/>
    <w:rsid w:val="19771AEE"/>
    <w:rsid w:val="19F850BB"/>
    <w:rsid w:val="1A1C66C0"/>
    <w:rsid w:val="1A22354E"/>
    <w:rsid w:val="1A404E9F"/>
    <w:rsid w:val="1A42393B"/>
    <w:rsid w:val="1B03607B"/>
    <w:rsid w:val="1B046F80"/>
    <w:rsid w:val="1B0A29BD"/>
    <w:rsid w:val="1B3267B5"/>
    <w:rsid w:val="1B6207A9"/>
    <w:rsid w:val="1BA55962"/>
    <w:rsid w:val="1BA75FED"/>
    <w:rsid w:val="1BC25DC8"/>
    <w:rsid w:val="1BF711F2"/>
    <w:rsid w:val="1C5E7925"/>
    <w:rsid w:val="1C887FC8"/>
    <w:rsid w:val="1CC46AD6"/>
    <w:rsid w:val="1D516351"/>
    <w:rsid w:val="1D5F6196"/>
    <w:rsid w:val="1D6132A5"/>
    <w:rsid w:val="1D6552A1"/>
    <w:rsid w:val="1D8E56D5"/>
    <w:rsid w:val="1E422027"/>
    <w:rsid w:val="1E791353"/>
    <w:rsid w:val="1E7A43DA"/>
    <w:rsid w:val="1EB277FE"/>
    <w:rsid w:val="1EDC23DC"/>
    <w:rsid w:val="1F264A2D"/>
    <w:rsid w:val="1F792E1D"/>
    <w:rsid w:val="1F7B5EDA"/>
    <w:rsid w:val="1FE7539E"/>
    <w:rsid w:val="20071F37"/>
    <w:rsid w:val="207C48FB"/>
    <w:rsid w:val="20963CB8"/>
    <w:rsid w:val="20B07FB6"/>
    <w:rsid w:val="213B74B1"/>
    <w:rsid w:val="215A2310"/>
    <w:rsid w:val="21933ED0"/>
    <w:rsid w:val="21C51C0F"/>
    <w:rsid w:val="21DE318A"/>
    <w:rsid w:val="21EF5B80"/>
    <w:rsid w:val="220307BD"/>
    <w:rsid w:val="221B2F87"/>
    <w:rsid w:val="22533907"/>
    <w:rsid w:val="22576990"/>
    <w:rsid w:val="229C4EAB"/>
    <w:rsid w:val="22A13889"/>
    <w:rsid w:val="22CC58EC"/>
    <w:rsid w:val="231B49FE"/>
    <w:rsid w:val="237B0A5E"/>
    <w:rsid w:val="23C52DA1"/>
    <w:rsid w:val="2403533D"/>
    <w:rsid w:val="24567844"/>
    <w:rsid w:val="24882976"/>
    <w:rsid w:val="24A703EE"/>
    <w:rsid w:val="252D53FE"/>
    <w:rsid w:val="25EC2D81"/>
    <w:rsid w:val="264528BD"/>
    <w:rsid w:val="266E7B8B"/>
    <w:rsid w:val="273955C4"/>
    <w:rsid w:val="27D15DD1"/>
    <w:rsid w:val="28A76295"/>
    <w:rsid w:val="28CC143A"/>
    <w:rsid w:val="29206EB8"/>
    <w:rsid w:val="29577BC9"/>
    <w:rsid w:val="296D3483"/>
    <w:rsid w:val="297F7814"/>
    <w:rsid w:val="299C33C3"/>
    <w:rsid w:val="29E325E0"/>
    <w:rsid w:val="2A273016"/>
    <w:rsid w:val="2A452503"/>
    <w:rsid w:val="2A564569"/>
    <w:rsid w:val="2A750617"/>
    <w:rsid w:val="2BA936A8"/>
    <w:rsid w:val="2BDA1BE3"/>
    <w:rsid w:val="2C315A5A"/>
    <w:rsid w:val="2C6B4660"/>
    <w:rsid w:val="2C6E757B"/>
    <w:rsid w:val="2C8A144E"/>
    <w:rsid w:val="2D214A86"/>
    <w:rsid w:val="2D572716"/>
    <w:rsid w:val="2D9E56F5"/>
    <w:rsid w:val="2DD80E6F"/>
    <w:rsid w:val="2E507CF4"/>
    <w:rsid w:val="2E667F96"/>
    <w:rsid w:val="2E8226AB"/>
    <w:rsid w:val="2EB06057"/>
    <w:rsid w:val="2F575D4E"/>
    <w:rsid w:val="2F832C79"/>
    <w:rsid w:val="2F8A0474"/>
    <w:rsid w:val="2FEF2D58"/>
    <w:rsid w:val="30497C95"/>
    <w:rsid w:val="304F4375"/>
    <w:rsid w:val="30580BC9"/>
    <w:rsid w:val="30632B6A"/>
    <w:rsid w:val="307F3839"/>
    <w:rsid w:val="30AA2805"/>
    <w:rsid w:val="30B80760"/>
    <w:rsid w:val="30C713B6"/>
    <w:rsid w:val="310E102C"/>
    <w:rsid w:val="311E2ED7"/>
    <w:rsid w:val="315C449C"/>
    <w:rsid w:val="31B82709"/>
    <w:rsid w:val="31C90F5F"/>
    <w:rsid w:val="31E77DA8"/>
    <w:rsid w:val="31FB2664"/>
    <w:rsid w:val="31FB3AF8"/>
    <w:rsid w:val="32400B34"/>
    <w:rsid w:val="329E6876"/>
    <w:rsid w:val="32C16F50"/>
    <w:rsid w:val="33462203"/>
    <w:rsid w:val="335B1737"/>
    <w:rsid w:val="33774D00"/>
    <w:rsid w:val="338C3EE8"/>
    <w:rsid w:val="33B60663"/>
    <w:rsid w:val="33D934D4"/>
    <w:rsid w:val="33FE2F6A"/>
    <w:rsid w:val="34301672"/>
    <w:rsid w:val="345835FC"/>
    <w:rsid w:val="352A0058"/>
    <w:rsid w:val="35431A3E"/>
    <w:rsid w:val="357D5B8E"/>
    <w:rsid w:val="35B53FBD"/>
    <w:rsid w:val="36074A7F"/>
    <w:rsid w:val="36923549"/>
    <w:rsid w:val="36AC7A6D"/>
    <w:rsid w:val="36B75FBF"/>
    <w:rsid w:val="36FB4891"/>
    <w:rsid w:val="371668E8"/>
    <w:rsid w:val="37834F02"/>
    <w:rsid w:val="37CB636E"/>
    <w:rsid w:val="38313C0C"/>
    <w:rsid w:val="38934EE9"/>
    <w:rsid w:val="38953D98"/>
    <w:rsid w:val="38E52BFD"/>
    <w:rsid w:val="38F12CD3"/>
    <w:rsid w:val="38F94775"/>
    <w:rsid w:val="39007C46"/>
    <w:rsid w:val="392971ED"/>
    <w:rsid w:val="39404318"/>
    <w:rsid w:val="39C718EC"/>
    <w:rsid w:val="3A88383C"/>
    <w:rsid w:val="3AFC4DD7"/>
    <w:rsid w:val="3B3763D1"/>
    <w:rsid w:val="3B506B21"/>
    <w:rsid w:val="3BB1464B"/>
    <w:rsid w:val="3BCE1BAC"/>
    <w:rsid w:val="3CDA245A"/>
    <w:rsid w:val="3CEE0A37"/>
    <w:rsid w:val="3D2C1009"/>
    <w:rsid w:val="3D514C53"/>
    <w:rsid w:val="3DA30D2C"/>
    <w:rsid w:val="3DAC5C39"/>
    <w:rsid w:val="3EA23B1C"/>
    <w:rsid w:val="3F0060E9"/>
    <w:rsid w:val="3F3E5024"/>
    <w:rsid w:val="3F3F453C"/>
    <w:rsid w:val="3F660E74"/>
    <w:rsid w:val="3FE308F0"/>
    <w:rsid w:val="403C3BD2"/>
    <w:rsid w:val="404A2A87"/>
    <w:rsid w:val="40556580"/>
    <w:rsid w:val="407A6407"/>
    <w:rsid w:val="40B05AAD"/>
    <w:rsid w:val="40D23C76"/>
    <w:rsid w:val="40DD79B5"/>
    <w:rsid w:val="40F83F19"/>
    <w:rsid w:val="41271A73"/>
    <w:rsid w:val="41473131"/>
    <w:rsid w:val="41C7669A"/>
    <w:rsid w:val="41E365D3"/>
    <w:rsid w:val="41F910A4"/>
    <w:rsid w:val="42162BAA"/>
    <w:rsid w:val="423A3BCC"/>
    <w:rsid w:val="427E2A74"/>
    <w:rsid w:val="42A33166"/>
    <w:rsid w:val="42A60D98"/>
    <w:rsid w:val="42F351FC"/>
    <w:rsid w:val="430B050B"/>
    <w:rsid w:val="431D3405"/>
    <w:rsid w:val="433A6FE6"/>
    <w:rsid w:val="4350713C"/>
    <w:rsid w:val="436653E0"/>
    <w:rsid w:val="4374370A"/>
    <w:rsid w:val="44135387"/>
    <w:rsid w:val="444F4C93"/>
    <w:rsid w:val="448741CC"/>
    <w:rsid w:val="44927617"/>
    <w:rsid w:val="44CD14E0"/>
    <w:rsid w:val="44F54A05"/>
    <w:rsid w:val="45080E7C"/>
    <w:rsid w:val="4564547E"/>
    <w:rsid w:val="45772B5E"/>
    <w:rsid w:val="45851368"/>
    <w:rsid w:val="458946E9"/>
    <w:rsid w:val="45BA307F"/>
    <w:rsid w:val="45BB47D3"/>
    <w:rsid w:val="45C81AEB"/>
    <w:rsid w:val="46005AC4"/>
    <w:rsid w:val="46137D16"/>
    <w:rsid w:val="46164604"/>
    <w:rsid w:val="46677944"/>
    <w:rsid w:val="46A05B17"/>
    <w:rsid w:val="46D955A7"/>
    <w:rsid w:val="470742CE"/>
    <w:rsid w:val="47133957"/>
    <w:rsid w:val="472A2ED2"/>
    <w:rsid w:val="4779329E"/>
    <w:rsid w:val="47A07E0C"/>
    <w:rsid w:val="47A43C13"/>
    <w:rsid w:val="480865ED"/>
    <w:rsid w:val="481B6B23"/>
    <w:rsid w:val="485F0853"/>
    <w:rsid w:val="4870272E"/>
    <w:rsid w:val="488745F7"/>
    <w:rsid w:val="494C5772"/>
    <w:rsid w:val="49C87C66"/>
    <w:rsid w:val="49DC7715"/>
    <w:rsid w:val="49F547D2"/>
    <w:rsid w:val="4A023139"/>
    <w:rsid w:val="4A20492C"/>
    <w:rsid w:val="4A3E1155"/>
    <w:rsid w:val="4A427312"/>
    <w:rsid w:val="4A7B576F"/>
    <w:rsid w:val="4A88007C"/>
    <w:rsid w:val="4B003E60"/>
    <w:rsid w:val="4B2B2C5F"/>
    <w:rsid w:val="4BE92E51"/>
    <w:rsid w:val="4C075C03"/>
    <w:rsid w:val="4C4A0649"/>
    <w:rsid w:val="4C9925D5"/>
    <w:rsid w:val="4CE44190"/>
    <w:rsid w:val="4CE470D3"/>
    <w:rsid w:val="4D9A79EF"/>
    <w:rsid w:val="4DA0402B"/>
    <w:rsid w:val="4DCC0A17"/>
    <w:rsid w:val="4DEB2AE6"/>
    <w:rsid w:val="4DEC4FB0"/>
    <w:rsid w:val="4E075D8A"/>
    <w:rsid w:val="4E306CFA"/>
    <w:rsid w:val="4EE63A76"/>
    <w:rsid w:val="4F245FE4"/>
    <w:rsid w:val="4F7F75EB"/>
    <w:rsid w:val="4F8B7E11"/>
    <w:rsid w:val="4FA83AD6"/>
    <w:rsid w:val="4FC62A8C"/>
    <w:rsid w:val="4FDA072A"/>
    <w:rsid w:val="4FE20F0D"/>
    <w:rsid w:val="50504C4B"/>
    <w:rsid w:val="50715259"/>
    <w:rsid w:val="509C6E7C"/>
    <w:rsid w:val="514F2C98"/>
    <w:rsid w:val="5162104E"/>
    <w:rsid w:val="516E69FA"/>
    <w:rsid w:val="518E7DF8"/>
    <w:rsid w:val="51AC4771"/>
    <w:rsid w:val="51D14F89"/>
    <w:rsid w:val="51F83758"/>
    <w:rsid w:val="520D51E4"/>
    <w:rsid w:val="522B665F"/>
    <w:rsid w:val="5249280F"/>
    <w:rsid w:val="526D04D3"/>
    <w:rsid w:val="527535C5"/>
    <w:rsid w:val="531D6AE7"/>
    <w:rsid w:val="53547307"/>
    <w:rsid w:val="53A039CC"/>
    <w:rsid w:val="53A1505A"/>
    <w:rsid w:val="53CB1124"/>
    <w:rsid w:val="54063E08"/>
    <w:rsid w:val="541363CC"/>
    <w:rsid w:val="541771E9"/>
    <w:rsid w:val="543437E8"/>
    <w:rsid w:val="543A1A24"/>
    <w:rsid w:val="543D5452"/>
    <w:rsid w:val="5471010A"/>
    <w:rsid w:val="54A66B9E"/>
    <w:rsid w:val="54AE2C35"/>
    <w:rsid w:val="54BA4FDD"/>
    <w:rsid w:val="557D644E"/>
    <w:rsid w:val="559B174B"/>
    <w:rsid w:val="55C64B21"/>
    <w:rsid w:val="55CE0CF4"/>
    <w:rsid w:val="55E129D1"/>
    <w:rsid w:val="55ED612D"/>
    <w:rsid w:val="560C332E"/>
    <w:rsid w:val="56507821"/>
    <w:rsid w:val="5681344D"/>
    <w:rsid w:val="56B22A9C"/>
    <w:rsid w:val="57206832"/>
    <w:rsid w:val="579B3625"/>
    <w:rsid w:val="579D6934"/>
    <w:rsid w:val="57B72A76"/>
    <w:rsid w:val="57C11800"/>
    <w:rsid w:val="57EB1CC9"/>
    <w:rsid w:val="582A002E"/>
    <w:rsid w:val="589D1F31"/>
    <w:rsid w:val="58C6704C"/>
    <w:rsid w:val="58F2582A"/>
    <w:rsid w:val="592866D1"/>
    <w:rsid w:val="593C3F2A"/>
    <w:rsid w:val="596310BC"/>
    <w:rsid w:val="598633F7"/>
    <w:rsid w:val="5A1218E8"/>
    <w:rsid w:val="5A3C747D"/>
    <w:rsid w:val="5ABE2233"/>
    <w:rsid w:val="5B276D18"/>
    <w:rsid w:val="5BDF5D95"/>
    <w:rsid w:val="5C3D593D"/>
    <w:rsid w:val="5C5B500F"/>
    <w:rsid w:val="5C8B6098"/>
    <w:rsid w:val="5CEE3073"/>
    <w:rsid w:val="5D44019E"/>
    <w:rsid w:val="5D7C49E0"/>
    <w:rsid w:val="5DA14CA4"/>
    <w:rsid w:val="5DF87A0F"/>
    <w:rsid w:val="5E0F25CC"/>
    <w:rsid w:val="5E216198"/>
    <w:rsid w:val="5E3350B3"/>
    <w:rsid w:val="5E3A037B"/>
    <w:rsid w:val="5E4474C3"/>
    <w:rsid w:val="5E8425FB"/>
    <w:rsid w:val="5EA2305F"/>
    <w:rsid w:val="5ECB022A"/>
    <w:rsid w:val="5ED32BFC"/>
    <w:rsid w:val="5F1348E6"/>
    <w:rsid w:val="5F1A2B43"/>
    <w:rsid w:val="5F1C7B6F"/>
    <w:rsid w:val="5F1F1FFD"/>
    <w:rsid w:val="5F5F2368"/>
    <w:rsid w:val="5F8B41E9"/>
    <w:rsid w:val="5FAA48F9"/>
    <w:rsid w:val="5FB837BB"/>
    <w:rsid w:val="60090D1C"/>
    <w:rsid w:val="60363A23"/>
    <w:rsid w:val="60A05AA7"/>
    <w:rsid w:val="60BB7380"/>
    <w:rsid w:val="60D21D4C"/>
    <w:rsid w:val="60E56D04"/>
    <w:rsid w:val="614277F1"/>
    <w:rsid w:val="614A2DAF"/>
    <w:rsid w:val="61510052"/>
    <w:rsid w:val="61CC168C"/>
    <w:rsid w:val="62364782"/>
    <w:rsid w:val="624F1A89"/>
    <w:rsid w:val="625E17A8"/>
    <w:rsid w:val="62A82E63"/>
    <w:rsid w:val="62F17AC5"/>
    <w:rsid w:val="631A699A"/>
    <w:rsid w:val="632C2928"/>
    <w:rsid w:val="63416D0D"/>
    <w:rsid w:val="63452778"/>
    <w:rsid w:val="63511BAA"/>
    <w:rsid w:val="63D40BE9"/>
    <w:rsid w:val="63E0211F"/>
    <w:rsid w:val="647C3D75"/>
    <w:rsid w:val="64BA4DDB"/>
    <w:rsid w:val="6528750D"/>
    <w:rsid w:val="65373578"/>
    <w:rsid w:val="65472610"/>
    <w:rsid w:val="65684390"/>
    <w:rsid w:val="656D0202"/>
    <w:rsid w:val="659E0EA9"/>
    <w:rsid w:val="65AC0E0D"/>
    <w:rsid w:val="65B417B3"/>
    <w:rsid w:val="65D16904"/>
    <w:rsid w:val="65EF4D76"/>
    <w:rsid w:val="65F22540"/>
    <w:rsid w:val="65FF701E"/>
    <w:rsid w:val="66A15D14"/>
    <w:rsid w:val="66F57901"/>
    <w:rsid w:val="66FF0C92"/>
    <w:rsid w:val="673F2C7A"/>
    <w:rsid w:val="680F0EAF"/>
    <w:rsid w:val="681F6961"/>
    <w:rsid w:val="68610A2F"/>
    <w:rsid w:val="68805514"/>
    <w:rsid w:val="68F636A6"/>
    <w:rsid w:val="69384630"/>
    <w:rsid w:val="694E2071"/>
    <w:rsid w:val="697A3B33"/>
    <w:rsid w:val="699E2456"/>
    <w:rsid w:val="6A084C4C"/>
    <w:rsid w:val="6A2A366A"/>
    <w:rsid w:val="6B322639"/>
    <w:rsid w:val="6BB81B36"/>
    <w:rsid w:val="6BBD103B"/>
    <w:rsid w:val="6C311952"/>
    <w:rsid w:val="6C3513D9"/>
    <w:rsid w:val="6C3D38D3"/>
    <w:rsid w:val="6C4773A8"/>
    <w:rsid w:val="6C636C38"/>
    <w:rsid w:val="6C690B1D"/>
    <w:rsid w:val="6C965A57"/>
    <w:rsid w:val="6CEA1EDF"/>
    <w:rsid w:val="6DB34098"/>
    <w:rsid w:val="6DB545B6"/>
    <w:rsid w:val="6E0526F3"/>
    <w:rsid w:val="6E4375A0"/>
    <w:rsid w:val="6E514CED"/>
    <w:rsid w:val="6E5F6BF1"/>
    <w:rsid w:val="6E682806"/>
    <w:rsid w:val="6E79491A"/>
    <w:rsid w:val="6E91020B"/>
    <w:rsid w:val="6EA91D59"/>
    <w:rsid w:val="6EB563D5"/>
    <w:rsid w:val="6EB672F4"/>
    <w:rsid w:val="6EF0422A"/>
    <w:rsid w:val="6EF5472A"/>
    <w:rsid w:val="6F0B6CBF"/>
    <w:rsid w:val="6F0C5714"/>
    <w:rsid w:val="6F225983"/>
    <w:rsid w:val="6FA97C2E"/>
    <w:rsid w:val="6FE32EFA"/>
    <w:rsid w:val="6FFC5590"/>
    <w:rsid w:val="70025902"/>
    <w:rsid w:val="700747B7"/>
    <w:rsid w:val="70301DA3"/>
    <w:rsid w:val="706D1DD0"/>
    <w:rsid w:val="70744A3C"/>
    <w:rsid w:val="70856B87"/>
    <w:rsid w:val="70D527EE"/>
    <w:rsid w:val="715B5300"/>
    <w:rsid w:val="715D4576"/>
    <w:rsid w:val="715F4BD7"/>
    <w:rsid w:val="719179C8"/>
    <w:rsid w:val="719D4B6E"/>
    <w:rsid w:val="71A87461"/>
    <w:rsid w:val="71D27F8A"/>
    <w:rsid w:val="71F744C6"/>
    <w:rsid w:val="71F960CF"/>
    <w:rsid w:val="721F4A1F"/>
    <w:rsid w:val="722059B2"/>
    <w:rsid w:val="72A43507"/>
    <w:rsid w:val="72A63683"/>
    <w:rsid w:val="72D925DC"/>
    <w:rsid w:val="72F67983"/>
    <w:rsid w:val="731F5D5E"/>
    <w:rsid w:val="737A42C0"/>
    <w:rsid w:val="73DC65DE"/>
    <w:rsid w:val="741E793C"/>
    <w:rsid w:val="74784559"/>
    <w:rsid w:val="74FD05BA"/>
    <w:rsid w:val="755A6385"/>
    <w:rsid w:val="758D75E2"/>
    <w:rsid w:val="759E3B4B"/>
    <w:rsid w:val="75E8126A"/>
    <w:rsid w:val="768714AA"/>
    <w:rsid w:val="76C15F43"/>
    <w:rsid w:val="76D37A56"/>
    <w:rsid w:val="77762421"/>
    <w:rsid w:val="77BA23AA"/>
    <w:rsid w:val="780F09F4"/>
    <w:rsid w:val="789C4F47"/>
    <w:rsid w:val="78A90480"/>
    <w:rsid w:val="78C14E71"/>
    <w:rsid w:val="78C87DFA"/>
    <w:rsid w:val="79756391"/>
    <w:rsid w:val="79811327"/>
    <w:rsid w:val="7A364017"/>
    <w:rsid w:val="7A3D19E3"/>
    <w:rsid w:val="7A4951C4"/>
    <w:rsid w:val="7A6D5D7A"/>
    <w:rsid w:val="7A8265E1"/>
    <w:rsid w:val="7AA307C1"/>
    <w:rsid w:val="7AB637BA"/>
    <w:rsid w:val="7AC3028B"/>
    <w:rsid w:val="7AFB1658"/>
    <w:rsid w:val="7B686D42"/>
    <w:rsid w:val="7B841746"/>
    <w:rsid w:val="7C260EA4"/>
    <w:rsid w:val="7C585D24"/>
    <w:rsid w:val="7C5F1B5A"/>
    <w:rsid w:val="7C9F401F"/>
    <w:rsid w:val="7D0239FF"/>
    <w:rsid w:val="7D5E40CD"/>
    <w:rsid w:val="7D6664EC"/>
    <w:rsid w:val="7D693BED"/>
    <w:rsid w:val="7DCC7CC2"/>
    <w:rsid w:val="7DE61ECB"/>
    <w:rsid w:val="7E0935CE"/>
    <w:rsid w:val="7EEE70BC"/>
    <w:rsid w:val="7F022716"/>
    <w:rsid w:val="7F2826D7"/>
    <w:rsid w:val="7F4D1990"/>
    <w:rsid w:val="7F524C77"/>
    <w:rsid w:val="7F697CF8"/>
    <w:rsid w:val="7F7F0A5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unhideWhenUsed="0" w:uiPriority="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4"/>
      <w:lang w:val="en-US" w:eastAsia="zh-CN" w:bidi="ar-SA"/>
    </w:rPr>
  </w:style>
  <w:style w:type="paragraph" w:styleId="6">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qFormat/>
    <w:locked/>
    <w:uiPriority w:val="0"/>
    <w:pPr>
      <w:keepNext/>
      <w:keepLines/>
      <w:spacing w:line="360" w:lineRule="auto"/>
      <w:outlineLvl w:val="1"/>
    </w:pPr>
    <w:rPr>
      <w:rFonts w:ascii="Times New Roman" w:hAnsi="Times New Roman"/>
      <w:b/>
      <w:bCs/>
      <w:sz w:val="30"/>
      <w:szCs w:val="32"/>
    </w:rPr>
  </w:style>
  <w:style w:type="paragraph" w:styleId="8">
    <w:name w:val="heading 3"/>
    <w:basedOn w:val="1"/>
    <w:next w:val="1"/>
    <w:link w:val="67"/>
    <w:qFormat/>
    <w:locked/>
    <w:uiPriority w:val="0"/>
    <w:pPr>
      <w:keepNext/>
      <w:keepLines/>
      <w:spacing w:line="360" w:lineRule="auto"/>
      <w:outlineLvl w:val="2"/>
    </w:pPr>
    <w:rPr>
      <w:b/>
      <w:sz w:val="28"/>
    </w:rPr>
  </w:style>
  <w:style w:type="character" w:default="1" w:styleId="23">
    <w:name w:val="Default Paragraph Font"/>
    <w:semiHidden/>
    <w:unhideWhenUsed/>
    <w:uiPriority w:val="1"/>
  </w:style>
  <w:style w:type="table" w:default="1" w:styleId="27">
    <w:name w:val="Normal Table"/>
    <w:semiHidden/>
    <w:unhideWhenUsed/>
    <w:uiPriority w:val="99"/>
    <w:tblPr>
      <w:tblLayout w:type="fixed"/>
      <w:tblCellMar>
        <w:top w:w="0" w:type="dxa"/>
        <w:left w:w="108" w:type="dxa"/>
        <w:bottom w:w="0" w:type="dxa"/>
        <w:right w:w="108" w:type="dxa"/>
      </w:tblCellMar>
    </w:tblPr>
  </w:style>
  <w:style w:type="paragraph" w:styleId="2">
    <w:name w:val="Body Text First Indent 2"/>
    <w:basedOn w:val="3"/>
    <w:next w:val="4"/>
    <w:uiPriority w:val="0"/>
    <w:pPr>
      <w:ind w:firstLine="420" w:firstLineChars="200"/>
    </w:pPr>
  </w:style>
  <w:style w:type="paragraph" w:styleId="3">
    <w:name w:val="Body Text Indent"/>
    <w:basedOn w:val="1"/>
    <w:next w:val="2"/>
    <w:link w:val="29"/>
    <w:semiHidden/>
    <w:qFormat/>
    <w:uiPriority w:val="0"/>
    <w:pPr>
      <w:spacing w:after="120"/>
      <w:ind w:left="420" w:leftChars="200"/>
    </w:pPr>
  </w:style>
  <w:style w:type="paragraph" w:styleId="4">
    <w:name w:val="Body Text First Indent"/>
    <w:basedOn w:val="5"/>
    <w:next w:val="1"/>
    <w:qFormat/>
    <w:uiPriority w:val="0"/>
    <w:pPr>
      <w:ind w:firstLine="420" w:firstLineChars="100"/>
    </w:pPr>
  </w:style>
  <w:style w:type="paragraph" w:styleId="5">
    <w:name w:val="Body Text"/>
    <w:basedOn w:val="1"/>
    <w:next w:val="4"/>
    <w:link w:val="30"/>
    <w:uiPriority w:val="0"/>
    <w:pPr>
      <w:widowControl/>
      <w:snapToGrid w:val="0"/>
      <w:spacing w:before="60" w:after="160" w:line="259" w:lineRule="auto"/>
      <w:ind w:right="113"/>
    </w:pPr>
    <w:rPr>
      <w:kern w:val="0"/>
      <w:sz w:val="18"/>
      <w:szCs w:val="18"/>
    </w:rPr>
  </w:style>
  <w:style w:type="paragraph" w:styleId="9">
    <w:name w:val="annotation subject"/>
    <w:basedOn w:val="10"/>
    <w:next w:val="10"/>
    <w:link w:val="37"/>
    <w:semiHidden/>
    <w:uiPriority w:val="0"/>
    <w:rPr>
      <w:b/>
      <w:bCs/>
    </w:rPr>
  </w:style>
  <w:style w:type="paragraph" w:styleId="10">
    <w:name w:val="annotation text"/>
    <w:basedOn w:val="1"/>
    <w:link w:val="31"/>
    <w:semiHidden/>
    <w:uiPriority w:val="0"/>
    <w:pPr>
      <w:jc w:val="left"/>
    </w:pPr>
    <w:rPr>
      <w:kern w:val="0"/>
      <w:sz w:val="20"/>
    </w:rPr>
  </w:style>
  <w:style w:type="paragraph" w:styleId="11">
    <w:name w:val="Normal Indent"/>
    <w:basedOn w:val="1"/>
    <w:next w:val="2"/>
    <w:qFormat/>
    <w:uiPriority w:val="0"/>
    <w:pPr>
      <w:ind w:firstLine="420"/>
    </w:pPr>
    <w:rPr>
      <w:szCs w:val="20"/>
    </w:rPr>
  </w:style>
  <w:style w:type="paragraph" w:styleId="12">
    <w:name w:val="Plain Text"/>
    <w:basedOn w:val="1"/>
    <w:next w:val="13"/>
    <w:link w:val="66"/>
    <w:qFormat/>
    <w:uiPriority w:val="0"/>
    <w:rPr>
      <w:rFonts w:ascii="宋体" w:hAnsi="Courier New"/>
    </w:rPr>
  </w:style>
  <w:style w:type="paragraph" w:styleId="13">
    <w:name w:val="toc 1"/>
    <w:basedOn w:val="1"/>
    <w:next w:val="1"/>
    <w:qFormat/>
    <w:locked/>
    <w:uiPriority w:val="0"/>
    <w:pPr>
      <w:tabs>
        <w:tab w:val="right" w:leader="dot" w:pos="9060"/>
      </w:tabs>
      <w:adjustRightInd w:val="0"/>
      <w:snapToGrid w:val="0"/>
      <w:ind w:firstLine="42"/>
      <w:jc w:val="center"/>
    </w:pPr>
    <w:rPr>
      <w:rFonts w:ascii="宋体" w:hAnsi="宋体"/>
    </w:rPr>
  </w:style>
  <w:style w:type="paragraph" w:styleId="14">
    <w:name w:val="Date"/>
    <w:basedOn w:val="1"/>
    <w:next w:val="1"/>
    <w:link w:val="32"/>
    <w:uiPriority w:val="0"/>
    <w:pPr>
      <w:ind w:left="100" w:leftChars="2500"/>
    </w:pPr>
    <w:rPr>
      <w:kern w:val="0"/>
      <w:sz w:val="20"/>
    </w:rPr>
  </w:style>
  <w:style w:type="paragraph" w:styleId="15">
    <w:name w:val="Balloon Text"/>
    <w:basedOn w:val="1"/>
    <w:link w:val="33"/>
    <w:semiHidden/>
    <w:qFormat/>
    <w:uiPriority w:val="0"/>
    <w:rPr>
      <w:sz w:val="18"/>
      <w:szCs w:val="18"/>
    </w:rPr>
  </w:style>
  <w:style w:type="paragraph" w:styleId="16">
    <w:name w:val="footer"/>
    <w:basedOn w:val="1"/>
    <w:link w:val="34"/>
    <w:qFormat/>
    <w:uiPriority w:val="0"/>
    <w:pPr>
      <w:tabs>
        <w:tab w:val="center" w:pos="4153"/>
        <w:tab w:val="right" w:pos="8306"/>
      </w:tabs>
      <w:snapToGrid w:val="0"/>
      <w:jc w:val="left"/>
    </w:pPr>
    <w:rPr>
      <w:sz w:val="18"/>
      <w:szCs w:val="18"/>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index heading"/>
    <w:basedOn w:val="1"/>
    <w:next w:val="19"/>
    <w:unhideWhenUsed/>
    <w:qFormat/>
    <w:uiPriority w:val="99"/>
    <w:rPr>
      <w:rFonts w:ascii="Cambria" w:hAnsi="Cambria"/>
      <w:b/>
      <w:bCs/>
    </w:rPr>
  </w:style>
  <w:style w:type="paragraph" w:styleId="19">
    <w:name w:val="index 1"/>
    <w:basedOn w:val="1"/>
    <w:next w:val="1"/>
    <w:qFormat/>
    <w:uiPriority w:val="0"/>
    <w:pPr>
      <w:spacing w:line="360" w:lineRule="auto"/>
      <w:jc w:val="center"/>
    </w:pPr>
  </w:style>
  <w:style w:type="paragraph" w:styleId="20">
    <w:name w:val="List"/>
    <w:basedOn w:val="1"/>
    <w:uiPriority w:val="0"/>
    <w:pPr>
      <w:ind w:left="200" w:hanging="200" w:hangingChars="200"/>
      <w:contextualSpacing/>
    </w:pPr>
  </w:style>
  <w:style w:type="paragraph" w:styleId="21">
    <w:name w:val="Body Text 2"/>
    <w:basedOn w:val="1"/>
    <w:qFormat/>
    <w:uiPriority w:val="0"/>
    <w:pPr>
      <w:spacing w:line="420" w:lineRule="auto"/>
    </w:pPr>
    <w:rPr>
      <w:rFonts w:ascii="Times New Roman" w:hAnsi="Times New Roman" w:cs="Times New Roman"/>
      <w:sz w:val="28"/>
    </w:rPr>
  </w:style>
  <w:style w:type="paragraph" w:styleId="22">
    <w:name w:val="Normal (Web)"/>
    <w:basedOn w:val="1"/>
    <w:link w:val="36"/>
    <w:qFormat/>
    <w:uiPriority w:val="0"/>
    <w:pPr>
      <w:widowControl/>
      <w:spacing w:before="100" w:beforeAutospacing="1" w:after="100" w:afterAutospacing="1"/>
      <w:jc w:val="left"/>
    </w:pPr>
    <w:rPr>
      <w:rFonts w:ascii="宋体" w:hAnsi="宋体"/>
      <w:kern w:val="0"/>
      <w:sz w:val="24"/>
    </w:rPr>
  </w:style>
  <w:style w:type="character" w:styleId="24">
    <w:name w:val="page number"/>
    <w:uiPriority w:val="0"/>
  </w:style>
  <w:style w:type="character" w:styleId="25">
    <w:name w:val="Hyperlink"/>
    <w:basedOn w:val="23"/>
    <w:uiPriority w:val="0"/>
    <w:rPr>
      <w:color w:val="0563C1" w:themeColor="hyperlink"/>
      <w:u w:val="single"/>
      <w14:textFill>
        <w14:solidFill>
          <w14:schemeClr w14:val="hlink"/>
        </w14:solidFill>
      </w14:textFill>
    </w:rPr>
  </w:style>
  <w:style w:type="character" w:styleId="26">
    <w:name w:val="annotation reference"/>
    <w:semiHidden/>
    <w:uiPriority w:val="0"/>
    <w:rPr>
      <w:sz w:val="21"/>
    </w:rPr>
  </w:style>
  <w:style w:type="table" w:styleId="28">
    <w:name w:val="Table Grid"/>
    <w:basedOn w:val="2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
    <w:name w:val="正文文本缩进 Char"/>
    <w:link w:val="3"/>
    <w:semiHidden/>
    <w:locked/>
    <w:uiPriority w:val="0"/>
    <w:rPr>
      <w:rFonts w:ascii="Times New Roman" w:hAnsi="Times New Roman" w:eastAsia="宋体" w:cs="Times New Roman"/>
      <w:sz w:val="24"/>
      <w:szCs w:val="24"/>
    </w:rPr>
  </w:style>
  <w:style w:type="character" w:customStyle="1" w:styleId="30">
    <w:name w:val="正文文本 Char"/>
    <w:link w:val="5"/>
    <w:locked/>
    <w:uiPriority w:val="0"/>
    <w:rPr>
      <w:sz w:val="18"/>
    </w:rPr>
  </w:style>
  <w:style w:type="character" w:customStyle="1" w:styleId="31">
    <w:name w:val="批注文字 Char"/>
    <w:link w:val="10"/>
    <w:locked/>
    <w:uiPriority w:val="0"/>
    <w:rPr>
      <w:rFonts w:ascii="Times New Roman" w:hAnsi="Times New Roman" w:eastAsia="宋体"/>
      <w:sz w:val="24"/>
    </w:rPr>
  </w:style>
  <w:style w:type="character" w:customStyle="1" w:styleId="32">
    <w:name w:val="日期 Char"/>
    <w:link w:val="14"/>
    <w:locked/>
    <w:uiPriority w:val="0"/>
    <w:rPr>
      <w:rFonts w:ascii="Times New Roman" w:hAnsi="Times New Roman" w:eastAsia="宋体"/>
      <w:sz w:val="24"/>
    </w:rPr>
  </w:style>
  <w:style w:type="character" w:customStyle="1" w:styleId="33">
    <w:name w:val="批注框文本 Char"/>
    <w:link w:val="15"/>
    <w:semiHidden/>
    <w:qFormat/>
    <w:locked/>
    <w:uiPriority w:val="0"/>
    <w:rPr>
      <w:rFonts w:ascii="Times New Roman" w:hAnsi="Times New Roman" w:eastAsia="宋体" w:cs="Times New Roman"/>
      <w:sz w:val="18"/>
      <w:szCs w:val="18"/>
    </w:rPr>
  </w:style>
  <w:style w:type="character" w:customStyle="1" w:styleId="34">
    <w:name w:val="页脚 Char"/>
    <w:link w:val="16"/>
    <w:qFormat/>
    <w:locked/>
    <w:uiPriority w:val="0"/>
    <w:rPr>
      <w:rFonts w:cs="Times New Roman"/>
      <w:sz w:val="18"/>
      <w:szCs w:val="18"/>
    </w:rPr>
  </w:style>
  <w:style w:type="character" w:customStyle="1" w:styleId="35">
    <w:name w:val="页眉 Char"/>
    <w:link w:val="17"/>
    <w:locked/>
    <w:uiPriority w:val="0"/>
    <w:rPr>
      <w:rFonts w:cs="Times New Roman"/>
      <w:sz w:val="18"/>
      <w:szCs w:val="18"/>
    </w:rPr>
  </w:style>
  <w:style w:type="character" w:customStyle="1" w:styleId="36">
    <w:name w:val="普通(网站) Char1"/>
    <w:link w:val="22"/>
    <w:locked/>
    <w:uiPriority w:val="0"/>
    <w:rPr>
      <w:rFonts w:ascii="宋体" w:hAnsi="宋体" w:eastAsia="宋体"/>
      <w:sz w:val="24"/>
    </w:rPr>
  </w:style>
  <w:style w:type="character" w:customStyle="1" w:styleId="37">
    <w:name w:val="批注主题 Char"/>
    <w:link w:val="9"/>
    <w:semiHidden/>
    <w:locked/>
    <w:uiPriority w:val="0"/>
    <w:rPr>
      <w:rFonts w:cs="Times New Roman"/>
      <w:b/>
      <w:bCs/>
      <w:kern w:val="2"/>
      <w:szCs w:val="24"/>
    </w:rPr>
  </w:style>
  <w:style w:type="paragraph" w:customStyle="1" w:styleId="38">
    <w:name w:val="Char"/>
    <w:basedOn w:val="1"/>
    <w:qFormat/>
    <w:uiPriority w:val="0"/>
    <w:pPr>
      <w:widowControl/>
      <w:snapToGrid w:val="0"/>
      <w:spacing w:line="360" w:lineRule="auto"/>
      <w:ind w:firstLine="200" w:firstLineChars="200"/>
    </w:pPr>
    <w:rPr>
      <w:rFonts w:eastAsia="仿宋_GB2312" w:cs="宋体"/>
    </w:rPr>
  </w:style>
  <w:style w:type="paragraph" w:customStyle="1" w:styleId="39">
    <w:name w:val="Date1"/>
    <w:basedOn w:val="1"/>
    <w:next w:val="1"/>
    <w:qFormat/>
    <w:uiPriority w:val="0"/>
    <w:pPr>
      <w:adjustRightInd w:val="0"/>
      <w:jc w:val="left"/>
      <w:textAlignment w:val="baseline"/>
    </w:pPr>
    <w:rPr>
      <w:rFonts w:ascii="宋体" w:hAnsi="宋体"/>
      <w:sz w:val="28"/>
      <w:szCs w:val="20"/>
    </w:rPr>
  </w:style>
  <w:style w:type="character" w:customStyle="1" w:styleId="40">
    <w:name w:val="日期 字符"/>
    <w:semiHidden/>
    <w:uiPriority w:val="0"/>
    <w:rPr>
      <w:rFonts w:ascii="Times New Roman" w:hAnsi="Times New Roman" w:eastAsia="宋体" w:cs="Times New Roman"/>
      <w:sz w:val="24"/>
      <w:szCs w:val="24"/>
    </w:rPr>
  </w:style>
  <w:style w:type="character" w:customStyle="1" w:styleId="41">
    <w:name w:val="正文文本 字符1"/>
    <w:semiHidden/>
    <w:uiPriority w:val="0"/>
    <w:rPr>
      <w:rFonts w:ascii="Times New Roman" w:hAnsi="Times New Roman" w:eastAsia="宋体" w:cs="Times New Roman"/>
      <w:sz w:val="24"/>
      <w:szCs w:val="24"/>
    </w:rPr>
  </w:style>
  <w:style w:type="paragraph" w:customStyle="1" w:styleId="42">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43">
    <w:name w:val="表格 Char"/>
    <w:link w:val="44"/>
    <w:locked/>
    <w:uiPriority w:val="0"/>
    <w:rPr>
      <w:rFonts w:ascii="宋体"/>
      <w:sz w:val="21"/>
    </w:rPr>
  </w:style>
  <w:style w:type="paragraph" w:customStyle="1" w:styleId="44">
    <w:name w:val="表格"/>
    <w:basedOn w:val="1"/>
    <w:next w:val="1"/>
    <w:link w:val="43"/>
    <w:uiPriority w:val="0"/>
    <w:pPr>
      <w:adjustRightInd w:val="0"/>
      <w:snapToGrid w:val="0"/>
      <w:spacing w:beforeLines="10" w:afterLines="10" w:line="259" w:lineRule="auto"/>
      <w:jc w:val="center"/>
    </w:pPr>
    <w:rPr>
      <w:rFonts w:ascii="宋体"/>
      <w:kern w:val="0"/>
      <w:sz w:val="20"/>
      <w:szCs w:val="21"/>
    </w:rPr>
  </w:style>
  <w:style w:type="character" w:customStyle="1" w:styleId="45">
    <w:name w:val="批注文字 字符1"/>
    <w:semiHidden/>
    <w:uiPriority w:val="0"/>
    <w:rPr>
      <w:rFonts w:ascii="Times New Roman" w:hAnsi="Times New Roman" w:eastAsia="宋体" w:cs="Times New Roman"/>
      <w:sz w:val="24"/>
      <w:szCs w:val="24"/>
    </w:rPr>
  </w:style>
  <w:style w:type="character" w:customStyle="1" w:styleId="46">
    <w:name w:val="普通(网站) Char"/>
    <w:locked/>
    <w:uiPriority w:val="0"/>
    <w:rPr>
      <w:rFonts w:ascii="宋体" w:hAnsi="宋体" w:eastAsia="宋体"/>
      <w:sz w:val="24"/>
    </w:rPr>
  </w:style>
  <w:style w:type="paragraph" w:customStyle="1" w:styleId="47">
    <w:name w:val="正文（首行缩进两字）"/>
    <w:basedOn w:val="1"/>
    <w:qFormat/>
    <w:uiPriority w:val="0"/>
    <w:pPr>
      <w:ind w:firstLine="420" w:firstLineChars="200"/>
    </w:pPr>
    <w:rPr>
      <w:szCs w:val="21"/>
    </w:rPr>
  </w:style>
  <w:style w:type="paragraph" w:customStyle="1" w:styleId="48">
    <w:name w:val="x正文"/>
    <w:basedOn w:val="1"/>
    <w:qFormat/>
    <w:uiPriority w:val="0"/>
    <w:pPr>
      <w:autoSpaceDE w:val="0"/>
      <w:autoSpaceDN w:val="0"/>
      <w:adjustRightInd w:val="0"/>
      <w:spacing w:line="500" w:lineRule="exact"/>
      <w:ind w:firstLine="200" w:firstLineChars="200"/>
    </w:pPr>
    <w:rPr>
      <w:rFonts w:ascii="Times New Roman" w:hAnsi="Times New Roman" w:eastAsia="仿宋_GB2312" w:cs="Times New Roman"/>
      <w:kern w:val="0"/>
      <w:sz w:val="24"/>
    </w:rPr>
  </w:style>
  <w:style w:type="paragraph" w:customStyle="1" w:styleId="49">
    <w:name w:val="文章正文"/>
    <w:basedOn w:val="1"/>
    <w:qFormat/>
    <w:uiPriority w:val="0"/>
    <w:pPr>
      <w:widowControl/>
      <w:adjustRightInd w:val="0"/>
      <w:snapToGrid w:val="0"/>
      <w:spacing w:before="30" w:beforeLines="30" w:line="360" w:lineRule="auto"/>
      <w:ind w:firstLine="200" w:firstLineChars="200"/>
    </w:pPr>
    <w:rPr>
      <w:rFonts w:eastAsia="Times New Roman"/>
      <w:kern w:val="0"/>
      <w:sz w:val="28"/>
    </w:rPr>
  </w:style>
  <w:style w:type="paragraph" w:customStyle="1" w:styleId="50">
    <w:name w:val="正文（缩进）"/>
    <w:basedOn w:val="51"/>
    <w:next w:val="1"/>
    <w:qFormat/>
    <w:uiPriority w:val="99"/>
    <w:pPr>
      <w:spacing w:line="360" w:lineRule="auto"/>
      <w:ind w:firstLine="480"/>
    </w:pPr>
  </w:style>
  <w:style w:type="paragraph" w:customStyle="1" w:styleId="51">
    <w:name w:val="正文(首行缩进)"/>
    <w:basedOn w:val="1"/>
    <w:semiHidden/>
    <w:qFormat/>
    <w:uiPriority w:val="0"/>
    <w:pPr>
      <w:ind w:firstLine="453" w:firstLineChars="200"/>
    </w:pPr>
    <w:rPr>
      <w:kern w:val="24"/>
      <w:sz w:val="24"/>
    </w:rPr>
  </w:style>
  <w:style w:type="paragraph" w:customStyle="1" w:styleId="52">
    <w:name w:val="表头002"/>
    <w:basedOn w:val="53"/>
    <w:qFormat/>
    <w:uiPriority w:val="0"/>
  </w:style>
  <w:style w:type="paragraph" w:customStyle="1" w:styleId="53">
    <w:name w:val="110"/>
    <w:next w:val="1"/>
    <w:qFormat/>
    <w:uiPriority w:val="0"/>
    <w:pPr>
      <w:widowControl w:val="0"/>
      <w:jc w:val="center"/>
    </w:pPr>
    <w:rPr>
      <w:rFonts w:ascii="Calibri" w:hAnsi="Calibri" w:eastAsia="宋体" w:cs="Calibri"/>
      <w:b/>
      <w:kern w:val="2"/>
      <w:sz w:val="24"/>
      <w:szCs w:val="24"/>
      <w:lang w:val="en-US" w:eastAsia="zh-CN" w:bidi="ar-SA"/>
    </w:rPr>
  </w:style>
  <w:style w:type="paragraph" w:customStyle="1" w:styleId="54">
    <w:name w:val="Default"/>
    <w:basedOn w:val="55"/>
    <w:next w:val="18"/>
    <w:qFormat/>
    <w:uiPriority w:val="0"/>
    <w:pPr>
      <w:autoSpaceDE w:val="0"/>
      <w:autoSpaceDN w:val="0"/>
      <w:adjustRightInd w:val="0"/>
      <w:jc w:val="left"/>
    </w:pPr>
    <w:rPr>
      <w:rFonts w:hAnsi="宋体" w:cs="宋体"/>
      <w:color w:val="000000"/>
      <w:kern w:val="0"/>
      <w:sz w:val="24"/>
    </w:rPr>
  </w:style>
  <w:style w:type="paragraph" w:customStyle="1" w:styleId="55">
    <w:name w:val="纯文本1"/>
    <w:basedOn w:val="1"/>
    <w:qFormat/>
    <w:uiPriority w:val="0"/>
    <w:rPr>
      <w:rFonts w:hint="eastAsia" w:ascii="宋体" w:hAnsi="Courier New"/>
      <w:szCs w:val="22"/>
    </w:rPr>
  </w:style>
  <w:style w:type="paragraph" w:customStyle="1" w:styleId="56">
    <w:name w:val="小四正文"/>
    <w:basedOn w:val="1"/>
    <w:qFormat/>
    <w:uiPriority w:val="0"/>
    <w:pPr>
      <w:spacing w:line="500" w:lineRule="exact"/>
      <w:ind w:firstLine="200" w:firstLineChars="200"/>
    </w:pPr>
    <w:rPr>
      <w:rFonts w:eastAsia="仿宋"/>
      <w:kern w:val="24"/>
      <w:position w:val="6"/>
      <w:sz w:val="24"/>
    </w:rPr>
  </w:style>
  <w:style w:type="paragraph" w:customStyle="1" w:styleId="57">
    <w:name w:val="Table Paragraph"/>
    <w:basedOn w:val="1"/>
    <w:qFormat/>
    <w:uiPriority w:val="1"/>
    <w:rPr>
      <w:rFonts w:ascii="宋体" w:hAnsi="宋体" w:cs="宋体"/>
    </w:rPr>
  </w:style>
  <w:style w:type="paragraph" w:customStyle="1" w:styleId="58">
    <w:name w:val="修订1"/>
    <w:hidden/>
    <w:unhideWhenUsed/>
    <w:uiPriority w:val="99"/>
    <w:rPr>
      <w:rFonts w:ascii="Calibri" w:hAnsi="Calibri" w:eastAsia="宋体" w:cs="Calibri"/>
      <w:kern w:val="2"/>
      <w:sz w:val="21"/>
      <w:szCs w:val="24"/>
      <w:lang w:val="en-US" w:eastAsia="zh-CN" w:bidi="ar-SA"/>
    </w:rPr>
  </w:style>
  <w:style w:type="paragraph" w:customStyle="1" w:styleId="59">
    <w:name w:val="11正文"/>
    <w:basedOn w:val="1"/>
    <w:qFormat/>
    <w:uiPriority w:val="0"/>
    <w:pPr>
      <w:spacing w:line="360" w:lineRule="auto"/>
      <w:ind w:firstLine="200" w:firstLineChars="200"/>
    </w:pPr>
    <w:rPr>
      <w:rFonts w:ascii="Times New Roman" w:hAnsi="Times New Roman" w:cs="Times New Roman"/>
      <w:sz w:val="24"/>
    </w:rPr>
  </w:style>
  <w:style w:type="paragraph" w:customStyle="1" w:styleId="60">
    <w:name w:val="表 正文"/>
    <w:basedOn w:val="1"/>
    <w:qFormat/>
    <w:uiPriority w:val="0"/>
    <w:pPr>
      <w:snapToGrid w:val="0"/>
      <w:spacing w:line="360" w:lineRule="auto"/>
      <w:ind w:firstLine="200"/>
    </w:pPr>
    <w:rPr>
      <w:rFonts w:ascii="Times New Roman" w:hAnsi="Times New Roman" w:eastAsia="仿宋_GB2312" w:cs="Times New Roman"/>
      <w:kern w:val="44"/>
      <w:sz w:val="28"/>
    </w:rPr>
  </w:style>
  <w:style w:type="paragraph" w:customStyle="1" w:styleId="61">
    <w:name w:val="default"/>
    <w:basedOn w:val="1"/>
    <w:qFormat/>
    <w:uiPriority w:val="0"/>
    <w:pPr>
      <w:widowControl/>
      <w:spacing w:before="100" w:beforeAutospacing="1" w:after="100" w:afterAutospacing="1" w:line="408" w:lineRule="auto"/>
      <w:jc w:val="left"/>
    </w:pPr>
    <w:rPr>
      <w:rFonts w:ascii="宋体" w:hAnsi="宋体" w:cs="宋体"/>
      <w:kern w:val="0"/>
      <w:sz w:val="24"/>
    </w:rPr>
  </w:style>
  <w:style w:type="table" w:customStyle="1" w:styleId="62">
    <w:name w:val="Table Normal"/>
    <w:semiHidden/>
    <w:unhideWhenUsed/>
    <w:qFormat/>
    <w:uiPriority w:val="0"/>
    <w:rPr>
      <w:rFonts w:ascii="Arial" w:hAnsi="Arial" w:cs="Arial" w:eastAsiaTheme="minorEastAsia"/>
      <w:snapToGrid w:val="0"/>
      <w:color w:val="000000"/>
      <w:sz w:val="21"/>
      <w:szCs w:val="21"/>
    </w:rPr>
    <w:tblPr>
      <w:tblLayout w:type="fixed"/>
      <w:tblCellMar>
        <w:top w:w="0" w:type="dxa"/>
        <w:left w:w="0" w:type="dxa"/>
        <w:bottom w:w="0" w:type="dxa"/>
        <w:right w:w="0" w:type="dxa"/>
      </w:tblCellMar>
    </w:tblPr>
  </w:style>
  <w:style w:type="paragraph" w:customStyle="1" w:styleId="63">
    <w:name w:val="表头"/>
    <w:basedOn w:val="20"/>
    <w:next w:val="1"/>
    <w:qFormat/>
    <w:uiPriority w:val="0"/>
    <w:pPr>
      <w:widowControl/>
      <w:overflowPunct w:val="0"/>
      <w:autoSpaceDE w:val="0"/>
      <w:autoSpaceDN w:val="0"/>
      <w:adjustRightInd w:val="0"/>
      <w:snapToGrid w:val="0"/>
      <w:spacing w:beforeLines="25" w:line="360" w:lineRule="auto"/>
      <w:ind w:left="0" w:firstLine="0" w:firstLineChars="0"/>
      <w:contextualSpacing w:val="0"/>
      <w:jc w:val="center"/>
      <w:textAlignment w:val="baseline"/>
    </w:pPr>
    <w:rPr>
      <w:rFonts w:ascii="Times New Roman" w:hAnsi="宋体" w:eastAsia="仿宋_GB2312" w:cs="Times New Roman"/>
      <w:b/>
      <w:kern w:val="0"/>
      <w:sz w:val="28"/>
      <w:szCs w:val="20"/>
      <w:lang w:val="en-GB"/>
    </w:rPr>
  </w:style>
  <w:style w:type="paragraph" w:styleId="64">
    <w:name w:val="List Paragraph"/>
    <w:basedOn w:val="1"/>
    <w:qFormat/>
    <w:uiPriority w:val="99"/>
    <w:pPr>
      <w:ind w:firstLine="420" w:firstLineChars="200"/>
    </w:pPr>
  </w:style>
  <w:style w:type="paragraph" w:customStyle="1" w:styleId="65">
    <w:name w:val="Revision"/>
    <w:hidden/>
    <w:semiHidden/>
    <w:uiPriority w:val="99"/>
    <w:rPr>
      <w:rFonts w:ascii="Calibri" w:hAnsi="Calibri" w:eastAsia="宋体" w:cs="Calibri"/>
      <w:kern w:val="2"/>
      <w:sz w:val="21"/>
      <w:szCs w:val="24"/>
      <w:lang w:val="en-US" w:eastAsia="zh-CN" w:bidi="ar-SA"/>
    </w:rPr>
  </w:style>
  <w:style w:type="character" w:customStyle="1" w:styleId="66">
    <w:name w:val="纯文本 Char"/>
    <w:basedOn w:val="23"/>
    <w:link w:val="12"/>
    <w:uiPriority w:val="0"/>
    <w:rPr>
      <w:rFonts w:ascii="宋体" w:hAnsi="Courier New"/>
      <w:kern w:val="2"/>
      <w:sz w:val="21"/>
      <w:szCs w:val="24"/>
    </w:rPr>
  </w:style>
  <w:style w:type="character" w:customStyle="1" w:styleId="67">
    <w:name w:val="标题 3 Char"/>
    <w:basedOn w:val="23"/>
    <w:link w:val="8"/>
    <w:uiPriority w:val="0"/>
    <w:rPr>
      <w:b/>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e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22C63A-B253-4946-96B9-E5FDD8B6FD2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6599</Words>
  <Characters>37615</Characters>
  <Lines>313</Lines>
  <Paragraphs>88</Paragraphs>
  <TotalTime>2314</TotalTime>
  <ScaleCrop>false</ScaleCrop>
  <LinksUpToDate>false</LinksUpToDate>
  <CharactersWithSpaces>44126</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2022-09-09T10:35:00Z</dcterms:created>
  <dc:creator>lhj</dc:creator>
  <cp:lastModifiedBy>lenovo</cp:lastModifiedBy>
  <cp:lastPrinted>2022-09-12T04:00:00Z</cp:lastPrinted>
  <dcterms:modified xsi:type="dcterms:W3CDTF">2022-12-29T06:28:34Z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76B76F6E31C54E0BA53012B34F3EBDDD</vt:lpwstr>
  </property>
</Properties>
</file>