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hint="eastAsia" w:ascii="方正小标宋_GBK" w:hAnsi="方正小标宋_GBK" w:eastAsia="方正小标宋_GBK" w:cs="方正小标宋_GBK"/>
          <w:b w:val="0"/>
          <w:bCs/>
          <w:sz w:val="44"/>
          <w:szCs w:val="44"/>
        </w:rPr>
      </w:pPr>
      <w:bookmarkStart w:id="0" w:name="_Toc20053"/>
      <w:bookmarkStart w:id="1" w:name="_Toc29685"/>
      <w:bookmarkStart w:id="2" w:name="_Toc7224"/>
      <w:bookmarkStart w:id="3" w:name="_Toc543"/>
      <w:bookmarkStart w:id="4" w:name="_Toc25358"/>
      <w:r>
        <w:rPr>
          <w:rFonts w:hint="eastAsia" w:ascii="方正小标宋_GBK" w:hAnsi="方正小标宋_GBK" w:eastAsia="方正小标宋_GBK" w:cs="方正小标宋_GBK"/>
          <w:b w:val="0"/>
          <w:bCs/>
          <w:sz w:val="44"/>
          <w:szCs w:val="44"/>
        </w:rPr>
        <w:t>《&lt;固原市隆德县2022年土地征收成片开发</w:t>
      </w:r>
    </w:p>
    <w:p>
      <w:pPr>
        <w:ind w:left="0" w:leftChars="0" w:firstLine="0" w:firstLineChars="0"/>
        <w:jc w:val="center"/>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方案&gt;调整方案》主要内容</w:t>
      </w:r>
    </w:p>
    <w:p/>
    <w:p>
      <w:pPr>
        <w:rPr>
          <w:rFonts w:hint="eastAsia" w:ascii="方正黑体_GBK" w:hAnsi="方正黑体_GBK" w:eastAsia="方正黑体_GBK" w:cs="方正黑体_GBK"/>
        </w:rPr>
      </w:pPr>
      <w:r>
        <w:rPr>
          <w:rFonts w:hint="eastAsia" w:ascii="方正黑体_GBK" w:hAnsi="方正黑体_GBK" w:eastAsia="方正黑体_GBK" w:cs="方正黑体_GBK"/>
        </w:rPr>
        <w:t>一、方案调整概述</w:t>
      </w:r>
      <w:bookmarkEnd w:id="0"/>
    </w:p>
    <w:p>
      <w:pPr>
        <w:rPr>
          <w:rFonts w:hint="eastAsia" w:ascii="方正楷体_GBK" w:hAnsi="方正楷体_GBK" w:eastAsia="方正楷体_GBK" w:cs="方正楷体_GBK"/>
          <w:b/>
          <w:bCs w:val="0"/>
        </w:rPr>
      </w:pPr>
      <w:bookmarkStart w:id="5" w:name="_Toc21871"/>
      <w:r>
        <w:rPr>
          <w:rFonts w:hint="eastAsia" w:ascii="方正楷体_GBK" w:hAnsi="方正楷体_GBK" w:eastAsia="方正楷体_GBK" w:cs="方正楷体_GBK"/>
          <w:b/>
          <w:bCs w:val="0"/>
        </w:rPr>
        <w:t>（一）方案调整背景</w:t>
      </w:r>
      <w:bookmarkEnd w:id="5"/>
    </w:p>
    <w:p>
      <w:bookmarkStart w:id="6" w:name="_Toc9394"/>
      <w:bookmarkStart w:id="7" w:name="_Toc25538"/>
      <w:r>
        <w:rPr>
          <w:rFonts w:hint="eastAsia"/>
        </w:rPr>
        <w:t>《隆德县2022年土地征收成片开发方案》（以下简称《方案》）已于2022年9月13日取得《自治区人民政府关于隆德县2022年土地征收成片开发方案的批复》（宁政函〔2022〕53号）。自《方案》批准实施以来，因3年新冠疫情影响，经济运行压力较大，成片开发项目落地实施动力不足，同时《隆德县国土空间总体规划（2021-2035年）》已报审，城镇开发边界内用地布局优化调整完成，十四五期间，隆德县正处于经济转型升级、城乡融合发展、缩小与发达地区差距的关键时期，为了满足城镇建设和产业发展用地需求，保障“十四五”时期建设用地供给，规范土地征收成片开发行为，保护被征收人的合法权益，隆德县人民政府根据《自然资源部关于印发〈土地征收成片开发标准〉的通知》（自然资规〔2023〕7号）文件中“土地征收成片开发方案经批准后，应当严格按照方案确定的范围、时序安排组织实施。因国民经济和社会发展年度计划、国土空间规划调整或者不可抗力等因素导致无法实施的，可按规定调整土地征收成片开发方案”的要求，依据《土地征收成片开发标准（试行）》以及宁夏相关标准，结合隆德县城区和各个镇区实际发展需要，创新土地开发利用模式，促进土地资源节约、集约和高效利用，编制《〈固原市隆德县2022年土地征收成片开发方案〉调整方案》（以下简称《调整方案》），以保障建设用地供给，合理安排土地征收时序，促进土地集约节约利用。</w:t>
      </w:r>
    </w:p>
    <w:p>
      <w:pPr>
        <w:rPr>
          <w:rFonts w:hint="eastAsia" w:ascii="方正楷体_GBK" w:hAnsi="方正楷体_GBK" w:eastAsia="方正楷体_GBK" w:cs="方正楷体_GBK"/>
          <w:b/>
          <w:bCs w:val="0"/>
        </w:rPr>
      </w:pPr>
      <w:r>
        <w:rPr>
          <w:rFonts w:hint="eastAsia" w:ascii="方正楷体_GBK" w:hAnsi="方正楷体_GBK" w:eastAsia="方正楷体_GBK" w:cs="方正楷体_GBK"/>
          <w:b/>
          <w:bCs w:val="0"/>
        </w:rPr>
        <w:t>（二）方案调整</w:t>
      </w:r>
      <w:bookmarkEnd w:id="6"/>
      <w:r>
        <w:rPr>
          <w:rFonts w:hint="eastAsia" w:ascii="方正楷体_GBK" w:hAnsi="方正楷体_GBK" w:eastAsia="方正楷体_GBK" w:cs="方正楷体_GBK"/>
          <w:b/>
          <w:bCs w:val="0"/>
        </w:rPr>
        <w:t>必要性</w:t>
      </w:r>
    </w:p>
    <w:bookmarkEnd w:id="7"/>
    <w:p>
      <w:pPr>
        <w:rPr>
          <w:rFonts w:hint="eastAsia"/>
          <w:b/>
          <w:bCs w:val="0"/>
        </w:rPr>
      </w:pPr>
      <w:bookmarkStart w:id="8" w:name="_Toc21826"/>
      <w:r>
        <w:rPr>
          <w:rFonts w:hint="eastAsia"/>
          <w:b/>
          <w:bCs w:val="0"/>
        </w:rPr>
        <w:t>（1）落实宏观政策要求</w:t>
      </w:r>
    </w:p>
    <w:p>
      <w:r>
        <w:rPr>
          <w:rFonts w:hint="eastAsia"/>
        </w:rPr>
        <w:t>《调整方案》坚持以习近平新时代中国特色社会主义思想为指导，全面贯彻落实党的二十大精神，深入学习贯彻习近平总书记视察宁夏重要讲话和重要指示精神，全面落实自治区第十三次党代会历次会议精神，完整准确全面贯彻新发展理念，主动融入新发展格局，推进各类资源高效利用，落实《中华人民共和国土地管理法》和《土地征收成片开发标准（试行）》等法规、标准的具体要求。</w:t>
      </w:r>
    </w:p>
    <w:p>
      <w:pPr>
        <w:rPr>
          <w:rFonts w:hint="eastAsia"/>
          <w:b/>
          <w:bCs w:val="0"/>
        </w:rPr>
      </w:pPr>
      <w:r>
        <w:rPr>
          <w:rFonts w:hint="eastAsia"/>
          <w:b/>
          <w:bCs w:val="0"/>
        </w:rPr>
        <w:t>（2）促进相关规划实施</w:t>
      </w:r>
    </w:p>
    <w:p>
      <w:r>
        <w:rPr>
          <w:rFonts w:hint="eastAsia"/>
        </w:rPr>
        <w:t>通过对项目区进行成片开发，能够促进隆德县国土空间总体规划、沙塘镇镇区详细规划等规划要求和建设内容有序落地，逐步实现相关规划设定的发展和建设目标，体现规划的法定性、时效性和指导价值。</w:t>
      </w:r>
    </w:p>
    <w:p>
      <w:pPr>
        <w:rPr>
          <w:rFonts w:hint="eastAsia"/>
          <w:b/>
          <w:bCs w:val="0"/>
        </w:rPr>
      </w:pPr>
      <w:r>
        <w:rPr>
          <w:rFonts w:hint="eastAsia"/>
          <w:b/>
          <w:bCs w:val="0"/>
        </w:rPr>
        <w:t>（3）保障建设用地供给</w:t>
      </w:r>
    </w:p>
    <w:p>
      <w:r>
        <w:rPr>
          <w:rFonts w:hint="eastAsia"/>
        </w:rPr>
        <w:t>《调整方案》明确2024年隆德县新增成片开发用地的位置、范围、基础设施条件、主要用途、实现功能，拟安排的建设项目、开发时序和年度实施计划等，新增建设用地用于综合开发，为城南片区和沙塘镇片区的建设项目更快落地创造条件，为合法合规批地供地提供依据。</w:t>
      </w:r>
    </w:p>
    <w:p>
      <w:pPr>
        <w:rPr>
          <w:rFonts w:hint="eastAsia"/>
          <w:b/>
          <w:bCs w:val="0"/>
        </w:rPr>
      </w:pPr>
      <w:r>
        <w:rPr>
          <w:rFonts w:hint="eastAsia"/>
          <w:b/>
          <w:bCs w:val="0"/>
        </w:rPr>
        <w:t>（4）完善城镇服务功能</w:t>
      </w:r>
    </w:p>
    <w:p>
      <w:r>
        <w:rPr>
          <w:rFonts w:hint="eastAsia"/>
        </w:rPr>
        <w:t>《调整方案》计划在城南片区落实商住建设项目，进一步优化城区功能布局，围绕增强县城核心功能，强化空间载体保障，促进人口、土地等资源要素优化布局，科学配置交通和公共服务设施，加快形成空间新格局，促进县城发展格局重塑、整体优化。</w:t>
      </w:r>
    </w:p>
    <w:p>
      <w:pPr>
        <w:rPr>
          <w:rFonts w:eastAsia="楷体"/>
        </w:rPr>
      </w:pPr>
      <w:r>
        <w:rPr>
          <w:rFonts w:hint="eastAsia"/>
        </w:rPr>
        <w:t>《调整方案》计划在沙塘镇片区由中国石化公司投资建设汽车驿站综合服务区，配套便利店、司机之家、爱心驿站，汽车维修等服务。响应国家环保清洁能源发展要求下，方便过往车辆，更好的服务社会和隆德县经济发展，预计带动隆德县GDP增长约3亿元。由此激活消费市场需求，改善镇区整体发展环境，促进镇区服务功能的完善和环境品质的提升。</w:t>
      </w:r>
    </w:p>
    <w:p>
      <w:pPr>
        <w:rPr>
          <w:rFonts w:hint="eastAsia" w:ascii="方正楷体_GBK" w:hAnsi="方正楷体_GBK" w:eastAsia="方正楷体_GBK" w:cs="方正楷体_GBK"/>
          <w:b/>
          <w:bCs w:val="0"/>
        </w:rPr>
      </w:pPr>
      <w:r>
        <w:rPr>
          <w:rFonts w:hint="eastAsia" w:ascii="方正楷体_GBK" w:hAnsi="方正楷体_GBK" w:eastAsia="方正楷体_GBK" w:cs="方正楷体_GBK"/>
          <w:b/>
          <w:bCs w:val="0"/>
        </w:rPr>
        <w:t>（三）实施时限</w:t>
      </w:r>
      <w:bookmarkEnd w:id="8"/>
    </w:p>
    <w:p>
      <w:r>
        <w:rPr>
          <w:rFonts w:hint="eastAsia"/>
        </w:rPr>
        <w:t>《调整方案》的实施时限为2022-2024年</w:t>
      </w:r>
      <w:bookmarkEnd w:id="1"/>
      <w:bookmarkEnd w:id="2"/>
      <w:bookmarkEnd w:id="3"/>
      <w:bookmarkEnd w:id="4"/>
      <w:bookmarkStart w:id="9" w:name="_Toc32710"/>
      <w:bookmarkStart w:id="10" w:name="_Toc31773"/>
      <w:bookmarkStart w:id="11" w:name="_Toc26257"/>
      <w:bookmarkStart w:id="12" w:name="_Toc13359"/>
      <w:bookmarkStart w:id="13" w:name="_Toc22801"/>
      <w:bookmarkStart w:id="14" w:name="_Toc17238"/>
      <w:bookmarkStart w:id="15" w:name="_Toc19191"/>
      <w:bookmarkStart w:id="16" w:name="_Toc27752"/>
      <w:r>
        <w:rPr>
          <w:rFonts w:hint="eastAsia"/>
        </w:rPr>
        <w:t>。</w:t>
      </w:r>
    </w:p>
    <w:p>
      <w:pPr>
        <w:rPr>
          <w:rFonts w:hint="eastAsia" w:ascii="方正黑体_GBK" w:hAnsi="方正黑体_GBK" w:eastAsia="方正黑体_GBK" w:cs="方正黑体_GBK"/>
        </w:rPr>
      </w:pPr>
      <w:r>
        <w:rPr>
          <w:rFonts w:hint="eastAsia" w:ascii="方正黑体_GBK" w:hAnsi="方正黑体_GBK" w:eastAsia="方正黑体_GBK" w:cs="方正黑体_GBK"/>
        </w:rPr>
        <w:t>二、</w:t>
      </w:r>
      <w:bookmarkEnd w:id="9"/>
      <w:bookmarkStart w:id="17" w:name="_Toc17461"/>
      <w:r>
        <w:rPr>
          <w:rFonts w:hint="eastAsia" w:ascii="方正黑体_GBK" w:hAnsi="方正黑体_GBK" w:eastAsia="方正黑体_GBK" w:cs="方正黑体_GBK"/>
        </w:rPr>
        <w:t>调整后方案</w:t>
      </w:r>
      <w:bookmarkEnd w:id="17"/>
    </w:p>
    <w:p>
      <w:pPr>
        <w:rPr>
          <w:rFonts w:hint="eastAsia" w:ascii="方正楷体_GBK" w:hAnsi="方正楷体_GBK" w:eastAsia="方正楷体_GBK" w:cs="方正楷体_GBK"/>
          <w:b/>
          <w:bCs w:val="0"/>
        </w:rPr>
      </w:pPr>
      <w:bookmarkStart w:id="18" w:name="_Toc25769"/>
      <w:r>
        <w:rPr>
          <w:rFonts w:hint="eastAsia" w:ascii="方正楷体_GBK" w:hAnsi="方正楷体_GBK" w:eastAsia="方正楷体_GBK" w:cs="方正楷体_GBK"/>
          <w:b/>
          <w:bCs w:val="0"/>
        </w:rPr>
        <w:t>（一）基本情况</w:t>
      </w:r>
      <w:bookmarkEnd w:id="18"/>
    </w:p>
    <w:p>
      <w:r>
        <w:rPr>
          <w:rFonts w:hint="eastAsia"/>
        </w:rPr>
        <w:t>本次《调整方案》涉及的成片开发用地共两个片区，即城南片区和沙塘镇片区。（见图1—图3）。</w:t>
      </w:r>
    </w:p>
    <w:p>
      <w:pPr>
        <w:pStyle w:val="19"/>
      </w:pPr>
      <w:r>
        <w:drawing>
          <wp:inline distT="0" distB="0" distL="0" distR="0">
            <wp:extent cx="5273675" cy="3310890"/>
            <wp:effectExtent l="19050" t="19050" r="22225" b="22860"/>
            <wp:docPr id="19148276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27699" name="图片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000" cy="3310925"/>
                    </a:xfrm>
                    <a:prstGeom prst="rect">
                      <a:avLst/>
                    </a:prstGeom>
                    <a:noFill/>
                    <a:ln>
                      <a:solidFill>
                        <a:schemeClr val="tx1"/>
                      </a:solidFill>
                    </a:ln>
                  </pic:spPr>
                </pic:pic>
              </a:graphicData>
            </a:graphic>
          </wp:inline>
        </w:drawing>
      </w:r>
    </w:p>
    <w:p>
      <w:pPr>
        <w:jc w:val="center"/>
      </w:pPr>
      <w:r>
        <w:t>图1 《调整方案》片区位置示意图</w:t>
      </w:r>
    </w:p>
    <w:p>
      <w:pPr>
        <w:pStyle w:val="19"/>
      </w:pPr>
      <w:r>
        <w:drawing>
          <wp:inline distT="0" distB="0" distL="0" distR="0">
            <wp:extent cx="5273675" cy="3509010"/>
            <wp:effectExtent l="0" t="0" r="3175" b="0"/>
            <wp:docPr id="13481561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56149"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000" cy="3509299"/>
                    </a:xfrm>
                    <a:prstGeom prst="rect">
                      <a:avLst/>
                    </a:prstGeom>
                    <a:noFill/>
                  </pic:spPr>
                </pic:pic>
              </a:graphicData>
            </a:graphic>
          </wp:inline>
        </w:drawing>
      </w:r>
    </w:p>
    <w:p>
      <w:pPr>
        <w:jc w:val="center"/>
      </w:pPr>
      <w:r>
        <w:t>图</w:t>
      </w:r>
      <w:r>
        <w:rPr>
          <w:rFonts w:hint="eastAsia"/>
        </w:rPr>
        <w:t>2 《调整</w:t>
      </w:r>
      <w:r>
        <w:t>方案</w:t>
      </w:r>
      <w:r>
        <w:rPr>
          <w:rFonts w:hint="eastAsia"/>
        </w:rPr>
        <w:t>》城南片区用地范围示意图</w:t>
      </w:r>
    </w:p>
    <w:p>
      <w:pPr>
        <w:pStyle w:val="19"/>
      </w:pPr>
      <w:r>
        <w:drawing>
          <wp:inline distT="0" distB="0" distL="0" distR="0">
            <wp:extent cx="5273675" cy="3566160"/>
            <wp:effectExtent l="19050" t="19050" r="22225" b="15240"/>
            <wp:docPr id="4732471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47105"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000" cy="3566700"/>
                    </a:xfrm>
                    <a:prstGeom prst="rect">
                      <a:avLst/>
                    </a:prstGeom>
                    <a:noFill/>
                    <a:ln>
                      <a:solidFill>
                        <a:schemeClr val="tx1"/>
                      </a:solidFill>
                    </a:ln>
                  </pic:spPr>
                </pic:pic>
              </a:graphicData>
            </a:graphic>
          </wp:inline>
        </w:drawing>
      </w:r>
    </w:p>
    <w:p>
      <w:pPr>
        <w:jc w:val="center"/>
      </w:pPr>
      <w:r>
        <w:t>图</w:t>
      </w:r>
      <w:r>
        <w:rPr>
          <w:rFonts w:hint="eastAsia"/>
        </w:rPr>
        <w:t>3 《调整</w:t>
      </w:r>
      <w:r>
        <w:t>方案</w:t>
      </w:r>
      <w:r>
        <w:rPr>
          <w:rFonts w:hint="eastAsia"/>
        </w:rPr>
        <w:t>》沙塘镇片区用地范围示意图</w:t>
      </w:r>
    </w:p>
    <w:p>
      <w:r>
        <w:rPr>
          <w:rFonts w:hint="eastAsia"/>
        </w:rPr>
        <w:t>片区总面积2.8479公顷，其中：建成区面积1.2572公顷，成片开发范围面积1.5907公顷（其中土地征收范围面积1.5907公顷，不涉及国有土地）。</w:t>
      </w:r>
    </w:p>
    <w:p>
      <w:r>
        <w:rPr>
          <w:rFonts w:hint="eastAsia"/>
        </w:rPr>
        <w:t>各片区开发范围内基础设施、公共服务设施和其他公益性用地比例要求、涉及调整地块征求意见情况等符合《土地征收成片开发标准》的有关规定。（见表1）。</w:t>
      </w:r>
    </w:p>
    <w:p>
      <w:r>
        <w:rPr>
          <w:rFonts w:hint="eastAsia"/>
        </w:rPr>
        <w:t>土地征收面积6.9312公顷，其中公益性用地面积0.3973公顷，经营性用地面积6.5339公顷。</w:t>
      </w:r>
    </w:p>
    <w:p/>
    <w:p/>
    <w:p/>
    <w:p>
      <w:r>
        <w:t xml:space="preserve">表1 </w:t>
      </w:r>
      <w:r>
        <w:rPr>
          <w:rFonts w:hint="eastAsia"/>
        </w:rPr>
        <w:t>调整后</w:t>
      </w:r>
      <w:r>
        <w:t>土地征收成片开发用地范围统计表</w:t>
      </w:r>
    </w:p>
    <w:tbl>
      <w:tblPr>
        <w:tblStyle w:val="20"/>
        <w:tblW w:w="8229" w:type="dxa"/>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1"/>
        <w:gridCol w:w="1072"/>
        <w:gridCol w:w="993"/>
        <w:gridCol w:w="992"/>
        <w:gridCol w:w="992"/>
        <w:gridCol w:w="1276"/>
        <w:gridCol w:w="1276"/>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 w:hRule="atLeast"/>
        </w:trPr>
        <w:tc>
          <w:tcPr>
            <w:tcW w:w="8229" w:type="dxa"/>
            <w:gridSpan w:val="8"/>
            <w:tcBorders>
              <w:top w:val="nil"/>
              <w:left w:val="nil"/>
              <w:bottom w:val="single" w:color="auto" w:sz="4" w:space="0"/>
              <w:right w:val="nil"/>
            </w:tcBorders>
            <w:vAlign w:val="center"/>
          </w:tcPr>
          <w:p>
            <w:pPr>
              <w:pStyle w:val="19"/>
              <w:autoSpaceDE w:val="0"/>
              <w:autoSpaceDN w:val="0"/>
              <w:rPr>
                <w:lang w:eastAsia="en-US"/>
              </w:rPr>
            </w:pPr>
            <w:r>
              <w:rPr>
                <w:rFonts w:hint="eastAsia"/>
                <w:lang w:eastAsia="en-US"/>
              </w:rPr>
              <w:t>单位：公顷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 w:hRule="atLeast"/>
        </w:trPr>
        <w:tc>
          <w:tcPr>
            <w:tcW w:w="1061" w:type="dxa"/>
            <w:vMerge w:val="restart"/>
            <w:tcBorders>
              <w:top w:val="single" w:color="auto" w:sz="4" w:space="0"/>
            </w:tcBorders>
            <w:vAlign w:val="center"/>
          </w:tcPr>
          <w:p>
            <w:pPr>
              <w:pStyle w:val="21"/>
              <w:autoSpaceDE w:val="0"/>
              <w:autoSpaceDN w:val="0"/>
              <w:rPr>
                <w:rFonts w:hint="default" w:cstheme="minorBidi"/>
                <w:lang w:eastAsia="en-US"/>
              </w:rPr>
            </w:pPr>
            <w:r>
              <w:rPr>
                <w:rFonts w:cstheme="minorBidi"/>
                <w:lang w:eastAsia="en-US"/>
              </w:rPr>
              <w:t>片区名称</w:t>
            </w:r>
          </w:p>
        </w:tc>
        <w:tc>
          <w:tcPr>
            <w:tcW w:w="1072" w:type="dxa"/>
            <w:vMerge w:val="restart"/>
            <w:tcBorders>
              <w:top w:val="single" w:color="auto" w:sz="4" w:space="0"/>
            </w:tcBorders>
            <w:vAlign w:val="center"/>
          </w:tcPr>
          <w:p>
            <w:pPr>
              <w:pStyle w:val="21"/>
              <w:autoSpaceDE w:val="0"/>
              <w:autoSpaceDN w:val="0"/>
              <w:rPr>
                <w:rFonts w:hint="default" w:cstheme="minorBidi"/>
                <w:lang w:eastAsia="en-US"/>
              </w:rPr>
            </w:pPr>
            <w:r>
              <w:rPr>
                <w:rFonts w:cstheme="minorBidi"/>
                <w:lang w:eastAsia="en-US"/>
              </w:rPr>
              <w:t>片区总</w:t>
            </w:r>
            <w:r>
              <w:rPr>
                <w:rFonts w:cstheme="minorBidi"/>
                <w:spacing w:val="-6"/>
                <w:lang w:eastAsia="en-US"/>
              </w:rPr>
              <w:t>面积</w:t>
            </w:r>
          </w:p>
        </w:tc>
        <w:tc>
          <w:tcPr>
            <w:tcW w:w="993" w:type="dxa"/>
            <w:vMerge w:val="restart"/>
            <w:tcBorders>
              <w:top w:val="single" w:color="auto" w:sz="4" w:space="0"/>
            </w:tcBorders>
            <w:vAlign w:val="center"/>
          </w:tcPr>
          <w:p>
            <w:pPr>
              <w:pStyle w:val="21"/>
              <w:autoSpaceDE w:val="0"/>
              <w:autoSpaceDN w:val="0"/>
              <w:rPr>
                <w:rFonts w:hint="default" w:cstheme="minorBidi"/>
                <w:lang w:eastAsia="en-US"/>
              </w:rPr>
            </w:pPr>
            <w:r>
              <w:rPr>
                <w:rFonts w:cstheme="minorBidi"/>
                <w:lang w:eastAsia="en-US"/>
              </w:rPr>
              <w:t>建成区</w:t>
            </w:r>
          </w:p>
          <w:p>
            <w:pPr>
              <w:pStyle w:val="21"/>
              <w:autoSpaceDE w:val="0"/>
              <w:autoSpaceDN w:val="0"/>
              <w:rPr>
                <w:rFonts w:hint="default" w:cstheme="minorBidi"/>
                <w:lang w:eastAsia="en-US"/>
              </w:rPr>
            </w:pPr>
            <w:r>
              <w:rPr>
                <w:rFonts w:cstheme="minorBidi"/>
                <w:lang w:eastAsia="en-US"/>
              </w:rPr>
              <w:t>面积</w:t>
            </w:r>
          </w:p>
        </w:tc>
        <w:tc>
          <w:tcPr>
            <w:tcW w:w="5103" w:type="dxa"/>
            <w:gridSpan w:val="5"/>
            <w:tcBorders>
              <w:top w:val="single" w:color="auto" w:sz="4" w:space="0"/>
            </w:tcBorders>
            <w:vAlign w:val="center"/>
          </w:tcPr>
          <w:p>
            <w:pPr>
              <w:pStyle w:val="21"/>
              <w:autoSpaceDE w:val="0"/>
              <w:autoSpaceDN w:val="0"/>
              <w:rPr>
                <w:rFonts w:hint="default" w:cstheme="minorBidi"/>
                <w:lang w:eastAsia="en-US"/>
              </w:rPr>
            </w:pPr>
            <w:r>
              <w:rPr>
                <w:rFonts w:cstheme="minorBidi"/>
                <w:lang w:eastAsia="en-US"/>
              </w:rPr>
              <w:t>成片开发范围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 w:hRule="atLeast"/>
        </w:trPr>
        <w:tc>
          <w:tcPr>
            <w:tcW w:w="1061" w:type="dxa"/>
            <w:vMerge w:val="continue"/>
            <w:tcBorders>
              <w:top w:val="nil"/>
            </w:tcBorders>
            <w:vAlign w:val="center"/>
          </w:tcPr>
          <w:p>
            <w:pPr>
              <w:pStyle w:val="21"/>
              <w:autoSpaceDE w:val="0"/>
              <w:autoSpaceDN w:val="0"/>
              <w:rPr>
                <w:rFonts w:hint="default" w:cstheme="minorBidi"/>
                <w:lang w:eastAsia="en-US"/>
              </w:rPr>
            </w:pPr>
          </w:p>
        </w:tc>
        <w:tc>
          <w:tcPr>
            <w:tcW w:w="1072" w:type="dxa"/>
            <w:vMerge w:val="continue"/>
            <w:tcBorders>
              <w:top w:val="nil"/>
            </w:tcBorders>
            <w:vAlign w:val="center"/>
          </w:tcPr>
          <w:p>
            <w:pPr>
              <w:pStyle w:val="21"/>
              <w:autoSpaceDE w:val="0"/>
              <w:autoSpaceDN w:val="0"/>
              <w:rPr>
                <w:rFonts w:hint="default" w:cstheme="minorBidi"/>
                <w:lang w:eastAsia="en-US"/>
              </w:rPr>
            </w:pPr>
          </w:p>
        </w:tc>
        <w:tc>
          <w:tcPr>
            <w:tcW w:w="993" w:type="dxa"/>
            <w:vMerge w:val="continue"/>
            <w:tcBorders>
              <w:top w:val="nil"/>
            </w:tcBorders>
            <w:vAlign w:val="center"/>
          </w:tcPr>
          <w:p>
            <w:pPr>
              <w:pStyle w:val="21"/>
              <w:autoSpaceDE w:val="0"/>
              <w:autoSpaceDN w:val="0"/>
              <w:rPr>
                <w:rFonts w:hint="default" w:cstheme="minorBidi"/>
                <w:lang w:eastAsia="en-US"/>
              </w:rPr>
            </w:pPr>
          </w:p>
        </w:tc>
        <w:tc>
          <w:tcPr>
            <w:tcW w:w="992" w:type="dxa"/>
            <w:vMerge w:val="restart"/>
            <w:vAlign w:val="center"/>
          </w:tcPr>
          <w:p>
            <w:pPr>
              <w:pStyle w:val="21"/>
              <w:autoSpaceDE w:val="0"/>
              <w:autoSpaceDN w:val="0"/>
              <w:rPr>
                <w:rFonts w:hint="default" w:cstheme="minorBidi"/>
                <w:lang w:eastAsia="en-US"/>
              </w:rPr>
            </w:pPr>
            <w:r>
              <w:rPr>
                <w:rFonts w:cstheme="minorBidi"/>
                <w:lang w:eastAsia="en-US"/>
              </w:rPr>
              <w:t>合计</w:t>
            </w:r>
          </w:p>
        </w:tc>
        <w:tc>
          <w:tcPr>
            <w:tcW w:w="3544" w:type="dxa"/>
            <w:gridSpan w:val="3"/>
            <w:vAlign w:val="center"/>
          </w:tcPr>
          <w:p>
            <w:pPr>
              <w:pStyle w:val="21"/>
              <w:autoSpaceDE w:val="0"/>
              <w:autoSpaceDN w:val="0"/>
              <w:rPr>
                <w:rFonts w:hint="default" w:cstheme="minorBidi"/>
                <w:lang w:eastAsia="en-US"/>
              </w:rPr>
            </w:pPr>
            <w:r>
              <w:rPr>
                <w:rFonts w:cstheme="minorBidi"/>
                <w:lang w:eastAsia="en-US"/>
              </w:rPr>
              <w:t>土地征收范围</w:t>
            </w:r>
          </w:p>
        </w:tc>
        <w:tc>
          <w:tcPr>
            <w:tcW w:w="567" w:type="dxa"/>
            <w:vMerge w:val="restart"/>
            <w:vAlign w:val="center"/>
          </w:tcPr>
          <w:p>
            <w:pPr>
              <w:pStyle w:val="21"/>
              <w:autoSpaceDE w:val="0"/>
              <w:autoSpaceDN w:val="0"/>
              <w:rPr>
                <w:rFonts w:hint="default" w:cstheme="minorBidi"/>
                <w:lang w:eastAsia="en-US"/>
              </w:rPr>
            </w:pPr>
            <w:r>
              <w:rPr>
                <w:rFonts w:cstheme="minorBidi"/>
                <w:lang w:eastAsia="en-US"/>
              </w:rPr>
              <w:t>国有土</w:t>
            </w:r>
            <w:r>
              <w:rPr>
                <w:rFonts w:cstheme="minorBidi"/>
                <w:spacing w:val="-10"/>
                <w:lang w:eastAsia="en-US"/>
              </w:rPr>
              <w:t>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 w:hRule="atLeast"/>
        </w:trPr>
        <w:tc>
          <w:tcPr>
            <w:tcW w:w="1061" w:type="dxa"/>
            <w:vMerge w:val="continue"/>
            <w:tcBorders>
              <w:top w:val="nil"/>
            </w:tcBorders>
            <w:vAlign w:val="center"/>
          </w:tcPr>
          <w:p>
            <w:pPr>
              <w:pStyle w:val="21"/>
              <w:autoSpaceDE w:val="0"/>
              <w:autoSpaceDN w:val="0"/>
              <w:rPr>
                <w:rFonts w:hint="default" w:cstheme="minorBidi"/>
                <w:lang w:eastAsia="en-US"/>
              </w:rPr>
            </w:pPr>
          </w:p>
        </w:tc>
        <w:tc>
          <w:tcPr>
            <w:tcW w:w="1072" w:type="dxa"/>
            <w:vMerge w:val="continue"/>
            <w:tcBorders>
              <w:top w:val="nil"/>
            </w:tcBorders>
            <w:vAlign w:val="center"/>
          </w:tcPr>
          <w:p>
            <w:pPr>
              <w:pStyle w:val="21"/>
              <w:autoSpaceDE w:val="0"/>
              <w:autoSpaceDN w:val="0"/>
              <w:rPr>
                <w:rFonts w:hint="default" w:cstheme="minorBidi"/>
                <w:lang w:eastAsia="en-US"/>
              </w:rPr>
            </w:pPr>
          </w:p>
        </w:tc>
        <w:tc>
          <w:tcPr>
            <w:tcW w:w="993" w:type="dxa"/>
            <w:vMerge w:val="continue"/>
            <w:tcBorders>
              <w:top w:val="nil"/>
            </w:tcBorders>
            <w:vAlign w:val="center"/>
          </w:tcPr>
          <w:p>
            <w:pPr>
              <w:pStyle w:val="21"/>
              <w:autoSpaceDE w:val="0"/>
              <w:autoSpaceDN w:val="0"/>
              <w:rPr>
                <w:rFonts w:hint="default" w:cstheme="minorBidi"/>
                <w:lang w:eastAsia="en-US"/>
              </w:rPr>
            </w:pPr>
          </w:p>
        </w:tc>
        <w:tc>
          <w:tcPr>
            <w:tcW w:w="992" w:type="dxa"/>
            <w:vMerge w:val="continue"/>
            <w:tcBorders>
              <w:top w:val="nil"/>
            </w:tcBorders>
            <w:vAlign w:val="center"/>
          </w:tcPr>
          <w:p>
            <w:pPr>
              <w:pStyle w:val="21"/>
              <w:autoSpaceDE w:val="0"/>
              <w:autoSpaceDN w:val="0"/>
              <w:rPr>
                <w:rFonts w:hint="default" w:cstheme="minorBidi"/>
                <w:lang w:eastAsia="en-US"/>
              </w:rPr>
            </w:pPr>
          </w:p>
        </w:tc>
        <w:tc>
          <w:tcPr>
            <w:tcW w:w="992" w:type="dxa"/>
            <w:vAlign w:val="center"/>
          </w:tcPr>
          <w:p>
            <w:pPr>
              <w:pStyle w:val="21"/>
              <w:autoSpaceDE w:val="0"/>
              <w:autoSpaceDN w:val="0"/>
              <w:rPr>
                <w:rFonts w:hint="default" w:cstheme="minorBidi"/>
                <w:lang w:eastAsia="en-US"/>
              </w:rPr>
            </w:pPr>
            <w:r>
              <w:rPr>
                <w:rFonts w:cstheme="minorBidi"/>
                <w:lang w:eastAsia="en-US"/>
              </w:rPr>
              <w:t>小计</w:t>
            </w:r>
          </w:p>
        </w:tc>
        <w:tc>
          <w:tcPr>
            <w:tcW w:w="1276" w:type="dxa"/>
            <w:vAlign w:val="center"/>
          </w:tcPr>
          <w:p>
            <w:pPr>
              <w:pStyle w:val="21"/>
              <w:autoSpaceDE w:val="0"/>
              <w:autoSpaceDN w:val="0"/>
              <w:rPr>
                <w:rFonts w:hint="default" w:cstheme="minorBidi"/>
                <w:lang w:eastAsia="en-US"/>
              </w:rPr>
            </w:pPr>
            <w:r>
              <w:rPr>
                <w:rFonts w:cstheme="minorBidi"/>
                <w:lang w:eastAsia="en-US"/>
              </w:rPr>
              <w:t>公益性用地</w:t>
            </w:r>
          </w:p>
        </w:tc>
        <w:tc>
          <w:tcPr>
            <w:tcW w:w="1276" w:type="dxa"/>
            <w:vAlign w:val="center"/>
          </w:tcPr>
          <w:p>
            <w:pPr>
              <w:pStyle w:val="21"/>
              <w:autoSpaceDE w:val="0"/>
              <w:autoSpaceDN w:val="0"/>
              <w:rPr>
                <w:rFonts w:hint="default" w:cstheme="minorBidi"/>
                <w:lang w:eastAsia="en-US"/>
              </w:rPr>
            </w:pPr>
            <w:r>
              <w:rPr>
                <w:rFonts w:cstheme="minorBidi"/>
                <w:lang w:eastAsia="en-US"/>
              </w:rPr>
              <w:t>经营性用地</w:t>
            </w:r>
          </w:p>
        </w:tc>
        <w:tc>
          <w:tcPr>
            <w:tcW w:w="567" w:type="dxa"/>
            <w:vMerge w:val="continue"/>
            <w:tcBorders>
              <w:top w:val="nil"/>
            </w:tcBorders>
            <w:vAlign w:val="center"/>
          </w:tcPr>
          <w:p>
            <w:pPr>
              <w:pStyle w:val="21"/>
              <w:autoSpaceDE w:val="0"/>
              <w:autoSpaceDN w:val="0"/>
              <w:rPr>
                <w:rFonts w:hint="default" w:cstheme="minorBidi"/>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61" w:type="dxa"/>
            <w:vAlign w:val="center"/>
          </w:tcPr>
          <w:p>
            <w:pPr>
              <w:pStyle w:val="21"/>
              <w:autoSpaceDE w:val="0"/>
              <w:autoSpaceDN w:val="0"/>
              <w:rPr>
                <w:rFonts w:hint="default" w:cstheme="minorBidi"/>
                <w:lang w:eastAsia="en-US"/>
              </w:rPr>
            </w:pPr>
            <w:r>
              <w:rPr>
                <w:rFonts w:cstheme="minorBidi"/>
                <w:lang w:eastAsia="zh-CN"/>
              </w:rPr>
              <w:t>城南片区</w:t>
            </w:r>
          </w:p>
        </w:tc>
        <w:tc>
          <w:tcPr>
            <w:tcW w:w="1072" w:type="dxa"/>
            <w:vAlign w:val="center"/>
          </w:tcPr>
          <w:p>
            <w:pPr>
              <w:pStyle w:val="21"/>
              <w:autoSpaceDE w:val="0"/>
              <w:autoSpaceDN w:val="0"/>
              <w:rPr>
                <w:rFonts w:hint="default" w:cstheme="minorBidi"/>
                <w:lang w:eastAsia="en-US"/>
              </w:rPr>
            </w:pPr>
            <w:r>
              <w:rPr>
                <w:rFonts w:cstheme="minorBidi"/>
                <w:lang w:eastAsia="en-US"/>
              </w:rPr>
              <w:t>8.9644</w:t>
            </w:r>
          </w:p>
        </w:tc>
        <w:tc>
          <w:tcPr>
            <w:tcW w:w="993" w:type="dxa"/>
            <w:vAlign w:val="center"/>
          </w:tcPr>
          <w:p>
            <w:pPr>
              <w:pStyle w:val="21"/>
              <w:autoSpaceDE w:val="0"/>
              <w:autoSpaceDN w:val="0"/>
              <w:rPr>
                <w:rFonts w:hint="default" w:cstheme="minorBidi"/>
                <w:lang w:eastAsia="en-US"/>
              </w:rPr>
            </w:pPr>
            <w:r>
              <w:rPr>
                <w:rFonts w:cstheme="minorBidi"/>
                <w:lang w:eastAsia="en-US"/>
              </w:rPr>
              <w:t>3.6239</w:t>
            </w:r>
          </w:p>
        </w:tc>
        <w:tc>
          <w:tcPr>
            <w:tcW w:w="992" w:type="dxa"/>
            <w:vAlign w:val="center"/>
          </w:tcPr>
          <w:p>
            <w:pPr>
              <w:pStyle w:val="21"/>
              <w:autoSpaceDE w:val="0"/>
              <w:autoSpaceDN w:val="0"/>
              <w:rPr>
                <w:rFonts w:hint="default" w:cstheme="minorBidi"/>
                <w:lang w:eastAsia="en-US"/>
              </w:rPr>
            </w:pPr>
            <w:r>
              <w:rPr>
                <w:rFonts w:cstheme="minorBidi"/>
                <w:lang w:eastAsia="en-US"/>
              </w:rPr>
              <w:t>5.3405</w:t>
            </w:r>
          </w:p>
        </w:tc>
        <w:tc>
          <w:tcPr>
            <w:tcW w:w="992" w:type="dxa"/>
            <w:vAlign w:val="center"/>
          </w:tcPr>
          <w:p>
            <w:pPr>
              <w:pStyle w:val="21"/>
              <w:autoSpaceDE w:val="0"/>
              <w:autoSpaceDN w:val="0"/>
              <w:rPr>
                <w:rFonts w:hint="default" w:cstheme="minorBidi"/>
                <w:lang w:eastAsia="en-US"/>
              </w:rPr>
            </w:pPr>
            <w:r>
              <w:rPr>
                <w:rFonts w:cstheme="minorBidi"/>
                <w:lang w:eastAsia="en-US"/>
              </w:rPr>
              <w:t>5.3405</w:t>
            </w:r>
          </w:p>
        </w:tc>
        <w:tc>
          <w:tcPr>
            <w:tcW w:w="1276" w:type="dxa"/>
            <w:vAlign w:val="center"/>
          </w:tcPr>
          <w:p>
            <w:pPr>
              <w:pStyle w:val="21"/>
              <w:autoSpaceDE w:val="0"/>
              <w:autoSpaceDN w:val="0"/>
              <w:rPr>
                <w:rFonts w:hint="default" w:cstheme="minorBidi"/>
                <w:lang w:eastAsia="en-US"/>
              </w:rPr>
            </w:pPr>
            <w:r>
              <w:rPr>
                <w:rFonts w:cstheme="minorBidi"/>
                <w:lang w:eastAsia="en-US"/>
              </w:rPr>
              <w:t>0.2817</w:t>
            </w:r>
          </w:p>
        </w:tc>
        <w:tc>
          <w:tcPr>
            <w:tcW w:w="1276" w:type="dxa"/>
            <w:vAlign w:val="center"/>
          </w:tcPr>
          <w:p>
            <w:pPr>
              <w:pStyle w:val="21"/>
              <w:autoSpaceDE w:val="0"/>
              <w:autoSpaceDN w:val="0"/>
              <w:rPr>
                <w:rFonts w:hint="default" w:cstheme="minorBidi"/>
                <w:lang w:eastAsia="en-US"/>
              </w:rPr>
            </w:pPr>
            <w:r>
              <w:rPr>
                <w:rFonts w:cstheme="minorBidi"/>
                <w:lang w:eastAsia="en-US"/>
              </w:rPr>
              <w:t>5.0588</w:t>
            </w:r>
          </w:p>
        </w:tc>
        <w:tc>
          <w:tcPr>
            <w:tcW w:w="567" w:type="dxa"/>
            <w:vAlign w:val="center"/>
          </w:tcPr>
          <w:p>
            <w:pPr>
              <w:pStyle w:val="21"/>
              <w:autoSpaceDE w:val="0"/>
              <w:autoSpaceDN w:val="0"/>
              <w:rPr>
                <w:rFonts w:hint="default" w:cstheme="minorBidi"/>
                <w:lang w:eastAsia="en-US"/>
              </w:rPr>
            </w:pPr>
            <w:r>
              <w:rPr>
                <w:rFonts w:cstheme="minorBidi"/>
                <w:lang w:eastAsia="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61" w:type="dxa"/>
            <w:vAlign w:val="center"/>
          </w:tcPr>
          <w:p>
            <w:pPr>
              <w:pStyle w:val="21"/>
              <w:autoSpaceDE w:val="0"/>
              <w:autoSpaceDN w:val="0"/>
              <w:rPr>
                <w:rFonts w:hint="default" w:cstheme="minorBidi"/>
                <w:lang w:eastAsia="zh-CN"/>
              </w:rPr>
            </w:pPr>
            <w:r>
              <w:rPr>
                <w:rFonts w:cstheme="minorBidi"/>
                <w:lang w:eastAsia="zh-CN"/>
              </w:rPr>
              <w:t>沙塘镇片区</w:t>
            </w:r>
          </w:p>
        </w:tc>
        <w:tc>
          <w:tcPr>
            <w:tcW w:w="1072" w:type="dxa"/>
            <w:vAlign w:val="center"/>
          </w:tcPr>
          <w:p>
            <w:pPr>
              <w:pStyle w:val="21"/>
              <w:autoSpaceDE w:val="0"/>
              <w:autoSpaceDN w:val="0"/>
              <w:rPr>
                <w:rFonts w:hint="default" w:cstheme="minorBidi"/>
                <w:lang w:eastAsia="en-US"/>
              </w:rPr>
            </w:pPr>
            <w:r>
              <w:rPr>
                <w:rFonts w:cstheme="minorBidi"/>
                <w:lang w:eastAsia="en-US"/>
              </w:rPr>
              <w:t>2.8479</w:t>
            </w:r>
          </w:p>
        </w:tc>
        <w:tc>
          <w:tcPr>
            <w:tcW w:w="993" w:type="dxa"/>
            <w:vAlign w:val="center"/>
          </w:tcPr>
          <w:p>
            <w:pPr>
              <w:pStyle w:val="21"/>
              <w:autoSpaceDE w:val="0"/>
              <w:autoSpaceDN w:val="0"/>
              <w:rPr>
                <w:rFonts w:hint="default" w:cstheme="minorBidi"/>
                <w:lang w:eastAsia="en-US"/>
              </w:rPr>
            </w:pPr>
            <w:r>
              <w:rPr>
                <w:rFonts w:cstheme="minorBidi"/>
                <w:lang w:eastAsia="en-US"/>
              </w:rPr>
              <w:t>1.2572</w:t>
            </w:r>
          </w:p>
        </w:tc>
        <w:tc>
          <w:tcPr>
            <w:tcW w:w="992" w:type="dxa"/>
            <w:vAlign w:val="center"/>
          </w:tcPr>
          <w:p>
            <w:pPr>
              <w:pStyle w:val="21"/>
              <w:autoSpaceDE w:val="0"/>
              <w:autoSpaceDN w:val="0"/>
              <w:rPr>
                <w:rFonts w:hint="default" w:cstheme="minorBidi"/>
                <w:lang w:eastAsia="en-US"/>
              </w:rPr>
            </w:pPr>
            <w:r>
              <w:rPr>
                <w:rFonts w:cstheme="minorBidi"/>
                <w:lang w:eastAsia="en-US"/>
              </w:rPr>
              <w:t>1.5907</w:t>
            </w:r>
          </w:p>
        </w:tc>
        <w:tc>
          <w:tcPr>
            <w:tcW w:w="992" w:type="dxa"/>
            <w:vAlign w:val="center"/>
          </w:tcPr>
          <w:p>
            <w:pPr>
              <w:pStyle w:val="21"/>
              <w:autoSpaceDE w:val="0"/>
              <w:autoSpaceDN w:val="0"/>
              <w:rPr>
                <w:rFonts w:hint="default" w:cstheme="minorBidi"/>
                <w:lang w:eastAsia="en-US"/>
              </w:rPr>
            </w:pPr>
            <w:r>
              <w:rPr>
                <w:rFonts w:cstheme="minorBidi"/>
                <w:lang w:eastAsia="en-US"/>
              </w:rPr>
              <w:t>1.5907</w:t>
            </w:r>
          </w:p>
        </w:tc>
        <w:tc>
          <w:tcPr>
            <w:tcW w:w="1276" w:type="dxa"/>
            <w:vAlign w:val="center"/>
          </w:tcPr>
          <w:p>
            <w:pPr>
              <w:pStyle w:val="21"/>
              <w:autoSpaceDE w:val="0"/>
              <w:autoSpaceDN w:val="0"/>
              <w:rPr>
                <w:rFonts w:hint="default" w:cstheme="minorBidi"/>
                <w:lang w:eastAsia="en-US"/>
              </w:rPr>
            </w:pPr>
            <w:r>
              <w:rPr>
                <w:rFonts w:cstheme="minorBidi"/>
                <w:lang w:eastAsia="en-US"/>
              </w:rPr>
              <w:t>0.1156</w:t>
            </w:r>
          </w:p>
        </w:tc>
        <w:tc>
          <w:tcPr>
            <w:tcW w:w="1276" w:type="dxa"/>
            <w:vAlign w:val="center"/>
          </w:tcPr>
          <w:p>
            <w:pPr>
              <w:pStyle w:val="21"/>
              <w:autoSpaceDE w:val="0"/>
              <w:autoSpaceDN w:val="0"/>
              <w:rPr>
                <w:rFonts w:hint="default" w:cstheme="minorBidi"/>
                <w:lang w:eastAsia="en-US"/>
              </w:rPr>
            </w:pPr>
            <w:r>
              <w:rPr>
                <w:rFonts w:cstheme="minorBidi"/>
                <w:lang w:eastAsia="en-US"/>
              </w:rPr>
              <w:t>1.4751</w:t>
            </w:r>
          </w:p>
        </w:tc>
        <w:tc>
          <w:tcPr>
            <w:tcW w:w="567" w:type="dxa"/>
            <w:vAlign w:val="center"/>
          </w:tcPr>
          <w:p>
            <w:pPr>
              <w:pStyle w:val="21"/>
              <w:autoSpaceDE w:val="0"/>
              <w:autoSpaceDN w:val="0"/>
              <w:rPr>
                <w:rFonts w:hint="default" w:cstheme="minorBidi"/>
                <w:lang w:eastAsia="en-US"/>
              </w:rPr>
            </w:pPr>
            <w:r>
              <w:rPr>
                <w:rFonts w:cstheme="minorBidi"/>
                <w:lang w:eastAsia="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061" w:type="dxa"/>
            <w:vAlign w:val="center"/>
          </w:tcPr>
          <w:p>
            <w:pPr>
              <w:pStyle w:val="21"/>
              <w:autoSpaceDE w:val="0"/>
              <w:autoSpaceDN w:val="0"/>
              <w:rPr>
                <w:rFonts w:hint="default" w:cstheme="minorBidi"/>
                <w:lang w:eastAsia="en-US"/>
              </w:rPr>
            </w:pPr>
            <w:r>
              <w:rPr>
                <w:rFonts w:cstheme="minorBidi"/>
                <w:lang w:eastAsia="en-US"/>
              </w:rPr>
              <w:t>合计</w:t>
            </w:r>
          </w:p>
        </w:tc>
        <w:tc>
          <w:tcPr>
            <w:tcW w:w="1072" w:type="dxa"/>
            <w:vAlign w:val="center"/>
          </w:tcPr>
          <w:p>
            <w:pPr>
              <w:pStyle w:val="21"/>
              <w:autoSpaceDE w:val="0"/>
              <w:autoSpaceDN w:val="0"/>
              <w:rPr>
                <w:rFonts w:hint="default" w:cstheme="minorBidi"/>
                <w:lang w:eastAsia="en-US"/>
              </w:rPr>
            </w:pPr>
            <w:r>
              <w:rPr>
                <w:rFonts w:cstheme="minorBidi"/>
                <w:lang w:eastAsia="en-US"/>
              </w:rPr>
              <w:t>11.8123</w:t>
            </w:r>
          </w:p>
        </w:tc>
        <w:tc>
          <w:tcPr>
            <w:tcW w:w="993" w:type="dxa"/>
            <w:vAlign w:val="center"/>
          </w:tcPr>
          <w:p>
            <w:pPr>
              <w:pStyle w:val="21"/>
              <w:autoSpaceDE w:val="0"/>
              <w:autoSpaceDN w:val="0"/>
              <w:rPr>
                <w:rFonts w:hint="default" w:cstheme="minorBidi"/>
                <w:lang w:eastAsia="en-US"/>
              </w:rPr>
            </w:pPr>
            <w:r>
              <w:rPr>
                <w:rFonts w:cstheme="minorBidi"/>
                <w:lang w:eastAsia="en-US"/>
              </w:rPr>
              <w:t>4.8811</w:t>
            </w:r>
          </w:p>
        </w:tc>
        <w:tc>
          <w:tcPr>
            <w:tcW w:w="992" w:type="dxa"/>
            <w:vAlign w:val="center"/>
          </w:tcPr>
          <w:p>
            <w:pPr>
              <w:pStyle w:val="21"/>
              <w:autoSpaceDE w:val="0"/>
              <w:autoSpaceDN w:val="0"/>
              <w:rPr>
                <w:rFonts w:hint="default" w:cstheme="minorBidi"/>
                <w:lang w:eastAsia="en-US"/>
              </w:rPr>
            </w:pPr>
            <w:r>
              <w:rPr>
                <w:rFonts w:cstheme="minorBidi"/>
                <w:lang w:eastAsia="en-US"/>
              </w:rPr>
              <w:t>6.9312</w:t>
            </w:r>
          </w:p>
        </w:tc>
        <w:tc>
          <w:tcPr>
            <w:tcW w:w="992" w:type="dxa"/>
            <w:vAlign w:val="center"/>
          </w:tcPr>
          <w:p>
            <w:pPr>
              <w:pStyle w:val="21"/>
              <w:autoSpaceDE w:val="0"/>
              <w:autoSpaceDN w:val="0"/>
              <w:rPr>
                <w:rFonts w:hint="default" w:cstheme="minorBidi"/>
                <w:lang w:eastAsia="en-US"/>
              </w:rPr>
            </w:pPr>
            <w:r>
              <w:rPr>
                <w:rFonts w:cstheme="minorBidi"/>
                <w:lang w:eastAsia="en-US"/>
              </w:rPr>
              <w:t>6.9312</w:t>
            </w:r>
          </w:p>
        </w:tc>
        <w:tc>
          <w:tcPr>
            <w:tcW w:w="1276" w:type="dxa"/>
            <w:vAlign w:val="center"/>
          </w:tcPr>
          <w:p>
            <w:pPr>
              <w:pStyle w:val="21"/>
              <w:autoSpaceDE w:val="0"/>
              <w:autoSpaceDN w:val="0"/>
              <w:rPr>
                <w:rFonts w:hint="default" w:cstheme="minorBidi"/>
                <w:lang w:eastAsia="en-US"/>
              </w:rPr>
            </w:pPr>
            <w:r>
              <w:rPr>
                <w:rFonts w:cstheme="minorBidi"/>
                <w:lang w:eastAsia="en-US"/>
              </w:rPr>
              <w:t>0.3973</w:t>
            </w:r>
          </w:p>
        </w:tc>
        <w:tc>
          <w:tcPr>
            <w:tcW w:w="1276" w:type="dxa"/>
            <w:vAlign w:val="center"/>
          </w:tcPr>
          <w:p>
            <w:pPr>
              <w:pStyle w:val="21"/>
              <w:autoSpaceDE w:val="0"/>
              <w:autoSpaceDN w:val="0"/>
              <w:rPr>
                <w:rFonts w:hint="default" w:cstheme="minorBidi"/>
                <w:lang w:eastAsia="en-US"/>
              </w:rPr>
            </w:pPr>
            <w:r>
              <w:rPr>
                <w:rFonts w:cstheme="minorBidi"/>
                <w:lang w:eastAsia="en-US"/>
              </w:rPr>
              <w:t>6.5339</w:t>
            </w:r>
          </w:p>
        </w:tc>
        <w:tc>
          <w:tcPr>
            <w:tcW w:w="567" w:type="dxa"/>
            <w:vAlign w:val="center"/>
          </w:tcPr>
          <w:p>
            <w:pPr>
              <w:pStyle w:val="21"/>
              <w:autoSpaceDE w:val="0"/>
              <w:autoSpaceDN w:val="0"/>
              <w:rPr>
                <w:rFonts w:hint="default" w:cstheme="minorBidi"/>
                <w:lang w:eastAsia="en-US"/>
              </w:rPr>
            </w:pPr>
            <w:r>
              <w:rPr>
                <w:rFonts w:cstheme="minorBidi"/>
                <w:lang w:eastAsia="en-US"/>
              </w:rPr>
              <w:t>0</w:t>
            </w:r>
          </w:p>
        </w:tc>
      </w:tr>
    </w:tbl>
    <w:p>
      <w:r>
        <w:rPr>
          <w:rFonts w:hint="eastAsia"/>
        </w:rPr>
        <w:t>调整后，拟安排项目5个，项目用地6.9312公顷，土地征收6.9312公顷，项目计划2024年完成开发建设。</w:t>
      </w:r>
    </w:p>
    <w:bookmarkEnd w:id="10"/>
    <w:bookmarkEnd w:id="11"/>
    <w:bookmarkEnd w:id="12"/>
    <w:bookmarkEnd w:id="13"/>
    <w:bookmarkEnd w:id="14"/>
    <w:bookmarkEnd w:id="15"/>
    <w:bookmarkEnd w:id="16"/>
    <w:p>
      <w:pPr>
        <w:rPr>
          <w:rFonts w:hint="eastAsia" w:ascii="方正楷体_GBK" w:hAnsi="方正楷体_GBK" w:eastAsia="方正楷体_GBK" w:cs="方正楷体_GBK"/>
          <w:b/>
          <w:bCs w:val="0"/>
        </w:rPr>
      </w:pPr>
      <w:bookmarkStart w:id="19" w:name="_Toc17250"/>
      <w:bookmarkStart w:id="20" w:name="_Toc30345"/>
      <w:bookmarkStart w:id="21" w:name="_Toc16740"/>
      <w:bookmarkStart w:id="22" w:name="_Toc2930"/>
      <w:r>
        <w:rPr>
          <w:rFonts w:hint="eastAsia" w:ascii="方正楷体_GBK" w:hAnsi="方正楷体_GBK" w:eastAsia="方正楷体_GBK" w:cs="方正楷体_GBK"/>
          <w:b/>
          <w:bCs w:val="0"/>
        </w:rPr>
        <w:t>（二）合规性分析</w:t>
      </w:r>
      <w:bookmarkEnd w:id="19"/>
    </w:p>
    <w:p>
      <w:pPr>
        <w:rPr>
          <w:b/>
          <w:bCs w:val="0"/>
        </w:rPr>
      </w:pPr>
      <w:r>
        <w:rPr>
          <w:rFonts w:hint="eastAsia"/>
          <w:b/>
          <w:bCs w:val="0"/>
        </w:rPr>
        <w:t>1.</w:t>
      </w:r>
      <w:r>
        <w:rPr>
          <w:rFonts w:hint="eastAsia" w:ascii="Times New Roman" w:hAnsi="Times New Roman"/>
          <w:b/>
          <w:bCs w:val="0"/>
        </w:rPr>
        <w:t>符合</w:t>
      </w:r>
      <w:r>
        <w:rPr>
          <w:rFonts w:hint="eastAsia"/>
          <w:b/>
          <w:bCs w:val="0"/>
        </w:rPr>
        <w:t>“三区三线”</w:t>
      </w:r>
      <w:r>
        <w:rPr>
          <w:rFonts w:hint="eastAsia" w:ascii="Times New Roman" w:hAnsi="Times New Roman"/>
          <w:b/>
          <w:bCs w:val="0"/>
        </w:rPr>
        <w:t>约束要求</w:t>
      </w:r>
    </w:p>
    <w:p>
      <w:r>
        <w:rPr>
          <w:rFonts w:hint="eastAsia"/>
        </w:rPr>
        <w:t>《调整方案》片区范围不占用永久基本农田和生态保护红线，全部位于城镇开发边界范围内，且片区范围内不存在有保护价值的建筑物、构筑物、古树木等，可以进行土地征收成片开发。</w:t>
      </w:r>
    </w:p>
    <w:p>
      <w:pPr>
        <w:rPr>
          <w:b/>
          <w:bCs w:val="0"/>
        </w:rPr>
      </w:pPr>
      <w:r>
        <w:rPr>
          <w:rFonts w:hint="eastAsia"/>
          <w:b/>
          <w:bCs w:val="0"/>
        </w:rPr>
        <w:t>2.符合相关规划要求</w:t>
      </w:r>
    </w:p>
    <w:p>
      <w:r>
        <w:rPr>
          <w:rFonts w:hint="eastAsia"/>
        </w:rPr>
        <w:t>（1）符合国土空间规划情况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《调整方案》</w:t>
      </w:r>
      <w:r>
        <w:rPr>
          <w:rFonts w:hint="eastAsia"/>
        </w:rPr>
        <w:t>拟实施的项目用地用途符合</w:t>
      </w:r>
      <w:r>
        <w:t>的</w:t>
      </w:r>
      <w:r>
        <w:rPr>
          <w:rFonts w:hint="eastAsia"/>
        </w:rPr>
        <w:t>《隆德县国土空间总体规划（2021-2035年）》确定的管控要求，</w:t>
      </w:r>
      <w:r>
        <w:rPr>
          <w:rFonts w:hint="eastAsia"/>
          <w:color w:val="000000" w:themeColor="text1"/>
          <w14:textFill>
            <w14:solidFill>
              <w14:schemeClr w14:val="tx1"/>
            </w14:solidFill>
          </w14:textFill>
        </w:rPr>
        <w:t>与片区内在编的详细规划确定的规划用途一致。</w:t>
      </w:r>
    </w:p>
    <w:p>
      <w:r>
        <w:rPr>
          <w:rFonts w:hint="eastAsia"/>
        </w:rPr>
        <w:t>（</w:t>
      </w:r>
      <w:r>
        <w:t>2</w:t>
      </w:r>
      <w:r>
        <w:rPr>
          <w:rFonts w:hint="eastAsia"/>
        </w:rPr>
        <w:t>）符合国民经济和社会发展规划情况</w:t>
      </w:r>
    </w:p>
    <w:p>
      <w:r>
        <w:rPr>
          <w:rFonts w:hint="eastAsia"/>
        </w:rPr>
        <w:t>《调整方案》调入项目符合《隆德县国民经济和社会发展第十四个五年规划和2035年远景目标纲要》确定的区域发展方向，符合隆德县2024年国民经济和社会发展年度计划。</w:t>
      </w:r>
    </w:p>
    <w:p>
      <w:pPr>
        <w:rPr>
          <w:b/>
          <w:bCs w:val="0"/>
        </w:rPr>
      </w:pPr>
      <w:r>
        <w:rPr>
          <w:rFonts w:hint="eastAsia"/>
          <w:b/>
          <w:bCs w:val="0"/>
        </w:rPr>
        <w:t>3.符合节约集约用地要求</w:t>
      </w:r>
    </w:p>
    <w:p>
      <w:r>
        <w:rPr>
          <w:rFonts w:hint="eastAsia"/>
        </w:rPr>
        <w:t>《调整方案》严格按照国土空间规划，统筹谋划、有效指导片区土地合理利用及分期实施，根据项目建设需求明确时限，按照详细规划确定的容积率、建筑密度、建筑高度、用地面积等进行建设，避免新产生批而未供或闲置土地，符合节约集约用地要求。</w:t>
      </w:r>
    </w:p>
    <w:p>
      <w:pPr>
        <w:rPr>
          <w:rFonts w:hint="eastAsia" w:ascii="方正楷体_GBK" w:hAnsi="方正楷体_GBK" w:eastAsia="方正楷体_GBK" w:cs="方正楷体_GBK"/>
          <w:b/>
          <w:bCs w:val="0"/>
        </w:rPr>
      </w:pPr>
      <w:r>
        <w:rPr>
          <w:rFonts w:hint="eastAsia" w:ascii="方正楷体_GBK" w:hAnsi="方正楷体_GBK" w:eastAsia="方正楷体_GBK" w:cs="方正楷体_GBK"/>
          <w:b/>
          <w:bCs w:val="0"/>
        </w:rPr>
        <w:t>（三）耕地占补平衡落实能力分析</w:t>
      </w:r>
    </w:p>
    <w:p>
      <w:pPr>
        <w:pStyle w:val="22"/>
        <w:ind w:firstLine="560"/>
      </w:pPr>
      <w:r>
        <w:rPr>
          <w:rFonts w:hint="eastAsia"/>
        </w:rPr>
        <w:t>本次成片开发范围内不涉及占用耕地。</w:t>
      </w:r>
    </w:p>
    <w:p>
      <w:pPr>
        <w:rPr>
          <w:rFonts w:hint="eastAsia" w:ascii="方正楷体_GBK" w:hAnsi="方正楷体_GBK" w:eastAsia="方正楷体_GBK" w:cs="方正楷体_GBK"/>
          <w:b/>
          <w:bCs w:val="0"/>
        </w:rPr>
      </w:pPr>
      <w:r>
        <w:rPr>
          <w:rFonts w:hint="eastAsia" w:ascii="方正楷体_GBK" w:hAnsi="方正楷体_GBK" w:eastAsia="方正楷体_GBK" w:cs="方正楷体_GBK"/>
          <w:b/>
          <w:bCs w:val="0"/>
        </w:rPr>
        <w:t>（四）安置补偿情况</w:t>
      </w:r>
    </w:p>
    <w:p>
      <w:pPr>
        <w:rPr>
          <w:b/>
          <w:bCs w:val="0"/>
          <w:lang w:val="zh-CN"/>
        </w:rPr>
      </w:pPr>
      <w:r>
        <w:rPr>
          <w:rFonts w:hint="eastAsia"/>
          <w:b/>
          <w:bCs w:val="0"/>
        </w:rPr>
        <w:t>1.</w:t>
      </w:r>
      <w:r>
        <w:rPr>
          <w:rFonts w:hint="eastAsia"/>
          <w:b/>
          <w:bCs w:val="0"/>
          <w:lang w:val="zh-CN"/>
        </w:rPr>
        <w:t>集体土地上建筑物及构筑物补偿标准</w:t>
      </w:r>
    </w:p>
    <w:p>
      <w:r>
        <w:rPr>
          <w:rFonts w:hint="eastAsia"/>
        </w:rPr>
        <w:t>集体建设用地上的建筑物及构筑物征收安置补偿价值根据《固原市人民政府关于公布实施地上附着物和青苗补偿标准的通知》（固政规发〔2022〕5号），由具有相应资质的房地产评估机构评估确定，</w:t>
      </w:r>
      <w:bookmarkStart w:id="23" w:name="_Hlk166175244"/>
      <w:r>
        <w:rPr>
          <w:rFonts w:hint="eastAsia"/>
        </w:rPr>
        <w:t>实际征收以最新文件为准</w:t>
      </w:r>
      <w:bookmarkEnd w:id="23"/>
      <w:r>
        <w:rPr>
          <w:rFonts w:hint="eastAsia"/>
        </w:rPr>
        <w:t>。</w:t>
      </w:r>
    </w:p>
    <w:p>
      <w:pPr>
        <w:rPr>
          <w:b/>
          <w:bCs w:val="0"/>
          <w:lang w:val="zh-CN"/>
        </w:rPr>
      </w:pPr>
      <w:r>
        <w:rPr>
          <w:rFonts w:hint="eastAsia"/>
          <w:b/>
          <w:bCs w:val="0"/>
        </w:rPr>
        <w:t>2.</w:t>
      </w:r>
      <w:r>
        <w:rPr>
          <w:rFonts w:hint="eastAsia"/>
          <w:b/>
          <w:bCs w:val="0"/>
          <w:lang w:val="zh-CN"/>
        </w:rPr>
        <w:t>集体土地补偿标准</w:t>
      </w:r>
    </w:p>
    <w:p>
      <w:r>
        <w:rPr>
          <w:rFonts w:hint="eastAsia"/>
        </w:rPr>
        <w:t>集体土地征收补偿标准依</w:t>
      </w:r>
      <w:r>
        <w:rPr>
          <w:rFonts w:hint="eastAsia"/>
          <w:lang w:val="zh-CN"/>
        </w:rPr>
        <w:t>据</w:t>
      </w:r>
      <w:bookmarkStart w:id="24" w:name="_Hlk166175385"/>
      <w:r>
        <w:rPr>
          <w:rFonts w:hint="eastAsia"/>
          <w:lang w:val="zh-CN"/>
        </w:rPr>
        <w:t>《自治区人民政府关于重新公布自治区征收农用地区片综合地价的通知》（宁政规发〔202</w:t>
      </w:r>
      <w:r>
        <w:rPr>
          <w:rFonts w:hint="eastAsia"/>
        </w:rPr>
        <w:t>3</w:t>
      </w:r>
      <w:r>
        <w:rPr>
          <w:rFonts w:hint="eastAsia"/>
          <w:lang w:val="zh-CN"/>
        </w:rPr>
        <w:t>〕</w:t>
      </w:r>
      <w:r>
        <w:rPr>
          <w:rFonts w:hint="eastAsia"/>
        </w:rPr>
        <w:t>4</w:t>
      </w:r>
      <w:r>
        <w:rPr>
          <w:rFonts w:hint="eastAsia"/>
          <w:lang w:val="zh-CN"/>
        </w:rPr>
        <w:t>号）</w:t>
      </w:r>
      <w:bookmarkEnd w:id="24"/>
      <w:r>
        <w:rPr>
          <w:rFonts w:hint="eastAsia"/>
          <w:lang w:val="zh-CN"/>
        </w:rPr>
        <w:t>。</w:t>
      </w:r>
    </w:p>
    <w:p>
      <w:pPr>
        <w:rPr>
          <w:rFonts w:hint="eastAsia" w:ascii="方正楷体_GBK" w:hAnsi="方正楷体_GBK" w:eastAsia="方正楷体_GBK" w:cs="方正楷体_GBK"/>
        </w:rPr>
      </w:pPr>
      <w:bookmarkStart w:id="25" w:name="_Toc30824"/>
      <w:r>
        <w:rPr>
          <w:rFonts w:hint="eastAsia" w:ascii="方正楷体_GBK" w:hAnsi="方正楷体_GBK" w:eastAsia="方正楷体_GBK" w:cs="方正楷体_GBK"/>
        </w:rPr>
        <w:t>（五）公益性分析</w:t>
      </w:r>
      <w:bookmarkEnd w:id="25"/>
    </w:p>
    <w:p>
      <w:r>
        <w:rPr>
          <w:rFonts w:hint="eastAsia"/>
        </w:rPr>
        <w:t>片区公益性用地总面积5.2784公顷，占片区总面积44.69%，符合《土地征收成片开发标准》和《宁夏回族自治区土地征收成片开发标准实施细则（试行）》对公益性用地占比超过40%的要求（见表2）。</w:t>
      </w:r>
    </w:p>
    <w:p>
      <w:r>
        <w:rPr>
          <w:rFonts w:hint="eastAsia"/>
        </w:rPr>
        <w:t>其中，已建成公益性用地总面积4.8811公顷，为机关办公、公园广场及道路用地等；待开发公益性用地总面积0.3973公顷，为道路与交通设施用地。隆德县在成片开发过程中保障公共利益用地项目先行，有利于政府统一组织实施基础设施建设，统一加快推动区域的开发建设；有利于完善基础设施，促进区域协调发展；有利于实现《隆德县国土空间总体规划（2021-2035年）》设定的发展和建设目标，体现规划的指导意义。</w:t>
      </w:r>
    </w:p>
    <w:p>
      <w:r>
        <w:t>表</w:t>
      </w:r>
      <w:r>
        <w:rPr>
          <w:rFonts w:hint="eastAsia"/>
        </w:rPr>
        <w:t>2</w:t>
      </w:r>
      <w:r>
        <w:t xml:space="preserve"> 调整后《方案》片区公益性用地情况汇总表</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656"/>
        <w:gridCol w:w="2412"/>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blHeader/>
        </w:trPr>
        <w:tc>
          <w:tcPr>
            <w:tcW w:w="5000" w:type="pct"/>
            <w:gridSpan w:val="4"/>
            <w:tcBorders>
              <w:top w:val="nil"/>
              <w:left w:val="nil"/>
              <w:bottom w:val="single" w:color="auto" w:sz="4" w:space="0"/>
              <w:right w:val="nil"/>
            </w:tcBorders>
            <w:vAlign w:val="center"/>
          </w:tcPr>
          <w:p>
            <w:pPr>
              <w:pStyle w:val="19"/>
              <w:jc w:val="right"/>
            </w:pPr>
            <w:r>
              <w:rPr>
                <w:rFonts w:hint="eastAsia"/>
              </w:rPr>
              <w:t>单位：公顷，</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blHeader/>
        </w:trPr>
        <w:tc>
          <w:tcPr>
            <w:tcW w:w="1562" w:type="pct"/>
            <w:tcBorders>
              <w:top w:val="single" w:color="auto" w:sz="4" w:space="0"/>
            </w:tcBorders>
            <w:vAlign w:val="center"/>
          </w:tcPr>
          <w:p>
            <w:pPr>
              <w:pStyle w:val="21"/>
              <w:rPr>
                <w:rFonts w:hint="default"/>
                <w:b/>
                <w:bCs/>
              </w:rPr>
            </w:pPr>
            <w:r>
              <w:rPr>
                <w:b/>
                <w:bCs/>
              </w:rPr>
              <w:t>片区名称</w:t>
            </w:r>
          </w:p>
        </w:tc>
        <w:tc>
          <w:tcPr>
            <w:tcW w:w="914" w:type="pct"/>
            <w:tcBorders>
              <w:top w:val="single" w:color="auto" w:sz="4" w:space="0"/>
            </w:tcBorders>
            <w:vAlign w:val="center"/>
          </w:tcPr>
          <w:p>
            <w:pPr>
              <w:pStyle w:val="21"/>
              <w:rPr>
                <w:rFonts w:hint="default"/>
                <w:b/>
                <w:bCs/>
              </w:rPr>
            </w:pPr>
            <w:r>
              <w:rPr>
                <w:b/>
                <w:bCs/>
              </w:rPr>
              <w:t>片区总面积</w:t>
            </w:r>
          </w:p>
        </w:tc>
        <w:tc>
          <w:tcPr>
            <w:tcW w:w="1331" w:type="pct"/>
            <w:tcBorders>
              <w:top w:val="single" w:color="auto" w:sz="4" w:space="0"/>
            </w:tcBorders>
            <w:vAlign w:val="center"/>
          </w:tcPr>
          <w:p>
            <w:pPr>
              <w:pStyle w:val="21"/>
              <w:rPr>
                <w:rFonts w:hint="default"/>
                <w:b/>
                <w:bCs/>
              </w:rPr>
            </w:pPr>
            <w:r>
              <w:rPr>
                <w:b/>
                <w:bCs/>
              </w:rPr>
              <w:t>片区公益性用地面积</w:t>
            </w:r>
          </w:p>
        </w:tc>
        <w:tc>
          <w:tcPr>
            <w:tcW w:w="1193" w:type="pct"/>
            <w:tcBorders>
              <w:top w:val="single" w:color="auto" w:sz="4" w:space="0"/>
            </w:tcBorders>
            <w:vAlign w:val="center"/>
          </w:tcPr>
          <w:p>
            <w:pPr>
              <w:pStyle w:val="21"/>
              <w:rPr>
                <w:rFonts w:hint="default"/>
                <w:b/>
                <w:bCs/>
              </w:rPr>
            </w:pPr>
            <w:r>
              <w:rPr>
                <w:b/>
                <w:bCs/>
              </w:rPr>
              <w:t>公益性用地比例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562" w:type="pct"/>
            <w:vAlign w:val="center"/>
          </w:tcPr>
          <w:p>
            <w:pPr>
              <w:pStyle w:val="21"/>
              <w:rPr>
                <w:rFonts w:hint="default"/>
              </w:rPr>
            </w:pPr>
            <w:r>
              <w:t>城南片区</w:t>
            </w:r>
          </w:p>
        </w:tc>
        <w:tc>
          <w:tcPr>
            <w:tcW w:w="914" w:type="pct"/>
            <w:vAlign w:val="center"/>
          </w:tcPr>
          <w:p>
            <w:pPr>
              <w:pStyle w:val="21"/>
              <w:rPr>
                <w:rFonts w:hint="default"/>
              </w:rPr>
            </w:pPr>
            <w:r>
              <w:t>8.9644</w:t>
            </w:r>
          </w:p>
        </w:tc>
        <w:tc>
          <w:tcPr>
            <w:tcW w:w="1331" w:type="pct"/>
            <w:vAlign w:val="center"/>
          </w:tcPr>
          <w:p>
            <w:pPr>
              <w:pStyle w:val="21"/>
              <w:rPr>
                <w:rFonts w:hint="default"/>
              </w:rPr>
            </w:pPr>
            <w:r>
              <w:t>3.9079</w:t>
            </w:r>
          </w:p>
        </w:tc>
        <w:tc>
          <w:tcPr>
            <w:tcW w:w="1193" w:type="pct"/>
            <w:vAlign w:val="center"/>
          </w:tcPr>
          <w:p>
            <w:pPr>
              <w:pStyle w:val="21"/>
              <w:rPr>
                <w:rFonts w:hint="default"/>
              </w:rPr>
            </w:pPr>
            <w:r>
              <w:t>43.58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562" w:type="pct"/>
            <w:vAlign w:val="center"/>
          </w:tcPr>
          <w:p>
            <w:pPr>
              <w:pStyle w:val="21"/>
              <w:rPr>
                <w:rFonts w:hint="default"/>
              </w:rPr>
            </w:pPr>
            <w:r>
              <w:t>沙塘镇片区</w:t>
            </w:r>
          </w:p>
        </w:tc>
        <w:tc>
          <w:tcPr>
            <w:tcW w:w="914" w:type="pct"/>
            <w:vAlign w:val="center"/>
          </w:tcPr>
          <w:p>
            <w:pPr>
              <w:pStyle w:val="21"/>
              <w:rPr>
                <w:rFonts w:hint="default"/>
              </w:rPr>
            </w:pPr>
            <w:r>
              <w:t>2.8479</w:t>
            </w:r>
          </w:p>
        </w:tc>
        <w:tc>
          <w:tcPr>
            <w:tcW w:w="1331" w:type="pct"/>
            <w:vAlign w:val="center"/>
          </w:tcPr>
          <w:p>
            <w:pPr>
              <w:pStyle w:val="21"/>
              <w:rPr>
                <w:rFonts w:hint="default"/>
              </w:rPr>
            </w:pPr>
            <w:r>
              <w:t>1.3734</w:t>
            </w:r>
          </w:p>
        </w:tc>
        <w:tc>
          <w:tcPr>
            <w:tcW w:w="1193" w:type="pct"/>
            <w:vAlign w:val="center"/>
          </w:tcPr>
          <w:p>
            <w:pPr>
              <w:pStyle w:val="21"/>
              <w:rPr>
                <w:rFonts w:hint="default"/>
              </w:rPr>
            </w:pPr>
            <w:r>
              <w:t>48.20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562" w:type="pct"/>
            <w:vAlign w:val="center"/>
          </w:tcPr>
          <w:p>
            <w:pPr>
              <w:pStyle w:val="21"/>
              <w:rPr>
                <w:rFonts w:hint="default"/>
              </w:rPr>
            </w:pPr>
            <w:r>
              <w:t>合计</w:t>
            </w:r>
          </w:p>
        </w:tc>
        <w:tc>
          <w:tcPr>
            <w:tcW w:w="914" w:type="pct"/>
            <w:vAlign w:val="center"/>
          </w:tcPr>
          <w:p>
            <w:pPr>
              <w:pStyle w:val="21"/>
              <w:rPr>
                <w:rFonts w:hint="default"/>
              </w:rPr>
            </w:pPr>
            <w:r>
              <w:t>11.8123</w:t>
            </w:r>
          </w:p>
        </w:tc>
        <w:tc>
          <w:tcPr>
            <w:tcW w:w="1331" w:type="pct"/>
            <w:vAlign w:val="center"/>
          </w:tcPr>
          <w:p>
            <w:pPr>
              <w:pStyle w:val="21"/>
              <w:rPr>
                <w:rFonts w:hint="default"/>
              </w:rPr>
            </w:pPr>
            <w:r>
              <w:t>5.2813</w:t>
            </w:r>
          </w:p>
        </w:tc>
        <w:tc>
          <w:tcPr>
            <w:tcW w:w="1193" w:type="pct"/>
            <w:vAlign w:val="center"/>
          </w:tcPr>
          <w:p>
            <w:pPr>
              <w:pStyle w:val="21"/>
              <w:rPr>
                <w:rFonts w:hint="default"/>
              </w:rPr>
            </w:pPr>
            <w:r>
              <w:t>44.70</w:t>
            </w:r>
          </w:p>
        </w:tc>
      </w:tr>
    </w:tbl>
    <w:p>
      <w:pPr>
        <w:rPr>
          <w:rFonts w:hint="eastAsia" w:ascii="方正楷体_GBK" w:hAnsi="方正楷体_GBK" w:eastAsia="方正楷体_GBK" w:cs="方正楷体_GBK"/>
          <w:b/>
          <w:bCs w:val="0"/>
        </w:rPr>
      </w:pPr>
      <w:bookmarkStart w:id="26" w:name="_Toc15725"/>
      <w:r>
        <w:rPr>
          <w:rFonts w:hint="eastAsia" w:ascii="方正楷体_GBK" w:hAnsi="方正楷体_GBK" w:eastAsia="方正楷体_GBK" w:cs="方正楷体_GBK"/>
          <w:b/>
          <w:bCs w:val="0"/>
        </w:rPr>
        <w:t>（六）效益分析</w:t>
      </w:r>
    </w:p>
    <w:p>
      <w:pPr>
        <w:rPr>
          <w:b/>
          <w:bCs w:val="0"/>
        </w:rPr>
      </w:pPr>
      <w:bookmarkStart w:id="27" w:name="_Toc15388"/>
      <w:bookmarkStart w:id="28" w:name="_Toc27744"/>
      <w:bookmarkStart w:id="29" w:name="_Toc6200"/>
      <w:bookmarkStart w:id="30" w:name="_Toc85544412"/>
      <w:r>
        <w:rPr>
          <w:rFonts w:hint="eastAsia"/>
          <w:b/>
          <w:bCs w:val="0"/>
        </w:rPr>
        <w:t>1.土地利用效益</w:t>
      </w:r>
    </w:p>
    <w:p>
      <w:r>
        <w:rPr>
          <w:rFonts w:hint="eastAsia"/>
        </w:rPr>
        <w:t>通过成片开发，落实高效节约集约利用土地政策，有利于土地综合开发利用，保障项目建设用地供给。</w:t>
      </w:r>
    </w:p>
    <w:p>
      <w:pPr>
        <w:rPr>
          <w:b/>
          <w:bCs w:val="0"/>
        </w:rPr>
      </w:pPr>
      <w:r>
        <w:rPr>
          <w:rFonts w:hint="eastAsia"/>
          <w:b/>
          <w:bCs w:val="0"/>
        </w:rPr>
        <w:t>2.经济效益</w:t>
      </w:r>
    </w:p>
    <w:p>
      <w:r>
        <w:rPr>
          <w:rFonts w:hint="eastAsia"/>
        </w:rPr>
        <w:t>通过本项目的建设，可带动建筑、建材、交通、金融、市政、文化旅游等10多个行业、40多个相关产业的发展，有效拉动国民经济增长和财政增收。</w:t>
      </w:r>
    </w:p>
    <w:bookmarkEnd w:id="27"/>
    <w:bookmarkEnd w:id="28"/>
    <w:bookmarkEnd w:id="29"/>
    <w:bookmarkEnd w:id="30"/>
    <w:p>
      <w:pPr>
        <w:rPr>
          <w:b/>
          <w:bCs w:val="0"/>
        </w:rPr>
      </w:pPr>
      <w:bookmarkStart w:id="31" w:name="_Toc85544413"/>
      <w:r>
        <w:rPr>
          <w:rFonts w:hint="eastAsia"/>
          <w:b/>
          <w:bCs w:val="0"/>
        </w:rPr>
        <w:t>3.社会效益</w:t>
      </w:r>
    </w:p>
    <w:p>
      <w:r>
        <w:rPr>
          <w:rFonts w:hint="eastAsia"/>
        </w:rPr>
        <w:t>本次《调整方案》中不涉及拆除建筑和安置村民，通过项目实施，有利于创造就业机会，有效增加基础设施和公共服务设施供给，快速提高城市公益性产品服务水平，显著拓展城市空间和扩大城市容量，加快城镇化进程，快速改善城乡人居环境，促进城乡统筹发展。</w:t>
      </w:r>
    </w:p>
    <w:p>
      <w:pPr>
        <w:rPr>
          <w:b/>
          <w:bCs w:val="0"/>
        </w:rPr>
      </w:pPr>
      <w:r>
        <w:rPr>
          <w:rFonts w:hint="eastAsia"/>
          <w:b/>
          <w:bCs w:val="0"/>
        </w:rPr>
        <w:t>4.生态效益</w:t>
      </w:r>
    </w:p>
    <w:p>
      <w:r>
        <w:rPr>
          <w:rFonts w:hint="eastAsia"/>
        </w:rPr>
        <w:t>通过实施本次《调整方案》，规划实施住宅、商业、汽车驿站综合服务以及道路项目，通过增加城镇绿化种植覆盖面积，优化当前蓝绿空间布局，显著提高片区内生态环境品质；通过进一步完善周边基础设施和公共服务设施，增加项目周边绿化面积，周边生态环境质量得到进一步提升，促进项目区域生态环境实现良性循环。</w:t>
      </w:r>
    </w:p>
    <w:bookmarkEnd w:id="31"/>
    <w:p>
      <w:pPr>
        <w:rPr>
          <w:rFonts w:hint="eastAsia" w:ascii="方正楷体_GBK" w:hAnsi="方正楷体_GBK" w:eastAsia="方正楷体_GBK" w:cs="方正楷体_GBK"/>
          <w:b/>
          <w:bCs w:val="0"/>
        </w:rPr>
      </w:pPr>
      <w:r>
        <w:rPr>
          <w:rFonts w:hint="eastAsia" w:ascii="方正楷体_GBK" w:hAnsi="方正楷体_GBK" w:eastAsia="方正楷体_GBK" w:cs="方正楷体_GBK"/>
          <w:b/>
          <w:bCs w:val="0"/>
        </w:rPr>
        <w:t>（七）公众参与情况</w:t>
      </w:r>
      <w:bookmarkEnd w:id="26"/>
    </w:p>
    <w:p>
      <w:pPr>
        <w:rPr>
          <w:b/>
          <w:bCs w:val="0"/>
        </w:rPr>
      </w:pPr>
      <w:r>
        <w:rPr>
          <w:rFonts w:hint="eastAsia"/>
          <w:b/>
          <w:bCs w:val="0"/>
        </w:rPr>
        <w:t>1.公开征求意见情况</w:t>
      </w:r>
    </w:p>
    <w:p>
      <w:r>
        <w:rPr>
          <w:rFonts w:hint="eastAsia"/>
        </w:rPr>
        <w:t>2024年5月9日，组织相关专家、公众代表门参加《固原市隆德县2022年土地征收成片开发方案》（调整方案）论证会议，专家提出修改意见，并已按照意见进行修改。</w:t>
      </w:r>
    </w:p>
    <w:p>
      <w:pPr>
        <w:rPr>
          <w:b/>
          <w:bCs w:val="0"/>
        </w:rPr>
      </w:pPr>
      <w:r>
        <w:rPr>
          <w:rFonts w:hint="eastAsia"/>
          <w:b/>
          <w:bCs w:val="0"/>
        </w:rPr>
        <w:t>2.征求成片开发范围内农村集体经济组织和农民的意见</w:t>
      </w:r>
    </w:p>
    <w:bookmarkEnd w:id="20"/>
    <w:bookmarkEnd w:id="21"/>
    <w:bookmarkEnd w:id="22"/>
    <w:p>
      <w:r>
        <w:t>《调整方案》调入地块</w:t>
      </w:r>
      <w:r>
        <w:rPr>
          <w:rFonts w:hint="eastAsia"/>
        </w:rPr>
        <w:t>涉及</w:t>
      </w:r>
      <w:r>
        <w:t>集体土地，采取集中会议形式，征求</w:t>
      </w:r>
      <w:r>
        <w:rPr>
          <w:rFonts w:hint="eastAsia"/>
        </w:rPr>
        <w:t>城关镇隆泉社区、沙塘镇街道村和隆德县农业技术推广服务中心（即沙塘良种场）</w:t>
      </w:r>
      <w:r>
        <w:t>意见</w:t>
      </w:r>
      <w:r>
        <w:rPr>
          <w:rFonts w:hint="eastAsia"/>
        </w:rPr>
        <w:t>，与会代表均表示支持片区开发建设，对涉及本村（社区）的片区建设均无异议</w:t>
      </w:r>
      <w:r>
        <w:t>。</w:t>
      </w:r>
      <w:bookmarkStart w:id="32" w:name="_GoBack"/>
      <w:bookmarkEnd w:id="32"/>
    </w:p>
    <w:sectPr>
      <w:footerReference r:id="rId5" w:type="default"/>
      <w:pgSz w:w="11906" w:h="16838"/>
      <w:pgMar w:top="1985" w:right="1474" w:bottom="2098" w:left="1588"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华文行楷">
    <w:altName w:val="汉仪行楷简"/>
    <w:panose1 w:val="02010800040101010101"/>
    <w:charset w:val="86"/>
    <w:family w:val="auto"/>
    <w:pitch w:val="default"/>
    <w:sig w:usb0="00000000" w:usb1="00000000" w:usb2="00000010" w:usb3="00000000" w:csb0="00040000" w:csb1="00000000"/>
  </w:font>
  <w:font w:name="汉仪行楷简">
    <w:panose1 w:val="02010600000101010101"/>
    <w:charset w:val="86"/>
    <w:family w:val="auto"/>
    <w:pitch w:val="default"/>
    <w:sig w:usb0="00000001" w:usb1="080E0800" w:usb2="00000002"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仿宋">
    <w:altName w:val="方正仿宋_GBK"/>
    <w:panose1 w:val="02010609060101010101"/>
    <w:charset w:val="86"/>
    <w:family w:val="modern"/>
    <w:pitch w:val="default"/>
    <w:sig w:usb0="00000000" w:usb1="00000000"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Noto Sans CJK JP Bold">
    <w:panose1 w:val="020B0800000000000000"/>
    <w:charset w:val="86"/>
    <w:family w:val="auto"/>
    <w:pitch w:val="default"/>
    <w:sig w:usb0="30000003" w:usb1="2BDF3C10" w:usb2="00000016" w:usb3="00000000" w:csb0="602E0107" w:csb1="00000000"/>
  </w:font>
  <w:font w:name="方正小标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4883933"/>
      <w:docPartObj>
        <w:docPartGallery w:val="autotext"/>
      </w:docPartObj>
    </w:sdtPr>
    <w:sdtContent>
      <w:p>
        <w:pPr>
          <w:pStyle w:val="6"/>
        </w:pPr>
        <w:r>
          <w:fldChar w:fldCharType="begin"/>
        </w:r>
        <w:r>
          <w:instrText xml:space="preserve">PAGE   \* MERGEFORMAT</w:instrText>
        </w:r>
        <w:r>
          <w:fldChar w:fldCharType="separate"/>
        </w:r>
        <w:r>
          <w:rPr>
            <w:lang w:val="zh-CN"/>
          </w:rPr>
          <w:t>-</w:t>
        </w:r>
        <w:r>
          <w:t xml:space="preserve"> 15 -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5"/>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E0MDQ4MjQxZmM0ZjcyM2Q1MWUxYWFmMTMxZWY3NjAifQ=="/>
  </w:docVars>
  <w:rsids>
    <w:rsidRoot w:val="001047E7"/>
    <w:rsid w:val="00002AB0"/>
    <w:rsid w:val="00006792"/>
    <w:rsid w:val="000069BB"/>
    <w:rsid w:val="00010B21"/>
    <w:rsid w:val="00011B38"/>
    <w:rsid w:val="000124F2"/>
    <w:rsid w:val="00012894"/>
    <w:rsid w:val="0002230D"/>
    <w:rsid w:val="00034F62"/>
    <w:rsid w:val="00040D23"/>
    <w:rsid w:val="00050F13"/>
    <w:rsid w:val="000520DA"/>
    <w:rsid w:val="00062222"/>
    <w:rsid w:val="00063A02"/>
    <w:rsid w:val="00072BBD"/>
    <w:rsid w:val="00097807"/>
    <w:rsid w:val="000B0DA9"/>
    <w:rsid w:val="000B2A4B"/>
    <w:rsid w:val="000B5536"/>
    <w:rsid w:val="000B675E"/>
    <w:rsid w:val="000D57B9"/>
    <w:rsid w:val="000E0357"/>
    <w:rsid w:val="000F3CD1"/>
    <w:rsid w:val="000F5CA4"/>
    <w:rsid w:val="000F5EC7"/>
    <w:rsid w:val="001047E7"/>
    <w:rsid w:val="0010542B"/>
    <w:rsid w:val="00120E5A"/>
    <w:rsid w:val="00122B5D"/>
    <w:rsid w:val="00140D5C"/>
    <w:rsid w:val="00144790"/>
    <w:rsid w:val="00157768"/>
    <w:rsid w:val="0017118F"/>
    <w:rsid w:val="00171560"/>
    <w:rsid w:val="0019435C"/>
    <w:rsid w:val="001B4CC7"/>
    <w:rsid w:val="001C72EF"/>
    <w:rsid w:val="001D28E5"/>
    <w:rsid w:val="001E4059"/>
    <w:rsid w:val="001F0DC2"/>
    <w:rsid w:val="00225EAB"/>
    <w:rsid w:val="00227F6E"/>
    <w:rsid w:val="00233FC8"/>
    <w:rsid w:val="0023647B"/>
    <w:rsid w:val="00237645"/>
    <w:rsid w:val="002660D3"/>
    <w:rsid w:val="002669AF"/>
    <w:rsid w:val="002710EE"/>
    <w:rsid w:val="002822A8"/>
    <w:rsid w:val="00293302"/>
    <w:rsid w:val="002A4BAD"/>
    <w:rsid w:val="002C2206"/>
    <w:rsid w:val="002C231B"/>
    <w:rsid w:val="002C6A5C"/>
    <w:rsid w:val="002D45AA"/>
    <w:rsid w:val="002D586E"/>
    <w:rsid w:val="002E3D01"/>
    <w:rsid w:val="002F1A2C"/>
    <w:rsid w:val="002F50F5"/>
    <w:rsid w:val="002F7FE3"/>
    <w:rsid w:val="00314C73"/>
    <w:rsid w:val="003259B3"/>
    <w:rsid w:val="00325C72"/>
    <w:rsid w:val="003367AA"/>
    <w:rsid w:val="00337FAB"/>
    <w:rsid w:val="00340D45"/>
    <w:rsid w:val="00340FD9"/>
    <w:rsid w:val="00360F99"/>
    <w:rsid w:val="00362D1B"/>
    <w:rsid w:val="00371834"/>
    <w:rsid w:val="00373E6F"/>
    <w:rsid w:val="00377AA6"/>
    <w:rsid w:val="003829C7"/>
    <w:rsid w:val="00383828"/>
    <w:rsid w:val="00396175"/>
    <w:rsid w:val="003A5925"/>
    <w:rsid w:val="003A6B82"/>
    <w:rsid w:val="003B3C2D"/>
    <w:rsid w:val="003D4165"/>
    <w:rsid w:val="003D5F87"/>
    <w:rsid w:val="003E7411"/>
    <w:rsid w:val="003E790E"/>
    <w:rsid w:val="003F2116"/>
    <w:rsid w:val="003F23C5"/>
    <w:rsid w:val="003F7E74"/>
    <w:rsid w:val="00401733"/>
    <w:rsid w:val="00433A2E"/>
    <w:rsid w:val="00443F20"/>
    <w:rsid w:val="00453029"/>
    <w:rsid w:val="004613E7"/>
    <w:rsid w:val="00467380"/>
    <w:rsid w:val="0048032C"/>
    <w:rsid w:val="00481D7E"/>
    <w:rsid w:val="004870AF"/>
    <w:rsid w:val="004916D0"/>
    <w:rsid w:val="00492F8F"/>
    <w:rsid w:val="00494F40"/>
    <w:rsid w:val="004E3C01"/>
    <w:rsid w:val="004E5BCF"/>
    <w:rsid w:val="004E7425"/>
    <w:rsid w:val="004F14A9"/>
    <w:rsid w:val="004F4197"/>
    <w:rsid w:val="00507A12"/>
    <w:rsid w:val="00510668"/>
    <w:rsid w:val="005167ED"/>
    <w:rsid w:val="005201A7"/>
    <w:rsid w:val="005246AD"/>
    <w:rsid w:val="00537FF4"/>
    <w:rsid w:val="005565ED"/>
    <w:rsid w:val="00561A0E"/>
    <w:rsid w:val="005732A7"/>
    <w:rsid w:val="005C632D"/>
    <w:rsid w:val="005D298C"/>
    <w:rsid w:val="005F30D8"/>
    <w:rsid w:val="005F47FD"/>
    <w:rsid w:val="00614F1A"/>
    <w:rsid w:val="0061656D"/>
    <w:rsid w:val="006173DB"/>
    <w:rsid w:val="00632BAB"/>
    <w:rsid w:val="006409C1"/>
    <w:rsid w:val="00644752"/>
    <w:rsid w:val="0065458F"/>
    <w:rsid w:val="00666F8F"/>
    <w:rsid w:val="0067774D"/>
    <w:rsid w:val="0069549A"/>
    <w:rsid w:val="006B529F"/>
    <w:rsid w:val="006C03D6"/>
    <w:rsid w:val="006C1845"/>
    <w:rsid w:val="006C3F49"/>
    <w:rsid w:val="006D43C1"/>
    <w:rsid w:val="006E6003"/>
    <w:rsid w:val="006F2736"/>
    <w:rsid w:val="007068E0"/>
    <w:rsid w:val="007079E1"/>
    <w:rsid w:val="00715563"/>
    <w:rsid w:val="00717121"/>
    <w:rsid w:val="00724940"/>
    <w:rsid w:val="00730CC7"/>
    <w:rsid w:val="0073262C"/>
    <w:rsid w:val="00732D63"/>
    <w:rsid w:val="00755264"/>
    <w:rsid w:val="00762CB1"/>
    <w:rsid w:val="007A4E55"/>
    <w:rsid w:val="007D2D6B"/>
    <w:rsid w:val="007E67CD"/>
    <w:rsid w:val="00806242"/>
    <w:rsid w:val="00806586"/>
    <w:rsid w:val="00834C4B"/>
    <w:rsid w:val="00845AEA"/>
    <w:rsid w:val="00846031"/>
    <w:rsid w:val="008633AD"/>
    <w:rsid w:val="00870120"/>
    <w:rsid w:val="008823CC"/>
    <w:rsid w:val="008B7249"/>
    <w:rsid w:val="008D3D3D"/>
    <w:rsid w:val="00910692"/>
    <w:rsid w:val="00915EFE"/>
    <w:rsid w:val="00930876"/>
    <w:rsid w:val="00932A53"/>
    <w:rsid w:val="00933755"/>
    <w:rsid w:val="00935EA0"/>
    <w:rsid w:val="00941AB1"/>
    <w:rsid w:val="0097204F"/>
    <w:rsid w:val="00993DD6"/>
    <w:rsid w:val="009A0568"/>
    <w:rsid w:val="009A4BD9"/>
    <w:rsid w:val="009B1676"/>
    <w:rsid w:val="009C332F"/>
    <w:rsid w:val="009E22A6"/>
    <w:rsid w:val="009E61B0"/>
    <w:rsid w:val="009F35F4"/>
    <w:rsid w:val="00A1266F"/>
    <w:rsid w:val="00A20061"/>
    <w:rsid w:val="00A210A4"/>
    <w:rsid w:val="00A22ACA"/>
    <w:rsid w:val="00A23048"/>
    <w:rsid w:val="00A263F4"/>
    <w:rsid w:val="00A356A8"/>
    <w:rsid w:val="00A366F7"/>
    <w:rsid w:val="00A45A86"/>
    <w:rsid w:val="00A848B6"/>
    <w:rsid w:val="00AB7283"/>
    <w:rsid w:val="00AC1E14"/>
    <w:rsid w:val="00AC7CC0"/>
    <w:rsid w:val="00AD3826"/>
    <w:rsid w:val="00AD67C5"/>
    <w:rsid w:val="00B04E91"/>
    <w:rsid w:val="00B060FD"/>
    <w:rsid w:val="00B113E4"/>
    <w:rsid w:val="00B117FD"/>
    <w:rsid w:val="00B15146"/>
    <w:rsid w:val="00B206C8"/>
    <w:rsid w:val="00B31FEF"/>
    <w:rsid w:val="00B5786B"/>
    <w:rsid w:val="00B62F4A"/>
    <w:rsid w:val="00B67C51"/>
    <w:rsid w:val="00B746C3"/>
    <w:rsid w:val="00B977CC"/>
    <w:rsid w:val="00B9781B"/>
    <w:rsid w:val="00BA5F27"/>
    <w:rsid w:val="00BB0059"/>
    <w:rsid w:val="00BB7AE5"/>
    <w:rsid w:val="00BD083E"/>
    <w:rsid w:val="00BE1228"/>
    <w:rsid w:val="00BE655E"/>
    <w:rsid w:val="00C05F78"/>
    <w:rsid w:val="00C16B95"/>
    <w:rsid w:val="00C16D41"/>
    <w:rsid w:val="00C3797F"/>
    <w:rsid w:val="00C41378"/>
    <w:rsid w:val="00C418CF"/>
    <w:rsid w:val="00C536FC"/>
    <w:rsid w:val="00C56F76"/>
    <w:rsid w:val="00C578BC"/>
    <w:rsid w:val="00C63040"/>
    <w:rsid w:val="00C74214"/>
    <w:rsid w:val="00C81643"/>
    <w:rsid w:val="00C8644C"/>
    <w:rsid w:val="00CA3FFC"/>
    <w:rsid w:val="00CA79D4"/>
    <w:rsid w:val="00CB4CC9"/>
    <w:rsid w:val="00CB76BB"/>
    <w:rsid w:val="00CD06EC"/>
    <w:rsid w:val="00CD363A"/>
    <w:rsid w:val="00CE4A5F"/>
    <w:rsid w:val="00CF29BF"/>
    <w:rsid w:val="00D01676"/>
    <w:rsid w:val="00D34ABA"/>
    <w:rsid w:val="00D437E5"/>
    <w:rsid w:val="00D52E9B"/>
    <w:rsid w:val="00D66BD4"/>
    <w:rsid w:val="00D7155E"/>
    <w:rsid w:val="00D774CC"/>
    <w:rsid w:val="00D80D65"/>
    <w:rsid w:val="00D849C1"/>
    <w:rsid w:val="00DA5158"/>
    <w:rsid w:val="00DB1227"/>
    <w:rsid w:val="00DB5966"/>
    <w:rsid w:val="00DE01AB"/>
    <w:rsid w:val="00DE2E50"/>
    <w:rsid w:val="00DF2BCA"/>
    <w:rsid w:val="00DF2CFB"/>
    <w:rsid w:val="00E028A3"/>
    <w:rsid w:val="00E0521A"/>
    <w:rsid w:val="00E074F1"/>
    <w:rsid w:val="00E10C4C"/>
    <w:rsid w:val="00E433E9"/>
    <w:rsid w:val="00E518B1"/>
    <w:rsid w:val="00E60224"/>
    <w:rsid w:val="00E71C13"/>
    <w:rsid w:val="00E8039E"/>
    <w:rsid w:val="00EA7980"/>
    <w:rsid w:val="00EB0BFD"/>
    <w:rsid w:val="00EB25A9"/>
    <w:rsid w:val="00EB4BB8"/>
    <w:rsid w:val="00EC14F9"/>
    <w:rsid w:val="00ED1C7C"/>
    <w:rsid w:val="00F04109"/>
    <w:rsid w:val="00F1090C"/>
    <w:rsid w:val="00F11830"/>
    <w:rsid w:val="00F20426"/>
    <w:rsid w:val="00F21806"/>
    <w:rsid w:val="00F22837"/>
    <w:rsid w:val="00F30191"/>
    <w:rsid w:val="00F51536"/>
    <w:rsid w:val="00F528AF"/>
    <w:rsid w:val="00F73536"/>
    <w:rsid w:val="00F80709"/>
    <w:rsid w:val="00F82B47"/>
    <w:rsid w:val="00F9078D"/>
    <w:rsid w:val="00FA223C"/>
    <w:rsid w:val="00FB2447"/>
    <w:rsid w:val="00FD0CE7"/>
    <w:rsid w:val="00FF3534"/>
    <w:rsid w:val="00FF3EB1"/>
    <w:rsid w:val="00FF4051"/>
    <w:rsid w:val="3E4601A9"/>
    <w:rsid w:val="6EB92686"/>
    <w:rsid w:val="FFB8FF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99" w:semiHidden="0"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640"/>
      <w:jc w:val="both"/>
    </w:pPr>
    <w:rPr>
      <w:rFonts w:ascii="仿宋_GB2312" w:eastAsia="仿宋_GB2312" w:cs="Times New Roman" w:hAnsiTheme="minorHAnsi"/>
      <w:bCs/>
      <w:kern w:val="2"/>
      <w:sz w:val="32"/>
      <w:szCs w:val="32"/>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pPr>
      <w:spacing w:line="240" w:lineRule="auto"/>
      <w:ind w:firstLine="0"/>
      <w:jc w:val="center"/>
    </w:pPr>
    <w:rPr>
      <w:rFonts w:eastAsia="黑体" w:asciiTheme="majorHAnsi" w:hAnsiTheme="majorHAnsi" w:cstheme="majorBidi"/>
      <w:b/>
      <w:bCs w:val="0"/>
      <w:sz w:val="20"/>
      <w:szCs w:val="20"/>
    </w:rPr>
  </w:style>
  <w:style w:type="paragraph" w:styleId="3">
    <w:name w:val="index 5"/>
    <w:basedOn w:val="1"/>
    <w:next w:val="1"/>
    <w:unhideWhenUsed/>
    <w:qFormat/>
    <w:uiPriority w:val="99"/>
    <w:pPr>
      <w:ind w:left="1680"/>
      <w:jc w:val="left"/>
    </w:pPr>
    <w:rPr>
      <w:rFonts w:ascii="黑体" w:eastAsia="黑体"/>
    </w:rPr>
  </w:style>
  <w:style w:type="paragraph" w:styleId="4">
    <w:name w:val="Body Text Indent 2"/>
    <w:basedOn w:val="1"/>
    <w:link w:val="17"/>
    <w:qFormat/>
    <w:uiPriority w:val="0"/>
    <w:pPr>
      <w:spacing w:line="520" w:lineRule="exact"/>
      <w:ind w:firstLine="630"/>
    </w:pPr>
    <w:rPr>
      <w:rFonts w:eastAsia="华文行楷"/>
    </w:rPr>
  </w:style>
  <w:style w:type="paragraph" w:styleId="5">
    <w:name w:val="Balloon Text"/>
    <w:basedOn w:val="1"/>
    <w:link w:val="16"/>
    <w:semiHidden/>
    <w:unhideWhenUsed/>
    <w:uiPriority w:val="99"/>
    <w:rPr>
      <w:sz w:val="18"/>
      <w:szCs w:val="18"/>
    </w:rPr>
  </w:style>
  <w:style w:type="paragraph" w:styleId="6">
    <w:name w:val="footer"/>
    <w:basedOn w:val="1"/>
    <w:link w:val="13"/>
    <w:qFormat/>
    <w:uiPriority w:val="99"/>
    <w:pPr>
      <w:tabs>
        <w:tab w:val="center" w:pos="4153"/>
        <w:tab w:val="right" w:pos="8306"/>
      </w:tabs>
      <w:snapToGrid w:val="0"/>
      <w:spacing w:line="360" w:lineRule="auto"/>
      <w:jc w:val="center"/>
    </w:pPr>
    <w:rPr>
      <w:rFonts w:ascii="Times New Roman" w:hAnsi="Times New Roman" w:eastAsia="宋体" w:cs="黑体"/>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link w:val="14"/>
    <w:semiHidden/>
    <w:unhideWhenUsed/>
    <w:qFormat/>
    <w:uiPriority w:val="0"/>
    <w:pPr>
      <w:snapToGrid w:val="0"/>
      <w:spacing w:line="360" w:lineRule="auto"/>
      <w:jc w:val="left"/>
    </w:pPr>
    <w:rPr>
      <w:rFonts w:ascii="Times New Roman" w:hAnsi="Times New Roman" w:eastAsia="宋体" w:cs="黑体"/>
      <w:sz w:val="18"/>
      <w:szCs w:val="18"/>
    </w:rPr>
  </w:style>
  <w:style w:type="paragraph" w:styleId="9">
    <w:name w:val="Title"/>
    <w:basedOn w:val="1"/>
    <w:next w:val="1"/>
    <w:link w:val="18"/>
    <w:qFormat/>
    <w:uiPriority w:val="10"/>
    <w:pPr>
      <w:spacing w:before="240" w:after="60"/>
      <w:jc w:val="center"/>
      <w:outlineLvl w:val="0"/>
    </w:pPr>
    <w:rPr>
      <w:rFonts w:asciiTheme="majorHAnsi" w:hAnsiTheme="majorHAnsi" w:eastAsiaTheme="majorEastAsia" w:cstheme="majorBidi"/>
      <w:b/>
    </w:rPr>
  </w:style>
  <w:style w:type="character" w:styleId="12">
    <w:name w:val="footnote reference"/>
    <w:basedOn w:val="11"/>
    <w:semiHidden/>
    <w:unhideWhenUsed/>
    <w:qFormat/>
    <w:uiPriority w:val="0"/>
    <w:rPr>
      <w:vertAlign w:val="superscript"/>
    </w:rPr>
  </w:style>
  <w:style w:type="character" w:customStyle="1" w:styleId="13">
    <w:name w:val="页脚 字符"/>
    <w:basedOn w:val="11"/>
    <w:link w:val="6"/>
    <w:qFormat/>
    <w:uiPriority w:val="99"/>
    <w:rPr>
      <w:rFonts w:cs="黑体"/>
      <w:bCs/>
      <w:kern w:val="2"/>
      <w:sz w:val="18"/>
      <w:szCs w:val="18"/>
    </w:rPr>
  </w:style>
  <w:style w:type="character" w:customStyle="1" w:styleId="14">
    <w:name w:val="脚注文本 字符"/>
    <w:basedOn w:val="11"/>
    <w:link w:val="8"/>
    <w:semiHidden/>
    <w:qFormat/>
    <w:uiPriority w:val="0"/>
    <w:rPr>
      <w:rFonts w:ascii="Times New Roman" w:hAnsi="Times New Roman" w:eastAsia="宋体" w:cs="黑体"/>
      <w:sz w:val="18"/>
      <w:szCs w:val="18"/>
    </w:rPr>
  </w:style>
  <w:style w:type="character" w:customStyle="1" w:styleId="15">
    <w:name w:val="页眉 字符"/>
    <w:basedOn w:val="11"/>
    <w:link w:val="7"/>
    <w:qFormat/>
    <w:uiPriority w:val="99"/>
    <w:rPr>
      <w:sz w:val="18"/>
      <w:szCs w:val="18"/>
    </w:rPr>
  </w:style>
  <w:style w:type="character" w:customStyle="1" w:styleId="16">
    <w:name w:val="批注框文本 字符"/>
    <w:basedOn w:val="11"/>
    <w:link w:val="5"/>
    <w:semiHidden/>
    <w:qFormat/>
    <w:uiPriority w:val="99"/>
    <w:rPr>
      <w:sz w:val="18"/>
      <w:szCs w:val="18"/>
    </w:rPr>
  </w:style>
  <w:style w:type="character" w:customStyle="1" w:styleId="17">
    <w:name w:val="正文文本缩进 2 字符"/>
    <w:basedOn w:val="11"/>
    <w:link w:val="4"/>
    <w:uiPriority w:val="0"/>
    <w:rPr>
      <w:rFonts w:eastAsia="华文行楷"/>
    </w:rPr>
  </w:style>
  <w:style w:type="character" w:customStyle="1" w:styleId="18">
    <w:name w:val="标题 字符"/>
    <w:basedOn w:val="11"/>
    <w:link w:val="9"/>
    <w:uiPriority w:val="10"/>
    <w:rPr>
      <w:rFonts w:asciiTheme="majorHAnsi" w:hAnsiTheme="majorHAnsi" w:eastAsiaTheme="majorEastAsia" w:cstheme="majorBidi"/>
      <w:b/>
      <w:bCs/>
      <w:kern w:val="2"/>
      <w:sz w:val="32"/>
      <w:szCs w:val="32"/>
    </w:rPr>
  </w:style>
  <w:style w:type="paragraph" w:customStyle="1" w:styleId="19">
    <w:name w:val="图表"/>
    <w:basedOn w:val="1"/>
    <w:next w:val="1"/>
    <w:qFormat/>
    <w:uiPriority w:val="0"/>
    <w:pPr>
      <w:spacing w:line="360" w:lineRule="auto"/>
      <w:ind w:firstLine="0"/>
      <w:jc w:val="center"/>
    </w:pPr>
    <w:rPr>
      <w:rFonts w:ascii="黑体" w:eastAsia="黑体" w:cstheme="minorBidi"/>
      <w:bCs w:val="0"/>
      <w:sz w:val="21"/>
      <w:szCs w:val="22"/>
    </w:rPr>
  </w:style>
  <w:style w:type="table" w:customStyle="1" w:styleId="2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1">
    <w:name w:val="表格数据"/>
    <w:basedOn w:val="1"/>
    <w:qFormat/>
    <w:uiPriority w:val="0"/>
    <w:pPr>
      <w:widowControl/>
      <w:spacing w:line="240" w:lineRule="auto"/>
      <w:ind w:firstLine="0"/>
      <w:jc w:val="center"/>
      <w:textAlignment w:val="center"/>
    </w:pPr>
    <w:rPr>
      <w:rFonts w:hint="eastAsia" w:ascii="Times New Roman" w:hAnsi="Times New Roman"/>
      <w:bCs w:val="0"/>
      <w:color w:val="000000"/>
      <w:kern w:val="0"/>
      <w:sz w:val="21"/>
      <w:szCs w:val="21"/>
    </w:rPr>
  </w:style>
  <w:style w:type="paragraph" w:customStyle="1" w:styleId="22">
    <w:name w:val="文本"/>
    <w:basedOn w:val="1"/>
    <w:qFormat/>
    <w:uiPriority w:val="0"/>
    <w:pPr>
      <w:spacing w:line="360" w:lineRule="auto"/>
      <w:ind w:firstLine="200" w:firstLineChars="200"/>
    </w:pPr>
    <w:rPr>
      <w:rFonts w:eastAsia="仿宋" w:asciiTheme="minorHAnsi" w:cstheme="minorBidi"/>
      <w:bCs w:val="0"/>
      <w:sz w:val="2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563</Words>
  <Characters>3214</Characters>
  <Lines>26</Lines>
  <Paragraphs>7</Paragraphs>
  <TotalTime>54</TotalTime>
  <ScaleCrop>false</ScaleCrop>
  <LinksUpToDate>false</LinksUpToDate>
  <CharactersWithSpaces>3770</CharactersWithSpaces>
  <Application>WPS Office_11.8.2.11929_F1E327BC-269C-435d-A152-05C5408002CA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2024-02-18T10:04:00Z</dcterms:created>
  <dc:creator>宋石莹</dc:creator>
  <cp:lastModifiedBy>uos</cp:lastModifiedBy>
  <cp:lastPrinted>2024-02-19T11:01:00Z</cp:lastPrinted>
  <dcterms:modified xsi:type="dcterms:W3CDTF">2024-05-10T15:21:15Z</dcterms:modified>
  <cp:revision>242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2052-11.8.2.11929</vt:lpwstr>
  </property>
  <property fmtid="{D5CDD505-2E9C-101B-9397-08002B2CF9AE}" pid="3" name="ICV">
    <vt:lpwstr>76A9BE2DE21E2159EBCA3D6601A87C54</vt:lpwstr>
  </property>
</Properties>
</file>