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lang w:eastAsia="zh-CN"/>
        </w:rPr>
        <w:t>隆德县20</w:t>
      </w:r>
      <w:r>
        <w:rPr>
          <w:rFonts w:hint="eastAsia" w:ascii="方正小标宋_GBK" w:hAnsi="方正小标宋_GBK" w:eastAsia="方正小标宋_GBK" w:cs="方正小标宋_GBK"/>
          <w:b w:val="0"/>
          <w:bCs/>
          <w:sz w:val="44"/>
          <w:szCs w:val="44"/>
          <w:lang w:val="en-US" w:eastAsia="zh-CN"/>
        </w:rPr>
        <w:t>24</w:t>
      </w:r>
      <w:r>
        <w:rPr>
          <w:rFonts w:hint="eastAsia" w:ascii="方正小标宋_GBK" w:hAnsi="方正小标宋_GBK" w:eastAsia="方正小标宋_GBK" w:cs="方正小标宋_GBK"/>
          <w:b w:val="0"/>
          <w:bCs/>
          <w:sz w:val="44"/>
          <w:szCs w:val="44"/>
        </w:rPr>
        <w:t>年动物</w:t>
      </w:r>
      <w:r>
        <w:rPr>
          <w:rFonts w:hint="eastAsia" w:ascii="方正小标宋_GBK" w:hAnsi="方正小标宋_GBK" w:eastAsia="方正小标宋_GBK" w:cs="方正小标宋_GBK"/>
          <w:b w:val="0"/>
          <w:bCs/>
          <w:sz w:val="44"/>
          <w:szCs w:val="44"/>
          <w:lang w:eastAsia="zh-CN"/>
        </w:rPr>
        <w:t>防疫项目</w:t>
      </w:r>
      <w:r>
        <w:rPr>
          <w:rFonts w:hint="eastAsia" w:ascii="方正小标宋_GBK" w:hAnsi="方正小标宋_GBK" w:eastAsia="方正小标宋_GBK" w:cs="方正小标宋_GBK"/>
          <w:b w:val="0"/>
          <w:bCs/>
          <w:sz w:val="44"/>
          <w:szCs w:val="44"/>
        </w:rPr>
        <w:t>实施方案</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jc w:val="center"/>
        <w:textAlignment w:val="auto"/>
        <w:outlineLvl w:val="9"/>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lang w:eastAsia="zh-CN"/>
        </w:rPr>
        <w:t>（中央财政）</w:t>
      </w:r>
    </w:p>
    <w:p>
      <w:pPr>
        <w:keepNext w:val="0"/>
        <w:keepLines w:val="0"/>
        <w:pageBreakBefore w:val="0"/>
        <w:widowControl w:val="0"/>
        <w:kinsoku/>
        <w:wordWrap/>
        <w:overflowPunct/>
        <w:topLinePunct w:val="0"/>
        <w:autoSpaceDE/>
        <w:autoSpaceDN/>
        <w:bidi w:val="0"/>
        <w:adjustRightInd/>
        <w:snapToGrid w:val="0"/>
        <w:spacing w:before="156" w:beforeLines="50" w:line="560" w:lineRule="exact"/>
        <w:ind w:right="0" w:rightChars="0" w:firstLine="640" w:firstLineChars="200"/>
        <w:jc w:val="both"/>
        <w:textAlignment w:val="auto"/>
        <w:outlineLvl w:val="9"/>
        <w:rPr>
          <w:rFonts w:hint="eastAsia" w:ascii="仿宋_GB2312" w:hAnsi="仿宋_GB2312" w:eastAsia="仿宋_GB2312" w:cs="方正仿宋简体"/>
          <w:sz w:val="32"/>
          <w:szCs w:val="32"/>
          <w:lang w:eastAsia="zh-CN"/>
        </w:rPr>
      </w:pPr>
      <w:r>
        <w:rPr>
          <w:rFonts w:hint="eastAsia" w:ascii="仿宋_GB2312" w:hAnsi="仿宋_GB2312" w:eastAsia="仿宋_GB2312" w:cs="方正仿宋简体"/>
          <w:sz w:val="32"/>
          <w:szCs w:val="32"/>
          <w:lang w:eastAsia="zh-CN"/>
        </w:rPr>
        <w:t>根据</w:t>
      </w:r>
      <w:r>
        <w:rPr>
          <w:rFonts w:hint="eastAsia" w:ascii="仿宋_GB2312" w:hAnsi="仿宋_GB2312" w:eastAsia="仿宋_GB2312" w:cs="仿宋_GB2312"/>
          <w:color w:val="000000"/>
          <w:sz w:val="32"/>
          <w:szCs w:val="32"/>
          <w:lang w:eastAsia="zh-CN"/>
        </w:rPr>
        <w:t>《关于提前下达</w:t>
      </w:r>
      <w:r>
        <w:rPr>
          <w:rFonts w:hint="eastAsia" w:ascii="仿宋_GB2312" w:hAnsi="仿宋_GB2312" w:eastAsia="仿宋_GB2312" w:cs="仿宋_GB2312"/>
          <w:color w:val="000000"/>
          <w:sz w:val="32"/>
          <w:szCs w:val="32"/>
          <w:lang w:val="en-US" w:eastAsia="zh-CN"/>
        </w:rPr>
        <w:t>2024年</w:t>
      </w:r>
      <w:r>
        <w:rPr>
          <w:rFonts w:hint="eastAsia" w:ascii="仿宋_GB2312" w:hAnsi="仿宋_GB2312" w:eastAsia="仿宋_GB2312" w:cs="仿宋_GB2312"/>
          <w:color w:val="000000"/>
          <w:sz w:val="32"/>
          <w:szCs w:val="32"/>
          <w:lang w:eastAsia="zh-CN"/>
        </w:rPr>
        <w:t>中央和自治区</w:t>
      </w:r>
      <w:r>
        <w:rPr>
          <w:rFonts w:hint="eastAsia" w:ascii="仿宋_GB2312" w:hAnsi="仿宋_GB2312" w:eastAsia="仿宋_GB2312" w:cs="仿宋_GB2312"/>
          <w:color w:val="000000"/>
          <w:sz w:val="32"/>
          <w:szCs w:val="32"/>
          <w:lang w:val="en-US" w:eastAsia="zh-CN"/>
        </w:rPr>
        <w:t>第一批财政支农项目计划的通知》</w:t>
      </w:r>
      <w:r>
        <w:rPr>
          <w:rFonts w:hint="eastAsia" w:ascii="仿宋_GB2312" w:hAnsi="仿宋_GB2312" w:eastAsia="仿宋_GB2312" w:cs="方正仿宋简体"/>
          <w:sz w:val="32"/>
          <w:szCs w:val="32"/>
          <w:lang w:val="en-US" w:eastAsia="zh-CN"/>
        </w:rPr>
        <w:t>（宁农（计）发〔2023〕41号）精神，</w:t>
      </w:r>
      <w:r>
        <w:rPr>
          <w:rFonts w:hint="eastAsia" w:ascii="仿宋_GB2312" w:hAnsi="仿宋_GB2312" w:eastAsia="仿宋_GB2312" w:cs="方正仿宋简体"/>
          <w:sz w:val="32"/>
          <w:szCs w:val="32"/>
          <w:lang w:eastAsia="zh-CN"/>
        </w:rPr>
        <w:t>深入贯彻实施国家中长期动物疫病防治规划，切实做好重大动物疫病防控工作，保障全县</w:t>
      </w:r>
      <w:r>
        <w:rPr>
          <w:rFonts w:hint="eastAsia" w:ascii="仿宋_GB2312" w:hAnsi="仿宋_GB2312" w:eastAsia="仿宋_GB2312" w:cs="方正仿宋简体"/>
          <w:sz w:val="32"/>
          <w:szCs w:val="32"/>
          <w:lang w:val="en-US" w:eastAsia="zh-CN"/>
        </w:rPr>
        <w:t>肉牛</w:t>
      </w:r>
      <w:r>
        <w:rPr>
          <w:rFonts w:hint="eastAsia" w:ascii="仿宋_GB2312" w:hAnsi="仿宋_GB2312" w:eastAsia="仿宋_GB2312" w:cs="方正仿宋简体"/>
          <w:sz w:val="32"/>
          <w:szCs w:val="32"/>
          <w:lang w:eastAsia="zh-CN"/>
        </w:rPr>
        <w:t>产业健康持续发展，维护公共卫生安全，促进人民持续增收和县域经济稳定快速增长，结合我县实际情况，制定本方案。</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firstLine="600"/>
        <w:jc w:val="both"/>
        <w:textAlignment w:val="auto"/>
        <w:outlineLvl w:val="9"/>
        <w:rPr>
          <w:rFonts w:hint="eastAsia" w:ascii="黑体" w:eastAsia="黑体"/>
          <w:bCs/>
          <w:sz w:val="32"/>
          <w:szCs w:val="32"/>
        </w:rPr>
      </w:pPr>
      <w:r>
        <w:rPr>
          <w:rFonts w:hint="eastAsia" w:ascii="黑体" w:eastAsia="黑体"/>
          <w:bCs/>
          <w:sz w:val="32"/>
          <w:szCs w:val="32"/>
        </w:rPr>
        <w:t>一、</w:t>
      </w:r>
      <w:r>
        <w:rPr>
          <w:rFonts w:hint="eastAsia" w:ascii="黑体" w:eastAsia="黑体"/>
          <w:bCs/>
          <w:sz w:val="32"/>
          <w:szCs w:val="32"/>
          <w:lang w:eastAsia="zh-CN"/>
        </w:rPr>
        <w:t>指导思想</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坚持以习近平新时代中国特色社会主义思想为指导，深入贯彻党的二十大精神，全面落实自治区第十三次党代会的安排部署，围绕</w:t>
      </w:r>
      <w:r>
        <w:rPr>
          <w:rFonts w:hint="eastAsia" w:ascii="仿宋_GB2312" w:hAnsi="仿宋_GB2312" w:eastAsia="仿宋_GB2312" w:cs="仿宋_GB2312"/>
          <w:sz w:val="32"/>
          <w:szCs w:val="32"/>
        </w:rPr>
        <w:t>乡村振兴战略目标，以兽医改革创新为驱动，强化举措、狠抓落实，有效防控重大动物疫病和人畜共患传染病，全面提升从养殖到屠宰的全链条兽医卫生风险防控水平</w:t>
      </w:r>
      <w:r>
        <w:rPr>
          <w:rFonts w:hint="eastAsia" w:ascii="仿宋_GB2312" w:eastAsia="仿宋_GB2312"/>
          <w:sz w:val="32"/>
          <w:szCs w:val="32"/>
        </w:rPr>
        <w:t>，</w:t>
      </w:r>
      <w:r>
        <w:rPr>
          <w:rFonts w:hint="eastAsia" w:ascii="仿宋_GB2312" w:hAnsi="仿宋_GB2312" w:eastAsia="仿宋_GB2312" w:cs="仿宋_GB2312"/>
          <w:sz w:val="32"/>
          <w:szCs w:val="32"/>
          <w:lang w:eastAsia="zh-CN"/>
        </w:rPr>
        <w:t>全面提升从养殖到屠宰的全链条兽医卫生风险控制水平，切实保障全县养殖业生产安全、动物产品质量安全、公共卫生安全和生态安全。</w:t>
      </w:r>
    </w:p>
    <w:p>
      <w:pPr>
        <w:keepNext w:val="0"/>
        <w:keepLines w:val="0"/>
        <w:pageBreakBefore w:val="0"/>
        <w:widowControl w:val="0"/>
        <w:numPr>
          <w:ilvl w:val="0"/>
          <w:numId w:val="1"/>
        </w:numPr>
        <w:kinsoku/>
        <w:wordWrap/>
        <w:overflowPunct/>
        <w:topLinePunct w:val="0"/>
        <w:autoSpaceDE/>
        <w:autoSpaceDN/>
        <w:bidi w:val="0"/>
        <w:adjustRightInd/>
        <w:snapToGrid w:val="0"/>
        <w:spacing w:before="0" w:beforeLines="0" w:after="0" w:afterLines="0" w:line="560" w:lineRule="exact"/>
        <w:ind w:left="0" w:leftChars="0" w:right="0" w:rightChars="0" w:firstLine="600"/>
        <w:jc w:val="both"/>
        <w:textAlignment w:val="auto"/>
        <w:outlineLvl w:val="9"/>
        <w:rPr>
          <w:rFonts w:hint="eastAsia" w:ascii="黑体" w:eastAsia="黑体"/>
          <w:bCs/>
          <w:sz w:val="32"/>
          <w:szCs w:val="32"/>
          <w:lang w:eastAsia="zh-CN"/>
        </w:rPr>
      </w:pPr>
      <w:r>
        <w:rPr>
          <w:rFonts w:hint="eastAsia" w:ascii="黑体" w:eastAsia="黑体"/>
          <w:bCs/>
          <w:sz w:val="32"/>
          <w:szCs w:val="32"/>
          <w:lang w:eastAsia="zh-CN"/>
        </w:rPr>
        <w:t>主要目标</w:t>
      </w:r>
      <w:bookmarkStart w:id="0" w:name="OLE_LINK1"/>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开展重大动物疫病强制免疫</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全县口蹄疫、高致病性禽流感、</w:t>
      </w:r>
      <w:r>
        <w:rPr>
          <w:rFonts w:hint="eastAsia" w:ascii="仿宋_GB2312" w:hAnsi="仿宋_GB2312" w:eastAsia="仿宋_GB2312" w:cs="仿宋_GB2312"/>
          <w:sz w:val="32"/>
          <w:szCs w:val="32"/>
          <w:lang w:val="en-US" w:eastAsia="zh-CN"/>
        </w:rPr>
        <w:t>羊</w:t>
      </w:r>
      <w:r>
        <w:rPr>
          <w:rFonts w:hint="eastAsia" w:ascii="仿宋_GB2312" w:hAnsi="仿宋_GB2312" w:eastAsia="仿宋_GB2312" w:cs="仿宋_GB2312"/>
          <w:sz w:val="32"/>
          <w:szCs w:val="32"/>
          <w:lang w:eastAsia="zh-CN"/>
        </w:rPr>
        <w:t>小反刍兽疫等重大动物疫病免疫应免密度达到100％，免疫抗体合格率达到</w:t>
      </w:r>
      <w:r>
        <w:rPr>
          <w:rFonts w:hint="eastAsia" w:ascii="仿宋_GB2312" w:hAnsi="仿宋_GB2312" w:eastAsia="仿宋_GB2312" w:cs="仿宋_GB2312"/>
          <w:sz w:val="32"/>
          <w:szCs w:val="32"/>
          <w:lang w:val="en-US" w:eastAsia="zh-CN"/>
        </w:rPr>
        <w:t>70%</w:t>
      </w:r>
      <w:r>
        <w:rPr>
          <w:rFonts w:hint="eastAsia" w:ascii="仿宋_GB2312" w:hAnsi="仿宋_GB2312" w:eastAsia="仿宋_GB2312" w:cs="仿宋_GB2312"/>
          <w:sz w:val="32"/>
          <w:szCs w:val="32"/>
          <w:lang w:eastAsia="zh-CN"/>
        </w:rPr>
        <w:t>以上；布鲁氏菌病</w:t>
      </w:r>
      <w:r>
        <w:rPr>
          <w:rFonts w:hint="eastAsia" w:ascii="仿宋_GB2312" w:hAnsi="仿宋_GB2312" w:eastAsia="仿宋_GB2312" w:cs="仿宋_GB2312"/>
          <w:sz w:val="32"/>
          <w:szCs w:val="32"/>
          <w:lang w:val="en-US" w:eastAsia="zh-CN"/>
        </w:rPr>
        <w:t>对全县除种羊、奶羊以外的羊只春季或秋季免疫1次，新生羔羊和补栏羊只及时进行补免。我县结合辖区实际，</w:t>
      </w:r>
      <w:r>
        <w:rPr>
          <w:rFonts w:hint="default" w:ascii="Times New Roman" w:hAnsi="Times New Roman" w:eastAsia="仿宋_GB2312" w:cs="Times New Roman"/>
          <w:color w:val="auto"/>
          <w:sz w:val="32"/>
          <w:szCs w:val="32"/>
          <w:highlight w:val="none"/>
          <w:lang w:eastAsia="zh-CN"/>
        </w:rPr>
        <w:t>采取</w:t>
      </w:r>
      <w:r>
        <w:rPr>
          <w:rFonts w:hint="default" w:ascii="Times New Roman" w:hAnsi="Times New Roman" w:eastAsia="仿宋_GB2312" w:cs="Times New Roman"/>
          <w:color w:val="auto"/>
          <w:sz w:val="32"/>
          <w:szCs w:val="32"/>
          <w:highlight w:val="none"/>
        </w:rPr>
        <w:t>宣传指导、培训讲解等方式</w:t>
      </w:r>
      <w:r>
        <w:rPr>
          <w:rFonts w:hint="eastAsia" w:ascii="Times New Roman" w:hAnsi="Times New Roman" w:eastAsia="仿宋_GB2312" w:cs="Times New Roman"/>
          <w:color w:val="auto"/>
          <w:sz w:val="32"/>
          <w:szCs w:val="32"/>
          <w:highlight w:val="none"/>
          <w:lang w:eastAsia="zh-CN"/>
        </w:rPr>
        <w:t>，</w:t>
      </w:r>
      <w:r>
        <w:rPr>
          <w:rFonts w:hint="eastAsia" w:ascii="仿宋_GB2312" w:hAnsi="仿宋_GB2312" w:eastAsia="仿宋_GB2312" w:cs="仿宋_GB2312"/>
          <w:sz w:val="32"/>
          <w:szCs w:val="32"/>
          <w:lang w:val="en-US" w:eastAsia="zh-CN"/>
        </w:rPr>
        <w:t>积极引导符合条件的养殖场（户）开展“先打后补”工作，规模养殖场按照免疫程序规定进行免疫，原则上实行“先打后补”。散养户采取春秋两季集中免疫和常年补免相结合的方式进行。</w:t>
      </w:r>
      <w:r>
        <w:rPr>
          <w:rFonts w:hint="eastAsia" w:ascii="仿宋_GB2312" w:hAnsi="仿宋_GB2312" w:eastAsia="仿宋_GB2312" w:cs="仿宋_GB2312"/>
          <w:color w:val="000000"/>
          <w:sz w:val="32"/>
          <w:szCs w:val="32"/>
          <w:lang w:eastAsia="zh-CN"/>
        </w:rPr>
        <w:t>包虫病对农村家犬每月定期驱虫1次，连续驱虫</w:t>
      </w:r>
      <w:r>
        <w:rPr>
          <w:rFonts w:hint="eastAsia" w:ascii="仿宋_GB2312" w:hAnsi="仿宋_GB2312" w:eastAsia="仿宋_GB2312" w:cs="仿宋_GB2312"/>
          <w:color w:val="000000"/>
          <w:sz w:val="32"/>
          <w:szCs w:val="32"/>
          <w:lang w:val="en-US" w:eastAsia="zh-CN"/>
        </w:rPr>
        <w:t>12个月</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狂犬病对全县家养犬进行狂犬病免疫和登记，有主犬只免疫率100%，登记率100%。</w:t>
      </w:r>
      <w:r>
        <w:rPr>
          <w:rFonts w:hint="eastAsia" w:ascii="仿宋_GB2312" w:hAnsi="仿宋_GB2312" w:eastAsia="仿宋_GB2312" w:cs="仿宋_GB2312"/>
          <w:sz w:val="32"/>
          <w:szCs w:val="32"/>
          <w:lang w:eastAsia="zh-CN"/>
        </w:rPr>
        <w:t>口蹄疫、高致病性禽流感、</w:t>
      </w:r>
      <w:r>
        <w:rPr>
          <w:rFonts w:hint="eastAsia" w:ascii="仿宋_GB2312" w:hAnsi="仿宋_GB2312" w:eastAsia="仿宋_GB2312" w:cs="仿宋_GB2312"/>
          <w:sz w:val="32"/>
          <w:szCs w:val="32"/>
          <w:lang w:val="en-US" w:eastAsia="zh-CN"/>
        </w:rPr>
        <w:t>羊</w:t>
      </w:r>
      <w:r>
        <w:rPr>
          <w:rFonts w:hint="eastAsia" w:ascii="仿宋_GB2312" w:hAnsi="仿宋_GB2312" w:eastAsia="仿宋_GB2312" w:cs="仿宋_GB2312"/>
          <w:sz w:val="32"/>
          <w:szCs w:val="32"/>
          <w:lang w:eastAsia="zh-CN"/>
        </w:rPr>
        <w:t>小反刍兽疫</w:t>
      </w:r>
      <w:r>
        <w:rPr>
          <w:rFonts w:hint="eastAsia" w:ascii="仿宋_GB2312" w:hAnsi="仿宋_GB2312" w:eastAsia="仿宋_GB2312" w:cs="仿宋_GB2312"/>
          <w:sz w:val="32"/>
          <w:szCs w:val="32"/>
        </w:rPr>
        <w:t>等人畜共患病免疫密度达到自治区规定标准</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firstLine="642"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kern w:val="2"/>
          <w:sz w:val="32"/>
          <w:szCs w:val="32"/>
          <w:lang w:val="en-US" w:eastAsia="zh-CN"/>
        </w:rPr>
        <w:t>（二）</w:t>
      </w:r>
      <w:r>
        <w:rPr>
          <w:rFonts w:hint="eastAsia" w:ascii="仿宋_GB2312" w:hAnsi="仿宋_GB2312" w:eastAsia="仿宋_GB2312" w:cs="仿宋_GB2312"/>
          <w:b/>
          <w:bCs/>
          <w:sz w:val="32"/>
          <w:szCs w:val="32"/>
          <w:lang w:val="en-US" w:eastAsia="zh-CN"/>
        </w:rPr>
        <w:t>实施犬只驱虫工作</w:t>
      </w:r>
    </w:p>
    <w:p>
      <w:pPr>
        <w:pStyle w:val="2"/>
        <w:numPr>
          <w:ilvl w:val="0"/>
          <w:numId w:val="0"/>
        </w:numPr>
        <w:rPr>
          <w:rFonts w:hint="eastAsia" w:ascii="仿宋_GB2312" w:hAnsi="仿宋_GB2312" w:eastAsia="仿宋_GB2312" w:cs="仿宋_GB2312"/>
          <w:i w:val="0"/>
          <w:color w:val="000000"/>
          <w:kern w:val="2"/>
          <w:sz w:val="32"/>
          <w:szCs w:val="32"/>
          <w:lang w:val="en-US" w:eastAsia="zh-CN"/>
        </w:rPr>
      </w:pPr>
      <w:r>
        <w:rPr>
          <w:rFonts w:hint="eastAsia"/>
          <w:lang w:val="en-US" w:eastAsia="zh-CN"/>
        </w:rPr>
        <w:t xml:space="preserve">   </w:t>
      </w:r>
      <w:r>
        <w:rPr>
          <w:rFonts w:hint="eastAsia" w:ascii="仿宋_GB2312" w:hAnsi="仿宋_GB2312" w:eastAsia="仿宋_GB2312" w:cs="仿宋_GB2312"/>
          <w:i w:val="0"/>
          <w:color w:val="000000"/>
          <w:kern w:val="2"/>
          <w:sz w:val="32"/>
          <w:szCs w:val="32"/>
          <w:lang w:val="en-US" w:eastAsia="zh-CN"/>
        </w:rPr>
        <w:t>对全县农村家犬每月驱虫一次，全年累计完成犬只驱虫1.3万只，有效降低人畜共患包虫病感染率。</w:t>
      </w:r>
    </w:p>
    <w:bookmarkEnd w:id="0"/>
    <w:p>
      <w:pPr>
        <w:keepNext w:val="0"/>
        <w:keepLines w:val="0"/>
        <w:pageBreakBefore w:val="0"/>
        <w:widowControl w:val="0"/>
        <w:numPr>
          <w:ilvl w:val="0"/>
          <w:numId w:val="2"/>
        </w:numPr>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rPr>
        <w:t>实施范围</w:t>
      </w:r>
      <w:r>
        <w:rPr>
          <w:rFonts w:hint="eastAsia" w:ascii="黑体" w:hAnsi="黑体" w:eastAsia="黑体" w:cs="黑体"/>
          <w:sz w:val="32"/>
          <w:szCs w:val="32"/>
          <w:lang w:eastAsia="zh-CN"/>
        </w:rPr>
        <w:t>及地点</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2" w:firstLineChars="200"/>
        <w:textAlignment w:val="auto"/>
        <w:outlineLvl w:val="9"/>
        <w:rPr>
          <w:rFonts w:hint="eastAsia" w:ascii="仿宋_GB2312" w:hAnsi="宋体" w:eastAsia="仿宋_GB2312"/>
          <w:sz w:val="32"/>
          <w:szCs w:val="32"/>
          <w:lang w:eastAsia="zh-CN"/>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一</w:t>
      </w:r>
      <w:r>
        <w:rPr>
          <w:rFonts w:hint="eastAsia" w:ascii="楷体" w:hAnsi="楷体" w:eastAsia="楷体" w:cs="楷体"/>
          <w:b/>
          <w:bCs/>
          <w:sz w:val="32"/>
          <w:szCs w:val="32"/>
          <w:lang w:eastAsia="zh-CN"/>
        </w:rPr>
        <w:t>）实施范围。</w:t>
      </w:r>
      <w:r>
        <w:rPr>
          <w:rFonts w:hint="eastAsia" w:ascii="仿宋_GB2312" w:hAnsi="宋体" w:eastAsia="仿宋_GB2312"/>
          <w:sz w:val="32"/>
          <w:szCs w:val="32"/>
          <w:lang w:eastAsia="zh-CN"/>
        </w:rPr>
        <w:t>全县所有的牛、羊、猪、禽、犬。</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2" w:firstLineChars="200"/>
        <w:textAlignment w:val="auto"/>
        <w:outlineLvl w:val="9"/>
        <w:rPr>
          <w:rFonts w:hint="eastAsia" w:ascii="仿宋_GB2312" w:hAnsi="仿宋_GB2312" w:eastAsia="仿宋_GB2312" w:cs="仿宋_GB2312"/>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二</w:t>
      </w:r>
      <w:r>
        <w:rPr>
          <w:rFonts w:hint="eastAsia" w:ascii="楷体" w:hAnsi="楷体" w:eastAsia="楷体" w:cs="楷体"/>
          <w:b/>
          <w:bCs/>
          <w:sz w:val="32"/>
          <w:szCs w:val="32"/>
          <w:lang w:eastAsia="zh-CN"/>
        </w:rPr>
        <w:t>）实施地点。</w:t>
      </w:r>
      <w:r>
        <w:rPr>
          <w:rFonts w:hint="eastAsia" w:ascii="仿宋_GB2312" w:hAnsi="宋体" w:eastAsia="仿宋_GB2312"/>
          <w:sz w:val="32"/>
          <w:szCs w:val="32"/>
        </w:rPr>
        <w:t>沙塘、神林、联财、凤岭、张程、杨河、好水、观庄、陈靳、山河、城关、奠安、温堡</w:t>
      </w:r>
      <w:r>
        <w:rPr>
          <w:rFonts w:hint="eastAsia" w:ascii="仿宋_GB2312" w:hAnsi="仿宋_GB2312" w:eastAsia="仿宋_GB2312" w:cs="仿宋_GB2312"/>
          <w:sz w:val="32"/>
          <w:szCs w:val="32"/>
        </w:rPr>
        <w:t>13个乡镇</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val="en-US" w:eastAsia="zh-CN"/>
        </w:rPr>
        <w:t>98个行政村</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firstLine="600"/>
        <w:jc w:val="both"/>
        <w:textAlignment w:val="auto"/>
        <w:outlineLvl w:val="9"/>
        <w:rPr>
          <w:rFonts w:hint="eastAsia" w:ascii="黑体" w:eastAsia="黑体"/>
          <w:bCs/>
          <w:sz w:val="32"/>
          <w:szCs w:val="32"/>
          <w:lang w:val="en-US" w:eastAsia="zh-CN"/>
        </w:rPr>
      </w:pPr>
      <w:r>
        <w:rPr>
          <w:rFonts w:hint="eastAsia" w:ascii="黑体" w:eastAsia="黑体"/>
          <w:bCs/>
          <w:sz w:val="32"/>
          <w:szCs w:val="32"/>
          <w:lang w:val="en-US" w:eastAsia="zh-CN"/>
        </w:rPr>
        <w:t>四、项目实施的内容及投资概算</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right="0" w:rightChars="0" w:firstLine="600"/>
        <w:jc w:val="both"/>
        <w:textAlignment w:val="auto"/>
        <w:outlineLvl w:val="9"/>
        <w:rPr>
          <w:rFonts w:hint="eastAsia" w:ascii="楷体_GB2312" w:hAnsi="楷体_GB2312" w:eastAsia="楷体_GB2312" w:cs="楷体_GB2312"/>
          <w:b/>
          <w:bCs/>
          <w:sz w:val="32"/>
          <w:szCs w:val="32"/>
          <w:lang w:val="en-US" w:eastAsia="zh-CN"/>
        </w:rPr>
      </w:pPr>
      <w:r>
        <w:rPr>
          <w:rFonts w:hint="eastAsia" w:ascii="仿宋_GB2312" w:hAnsi="仿宋_GB2312" w:eastAsia="仿宋_GB2312" w:cs="仿宋_GB2312"/>
          <w:b w:val="0"/>
          <w:bCs w:val="0"/>
          <w:sz w:val="32"/>
          <w:szCs w:val="32"/>
          <w:lang w:val="en-US" w:eastAsia="zh-CN"/>
        </w:rPr>
        <w:t>用于全县动物防疫、犬只驱虫经费，共计78万元，全部来源于2024年第一批中央财政支农项目资金，具体支出如下：</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firstLine="6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val="en-US" w:eastAsia="zh-CN"/>
        </w:rPr>
        <w:t>动物防疫经费。</w:t>
      </w:r>
      <w:r>
        <w:rPr>
          <w:rFonts w:hint="eastAsia" w:ascii="仿宋_GB2312" w:hAnsi="仿宋_GB2312" w:eastAsia="仿宋_GB2312" w:cs="仿宋_GB2312"/>
          <w:b w:val="0"/>
          <w:bCs w:val="0"/>
          <w:sz w:val="32"/>
          <w:szCs w:val="32"/>
          <w:lang w:val="en-US" w:eastAsia="zh-CN"/>
        </w:rPr>
        <w:t>全县动物防疫经费78万元，主要用于重大动物疫病动物疫苗、农村犬只驱虫药采购、养殖场（户）“先打后补”补助等费用支出。</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firstLine="6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val="en-US" w:eastAsia="zh-CN"/>
        </w:rPr>
        <w:t>1、用于全年</w:t>
      </w:r>
      <w:r>
        <w:rPr>
          <w:rFonts w:hint="eastAsia" w:ascii="仿宋_GB2312" w:hAnsi="仿宋_GB2312" w:eastAsia="仿宋_GB2312" w:cs="仿宋_GB2312"/>
          <w:sz w:val="32"/>
          <w:szCs w:val="32"/>
          <w:lang w:val="en-US" w:eastAsia="zh-CN"/>
        </w:rPr>
        <w:t>畜禽</w:t>
      </w:r>
      <w:r>
        <w:rPr>
          <w:rFonts w:hint="eastAsia" w:ascii="仿宋_GB2312" w:hAnsi="仿宋_GB2312" w:eastAsia="仿宋_GB2312" w:cs="仿宋_GB2312"/>
          <w:sz w:val="32"/>
          <w:szCs w:val="32"/>
          <w:lang w:eastAsia="zh-CN"/>
        </w:rPr>
        <w:t>高致病性禽流感、牛口蹄疫、羊口蹄疫、小反刍兽疫、猪口蹄疫、</w:t>
      </w:r>
      <w:r>
        <w:rPr>
          <w:rFonts w:hint="eastAsia" w:ascii="仿宋_GB2312" w:hAnsi="仿宋_GB2312" w:eastAsia="仿宋_GB2312" w:cs="仿宋_GB2312"/>
          <w:sz w:val="32"/>
          <w:szCs w:val="32"/>
          <w:lang w:val="en-US" w:eastAsia="zh-CN"/>
        </w:rPr>
        <w:t>布病、狂犬病等动物疫病强制免疫</w:t>
      </w:r>
      <w:r>
        <w:rPr>
          <w:rFonts w:hint="eastAsia" w:ascii="仿宋_GB2312" w:hAnsi="仿宋_GB2312" w:eastAsia="仿宋_GB2312" w:cs="仿宋_GB2312"/>
          <w:sz w:val="32"/>
          <w:szCs w:val="32"/>
          <w:lang w:eastAsia="zh-CN"/>
        </w:rPr>
        <w:t>疫苗的采购</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b w:val="0"/>
          <w:bCs w:val="0"/>
          <w:sz w:val="32"/>
          <w:szCs w:val="32"/>
          <w:lang w:val="en-US" w:eastAsia="zh-CN"/>
        </w:rPr>
        <w:t>养殖场（户）“先打后补”补助等费用支出</w:t>
      </w:r>
      <w:r>
        <w:rPr>
          <w:rFonts w:hint="eastAsia" w:ascii="仿宋_GB2312" w:hAnsi="仿宋_GB2312" w:eastAsia="仿宋_GB2312" w:cs="仿宋_GB2312"/>
          <w:color w:val="000000"/>
          <w:sz w:val="32"/>
          <w:szCs w:val="32"/>
          <w:lang w:val="en-US" w:eastAsia="zh-CN"/>
        </w:rPr>
        <w:t>73万</w:t>
      </w:r>
      <w:r>
        <w:rPr>
          <w:rFonts w:hint="eastAsia" w:ascii="仿宋_GB2312" w:hAnsi="仿宋_GB2312" w:eastAsia="仿宋_GB2312" w:cs="仿宋_GB2312"/>
          <w:sz w:val="32"/>
          <w:szCs w:val="32"/>
          <w:lang w:val="en-US" w:eastAsia="zh-CN"/>
        </w:rPr>
        <w:t>元</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2、用于犬只驱虫药采购</w:t>
      </w:r>
      <w:r>
        <w:rPr>
          <w:rFonts w:hint="eastAsia" w:ascii="仿宋_GB2312" w:hAnsi="仿宋_GB2312" w:eastAsia="仿宋_GB2312" w:cs="仿宋_GB2312"/>
          <w:sz w:val="32"/>
          <w:szCs w:val="32"/>
          <w:lang w:val="en-US" w:eastAsia="zh-CN"/>
        </w:rPr>
        <w:t>费用</w:t>
      </w:r>
      <w:r>
        <w:rPr>
          <w:rFonts w:hint="eastAsia" w:ascii="仿宋_GB2312" w:hAnsi="仿宋_GB2312" w:eastAsia="仿宋_GB2312" w:cs="仿宋_GB2312"/>
          <w:b w:val="0"/>
          <w:bCs w:val="0"/>
          <w:color w:val="auto"/>
          <w:sz w:val="32"/>
          <w:szCs w:val="32"/>
          <w:lang w:val="en-US" w:eastAsia="zh-CN"/>
        </w:rPr>
        <w:t>5万</w:t>
      </w:r>
      <w:r>
        <w:rPr>
          <w:rFonts w:hint="eastAsia" w:ascii="仿宋_GB2312" w:hAnsi="仿宋_GB2312" w:eastAsia="仿宋_GB2312" w:cs="仿宋_GB2312"/>
          <w:b w:val="0"/>
          <w:bCs w:val="0"/>
          <w:sz w:val="32"/>
          <w:szCs w:val="32"/>
          <w:lang w:val="en-US" w:eastAsia="zh-CN"/>
        </w:rPr>
        <w:t>元。</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w:t>
      </w:r>
      <w:r>
        <w:rPr>
          <w:rFonts w:hint="eastAsia" w:ascii="黑体" w:hAnsi="黑体" w:eastAsia="黑体" w:cs="黑体"/>
          <w:sz w:val="32"/>
          <w:szCs w:val="32"/>
          <w:lang w:eastAsia="zh-CN"/>
        </w:rPr>
        <w:t>动物防疫</w:t>
      </w:r>
      <w:r>
        <w:rPr>
          <w:rFonts w:hint="eastAsia" w:ascii="黑体" w:hAnsi="黑体" w:eastAsia="黑体" w:cs="黑体"/>
          <w:sz w:val="32"/>
          <w:szCs w:val="32"/>
        </w:rPr>
        <w:t>进度安排</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2" w:firstLineChars="200"/>
        <w:jc w:val="both"/>
        <w:textAlignment w:val="auto"/>
        <w:outlineLvl w:val="9"/>
        <w:rPr>
          <w:rFonts w:hint="eastAsia" w:ascii="仿宋_GB2312" w:hAnsi="仿宋_GB2312" w:eastAsia="仿宋_GB2312" w:cs="仿宋_GB2312"/>
          <w:bCs/>
          <w:sz w:val="32"/>
          <w:szCs w:val="32"/>
          <w:lang w:eastAsia="zh-CN"/>
        </w:rPr>
      </w:pPr>
      <w:r>
        <w:rPr>
          <w:rFonts w:hint="eastAsia" w:ascii="楷体_GB2312" w:hAnsi="楷体_GB2312" w:eastAsia="楷体_GB2312" w:cs="楷体_GB2312"/>
          <w:b/>
          <w:bCs/>
          <w:sz w:val="32"/>
          <w:szCs w:val="32"/>
          <w:lang w:val="en-US" w:eastAsia="zh-CN"/>
        </w:rPr>
        <w:t>第一阶段：2024年1月份。</w:t>
      </w:r>
      <w:r>
        <w:rPr>
          <w:rFonts w:hint="eastAsia" w:ascii="仿宋_GB2312" w:hAnsi="仿宋_GB2312" w:eastAsia="仿宋_GB2312" w:cs="仿宋_GB2312"/>
          <w:bCs/>
          <w:sz w:val="32"/>
          <w:szCs w:val="32"/>
        </w:rPr>
        <w:t>制定全年重大动物疫病防控工作方案</w:t>
      </w:r>
      <w:r>
        <w:rPr>
          <w:rFonts w:hint="eastAsia" w:ascii="仿宋_GB2312" w:hAnsi="仿宋_GB2312" w:eastAsia="仿宋_GB2312" w:cs="仿宋_GB2312"/>
          <w:bCs/>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right="0" w:rightChars="0"/>
        <w:jc w:val="both"/>
        <w:textAlignment w:val="auto"/>
        <w:outlineLvl w:val="9"/>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
          <w:bCs w:val="0"/>
          <w:sz w:val="32"/>
          <w:szCs w:val="32"/>
        </w:rPr>
        <w:t xml:space="preserve"> </w:t>
      </w:r>
      <w:r>
        <w:rPr>
          <w:rFonts w:hint="eastAsia" w:ascii="楷体_GB2312" w:hAnsi="楷体_GB2312" w:eastAsia="楷体_GB2312" w:cs="楷体_GB2312"/>
          <w:b/>
          <w:bCs/>
          <w:sz w:val="32"/>
          <w:szCs w:val="32"/>
          <w:lang w:val="en-US" w:eastAsia="zh-CN"/>
        </w:rPr>
        <w:t xml:space="preserve"> 第二阶段：2024年2月份。</w:t>
      </w:r>
      <w:r>
        <w:rPr>
          <w:rFonts w:hint="eastAsia" w:ascii="仿宋_GB2312" w:hAnsi="仿宋_GB2312" w:eastAsia="仿宋_GB2312" w:cs="仿宋_GB2312"/>
          <w:bCs/>
          <w:sz w:val="32"/>
          <w:szCs w:val="32"/>
        </w:rPr>
        <w:t>完成春季疫苗采购和发放，购置动物防疫配套用品，实行专人管理，建立出库台账</w:t>
      </w:r>
      <w:r>
        <w:rPr>
          <w:rFonts w:hint="eastAsia" w:ascii="仿宋_GB2312" w:hAnsi="仿宋_GB2312" w:eastAsia="仿宋_GB2312" w:cs="仿宋_GB2312"/>
          <w:bCs/>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2" w:firstLineChars="200"/>
        <w:jc w:val="both"/>
        <w:textAlignment w:val="auto"/>
        <w:outlineLvl w:val="9"/>
        <w:rPr>
          <w:rFonts w:hint="eastAsia" w:ascii="仿宋_GB2312" w:hAnsi="仿宋_GB2312" w:eastAsia="仿宋_GB2312" w:cs="仿宋_GB2312"/>
          <w:bCs/>
          <w:sz w:val="32"/>
          <w:szCs w:val="32"/>
          <w:lang w:eastAsia="zh-CN"/>
        </w:rPr>
      </w:pPr>
      <w:r>
        <w:rPr>
          <w:rFonts w:hint="eastAsia" w:ascii="楷体_GB2312" w:hAnsi="楷体_GB2312" w:eastAsia="楷体_GB2312" w:cs="楷体_GB2312"/>
          <w:b/>
          <w:bCs/>
          <w:sz w:val="32"/>
          <w:szCs w:val="32"/>
          <w:lang w:val="en-US" w:eastAsia="zh-CN"/>
        </w:rPr>
        <w:t>第三阶段：2024年3月份-4月份。</w:t>
      </w:r>
      <w:r>
        <w:rPr>
          <w:rFonts w:hint="eastAsia" w:ascii="仿宋_GB2312" w:hAnsi="仿宋_GB2312" w:eastAsia="仿宋_GB2312" w:cs="仿宋_GB2312"/>
          <w:bCs/>
          <w:sz w:val="32"/>
          <w:szCs w:val="32"/>
        </w:rPr>
        <w:t>集中组织开展春季强制免疫接种</w:t>
      </w:r>
      <w:r>
        <w:rPr>
          <w:rFonts w:hint="eastAsia" w:ascii="仿宋_GB2312" w:hAnsi="仿宋_GB2312" w:eastAsia="仿宋_GB2312" w:cs="仿宋_GB2312"/>
          <w:bCs/>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left="638" w:leftChars="304" w:right="0" w:rightChars="0" w:firstLine="0" w:firstLineChars="0"/>
        <w:jc w:val="left"/>
        <w:textAlignment w:val="auto"/>
        <w:outlineLvl w:val="9"/>
        <w:rPr>
          <w:rFonts w:hint="eastAsia" w:ascii="仿宋_GB2312" w:hAnsi="仿宋_GB2312" w:eastAsia="仿宋_GB2312" w:cs="仿宋_GB2312"/>
          <w:bCs/>
          <w:sz w:val="32"/>
          <w:szCs w:val="32"/>
        </w:rPr>
      </w:pPr>
      <w:r>
        <w:rPr>
          <w:rFonts w:hint="eastAsia" w:ascii="楷体_GB2312" w:hAnsi="楷体_GB2312" w:eastAsia="楷体_GB2312" w:cs="楷体_GB2312"/>
          <w:b/>
          <w:bCs/>
          <w:sz w:val="32"/>
          <w:szCs w:val="32"/>
          <w:lang w:val="en-US" w:eastAsia="zh-CN"/>
        </w:rPr>
        <w:t>第四阶段：2024年5月份-6月份。</w:t>
      </w:r>
      <w:r>
        <w:rPr>
          <w:rFonts w:hint="eastAsia" w:ascii="仿宋_GB2312" w:hAnsi="仿宋_GB2312" w:eastAsia="仿宋_GB2312" w:cs="仿宋_GB2312"/>
          <w:sz w:val="32"/>
          <w:szCs w:val="32"/>
          <w:lang w:val="en-US" w:eastAsia="zh-CN"/>
        </w:rPr>
        <w:t>集中监测免疫抗体工作；</w:t>
      </w:r>
      <w:r>
        <w:rPr>
          <w:rFonts w:hint="eastAsia" w:ascii="楷体_GB2312" w:hAnsi="楷体_GB2312" w:eastAsia="楷体_GB2312" w:cs="楷体_GB2312"/>
          <w:b/>
          <w:bCs/>
          <w:sz w:val="32"/>
          <w:szCs w:val="32"/>
          <w:lang w:val="en-US" w:eastAsia="zh-CN"/>
        </w:rPr>
        <w:t>第五阶段：2024年7月份-8月份。</w:t>
      </w:r>
      <w:r>
        <w:rPr>
          <w:rFonts w:hint="eastAsia" w:ascii="仿宋_GB2312" w:hAnsi="仿宋_GB2312" w:eastAsia="仿宋_GB2312" w:cs="仿宋_GB2312"/>
          <w:bCs/>
          <w:sz w:val="32"/>
          <w:szCs w:val="32"/>
        </w:rPr>
        <w:t>完成秋季疫苗采购和发</w:t>
      </w:r>
    </w:p>
    <w:p>
      <w:pPr>
        <w:keepNext w:val="0"/>
        <w:keepLines w:val="0"/>
        <w:pageBreakBefore w:val="0"/>
        <w:widowControl w:val="0"/>
        <w:kinsoku/>
        <w:wordWrap/>
        <w:overflowPunct/>
        <w:topLinePunct w:val="0"/>
        <w:autoSpaceDE/>
        <w:autoSpaceDN/>
        <w:bidi w:val="0"/>
        <w:adjustRightInd/>
        <w:snapToGrid w:val="0"/>
        <w:spacing w:line="560" w:lineRule="exact"/>
        <w:ind w:right="0" w:rightChars="0"/>
        <w:jc w:val="left"/>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放，购置动物防疫配套用品，实行专人管理，建立出库台账。</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2" w:firstLineChars="200"/>
        <w:jc w:val="both"/>
        <w:textAlignment w:val="auto"/>
        <w:outlineLvl w:val="9"/>
        <w:rPr>
          <w:rFonts w:hint="eastAsia" w:ascii="仿宋_GB2312" w:hAnsi="仿宋_GB2312" w:eastAsia="仿宋_GB2312" w:cs="仿宋_GB2312"/>
          <w:bCs/>
          <w:sz w:val="32"/>
          <w:szCs w:val="32"/>
        </w:rPr>
      </w:pPr>
      <w:r>
        <w:rPr>
          <w:rFonts w:hint="eastAsia" w:ascii="楷体_GB2312" w:hAnsi="楷体_GB2312" w:eastAsia="楷体_GB2312" w:cs="楷体_GB2312"/>
          <w:b/>
          <w:bCs/>
          <w:sz w:val="32"/>
          <w:szCs w:val="32"/>
          <w:lang w:val="en-US" w:eastAsia="zh-CN"/>
        </w:rPr>
        <w:t>第六阶段：2024年9月份-10月份。</w:t>
      </w:r>
      <w:r>
        <w:rPr>
          <w:rFonts w:hint="eastAsia" w:ascii="仿宋_GB2312" w:hAnsi="仿宋_GB2312" w:eastAsia="仿宋_GB2312" w:cs="仿宋_GB2312"/>
          <w:bCs/>
          <w:sz w:val="32"/>
          <w:szCs w:val="32"/>
        </w:rPr>
        <w:t>集中组织开展秋季强制免疫接种</w:t>
      </w:r>
      <w:r>
        <w:rPr>
          <w:rFonts w:hint="eastAsia" w:ascii="仿宋_GB2312" w:hAnsi="仿宋_GB2312" w:eastAsia="仿宋_GB2312" w:cs="仿宋_GB2312"/>
          <w:bCs/>
          <w:sz w:val="32"/>
          <w:szCs w:val="32"/>
          <w:lang w:eastAsia="zh-CN"/>
        </w:rPr>
        <w:t>及免疫抗体监测工作</w:t>
      </w:r>
      <w:r>
        <w:rPr>
          <w:rFonts w:hint="eastAsia" w:ascii="仿宋_GB2312" w:hAnsi="仿宋_GB2312" w:eastAsia="仿宋_GB2312" w:cs="仿宋_GB2312"/>
          <w:bCs/>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2" w:firstLineChars="200"/>
        <w:jc w:val="both"/>
        <w:textAlignment w:val="auto"/>
        <w:outlineLvl w:val="9"/>
        <w:rPr>
          <w:rFonts w:hint="eastAsia" w:ascii="仿宋_GB2312" w:hAnsi="仿宋_GB2312" w:eastAsia="仿宋_GB2312" w:cs="仿宋_GB2312"/>
          <w:bCs/>
          <w:sz w:val="32"/>
          <w:szCs w:val="32"/>
          <w:lang w:val="en-US" w:eastAsia="zh-CN"/>
        </w:rPr>
      </w:pPr>
      <w:r>
        <w:rPr>
          <w:rFonts w:hint="eastAsia" w:ascii="楷体_GB2312" w:hAnsi="楷体_GB2312" w:eastAsia="楷体_GB2312" w:cs="楷体_GB2312"/>
          <w:b/>
          <w:bCs/>
          <w:sz w:val="32"/>
          <w:szCs w:val="32"/>
          <w:lang w:val="en-US" w:eastAsia="zh-CN"/>
        </w:rPr>
        <w:t>第七阶段：2024年11月份。</w:t>
      </w:r>
      <w:r>
        <w:rPr>
          <w:rFonts w:hint="eastAsia" w:ascii="仿宋_GB2312" w:hAnsi="仿宋_GB2312" w:eastAsia="仿宋_GB2312" w:cs="仿宋_GB2312"/>
          <w:bCs/>
          <w:sz w:val="32"/>
          <w:szCs w:val="32"/>
          <w:lang w:eastAsia="zh-CN"/>
        </w:rPr>
        <w:t>组织开展项目自查自验工作，保质保量完成项目规定的任务内容，确保资金使用规范，专款专用。</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firstLine="600"/>
        <w:jc w:val="both"/>
        <w:textAlignment w:val="auto"/>
        <w:outlineLvl w:val="9"/>
        <w:rPr>
          <w:rFonts w:hint="eastAsia" w:ascii="黑体" w:eastAsia="黑体"/>
          <w:bCs/>
          <w:sz w:val="32"/>
          <w:szCs w:val="32"/>
          <w:lang w:eastAsia="zh-CN"/>
        </w:rPr>
      </w:pPr>
      <w:r>
        <w:rPr>
          <w:rFonts w:hint="eastAsia" w:ascii="黑体" w:eastAsia="黑体"/>
          <w:bCs/>
          <w:sz w:val="32"/>
          <w:szCs w:val="32"/>
          <w:lang w:eastAsia="zh-CN"/>
        </w:rPr>
        <w:t>六、组织管理、保障措施、具体要求</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firstLine="600"/>
        <w:jc w:val="both"/>
        <w:textAlignment w:val="auto"/>
        <w:outlineLvl w:val="9"/>
        <w:rPr>
          <w:rFonts w:hint="eastAsia" w:ascii="仿宋_GB2312" w:eastAsia="仿宋_GB2312"/>
          <w:sz w:val="32"/>
          <w:szCs w:val="32"/>
        </w:rPr>
      </w:pPr>
      <w:r>
        <w:rPr>
          <w:rFonts w:hint="eastAsia" w:ascii="楷体_GB2312" w:hAnsi="楷体_GB2312" w:eastAsia="楷体_GB2312" w:cs="楷体_GB2312"/>
          <w:b/>
          <w:bCs/>
          <w:sz w:val="32"/>
          <w:szCs w:val="32"/>
          <w:lang w:val="en-US" w:eastAsia="zh-CN"/>
        </w:rPr>
        <w:t>（一）组织管理。</w:t>
      </w:r>
      <w:r>
        <w:rPr>
          <w:rFonts w:hint="eastAsia" w:ascii="仿宋_GB2312" w:hAnsi="宋体" w:eastAsia="仿宋_GB2312"/>
          <w:sz w:val="32"/>
          <w:szCs w:val="32"/>
        </w:rPr>
        <w:t>成立</w:t>
      </w:r>
      <w:r>
        <w:rPr>
          <w:rFonts w:hint="eastAsia" w:ascii="仿宋_GB2312" w:hAnsi="宋体" w:eastAsia="仿宋_GB2312"/>
          <w:sz w:val="32"/>
          <w:szCs w:val="32"/>
          <w:lang w:eastAsia="zh-CN"/>
        </w:rPr>
        <w:t>隆德</w:t>
      </w:r>
      <w:r>
        <w:rPr>
          <w:rFonts w:hint="eastAsia" w:ascii="仿宋_GB2312" w:hAnsi="宋体" w:eastAsia="仿宋_GB2312"/>
          <w:sz w:val="32"/>
          <w:szCs w:val="32"/>
        </w:rPr>
        <w:t>县动物</w:t>
      </w:r>
      <w:r>
        <w:rPr>
          <w:rFonts w:hint="eastAsia" w:ascii="仿宋_GB2312" w:hAnsi="宋体" w:eastAsia="仿宋_GB2312"/>
          <w:sz w:val="32"/>
          <w:szCs w:val="32"/>
          <w:lang w:eastAsia="zh-CN"/>
        </w:rPr>
        <w:t>防疫</w:t>
      </w:r>
      <w:r>
        <w:rPr>
          <w:rFonts w:hint="eastAsia" w:ascii="仿宋_GB2312" w:hAnsi="宋体" w:eastAsia="仿宋_GB2312"/>
          <w:sz w:val="32"/>
          <w:szCs w:val="32"/>
        </w:rPr>
        <w:t>项目</w:t>
      </w:r>
      <w:r>
        <w:rPr>
          <w:rFonts w:hint="eastAsia" w:ascii="仿宋_GB2312" w:hAnsi="宋体" w:eastAsia="仿宋_GB2312"/>
          <w:sz w:val="32"/>
          <w:szCs w:val="32"/>
          <w:lang w:eastAsia="zh-CN"/>
        </w:rPr>
        <w:t>建设</w:t>
      </w:r>
      <w:r>
        <w:rPr>
          <w:rFonts w:hint="eastAsia" w:ascii="仿宋_GB2312" w:hAnsi="宋体" w:eastAsia="仿宋_GB2312"/>
          <w:sz w:val="32"/>
          <w:szCs w:val="32"/>
        </w:rPr>
        <w:t>领导小组，</w:t>
      </w:r>
      <w:r>
        <w:rPr>
          <w:rFonts w:hint="eastAsia" w:ascii="仿宋_GB2312" w:eastAsia="仿宋_GB2312"/>
          <w:sz w:val="32"/>
          <w:szCs w:val="32"/>
          <w:lang w:eastAsia="zh-CN"/>
        </w:rPr>
        <w:t>具体人员组成如下：</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eastAsia="zh-CN"/>
        </w:rPr>
        <w:t>组</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长</w:t>
      </w:r>
      <w:r>
        <w:rPr>
          <w:rFonts w:hint="eastAsia" w:ascii="仿宋_GB2312" w:eastAsia="仿宋_GB2312"/>
          <w:sz w:val="32"/>
          <w:szCs w:val="32"/>
          <w:lang w:val="en-US" w:eastAsia="zh-CN"/>
        </w:rPr>
        <w:t>：张广斌 县</w:t>
      </w:r>
      <w:r>
        <w:rPr>
          <w:rFonts w:hint="eastAsia" w:ascii="仿宋_GB2312" w:eastAsia="仿宋_GB2312"/>
          <w:sz w:val="32"/>
          <w:szCs w:val="32"/>
          <w:lang w:eastAsia="zh-CN"/>
        </w:rPr>
        <w:t>农业农村</w:t>
      </w:r>
      <w:r>
        <w:rPr>
          <w:rFonts w:hint="eastAsia" w:ascii="仿宋_GB2312" w:eastAsia="仿宋_GB2312"/>
          <w:sz w:val="32"/>
          <w:szCs w:val="32"/>
          <w:lang w:val="en-US" w:eastAsia="zh-CN"/>
        </w:rPr>
        <w:t>局局长</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仿宋_GB2312" w:hAnsi="Times New Roman" w:eastAsia="仿宋_GB2312" w:cs="Times New Roman"/>
          <w:sz w:val="32"/>
          <w:szCs w:val="32"/>
          <w:lang w:val="en-US" w:eastAsia="zh-CN"/>
        </w:rPr>
      </w:pPr>
      <w:r>
        <w:rPr>
          <w:rFonts w:hint="eastAsia" w:ascii="仿宋_GB2312" w:eastAsia="仿宋_GB2312"/>
          <w:sz w:val="32"/>
          <w:szCs w:val="32"/>
        </w:rPr>
        <w:t>副组长：</w:t>
      </w:r>
      <w:r>
        <w:rPr>
          <w:rFonts w:hint="eastAsia" w:ascii="仿宋_GB2312" w:hAnsi="Times New Roman" w:eastAsia="仿宋_GB2312" w:cs="Times New Roman"/>
          <w:sz w:val="32"/>
          <w:szCs w:val="32"/>
          <w:lang w:eastAsia="zh-CN"/>
        </w:rPr>
        <w:t>庞军宝</w:t>
      </w:r>
      <w:r>
        <w:rPr>
          <w:rFonts w:hint="eastAsia" w:ascii="仿宋_GB2312" w:hAnsi="Times New Roman" w:eastAsia="仿宋_GB2312" w:cs="Times New Roman"/>
          <w:sz w:val="32"/>
          <w:szCs w:val="32"/>
          <w:lang w:val="en-US" w:eastAsia="zh-CN"/>
        </w:rPr>
        <w:t xml:space="preserve"> 县</w:t>
      </w:r>
      <w:r>
        <w:rPr>
          <w:rFonts w:hint="eastAsia" w:ascii="仿宋_GB2312" w:hAnsi="Times New Roman" w:eastAsia="仿宋_GB2312" w:cs="Times New Roman"/>
          <w:sz w:val="32"/>
          <w:szCs w:val="32"/>
          <w:lang w:eastAsia="zh-CN"/>
        </w:rPr>
        <w:t>农业农村</w:t>
      </w:r>
      <w:r>
        <w:rPr>
          <w:rFonts w:hint="eastAsia" w:ascii="仿宋_GB2312" w:hAnsi="Times New Roman" w:eastAsia="仿宋_GB2312" w:cs="Times New Roman"/>
          <w:sz w:val="32"/>
          <w:szCs w:val="32"/>
          <w:lang w:val="en-US" w:eastAsia="zh-CN"/>
        </w:rPr>
        <w:t>局副局长</w:t>
      </w:r>
    </w:p>
    <w:p>
      <w:pPr>
        <w:keepNext w:val="0"/>
        <w:keepLines w:val="0"/>
        <w:pageBreakBefore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default" w:ascii="仿宋_GB2312" w:eastAsia="仿宋_GB2312"/>
          <w:sz w:val="32"/>
          <w:szCs w:val="32"/>
          <w:lang w:val="en-US" w:eastAsia="zh-CN"/>
        </w:rPr>
      </w:pPr>
      <w:r>
        <w:rPr>
          <w:rFonts w:hint="eastAsia" w:ascii="仿宋_GB2312" w:eastAsia="仿宋_GB2312"/>
          <w:sz w:val="32"/>
          <w:szCs w:val="32"/>
        </w:rPr>
        <w:t>成</w:t>
      </w:r>
      <w:r>
        <w:rPr>
          <w:rFonts w:hint="eastAsia" w:eastAsia="仿宋_GB2312"/>
          <w:sz w:val="32"/>
          <w:szCs w:val="32"/>
          <w:lang w:val="en-US" w:eastAsia="zh-CN"/>
        </w:rPr>
        <w:t xml:space="preserve">  </w:t>
      </w:r>
      <w:r>
        <w:rPr>
          <w:rFonts w:hint="eastAsia" w:ascii="仿宋_GB2312" w:eastAsia="仿宋_GB2312"/>
          <w:sz w:val="32"/>
          <w:szCs w:val="32"/>
        </w:rPr>
        <w:t>员</w:t>
      </w:r>
      <w:r>
        <w:rPr>
          <w:rFonts w:hint="eastAsia" w:ascii="仿宋_GB2312" w:eastAsia="仿宋_GB2312"/>
          <w:sz w:val="32"/>
          <w:szCs w:val="32"/>
          <w:lang w:val="en-US" w:eastAsia="zh-CN"/>
        </w:rPr>
        <w:t>：</w:t>
      </w:r>
      <w:r>
        <w:rPr>
          <w:rFonts w:hint="eastAsia" w:ascii="仿宋_GB2312" w:eastAsia="仿宋_GB2312"/>
          <w:sz w:val="32"/>
          <w:szCs w:val="32"/>
          <w:lang w:eastAsia="zh-CN"/>
        </w:rPr>
        <w:t>张奎举</w:t>
      </w:r>
      <w:r>
        <w:rPr>
          <w:rFonts w:hint="eastAsia" w:ascii="仿宋_GB2312" w:eastAsia="仿宋_GB2312"/>
          <w:sz w:val="32"/>
          <w:szCs w:val="32"/>
          <w:lang w:val="en-US" w:eastAsia="zh-CN"/>
        </w:rPr>
        <w:t xml:space="preserve"> 县</w:t>
      </w:r>
      <w:r>
        <w:rPr>
          <w:rFonts w:hint="eastAsia" w:ascii="仿宋_GB2312" w:eastAsia="仿宋_GB2312"/>
          <w:sz w:val="32"/>
          <w:szCs w:val="32"/>
        </w:rPr>
        <w:t>动物疾控中心</w:t>
      </w:r>
      <w:r>
        <w:rPr>
          <w:rFonts w:hint="eastAsia" w:ascii="仿宋_GB2312" w:eastAsia="仿宋_GB2312"/>
          <w:sz w:val="32"/>
          <w:szCs w:val="32"/>
          <w:lang w:eastAsia="zh-CN"/>
        </w:rPr>
        <w:t>主任</w:t>
      </w:r>
    </w:p>
    <w:p>
      <w:pPr>
        <w:keepNext w:val="0"/>
        <w:keepLines w:val="0"/>
        <w:pageBreakBefore w:val="0"/>
        <w:kinsoku/>
        <w:wordWrap/>
        <w:overflowPunct/>
        <w:topLinePunct w:val="0"/>
        <w:autoSpaceDE/>
        <w:autoSpaceDN/>
        <w:bidi w:val="0"/>
        <w:adjustRightInd/>
        <w:snapToGrid w:val="0"/>
        <w:spacing w:line="560" w:lineRule="exact"/>
        <w:ind w:right="0" w:rightChars="0" w:firstLine="1920" w:firstLineChars="6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王愿军 县农业农村局会计</w:t>
      </w:r>
    </w:p>
    <w:p>
      <w:pPr>
        <w:keepNext w:val="0"/>
        <w:keepLines w:val="0"/>
        <w:pageBreakBefore w:val="0"/>
        <w:kinsoku/>
        <w:wordWrap/>
        <w:overflowPunct/>
        <w:topLinePunct w:val="0"/>
        <w:autoSpaceDE/>
        <w:autoSpaceDN/>
        <w:bidi w:val="0"/>
        <w:adjustRightInd/>
        <w:snapToGrid w:val="0"/>
        <w:spacing w:line="560" w:lineRule="exact"/>
        <w:ind w:right="0" w:rightChars="0" w:firstLine="1920" w:firstLineChars="6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马路羊 县农业农村局办公室主任</w:t>
      </w:r>
    </w:p>
    <w:p>
      <w:pPr>
        <w:pStyle w:val="2"/>
        <w:rPr>
          <w:rFonts w:hint="default"/>
          <w:lang w:val="en-US" w:eastAsia="zh-CN"/>
        </w:rPr>
      </w:pPr>
      <w:r>
        <w:rPr>
          <w:rFonts w:hint="eastAsia" w:ascii="仿宋_GB2312" w:eastAsia="仿宋_GB2312"/>
          <w:sz w:val="32"/>
          <w:szCs w:val="32"/>
          <w:lang w:val="en-US" w:eastAsia="zh-CN"/>
        </w:rPr>
        <w:t xml:space="preserve">            </w:t>
      </w:r>
      <w:r>
        <w:rPr>
          <w:rFonts w:hint="eastAsia" w:ascii="仿宋_GB2312" w:hAnsi="Calibri" w:eastAsia="仿宋_GB2312" w:cs="黑体"/>
          <w:i w:val="0"/>
          <w:kern w:val="2"/>
          <w:sz w:val="32"/>
          <w:szCs w:val="32"/>
          <w:lang w:val="en-US" w:eastAsia="zh-CN"/>
        </w:rPr>
        <w:t>张毓麟</w:t>
      </w:r>
      <w:r>
        <w:rPr>
          <w:rFonts w:hint="eastAsia" w:ascii="仿宋_GB2312" w:eastAsia="仿宋_GB2312"/>
          <w:sz w:val="32"/>
          <w:szCs w:val="32"/>
          <w:lang w:val="en-US" w:eastAsia="zh-CN"/>
        </w:rPr>
        <w:t xml:space="preserve"> </w:t>
      </w:r>
      <w:r>
        <w:rPr>
          <w:rFonts w:hint="eastAsia" w:ascii="仿宋_GB2312" w:hAnsi="Calibri" w:eastAsia="仿宋_GB2312" w:cs="黑体"/>
          <w:i w:val="0"/>
          <w:kern w:val="2"/>
          <w:sz w:val="32"/>
          <w:szCs w:val="32"/>
          <w:lang w:val="en-US" w:eastAsia="zh-CN"/>
        </w:rPr>
        <w:t>县产业办主任</w:t>
      </w:r>
    </w:p>
    <w:p>
      <w:pPr>
        <w:keepNext w:val="0"/>
        <w:keepLines w:val="0"/>
        <w:pageBreakBefore w:val="0"/>
        <w:kinsoku/>
        <w:wordWrap/>
        <w:overflowPunct/>
        <w:topLinePunct w:val="0"/>
        <w:autoSpaceDE/>
        <w:autoSpaceDN/>
        <w:bidi w:val="0"/>
        <w:adjustRightInd/>
        <w:snapToGrid w:val="0"/>
        <w:spacing w:line="560" w:lineRule="exact"/>
        <w:ind w:right="0" w:rightChars="0" w:firstLine="640" w:firstLineChars="200"/>
        <w:jc w:val="left"/>
        <w:textAlignment w:val="auto"/>
        <w:outlineLvl w:val="9"/>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为保障项目有序实施，成立项目实施领导小组，具体人员组成如下：</w:t>
      </w:r>
    </w:p>
    <w:p>
      <w:pPr>
        <w:keepNext w:val="0"/>
        <w:keepLines w:val="0"/>
        <w:pageBreakBefore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组</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长</w:t>
      </w:r>
      <w:r>
        <w:rPr>
          <w:rFonts w:hint="eastAsia" w:ascii="仿宋_GB2312" w:eastAsia="仿宋_GB2312"/>
          <w:sz w:val="32"/>
          <w:szCs w:val="32"/>
          <w:lang w:val="en-US" w:eastAsia="zh-CN"/>
        </w:rPr>
        <w:t>：</w:t>
      </w:r>
      <w:r>
        <w:rPr>
          <w:rFonts w:hint="eastAsia" w:ascii="仿宋_GB2312" w:eastAsia="仿宋_GB2312"/>
          <w:sz w:val="32"/>
          <w:szCs w:val="32"/>
          <w:lang w:eastAsia="zh-CN"/>
        </w:rPr>
        <w:t>张奎举</w:t>
      </w:r>
      <w:r>
        <w:rPr>
          <w:rFonts w:hint="eastAsia" w:ascii="仿宋_GB2312" w:eastAsia="仿宋_GB2312"/>
          <w:sz w:val="32"/>
          <w:szCs w:val="32"/>
          <w:lang w:val="en-US" w:eastAsia="zh-CN"/>
        </w:rPr>
        <w:t xml:space="preserve"> 县</w:t>
      </w:r>
      <w:r>
        <w:rPr>
          <w:rFonts w:hint="eastAsia" w:ascii="仿宋_GB2312" w:eastAsia="仿宋_GB2312"/>
          <w:sz w:val="32"/>
          <w:szCs w:val="32"/>
        </w:rPr>
        <w:t>动物疾控中心</w:t>
      </w:r>
      <w:r>
        <w:rPr>
          <w:rFonts w:hint="eastAsia" w:ascii="仿宋_GB2312" w:eastAsia="仿宋_GB2312"/>
          <w:sz w:val="32"/>
          <w:szCs w:val="32"/>
          <w:lang w:eastAsia="zh-CN"/>
        </w:rPr>
        <w:t>主任</w:t>
      </w:r>
    </w:p>
    <w:p>
      <w:pPr>
        <w:keepNext w:val="0"/>
        <w:keepLines w:val="0"/>
        <w:pageBreakBefore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rPr>
        <w:t>副组长：</w:t>
      </w:r>
      <w:r>
        <w:rPr>
          <w:rFonts w:hint="eastAsia" w:ascii="仿宋_GB2312" w:eastAsia="仿宋_GB2312"/>
          <w:sz w:val="32"/>
          <w:szCs w:val="32"/>
          <w:lang w:eastAsia="zh-CN"/>
        </w:rPr>
        <w:t>丁志强</w:t>
      </w:r>
      <w:r>
        <w:rPr>
          <w:rFonts w:hint="eastAsia" w:ascii="仿宋_GB2312" w:eastAsia="仿宋_GB2312"/>
          <w:sz w:val="32"/>
          <w:szCs w:val="32"/>
          <w:lang w:val="en-US" w:eastAsia="zh-CN"/>
        </w:rPr>
        <w:t xml:space="preserve"> 县动物疾控中心副书记</w:t>
      </w:r>
    </w:p>
    <w:p>
      <w:pPr>
        <w:keepNext w:val="0"/>
        <w:keepLines w:val="0"/>
        <w:pageBreakBefore w:val="0"/>
        <w:kinsoku/>
        <w:wordWrap/>
        <w:overflowPunct/>
        <w:topLinePunct w:val="0"/>
        <w:autoSpaceDE/>
        <w:autoSpaceDN/>
        <w:bidi w:val="0"/>
        <w:adjustRightInd/>
        <w:snapToGrid w:val="0"/>
        <w:spacing w:line="560" w:lineRule="exact"/>
        <w:ind w:right="0" w:rightChars="0" w:firstLine="1920" w:firstLineChars="600"/>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袁</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琦</w:t>
      </w:r>
      <w:r>
        <w:rPr>
          <w:rFonts w:hint="eastAsia" w:ascii="仿宋_GB2312" w:eastAsia="仿宋_GB2312"/>
          <w:sz w:val="32"/>
          <w:szCs w:val="32"/>
          <w:lang w:val="en-US" w:eastAsia="zh-CN"/>
        </w:rPr>
        <w:t xml:space="preserve"> 县</w:t>
      </w:r>
      <w:r>
        <w:rPr>
          <w:rFonts w:hint="eastAsia" w:ascii="仿宋_GB2312" w:eastAsia="仿宋_GB2312"/>
          <w:sz w:val="32"/>
          <w:szCs w:val="32"/>
        </w:rPr>
        <w:t>动物疾控中心</w:t>
      </w:r>
      <w:r>
        <w:rPr>
          <w:rFonts w:hint="eastAsia" w:ascii="仿宋_GB2312" w:eastAsia="仿宋_GB2312"/>
          <w:sz w:val="32"/>
          <w:szCs w:val="32"/>
          <w:lang w:eastAsia="zh-CN"/>
        </w:rPr>
        <w:t>副主任</w:t>
      </w:r>
    </w:p>
    <w:p>
      <w:pPr>
        <w:keepNext w:val="0"/>
        <w:keepLines w:val="0"/>
        <w:pageBreakBefore w:val="0"/>
        <w:kinsoku/>
        <w:wordWrap/>
        <w:overflowPunct/>
        <w:topLinePunct w:val="0"/>
        <w:autoSpaceDE/>
        <w:autoSpaceDN/>
        <w:bidi w:val="0"/>
        <w:adjustRightInd/>
        <w:snapToGrid w:val="0"/>
        <w:spacing w:line="560" w:lineRule="exact"/>
        <w:ind w:right="0" w:rightChars="0" w:firstLine="1920" w:firstLineChars="600"/>
        <w:textAlignment w:val="auto"/>
        <w:outlineLvl w:val="9"/>
        <w:rPr>
          <w:rFonts w:hint="eastAsia"/>
          <w:lang w:eastAsia="zh-CN"/>
        </w:rPr>
      </w:pPr>
      <w:r>
        <w:rPr>
          <w:rFonts w:hint="eastAsia" w:ascii="仿宋_GB2312" w:eastAsia="仿宋_GB2312"/>
          <w:sz w:val="32"/>
          <w:szCs w:val="32"/>
          <w:lang w:eastAsia="zh-CN"/>
        </w:rPr>
        <w:t>田晓霞</w:t>
      </w:r>
      <w:r>
        <w:rPr>
          <w:rFonts w:hint="eastAsia" w:ascii="仿宋_GB2312" w:eastAsia="仿宋_GB2312"/>
          <w:sz w:val="32"/>
          <w:szCs w:val="32"/>
          <w:lang w:val="en-US" w:eastAsia="zh-CN"/>
        </w:rPr>
        <w:t xml:space="preserve"> 县</w:t>
      </w:r>
      <w:r>
        <w:rPr>
          <w:rFonts w:hint="eastAsia" w:ascii="仿宋_GB2312" w:eastAsia="仿宋_GB2312"/>
          <w:sz w:val="32"/>
          <w:szCs w:val="32"/>
        </w:rPr>
        <w:t>动物疾控中心</w:t>
      </w:r>
      <w:r>
        <w:rPr>
          <w:rFonts w:hint="eastAsia" w:ascii="仿宋_GB2312" w:eastAsia="仿宋_GB2312"/>
          <w:sz w:val="32"/>
          <w:szCs w:val="32"/>
          <w:lang w:eastAsia="zh-CN"/>
        </w:rPr>
        <w:t>副主任</w:t>
      </w:r>
    </w:p>
    <w:p>
      <w:pPr>
        <w:keepNext w:val="0"/>
        <w:keepLines w:val="0"/>
        <w:pageBreakBefore w:val="0"/>
        <w:widowControl/>
        <w:kinsoku/>
        <w:wordWrap/>
        <w:overflowPunct/>
        <w:topLinePunct w:val="0"/>
        <w:autoSpaceDE/>
        <w:autoSpaceDN/>
        <w:bidi w:val="0"/>
        <w:adjustRightInd/>
        <w:snapToGrid w:val="0"/>
        <w:spacing w:before="0" w:beforeLines="0" w:after="0" w:afterLines="0" w:line="560" w:lineRule="exact"/>
        <w:ind w:right="0" w:rightChars="0" w:firstLine="640" w:firstLineChars="200"/>
        <w:jc w:val="both"/>
        <w:textAlignment w:val="auto"/>
        <w:outlineLvl w:val="9"/>
        <w:rPr>
          <w:rFonts w:hint="eastAsia" w:ascii="仿宋_GB2312" w:hAnsi="宋体" w:eastAsia="仿宋_GB2312" w:cs="宋体"/>
          <w:color w:val="000000"/>
          <w:kern w:val="0"/>
          <w:sz w:val="32"/>
          <w:szCs w:val="32"/>
        </w:rPr>
      </w:pPr>
      <w:r>
        <w:rPr>
          <w:rFonts w:hint="eastAsia" w:ascii="仿宋_GB2312" w:eastAsia="仿宋_GB2312"/>
          <w:sz w:val="32"/>
          <w:szCs w:val="32"/>
        </w:rPr>
        <w:t>成</w:t>
      </w:r>
      <w:r>
        <w:rPr>
          <w:rFonts w:hint="eastAsia" w:eastAsia="仿宋_GB2312"/>
          <w:sz w:val="32"/>
          <w:szCs w:val="32"/>
          <w:lang w:val="en-US" w:eastAsia="zh-CN"/>
        </w:rPr>
        <w:t xml:space="preserve">  </w:t>
      </w:r>
      <w:r>
        <w:rPr>
          <w:rFonts w:hint="eastAsia" w:ascii="仿宋_GB2312" w:eastAsia="仿宋_GB2312"/>
          <w:sz w:val="32"/>
          <w:szCs w:val="32"/>
        </w:rPr>
        <w:t>员</w:t>
      </w:r>
      <w:r>
        <w:rPr>
          <w:rFonts w:hint="eastAsia" w:ascii="仿宋_GB2312" w:eastAsia="仿宋_GB2312"/>
          <w:sz w:val="32"/>
          <w:szCs w:val="32"/>
          <w:lang w:val="en-US" w:eastAsia="zh-CN"/>
        </w:rPr>
        <w:t>：</w:t>
      </w:r>
      <w:r>
        <w:rPr>
          <w:rFonts w:hint="eastAsia" w:ascii="仿宋_GB2312" w:hAnsi="宋体" w:eastAsia="仿宋_GB2312" w:cs="宋体"/>
          <w:color w:val="000000"/>
          <w:kern w:val="0"/>
          <w:sz w:val="32"/>
          <w:szCs w:val="32"/>
        </w:rPr>
        <w:t>柳  卫</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城关畜牧兽医站站长</w:t>
      </w:r>
    </w:p>
    <w:p>
      <w:pPr>
        <w:keepNext w:val="0"/>
        <w:keepLines w:val="0"/>
        <w:pageBreakBefore w:val="0"/>
        <w:widowControl/>
        <w:kinsoku/>
        <w:wordWrap/>
        <w:overflowPunct/>
        <w:topLinePunct w:val="0"/>
        <w:autoSpaceDE/>
        <w:autoSpaceDN/>
        <w:bidi w:val="0"/>
        <w:adjustRightInd/>
        <w:snapToGrid w:val="0"/>
        <w:spacing w:before="0" w:beforeLines="0" w:after="0" w:afterLines="0" w:line="560" w:lineRule="exact"/>
        <w:ind w:left="1280" w:leftChars="0" w:right="0" w:rightChars="0" w:hanging="1280" w:hangingChars="400"/>
        <w:jc w:val="both"/>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 xml:space="preserve">            刘岩峰 </w:t>
      </w:r>
      <w:r>
        <w:rPr>
          <w:rFonts w:hint="eastAsia" w:ascii="仿宋_GB2312" w:hAnsi="宋体" w:eastAsia="仿宋_GB2312" w:cs="宋体"/>
          <w:color w:val="000000"/>
          <w:kern w:val="0"/>
          <w:sz w:val="32"/>
          <w:szCs w:val="32"/>
        </w:rPr>
        <w:t>沙塘畜牧兽医站站长</w:t>
      </w:r>
    </w:p>
    <w:p>
      <w:pPr>
        <w:keepNext w:val="0"/>
        <w:keepLines w:val="0"/>
        <w:pageBreakBefore w:val="0"/>
        <w:widowControl/>
        <w:kinsoku/>
        <w:wordWrap/>
        <w:overflowPunct/>
        <w:topLinePunct w:val="0"/>
        <w:autoSpaceDE/>
        <w:autoSpaceDN/>
        <w:bidi w:val="0"/>
        <w:adjustRightInd/>
        <w:snapToGrid w:val="0"/>
        <w:spacing w:before="0" w:beforeLines="0" w:after="0" w:afterLines="0" w:line="560" w:lineRule="exact"/>
        <w:ind w:left="0" w:leftChars="0" w:right="0" w:rightChars="0"/>
        <w:jc w:val="both"/>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赵志杰</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联财畜牧兽医站站长</w:t>
      </w:r>
    </w:p>
    <w:p>
      <w:pPr>
        <w:keepNext w:val="0"/>
        <w:keepLines w:val="0"/>
        <w:pageBreakBefore w:val="0"/>
        <w:widowControl/>
        <w:kinsoku/>
        <w:wordWrap/>
        <w:overflowPunct/>
        <w:topLinePunct w:val="0"/>
        <w:autoSpaceDE/>
        <w:autoSpaceDN/>
        <w:bidi w:val="0"/>
        <w:adjustRightInd/>
        <w:snapToGrid w:val="0"/>
        <w:spacing w:before="0" w:beforeLines="0" w:after="0" w:afterLines="0" w:line="560" w:lineRule="exact"/>
        <w:ind w:left="1280" w:leftChars="0" w:right="0" w:rightChars="0" w:hanging="1280" w:hangingChars="400"/>
        <w:jc w:val="both"/>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 xml:space="preserve">            范力达 </w:t>
      </w:r>
      <w:r>
        <w:rPr>
          <w:rFonts w:hint="eastAsia" w:ascii="仿宋_GB2312" w:hAnsi="宋体" w:eastAsia="仿宋_GB2312" w:cs="宋体"/>
          <w:color w:val="000000"/>
          <w:kern w:val="0"/>
          <w:sz w:val="32"/>
          <w:szCs w:val="32"/>
        </w:rPr>
        <w:t>凤岭畜牧兽医站站长</w:t>
      </w:r>
    </w:p>
    <w:p>
      <w:pPr>
        <w:keepNext w:val="0"/>
        <w:keepLines w:val="0"/>
        <w:pageBreakBefore w:val="0"/>
        <w:widowControl/>
        <w:kinsoku/>
        <w:wordWrap/>
        <w:overflowPunct/>
        <w:topLinePunct w:val="0"/>
        <w:autoSpaceDE/>
        <w:autoSpaceDN/>
        <w:bidi w:val="0"/>
        <w:adjustRightInd/>
        <w:snapToGrid w:val="0"/>
        <w:spacing w:before="0" w:beforeLines="0" w:after="0" w:afterLines="0" w:line="560" w:lineRule="exact"/>
        <w:ind w:left="1280" w:leftChars="0" w:right="0" w:rightChars="0" w:hanging="1280" w:hangingChars="400"/>
        <w:jc w:val="both"/>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 xml:space="preserve">            柳根金 </w:t>
      </w:r>
      <w:r>
        <w:rPr>
          <w:rFonts w:hint="eastAsia" w:ascii="仿宋_GB2312" w:hAnsi="宋体" w:eastAsia="仿宋_GB2312" w:cs="宋体"/>
          <w:color w:val="000000"/>
          <w:kern w:val="0"/>
          <w:sz w:val="32"/>
          <w:szCs w:val="32"/>
        </w:rPr>
        <w:t>神林畜牧兽医站站长</w:t>
      </w:r>
    </w:p>
    <w:p>
      <w:pPr>
        <w:keepNext w:val="0"/>
        <w:keepLines w:val="0"/>
        <w:pageBreakBefore w:val="0"/>
        <w:widowControl/>
        <w:kinsoku/>
        <w:wordWrap/>
        <w:overflowPunct/>
        <w:topLinePunct w:val="0"/>
        <w:autoSpaceDE/>
        <w:autoSpaceDN/>
        <w:bidi w:val="0"/>
        <w:adjustRightInd/>
        <w:snapToGrid w:val="0"/>
        <w:spacing w:before="0" w:beforeLines="0" w:after="0" w:afterLines="0" w:line="560" w:lineRule="exact"/>
        <w:ind w:left="1280" w:leftChars="0" w:right="0" w:rightChars="0" w:hanging="1280" w:hangingChars="400"/>
        <w:jc w:val="both"/>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lang w:eastAsia="zh-CN"/>
        </w:rPr>
        <w:t>马富平</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陈靳畜牧兽医站站长</w:t>
      </w:r>
    </w:p>
    <w:p>
      <w:pPr>
        <w:keepNext w:val="0"/>
        <w:keepLines w:val="0"/>
        <w:pageBreakBefore w:val="0"/>
        <w:widowControl/>
        <w:kinsoku/>
        <w:wordWrap/>
        <w:overflowPunct/>
        <w:topLinePunct w:val="0"/>
        <w:autoSpaceDE/>
        <w:autoSpaceDN/>
        <w:bidi w:val="0"/>
        <w:adjustRightInd/>
        <w:snapToGrid w:val="0"/>
        <w:spacing w:before="0" w:beforeLines="0" w:after="0" w:afterLines="0" w:line="560" w:lineRule="exact"/>
        <w:ind w:left="1280" w:leftChars="0" w:right="0" w:rightChars="0" w:hanging="1280" w:hangingChars="400"/>
        <w:jc w:val="both"/>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lang w:eastAsia="zh-CN"/>
        </w:rPr>
        <w:t>李文柏</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山河畜牧兽医站站长</w:t>
      </w:r>
    </w:p>
    <w:p>
      <w:pPr>
        <w:keepNext w:val="0"/>
        <w:keepLines w:val="0"/>
        <w:pageBreakBefore w:val="0"/>
        <w:widowControl/>
        <w:kinsoku/>
        <w:wordWrap/>
        <w:overflowPunct/>
        <w:topLinePunct w:val="0"/>
        <w:autoSpaceDE/>
        <w:autoSpaceDN/>
        <w:bidi w:val="0"/>
        <w:adjustRightInd/>
        <w:snapToGrid w:val="0"/>
        <w:spacing w:before="0" w:beforeLines="0" w:after="0" w:afterLines="0" w:line="560" w:lineRule="exact"/>
        <w:ind w:left="1280" w:leftChars="0" w:right="0" w:rightChars="0" w:hanging="1280" w:hangingChars="400"/>
        <w:jc w:val="both"/>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 xml:space="preserve">            杜怀礼 </w:t>
      </w:r>
      <w:r>
        <w:rPr>
          <w:rFonts w:hint="eastAsia" w:ascii="仿宋_GB2312" w:hAnsi="宋体" w:eastAsia="仿宋_GB2312" w:cs="宋体"/>
          <w:color w:val="000000"/>
          <w:kern w:val="0"/>
          <w:sz w:val="32"/>
          <w:szCs w:val="32"/>
        </w:rPr>
        <w:t>温堡畜牧兽医站站长</w:t>
      </w:r>
    </w:p>
    <w:p>
      <w:pPr>
        <w:keepNext w:val="0"/>
        <w:keepLines w:val="0"/>
        <w:pageBreakBefore w:val="0"/>
        <w:widowControl/>
        <w:kinsoku/>
        <w:wordWrap/>
        <w:overflowPunct/>
        <w:topLinePunct w:val="0"/>
        <w:autoSpaceDE/>
        <w:autoSpaceDN/>
        <w:bidi w:val="0"/>
        <w:adjustRightInd/>
        <w:snapToGrid w:val="0"/>
        <w:spacing w:before="0" w:beforeLines="0" w:after="0" w:afterLines="0" w:line="560" w:lineRule="exact"/>
        <w:ind w:left="1280" w:leftChars="0" w:right="0" w:rightChars="0" w:hanging="1280" w:hangingChars="400"/>
        <w:jc w:val="both"/>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党喜旺</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奠安畜牧兽医站站长</w:t>
      </w:r>
    </w:p>
    <w:p>
      <w:pPr>
        <w:keepNext w:val="0"/>
        <w:keepLines w:val="0"/>
        <w:pageBreakBefore w:val="0"/>
        <w:widowControl/>
        <w:kinsoku/>
        <w:wordWrap/>
        <w:overflowPunct/>
        <w:topLinePunct w:val="0"/>
        <w:autoSpaceDE/>
        <w:autoSpaceDN/>
        <w:bidi w:val="0"/>
        <w:adjustRightInd/>
        <w:snapToGrid w:val="0"/>
        <w:spacing w:before="0" w:beforeLines="0" w:after="0" w:afterLines="0" w:line="560" w:lineRule="exact"/>
        <w:ind w:left="1280" w:leftChars="0" w:right="0" w:rightChars="0" w:hanging="1280" w:hangingChars="400"/>
        <w:jc w:val="both"/>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 xml:space="preserve">            雍耀兵 </w:t>
      </w:r>
      <w:r>
        <w:rPr>
          <w:rFonts w:hint="eastAsia" w:ascii="仿宋_GB2312" w:hAnsi="宋体" w:eastAsia="仿宋_GB2312" w:cs="宋体"/>
          <w:color w:val="000000"/>
          <w:kern w:val="0"/>
          <w:sz w:val="32"/>
          <w:szCs w:val="32"/>
        </w:rPr>
        <w:t>好水畜牧兽医站站长</w:t>
      </w:r>
    </w:p>
    <w:p>
      <w:pPr>
        <w:keepNext w:val="0"/>
        <w:keepLines w:val="0"/>
        <w:pageBreakBefore w:val="0"/>
        <w:widowControl/>
        <w:kinsoku/>
        <w:wordWrap/>
        <w:overflowPunct/>
        <w:topLinePunct w:val="0"/>
        <w:autoSpaceDE/>
        <w:autoSpaceDN/>
        <w:bidi w:val="0"/>
        <w:adjustRightInd/>
        <w:snapToGrid w:val="0"/>
        <w:spacing w:before="0" w:beforeLines="0" w:after="0" w:afterLines="0" w:line="560" w:lineRule="exact"/>
        <w:ind w:left="1280" w:leftChars="0" w:right="0" w:rightChars="0" w:hanging="1280" w:hangingChars="400"/>
        <w:jc w:val="both"/>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 xml:space="preserve">            田玉成 </w:t>
      </w:r>
      <w:r>
        <w:rPr>
          <w:rFonts w:hint="eastAsia" w:ascii="仿宋_GB2312" w:hAnsi="宋体" w:eastAsia="仿宋_GB2312" w:cs="宋体"/>
          <w:color w:val="000000"/>
          <w:kern w:val="0"/>
          <w:sz w:val="32"/>
          <w:szCs w:val="32"/>
        </w:rPr>
        <w:t>观庄畜牧兽医站站长</w:t>
      </w:r>
    </w:p>
    <w:p>
      <w:pPr>
        <w:keepNext w:val="0"/>
        <w:keepLines w:val="0"/>
        <w:pageBreakBefore w:val="0"/>
        <w:widowControl/>
        <w:kinsoku/>
        <w:wordWrap/>
        <w:overflowPunct/>
        <w:topLinePunct w:val="0"/>
        <w:autoSpaceDE/>
        <w:autoSpaceDN/>
        <w:bidi w:val="0"/>
        <w:adjustRightInd/>
        <w:snapToGrid w:val="0"/>
        <w:spacing w:before="0" w:beforeLines="0" w:after="0" w:afterLines="0" w:line="560" w:lineRule="exact"/>
        <w:ind w:left="1280" w:leftChars="0" w:right="0" w:rightChars="0" w:hanging="1280" w:hangingChars="400"/>
        <w:jc w:val="both"/>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lang w:eastAsia="zh-CN"/>
        </w:rPr>
        <w:t>慕彦彤</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张程畜牧兽医站站长</w:t>
      </w:r>
    </w:p>
    <w:p>
      <w:pPr>
        <w:keepNext w:val="0"/>
        <w:keepLines w:val="0"/>
        <w:pageBreakBefore w:val="0"/>
        <w:widowControl/>
        <w:kinsoku/>
        <w:wordWrap/>
        <w:overflowPunct/>
        <w:topLinePunct w:val="0"/>
        <w:autoSpaceDE/>
        <w:autoSpaceDN/>
        <w:bidi w:val="0"/>
        <w:adjustRightInd/>
        <w:snapToGrid w:val="0"/>
        <w:spacing w:before="0" w:beforeLines="0" w:after="0" w:afterLines="0" w:line="560" w:lineRule="exact"/>
        <w:ind w:left="0" w:leftChars="0" w:right="0" w:rightChars="0" w:firstLine="640"/>
        <w:jc w:val="both"/>
        <w:textAlignment w:val="auto"/>
        <w:outlineLvl w:val="9"/>
        <w:rPr>
          <w:rFonts w:hint="eastAsia" w:ascii="仿宋_GB2312" w:eastAsia="仿宋_GB2312"/>
          <w:sz w:val="32"/>
          <w:szCs w:val="32"/>
        </w:rPr>
      </w:pPr>
      <w:r>
        <w:rPr>
          <w:rFonts w:hint="eastAsia" w:ascii="仿宋_GB2312" w:hAnsi="宋体" w:eastAsia="仿宋_GB2312" w:cs="宋体"/>
          <w:color w:val="000000"/>
          <w:kern w:val="0"/>
          <w:sz w:val="32"/>
          <w:szCs w:val="32"/>
          <w:lang w:val="en-US" w:eastAsia="zh-CN"/>
        </w:rPr>
        <w:t xml:space="preserve">        梁旭升 </w:t>
      </w:r>
      <w:r>
        <w:rPr>
          <w:rFonts w:hint="eastAsia" w:ascii="仿宋_GB2312" w:hAnsi="宋体" w:eastAsia="仿宋_GB2312" w:cs="宋体"/>
          <w:color w:val="000000"/>
          <w:kern w:val="0"/>
          <w:sz w:val="32"/>
          <w:szCs w:val="32"/>
        </w:rPr>
        <w:t>杨河畜牧兽医站站长</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jc w:val="both"/>
        <w:textAlignment w:val="auto"/>
        <w:outlineLvl w:val="9"/>
        <w:rPr>
          <w:rFonts w:hint="eastAsia" w:ascii="仿宋_GB2312" w:hAnsi="宋体" w:eastAsia="仿宋_GB2312"/>
          <w:sz w:val="32"/>
          <w:szCs w:val="32"/>
        </w:rPr>
      </w:pPr>
      <w:r>
        <w:rPr>
          <w:rFonts w:hint="eastAsia" w:ascii="仿宋_GB2312" w:hAnsi="宋体" w:eastAsia="仿宋_GB2312"/>
          <w:sz w:val="32"/>
          <w:szCs w:val="32"/>
        </w:rPr>
        <w:t>项目实施领导小组</w:t>
      </w:r>
      <w:r>
        <w:rPr>
          <w:rFonts w:hint="eastAsia" w:ascii="仿宋_GB2312" w:hAnsi="宋体" w:eastAsia="仿宋_GB2312"/>
          <w:sz w:val="32"/>
          <w:szCs w:val="32"/>
          <w:lang w:eastAsia="zh-CN"/>
        </w:rPr>
        <w:t>负责</w:t>
      </w:r>
      <w:r>
        <w:rPr>
          <w:rFonts w:hint="eastAsia" w:ascii="仿宋_GB2312" w:hAnsi="宋体" w:eastAsia="仿宋_GB2312"/>
          <w:sz w:val="32"/>
          <w:szCs w:val="32"/>
        </w:rPr>
        <w:t>对各乡镇站疫苗的保存、管理、使用情况进行监督、检查和指导，保障供给动物防疫配套用品。</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firstLine="600"/>
        <w:jc w:val="both"/>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（二）保障措施</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29" w:firstLineChars="196"/>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1.制定具体实施方案。</w:t>
      </w:r>
      <w:r>
        <w:rPr>
          <w:rFonts w:hint="eastAsia" w:ascii="仿宋_GB2312" w:hAnsi="仿宋_GB2312" w:eastAsia="仿宋_GB2312" w:cs="仿宋_GB2312"/>
          <w:sz w:val="32"/>
          <w:szCs w:val="32"/>
          <w:lang w:val="en-US" w:eastAsia="zh-CN"/>
        </w:rPr>
        <w:t>结合我县实际，制定具体实施方案，全面部署，分解任务，并制定详细的项目验收办法和细则，明确责任，规范管理。</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2.财务管理。</w:t>
      </w:r>
      <w:r>
        <w:rPr>
          <w:rFonts w:hint="eastAsia" w:ascii="仿宋_GB2312" w:hAnsi="仿宋_GB2312" w:eastAsia="仿宋_GB2312" w:cs="仿宋_GB2312"/>
          <w:sz w:val="32"/>
          <w:szCs w:val="32"/>
          <w:lang w:val="en-US" w:eastAsia="zh-CN"/>
        </w:rPr>
        <w:t>资金严格做到专款专用，定期开展工作开展和资金使用情况自查，严禁挪用，规范账务，严格执行财务公开制度。</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firstLine="600"/>
        <w:jc w:val="both"/>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（三）具体要求</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项目资金要按照专项资金管理的有关规定，切实加强管理。对违纪违规问题，将依据国务院《财政资金监督管理办法》（国务院427号令）和《宁夏回族自治区专项资金监督管理办法》（宁夏回族自治区政府69号令）以及自治区《关于专项资金管理使用中违纪违规行为党纪政纪处分规定》（宁党发〔2006〕54号）等相关法律法规严肃查处。</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firstLine="600"/>
        <w:jc w:val="both"/>
        <w:textAlignment w:val="auto"/>
        <w:outlineLvl w:val="9"/>
        <w:rPr>
          <w:rFonts w:hint="eastAsia" w:ascii="黑体" w:eastAsia="黑体"/>
          <w:bCs/>
          <w:sz w:val="32"/>
          <w:szCs w:val="32"/>
          <w:lang w:eastAsia="zh-CN"/>
        </w:rPr>
      </w:pPr>
      <w:r>
        <w:rPr>
          <w:rFonts w:hint="eastAsia" w:ascii="黑体" w:eastAsia="黑体"/>
          <w:bCs/>
          <w:sz w:val="32"/>
          <w:szCs w:val="32"/>
          <w:lang w:eastAsia="zh-CN"/>
        </w:rPr>
        <w:t>七、效益评价</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通过项目的实施，我县采取春秋两季集中免疫、常年补针和强化免疫三结合免疫方式，确保全县动物应免尽免，有效提升畜禽重大动物疫病免疫抗体水平，降低动物疫病发生风险，保障养殖业生产安全、动物产品质量安全、公共卫生安全和生态安全，主要体现在以下三个方面。</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2" w:firstLineChars="200"/>
        <w:jc w:val="both"/>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val="en-US" w:eastAsia="zh-CN"/>
        </w:rPr>
        <w:t>（一）经济效益。</w:t>
      </w:r>
      <w:r>
        <w:rPr>
          <w:rFonts w:hint="eastAsia" w:ascii="仿宋_GB2312" w:hAnsi="仿宋_GB2312" w:eastAsia="仿宋_GB2312" w:cs="仿宋_GB2312"/>
          <w:sz w:val="32"/>
          <w:szCs w:val="32"/>
          <w:lang w:eastAsia="zh-CN"/>
        </w:rPr>
        <w:t>提升全县整体动物疫病防控水平，全县动物因病死亡率稳定控制在较低水平，全县猪、牛、羊、鸡因病死下降，年减少养殖户经济损失</w:t>
      </w:r>
      <w:r>
        <w:rPr>
          <w:rFonts w:hint="eastAsia" w:ascii="仿宋_GB2312" w:hAnsi="仿宋_GB2312" w:eastAsia="仿宋_GB2312" w:cs="仿宋_GB2312"/>
          <w:sz w:val="32"/>
          <w:szCs w:val="32"/>
          <w:lang w:val="en-US" w:eastAsia="zh-CN"/>
        </w:rPr>
        <w:t>8000</w:t>
      </w:r>
      <w:r>
        <w:rPr>
          <w:rFonts w:hint="eastAsia" w:ascii="仿宋_GB2312" w:hAnsi="仿宋_GB2312" w:eastAsia="仿宋_GB2312" w:cs="仿宋_GB2312"/>
          <w:sz w:val="32"/>
          <w:szCs w:val="32"/>
          <w:lang w:eastAsia="zh-CN"/>
        </w:rPr>
        <w:t>多万元。</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2" w:firstLineChars="200"/>
        <w:jc w:val="both"/>
        <w:textAlignment w:val="auto"/>
        <w:outlineLvl w:val="9"/>
        <w:rPr>
          <w:rFonts w:hint="eastAsia" w:ascii="仿宋_GB2312" w:hAnsi="仿宋_GB2312" w:eastAsia="仿宋_GB2312" w:cs="仿宋_GB2312"/>
          <w:sz w:val="32"/>
          <w:szCs w:val="32"/>
          <w:lang w:eastAsia="zh-CN"/>
        </w:rPr>
      </w:pPr>
      <w:r>
        <w:rPr>
          <w:rFonts w:hint="eastAsia" w:ascii="楷体" w:hAnsi="楷体" w:eastAsia="楷体" w:cs="楷体"/>
          <w:b/>
          <w:bCs/>
          <w:sz w:val="32"/>
          <w:szCs w:val="32"/>
          <w:lang w:eastAsia="zh-CN"/>
        </w:rPr>
        <w:t>（二）社会效益。</w:t>
      </w:r>
      <w:r>
        <w:rPr>
          <w:rFonts w:hint="eastAsia" w:ascii="仿宋_GB2312" w:hAnsi="仿宋_GB2312" w:eastAsia="仿宋_GB2312" w:cs="仿宋_GB2312"/>
          <w:sz w:val="32"/>
          <w:szCs w:val="32"/>
          <w:lang w:eastAsia="zh-CN"/>
        </w:rPr>
        <w:t>提高动物疫病防控能力，做好重大动物疫病防控，保障全县养殖业健康持续发展，促进</w:t>
      </w:r>
      <w:r>
        <w:rPr>
          <w:rFonts w:hint="eastAsia" w:ascii="仿宋_GB2312" w:hAnsi="仿宋_GB2312" w:eastAsia="仿宋_GB2312" w:cs="仿宋_GB2312"/>
          <w:sz w:val="32"/>
          <w:szCs w:val="32"/>
          <w:lang w:val="en-US" w:eastAsia="zh-CN"/>
        </w:rPr>
        <w:t>养殖</w:t>
      </w:r>
      <w:r>
        <w:rPr>
          <w:rFonts w:hint="eastAsia" w:ascii="仿宋_GB2312" w:hAnsi="仿宋_GB2312" w:eastAsia="仿宋_GB2312" w:cs="仿宋_GB2312"/>
          <w:sz w:val="32"/>
          <w:szCs w:val="32"/>
          <w:lang w:eastAsia="zh-CN"/>
        </w:rPr>
        <w:t>增效，农民增收，促进县域经济发展。有效控制人兽共患疫病的发生，保障动物</w:t>
      </w:r>
      <w:r>
        <w:rPr>
          <w:rFonts w:hint="eastAsia" w:ascii="仿宋_GB2312" w:hAnsi="仿宋_GB2312" w:eastAsia="仿宋_GB2312" w:cs="仿宋_GB2312"/>
          <w:sz w:val="32"/>
          <w:szCs w:val="32"/>
          <w:lang w:val="en-US" w:eastAsia="zh-CN"/>
        </w:rPr>
        <w:t>源性</w:t>
      </w:r>
      <w:r>
        <w:rPr>
          <w:rFonts w:hint="eastAsia" w:ascii="仿宋_GB2312" w:hAnsi="仿宋_GB2312" w:eastAsia="仿宋_GB2312" w:cs="仿宋_GB2312"/>
          <w:sz w:val="32"/>
          <w:szCs w:val="32"/>
          <w:lang w:eastAsia="zh-CN"/>
        </w:rPr>
        <w:t>食品安全，保护人民身体健康。维护公共卫生安全，促进社会和谐稳定发展。</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2" w:firstLineChars="200"/>
        <w:jc w:val="both"/>
        <w:textAlignment w:val="auto"/>
        <w:outlineLvl w:val="9"/>
        <w:rPr>
          <w:rFonts w:hint="eastAsia" w:ascii="仿宋_GB2312" w:hAnsi="仿宋_GB2312" w:eastAsia="仿宋_GB2312" w:cs="仿宋_GB2312"/>
          <w:sz w:val="32"/>
          <w:szCs w:val="32"/>
          <w:lang w:eastAsia="zh-CN"/>
        </w:rPr>
      </w:pPr>
      <w:r>
        <w:rPr>
          <w:rFonts w:hint="eastAsia" w:ascii="楷体" w:hAnsi="楷体" w:eastAsia="楷体" w:cs="楷体"/>
          <w:b/>
          <w:bCs/>
          <w:sz w:val="32"/>
          <w:szCs w:val="32"/>
          <w:lang w:eastAsia="zh-CN"/>
        </w:rPr>
        <w:t>（三）生态效益。</w:t>
      </w:r>
      <w:r>
        <w:rPr>
          <w:rFonts w:hint="eastAsia" w:ascii="仿宋_GB2312" w:hAnsi="仿宋_GB2312" w:eastAsia="仿宋_GB2312" w:cs="仿宋_GB2312"/>
          <w:sz w:val="32"/>
          <w:szCs w:val="32"/>
          <w:lang w:val="en-US" w:eastAsia="zh-CN"/>
        </w:rPr>
        <w:t>控制</w:t>
      </w:r>
      <w:r>
        <w:rPr>
          <w:rFonts w:hint="eastAsia" w:ascii="仿宋_GB2312" w:hAnsi="仿宋_GB2312" w:eastAsia="仿宋_GB2312" w:cs="仿宋_GB2312"/>
          <w:sz w:val="32"/>
          <w:szCs w:val="32"/>
          <w:lang w:eastAsia="zh-CN"/>
        </w:rPr>
        <w:t>可散布于空气、水源、土壤中的人畜共患病原</w:t>
      </w:r>
      <w:r>
        <w:rPr>
          <w:rFonts w:hint="eastAsia" w:ascii="仿宋_GB2312" w:hAnsi="仿宋_GB2312" w:eastAsia="仿宋_GB2312" w:cs="仿宋_GB2312"/>
          <w:sz w:val="32"/>
          <w:szCs w:val="32"/>
          <w:lang w:val="en-US" w:eastAsia="zh-CN"/>
        </w:rPr>
        <w:t>体，降低</w:t>
      </w:r>
      <w:r>
        <w:rPr>
          <w:rFonts w:hint="eastAsia" w:ascii="仿宋_GB2312" w:hAnsi="仿宋_GB2312" w:eastAsia="仿宋_GB2312" w:cs="仿宋_GB2312"/>
          <w:sz w:val="32"/>
          <w:szCs w:val="32"/>
          <w:lang w:eastAsia="zh-CN"/>
        </w:rPr>
        <w:t>媒介生物</w:t>
      </w:r>
      <w:r>
        <w:rPr>
          <w:rFonts w:hint="eastAsia" w:ascii="仿宋_GB2312" w:hAnsi="仿宋_GB2312" w:eastAsia="仿宋_GB2312" w:cs="仿宋_GB2312"/>
          <w:sz w:val="32"/>
          <w:szCs w:val="32"/>
          <w:lang w:val="en-US" w:eastAsia="zh-CN"/>
        </w:rPr>
        <w:t>与易感动物接触率，</w:t>
      </w:r>
      <w:r>
        <w:rPr>
          <w:rFonts w:hint="eastAsia" w:ascii="仿宋_GB2312" w:hAnsi="仿宋_GB2312" w:eastAsia="仿宋_GB2312" w:cs="仿宋_GB2312"/>
          <w:sz w:val="32"/>
          <w:szCs w:val="32"/>
          <w:lang w:eastAsia="zh-CN"/>
        </w:rPr>
        <w:t>降低</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lang w:eastAsia="zh-CN"/>
        </w:rPr>
        <w:t>空气、水源和草场等生态环境</w:t>
      </w:r>
      <w:r>
        <w:rPr>
          <w:rFonts w:hint="eastAsia" w:ascii="仿宋_GB2312" w:hAnsi="仿宋_GB2312" w:eastAsia="仿宋_GB2312" w:cs="仿宋_GB2312"/>
          <w:sz w:val="32"/>
          <w:szCs w:val="32"/>
          <w:lang w:val="en-US" w:eastAsia="zh-CN"/>
        </w:rPr>
        <w:t>污染</w:t>
      </w:r>
      <w:r>
        <w:rPr>
          <w:rFonts w:hint="eastAsia" w:ascii="仿宋_GB2312" w:hAnsi="仿宋_GB2312" w:eastAsia="仿宋_GB2312" w:cs="仿宋_GB2312"/>
          <w:sz w:val="32"/>
          <w:szCs w:val="32"/>
          <w:lang w:eastAsia="zh-CN"/>
        </w:rPr>
        <w:t>率。项目实施后，提高了动物疫病综合防控能力，切实保护了人与动物赖以生存的生态环境，生态效益十分显著。</w:t>
      </w:r>
    </w:p>
    <w:p>
      <w:pPr>
        <w:keepNext w:val="0"/>
        <w:keepLines w:val="0"/>
        <w:pageBreakBefore w:val="0"/>
        <w:widowControl w:val="0"/>
        <w:kinsoku/>
        <w:wordWrap/>
        <w:overflowPunct/>
        <w:topLinePunct w:val="0"/>
        <w:autoSpaceDE/>
        <w:autoSpaceDN/>
        <w:bidi w:val="0"/>
        <w:adjustRightInd/>
        <w:snapToGrid w:val="0"/>
        <w:spacing w:line="560" w:lineRule="atLeast"/>
        <w:ind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、项目验收细则</w:t>
      </w:r>
    </w:p>
    <w:p>
      <w:pPr>
        <w:keepNext w:val="0"/>
        <w:keepLines w:val="0"/>
        <w:pageBreakBefore w:val="0"/>
        <w:widowControl w:val="0"/>
        <w:kinsoku/>
        <w:wordWrap/>
        <w:overflowPunct/>
        <w:topLinePunct w:val="0"/>
        <w:autoSpaceDE/>
        <w:autoSpaceDN/>
        <w:bidi w:val="0"/>
        <w:adjustRightInd/>
        <w:snapToGrid w:val="0"/>
        <w:spacing w:line="560" w:lineRule="atLeast"/>
        <w:ind w:right="0" w:rightChars="0" w:firstLine="642" w:firstLineChars="200"/>
        <w:jc w:val="both"/>
        <w:textAlignment w:val="auto"/>
        <w:outlineLvl w:val="9"/>
        <w:rPr>
          <w:rFonts w:hint="eastAsia" w:ascii="仿宋_GB2312" w:eastAsia="仿宋_GB2312"/>
          <w:sz w:val="32"/>
          <w:szCs w:val="32"/>
        </w:rPr>
      </w:pPr>
      <w:r>
        <w:rPr>
          <w:rFonts w:hint="eastAsia" w:ascii="楷体_GB2312" w:hAnsi="楷体_GB2312" w:eastAsia="楷体_GB2312" w:cs="楷体_GB2312"/>
          <w:b/>
          <w:bCs/>
          <w:sz w:val="32"/>
          <w:szCs w:val="32"/>
          <w:lang w:val="en-US" w:eastAsia="zh-CN"/>
        </w:rPr>
        <w:t>（一）</w:t>
      </w:r>
      <w:r>
        <w:rPr>
          <w:rFonts w:hint="eastAsia" w:ascii="仿宋_GB2312" w:hAnsi="仿宋_GB2312" w:eastAsia="仿宋_GB2312" w:cs="仿宋_GB2312"/>
          <w:sz w:val="32"/>
          <w:szCs w:val="32"/>
        </w:rPr>
        <w:t>县动物疾控中心组织人员</w:t>
      </w:r>
      <w:r>
        <w:rPr>
          <w:rFonts w:hint="eastAsia" w:ascii="仿宋_GB2312" w:eastAsia="仿宋_GB2312"/>
          <w:sz w:val="32"/>
          <w:szCs w:val="32"/>
        </w:rPr>
        <w:t>对</w:t>
      </w:r>
      <w:r>
        <w:rPr>
          <w:rFonts w:hint="eastAsia" w:ascii="仿宋_GB2312" w:eastAsia="仿宋_GB2312"/>
          <w:sz w:val="32"/>
          <w:szCs w:val="32"/>
          <w:lang w:val="en-US" w:eastAsia="zh-CN"/>
        </w:rPr>
        <w:t>各类疫苗采购数量</w:t>
      </w:r>
      <w:r>
        <w:rPr>
          <w:rFonts w:hint="eastAsia" w:ascii="仿宋_GB2312" w:eastAsia="仿宋_GB2312"/>
          <w:sz w:val="32"/>
          <w:szCs w:val="32"/>
        </w:rPr>
        <w:t>做全面清点、验收。</w:t>
      </w:r>
    </w:p>
    <w:p>
      <w:pPr>
        <w:keepNext w:val="0"/>
        <w:keepLines w:val="0"/>
        <w:pageBreakBefore w:val="0"/>
        <w:widowControl w:val="0"/>
        <w:kinsoku/>
        <w:wordWrap/>
        <w:overflowPunct/>
        <w:topLinePunct w:val="0"/>
        <w:autoSpaceDE/>
        <w:autoSpaceDN/>
        <w:bidi w:val="0"/>
        <w:adjustRightInd/>
        <w:snapToGrid w:val="0"/>
        <w:spacing w:line="560" w:lineRule="atLeast"/>
        <w:ind w:right="0" w:rightChars="0"/>
        <w:jc w:val="both"/>
        <w:textAlignment w:val="auto"/>
        <w:outlineLvl w:val="9"/>
        <w:rPr>
          <w:rFonts w:hint="eastAsia" w:ascii="仿宋_GB2312" w:hAnsi="宋体" w:eastAsia="仿宋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b/>
          <w:bCs/>
          <w:sz w:val="32"/>
          <w:szCs w:val="32"/>
          <w:lang w:val="en-US" w:eastAsia="zh-CN"/>
        </w:rPr>
        <w:t>（二）</w:t>
      </w:r>
      <w:r>
        <w:rPr>
          <w:rFonts w:hint="eastAsia" w:ascii="仿宋_GB2312" w:hAnsi="仿宋_GB2312" w:eastAsia="仿宋_GB2312" w:cs="仿宋_GB2312"/>
          <w:sz w:val="32"/>
          <w:szCs w:val="32"/>
        </w:rPr>
        <w:t>县动物疾控中心严格按照兽用生物制品贮藏及使用说明要求，做好疫苗的保存、运输、发放和使用。疫苗实行专人管理，规范建立疫苗出入库台账，</w:t>
      </w:r>
      <w:r>
        <w:rPr>
          <w:rFonts w:hint="eastAsia" w:ascii="仿宋_GB2312" w:hAnsi="宋体" w:eastAsia="仿宋_GB2312"/>
          <w:sz w:val="32"/>
          <w:szCs w:val="32"/>
        </w:rPr>
        <w:t>确保数量准确，</w:t>
      </w:r>
      <w:r>
        <w:rPr>
          <w:rFonts w:hint="eastAsia" w:ascii="仿宋_GB2312" w:hAnsi="宋体" w:eastAsia="仿宋_GB2312"/>
          <w:sz w:val="32"/>
          <w:szCs w:val="32"/>
          <w:lang w:val="en-US" w:eastAsia="zh-CN"/>
        </w:rPr>
        <w:t>账</w:t>
      </w:r>
      <w:r>
        <w:rPr>
          <w:rFonts w:hint="eastAsia" w:ascii="仿宋_GB2312" w:hAnsi="宋体" w:eastAsia="仿宋_GB2312"/>
          <w:sz w:val="32"/>
          <w:szCs w:val="32"/>
        </w:rPr>
        <w:t>物相符。</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atLeast"/>
        <w:ind w:right="0" w:rightChars="0" w:firstLine="642" w:firstLineChars="200"/>
        <w:jc w:val="both"/>
        <w:textAlignment w:val="auto"/>
        <w:outlineLvl w:val="9"/>
        <w:rPr>
          <w:rFonts w:hint="eastAsia" w:ascii="仿宋_GB2312" w:hAnsi="仿宋_GB2312" w:eastAsia="仿宋_GB2312" w:cs="仿宋_GB2312"/>
          <w:spacing w:val="-11"/>
          <w:sz w:val="32"/>
          <w:szCs w:val="32"/>
          <w:lang w:val="en-US" w:eastAsia="zh-CN"/>
        </w:rPr>
      </w:pPr>
      <w:r>
        <w:rPr>
          <w:rFonts w:hint="eastAsia" w:ascii="楷体_GB2312" w:hAnsi="楷体_GB2312" w:eastAsia="楷体_GB2312" w:cs="楷体_GB2312"/>
          <w:b/>
          <w:bCs/>
          <w:sz w:val="32"/>
          <w:szCs w:val="32"/>
          <w:lang w:val="en-US" w:eastAsia="zh-CN"/>
        </w:rPr>
        <w:t>（三）</w:t>
      </w:r>
      <w:r>
        <w:rPr>
          <w:rFonts w:hint="eastAsia" w:ascii="仿宋_GB2312" w:hAnsi="仿宋_GB2312" w:eastAsia="仿宋_GB2312" w:cs="仿宋_GB2312"/>
          <w:sz w:val="32"/>
          <w:szCs w:val="32"/>
        </w:rPr>
        <w:t>对动物</w:t>
      </w:r>
      <w:r>
        <w:rPr>
          <w:rFonts w:hint="eastAsia" w:ascii="仿宋_GB2312" w:hAnsi="仿宋_GB2312" w:eastAsia="仿宋_GB2312" w:cs="仿宋_GB2312"/>
          <w:sz w:val="32"/>
          <w:szCs w:val="32"/>
          <w:lang w:eastAsia="zh-CN"/>
        </w:rPr>
        <w:t>防疫</w:t>
      </w:r>
      <w:r>
        <w:rPr>
          <w:rFonts w:hint="eastAsia" w:ascii="仿宋_GB2312" w:hAnsi="仿宋_GB2312" w:eastAsia="仿宋_GB2312" w:cs="仿宋_GB2312"/>
          <w:sz w:val="32"/>
          <w:szCs w:val="32"/>
        </w:rPr>
        <w:t>项目所有工作的开展和资金的使用情况，领导小组及时组织人员开展自查，经查项目建设内容与项目建设合同内容完全相符后，形成书面报告，申请验收。</w:t>
      </w:r>
    </w:p>
    <w:p>
      <w:pPr>
        <w:pStyle w:val="2"/>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atLeast"/>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202</w:t>
      </w: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年中央财政支农项目备案表</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atLeast"/>
        <w:ind w:right="0" w:rightChars="0" w:firstLine="1280" w:firstLineChars="400"/>
        <w:jc w:val="both"/>
        <w:textAlignment w:val="auto"/>
        <w:outlineLvl w:val="9"/>
        <w:rPr>
          <w:rFonts w:hint="eastAsia" w:ascii="仿宋_GB2312" w:hAnsi="仿宋_GB2312" w:eastAsia="仿宋_GB2312" w:cs="仿宋_GB2312"/>
          <w:spacing w:val="-11"/>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pacing w:val="-11"/>
          <w:sz w:val="32"/>
          <w:szCs w:val="32"/>
          <w:lang w:val="en-US" w:eastAsia="zh-CN"/>
        </w:rPr>
        <w:t>隆德县2024年动物防疫经费绩效考核实施方案</w:t>
      </w:r>
    </w:p>
    <w:p>
      <w:pPr>
        <w:rPr>
          <w:rFonts w:hint="eastAsia"/>
          <w:lang w:eastAsia="zh-CN"/>
        </w:rPr>
        <w:sectPr>
          <w:footerReference r:id="rId3" w:type="default"/>
          <w:pgSz w:w="11910" w:h="16840"/>
          <w:pgMar w:top="2154" w:right="1474" w:bottom="2098" w:left="1587" w:header="0" w:footer="1093" w:gutter="0"/>
          <w:pgNumType w:fmt="numberInDash"/>
          <w:cols w:space="720" w:num="1"/>
          <w:docGrid w:type="lines" w:linePitch="312" w:charSpace="0"/>
        </w:sectPr>
      </w:pPr>
    </w:p>
    <w:tbl>
      <w:tblPr>
        <w:tblStyle w:val="8"/>
        <w:tblpPr w:leftFromText="180" w:rightFromText="180" w:vertAnchor="text" w:horzAnchor="page" w:tblpX="1682" w:tblpY="148"/>
        <w:tblOverlap w:val="never"/>
        <w:tblW w:w="89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65"/>
        <w:gridCol w:w="2404"/>
        <w:gridCol w:w="1674"/>
        <w:gridCol w:w="27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980" w:type="dxa"/>
            <w:gridSpan w:val="4"/>
            <w:tcBorders>
              <w:top w:val="nil"/>
              <w:left w:val="nil"/>
              <w:bottom w:val="nil"/>
              <w:right w:val="nil"/>
            </w:tcBorders>
            <w:noWrap/>
            <w:vAlign w:val="center"/>
          </w:tcPr>
          <w:p>
            <w:pPr>
              <w:keepNext w:val="0"/>
              <w:keepLines w:val="0"/>
              <w:widowControl/>
              <w:suppressLineNumbers w:val="0"/>
              <w:jc w:val="both"/>
              <w:textAlignment w:val="center"/>
              <w:rPr>
                <w:rFonts w:hint="eastAsia"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b w:val="0"/>
                <w:bCs w:val="0"/>
                <w:kern w:val="2"/>
                <w:sz w:val="32"/>
                <w:szCs w:val="32"/>
                <w:lang w:val="en-US" w:eastAsia="zh-CN"/>
              </w:rPr>
              <w:t>附件1：</w:t>
            </w:r>
          </w:p>
          <w:p>
            <w:pPr>
              <w:keepNext w:val="0"/>
              <w:keepLines w:val="0"/>
              <w:widowControl/>
              <w:suppressLineNumbers w:val="0"/>
              <w:jc w:val="center"/>
              <w:textAlignment w:val="center"/>
              <w:rPr>
                <w:rFonts w:hint="default" w:ascii="Times New Roman" w:hAnsi="Times New Roman" w:eastAsia="黑体" w:cs="Times New Roman"/>
                <w:b w:val="0"/>
                <w:bCs w:val="0"/>
                <w:color w:val="auto"/>
                <w:kern w:val="0"/>
                <w:sz w:val="32"/>
                <w:szCs w:val="32"/>
                <w:highlight w:val="none"/>
                <w:lang w:val="en-US" w:eastAsia="zh-CN" w:bidi="ar"/>
              </w:rPr>
            </w:pPr>
            <w:r>
              <w:rPr>
                <w:rFonts w:hint="eastAsia" w:ascii="方正小标宋简体" w:hAnsi="方正小标宋简体" w:eastAsia="方正小标宋简体" w:cs="方正小标宋简体"/>
                <w:b w:val="0"/>
                <w:bCs w:val="0"/>
                <w:i w:val="0"/>
                <w:iCs w:val="0"/>
                <w:color w:val="000000"/>
                <w:kern w:val="0"/>
                <w:sz w:val="36"/>
                <w:szCs w:val="36"/>
                <w:u w:val="none"/>
                <w:lang w:val="en-US" w:eastAsia="zh-CN" w:bidi="ar"/>
              </w:rPr>
              <w:t xml:space="preserve"> </w:t>
            </w:r>
            <w:r>
              <w:rPr>
                <w:rFonts w:hint="default" w:ascii="方正小标宋简体" w:hAnsi="方正小标宋简体" w:eastAsia="方正小标宋简体" w:cs="方正小标宋简体"/>
                <w:b w:val="0"/>
                <w:bCs w:val="0"/>
                <w:i w:val="0"/>
                <w:iCs w:val="0"/>
                <w:color w:val="000000"/>
                <w:kern w:val="0"/>
                <w:sz w:val="36"/>
                <w:szCs w:val="36"/>
                <w:u w:val="none"/>
                <w:lang w:val="en-US" w:eastAsia="zh-CN" w:bidi="ar"/>
              </w:rPr>
              <w:t>202</w:t>
            </w:r>
            <w:r>
              <w:rPr>
                <w:rFonts w:hint="eastAsia" w:ascii="方正小标宋简体" w:hAnsi="方正小标宋简体" w:eastAsia="方正小标宋简体" w:cs="方正小标宋简体"/>
                <w:b w:val="0"/>
                <w:bCs w:val="0"/>
                <w:i w:val="0"/>
                <w:iCs w:val="0"/>
                <w:color w:val="000000"/>
                <w:kern w:val="0"/>
                <w:sz w:val="36"/>
                <w:szCs w:val="36"/>
                <w:u w:val="none"/>
                <w:lang w:val="en-US" w:eastAsia="zh-CN" w:bidi="ar"/>
              </w:rPr>
              <w:t>4</w:t>
            </w:r>
            <w:r>
              <w:rPr>
                <w:rFonts w:hint="default" w:ascii="方正小标宋简体" w:hAnsi="方正小标宋简体" w:eastAsia="方正小标宋简体" w:cs="方正小标宋简体"/>
                <w:b w:val="0"/>
                <w:bCs w:val="0"/>
                <w:i w:val="0"/>
                <w:iCs w:val="0"/>
                <w:color w:val="000000"/>
                <w:kern w:val="0"/>
                <w:sz w:val="36"/>
                <w:szCs w:val="36"/>
                <w:u w:val="none"/>
                <w:lang w:val="en-US" w:eastAsia="zh-CN" w:bidi="ar"/>
              </w:rPr>
              <w:t>年中央财政支农项目备案表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569" w:type="dxa"/>
            <w:gridSpan w:val="2"/>
            <w:tcBorders>
              <w:top w:val="nil"/>
              <w:left w:val="nil"/>
              <w:bottom w:val="nil"/>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市、县（区）名称：</w:t>
            </w:r>
            <w:r>
              <w:rPr>
                <w:rFonts w:hint="eastAsia" w:ascii="宋体" w:hAnsi="宋体" w:cs="宋体"/>
                <w:i w:val="0"/>
                <w:iCs w:val="0"/>
                <w:color w:val="000000"/>
                <w:kern w:val="0"/>
                <w:sz w:val="24"/>
                <w:szCs w:val="24"/>
                <w:u w:val="none"/>
                <w:lang w:val="en-US" w:eastAsia="zh-CN" w:bidi="ar"/>
              </w:rPr>
              <w:t>隆德县</w:t>
            </w:r>
          </w:p>
        </w:tc>
        <w:tc>
          <w:tcPr>
            <w:tcW w:w="4411" w:type="dxa"/>
            <w:gridSpan w:val="2"/>
            <w:tcBorders>
              <w:top w:val="nil"/>
              <w:left w:val="nil"/>
              <w:bottom w:val="nil"/>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主管单位：</w:t>
            </w:r>
            <w:r>
              <w:rPr>
                <w:rFonts w:hint="eastAsia" w:ascii="宋体" w:hAnsi="宋体" w:cs="宋体"/>
                <w:i w:val="0"/>
                <w:iCs w:val="0"/>
                <w:color w:val="000000"/>
                <w:kern w:val="0"/>
                <w:sz w:val="24"/>
                <w:szCs w:val="24"/>
                <w:u w:val="none"/>
                <w:lang w:val="en-US" w:eastAsia="zh-CN" w:bidi="ar"/>
              </w:rPr>
              <w:t>隆德县农业农村局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1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240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隆德县202</w:t>
            </w:r>
            <w:r>
              <w:rPr>
                <w:rFonts w:hint="eastAsia" w:ascii="宋体" w:hAnsi="宋体" w:cs="宋体"/>
                <w:i w:val="0"/>
                <w:iCs w:val="0"/>
                <w:color w:val="000000"/>
                <w:sz w:val="22"/>
                <w:szCs w:val="22"/>
                <w:u w:val="none"/>
                <w:lang w:val="en-US" w:eastAsia="zh-CN"/>
              </w:rPr>
              <w:t>4</w:t>
            </w:r>
            <w:r>
              <w:rPr>
                <w:rFonts w:hint="eastAsia" w:ascii="宋体" w:hAnsi="宋体" w:eastAsia="宋体" w:cs="宋体"/>
                <w:i w:val="0"/>
                <w:iCs w:val="0"/>
                <w:color w:val="000000"/>
                <w:sz w:val="22"/>
                <w:szCs w:val="22"/>
                <w:u w:val="none"/>
              </w:rPr>
              <w:t>年动物防疫项目</w:t>
            </w:r>
          </w:p>
        </w:tc>
        <w:tc>
          <w:tcPr>
            <w:tcW w:w="167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任务类别</w:t>
            </w:r>
          </w:p>
        </w:tc>
        <w:tc>
          <w:tcPr>
            <w:tcW w:w="2737"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sz w:val="22"/>
                <w:szCs w:val="22"/>
                <w:u w:val="none"/>
                <w:lang w:eastAsia="zh-CN"/>
              </w:rPr>
            </w:pPr>
            <w:r>
              <w:rPr>
                <w:rFonts w:hint="eastAsia" w:ascii="宋体" w:hAnsi="宋体" w:cs="宋体"/>
                <w:i w:val="0"/>
                <w:iCs w:val="0"/>
                <w:color w:val="000000"/>
                <w:sz w:val="22"/>
                <w:szCs w:val="22"/>
                <w:u w:val="none"/>
                <w:lang w:eastAsia="zh-CN"/>
              </w:rPr>
              <w:t>指导性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165"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项目实施单位</w:t>
            </w:r>
          </w:p>
        </w:tc>
        <w:tc>
          <w:tcPr>
            <w:tcW w:w="2404" w:type="dxa"/>
            <w:tcBorders>
              <w:top w:val="single" w:color="auto"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lang w:eastAsia="zh-CN"/>
              </w:rPr>
            </w:pPr>
            <w:r>
              <w:rPr>
                <w:rFonts w:hint="eastAsia" w:ascii="宋体" w:hAnsi="宋体" w:cs="宋体"/>
                <w:i w:val="0"/>
                <w:iCs w:val="0"/>
                <w:color w:val="000000"/>
                <w:sz w:val="22"/>
                <w:szCs w:val="22"/>
                <w:u w:val="none"/>
                <w:lang w:eastAsia="zh-CN"/>
              </w:rPr>
              <w:t>隆德县动物疾病预防控制中心</w:t>
            </w:r>
          </w:p>
        </w:tc>
        <w:tc>
          <w:tcPr>
            <w:tcW w:w="1674"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实施地点</w:t>
            </w:r>
          </w:p>
        </w:tc>
        <w:tc>
          <w:tcPr>
            <w:tcW w:w="2737" w:type="dxa"/>
            <w:tcBorders>
              <w:top w:val="single" w:color="auto"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eastAsia="zh-CN"/>
              </w:rPr>
              <w:t>全县</w:t>
            </w:r>
            <w:r>
              <w:rPr>
                <w:rFonts w:hint="eastAsia" w:ascii="宋体" w:hAnsi="宋体" w:eastAsia="宋体" w:cs="宋体"/>
                <w:i w:val="0"/>
                <w:iCs w:val="0"/>
                <w:color w:val="000000"/>
                <w:sz w:val="22"/>
                <w:szCs w:val="22"/>
                <w:u w:val="none"/>
              </w:rPr>
              <w:t>13个乡镇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21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项目负责人</w:t>
            </w:r>
          </w:p>
        </w:tc>
        <w:tc>
          <w:tcPr>
            <w:tcW w:w="240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lang w:eastAsia="zh-CN"/>
              </w:rPr>
            </w:pPr>
            <w:r>
              <w:rPr>
                <w:rFonts w:hint="eastAsia" w:ascii="宋体" w:hAnsi="宋体" w:cs="宋体"/>
                <w:i w:val="0"/>
                <w:iCs w:val="0"/>
                <w:color w:val="000000"/>
                <w:sz w:val="22"/>
                <w:szCs w:val="22"/>
                <w:u w:val="none"/>
                <w:lang w:eastAsia="zh-CN"/>
              </w:rPr>
              <w:t>张奎举</w:t>
            </w:r>
          </w:p>
        </w:tc>
        <w:tc>
          <w:tcPr>
            <w:tcW w:w="1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联系电话</w:t>
            </w:r>
          </w:p>
        </w:tc>
        <w:tc>
          <w:tcPr>
            <w:tcW w:w="27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13649546969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申请财政补助资金（万元）</w:t>
            </w:r>
          </w:p>
        </w:tc>
        <w:tc>
          <w:tcPr>
            <w:tcW w:w="240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78</w:t>
            </w:r>
          </w:p>
        </w:tc>
        <w:tc>
          <w:tcPr>
            <w:tcW w:w="1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财政补助资金（万元）</w:t>
            </w:r>
          </w:p>
        </w:tc>
        <w:tc>
          <w:tcPr>
            <w:tcW w:w="27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9" w:hRule="atLeast"/>
        </w:trPr>
        <w:tc>
          <w:tcPr>
            <w:tcW w:w="2165" w:type="dxa"/>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项目建设内容</w:t>
            </w:r>
          </w:p>
        </w:tc>
        <w:tc>
          <w:tcPr>
            <w:tcW w:w="6815" w:type="dxa"/>
            <w:gridSpan w:val="3"/>
            <w:tcBorders>
              <w:top w:val="single" w:color="000000" w:sz="4" w:space="0"/>
              <w:left w:val="single" w:color="000000" w:sz="4" w:space="0"/>
              <w:bottom w:val="single" w:color="000000" w:sz="4" w:space="0"/>
              <w:right w:val="single" w:color="000000" w:sz="4" w:space="0"/>
            </w:tcBorders>
            <w:noWrap/>
            <w:vAlign w:val="center"/>
          </w:tcPr>
          <w:p>
            <w:pPr>
              <w:numPr>
                <w:ilvl w:val="0"/>
                <w:numId w:val="0"/>
              </w:numPr>
              <w:jc w:val="left"/>
              <w:rPr>
                <w:rFonts w:hint="eastAsia"/>
                <w:color w:val="000000"/>
                <w:sz w:val="20"/>
                <w:szCs w:val="22"/>
                <w:lang w:val="en-US" w:eastAsia="zh-CN"/>
              </w:rPr>
            </w:pPr>
            <w:r>
              <w:rPr>
                <w:rFonts w:hint="eastAsia"/>
                <w:sz w:val="20"/>
                <w:szCs w:val="22"/>
                <w:lang w:val="en-US" w:eastAsia="zh-CN"/>
              </w:rPr>
              <w:t>1.</w:t>
            </w:r>
            <w:r>
              <w:rPr>
                <w:rFonts w:hint="eastAsia"/>
                <w:sz w:val="20"/>
                <w:szCs w:val="22"/>
                <w:lang w:eastAsia="zh-CN"/>
              </w:rPr>
              <w:t>完</w:t>
            </w:r>
            <w:r>
              <w:rPr>
                <w:rFonts w:hint="eastAsia"/>
                <w:color w:val="000000"/>
                <w:sz w:val="20"/>
                <w:szCs w:val="22"/>
                <w:lang w:eastAsia="zh-CN"/>
              </w:rPr>
              <w:t>成</w:t>
            </w:r>
            <w:r>
              <w:rPr>
                <w:rFonts w:hint="eastAsia"/>
                <w:color w:val="000000"/>
                <w:sz w:val="20"/>
                <w:szCs w:val="22"/>
              </w:rPr>
              <w:t>家禽高致病性禽流感、牛</w:t>
            </w:r>
            <w:r>
              <w:rPr>
                <w:rFonts w:hint="eastAsia"/>
                <w:color w:val="000000"/>
                <w:sz w:val="20"/>
                <w:szCs w:val="22"/>
                <w:lang w:val="en-US" w:eastAsia="zh-CN"/>
              </w:rPr>
              <w:t>羊</w:t>
            </w:r>
            <w:r>
              <w:rPr>
                <w:rFonts w:hint="eastAsia"/>
                <w:color w:val="000000"/>
                <w:sz w:val="20"/>
                <w:szCs w:val="22"/>
              </w:rPr>
              <w:t>口蹄疫、小反刍兽疫、猪口蹄疫、</w:t>
            </w:r>
            <w:r>
              <w:rPr>
                <w:rFonts w:hint="eastAsia"/>
                <w:color w:val="000000"/>
                <w:sz w:val="20"/>
                <w:szCs w:val="22"/>
                <w:lang w:val="en-US" w:eastAsia="zh-CN"/>
              </w:rPr>
              <w:t>牛</w:t>
            </w:r>
            <w:r>
              <w:rPr>
                <w:rFonts w:hint="eastAsia"/>
                <w:color w:val="000000"/>
                <w:sz w:val="20"/>
                <w:szCs w:val="22"/>
              </w:rPr>
              <w:t>羊布病、</w:t>
            </w:r>
            <w:r>
              <w:rPr>
                <w:rFonts w:hint="eastAsia"/>
                <w:color w:val="000000"/>
                <w:sz w:val="20"/>
                <w:szCs w:val="22"/>
                <w:lang w:val="en-US" w:eastAsia="zh-CN"/>
              </w:rPr>
              <w:t>炭疽、</w:t>
            </w:r>
            <w:r>
              <w:rPr>
                <w:rFonts w:hint="eastAsia"/>
                <w:color w:val="000000"/>
                <w:sz w:val="20"/>
                <w:szCs w:val="22"/>
              </w:rPr>
              <w:t>狂犬病等</w:t>
            </w:r>
            <w:r>
              <w:rPr>
                <w:rFonts w:hint="eastAsia"/>
                <w:color w:val="000000"/>
                <w:sz w:val="20"/>
                <w:szCs w:val="22"/>
                <w:lang w:val="en-US" w:eastAsia="zh-CN"/>
              </w:rPr>
              <w:t>重大</w:t>
            </w:r>
            <w:r>
              <w:rPr>
                <w:rFonts w:hint="eastAsia"/>
                <w:color w:val="000000"/>
                <w:sz w:val="20"/>
                <w:szCs w:val="22"/>
              </w:rPr>
              <w:t>动物疫病</w:t>
            </w:r>
            <w:r>
              <w:rPr>
                <w:rFonts w:hint="eastAsia"/>
                <w:color w:val="000000"/>
                <w:sz w:val="20"/>
                <w:szCs w:val="22"/>
                <w:lang w:val="en-US" w:eastAsia="zh-CN"/>
              </w:rPr>
              <w:t>动物疫苗</w:t>
            </w:r>
            <w:r>
              <w:rPr>
                <w:rFonts w:hint="eastAsia"/>
                <w:color w:val="000000"/>
                <w:sz w:val="20"/>
                <w:szCs w:val="22"/>
              </w:rPr>
              <w:t>的采购</w:t>
            </w:r>
            <w:r>
              <w:rPr>
                <w:rFonts w:hint="eastAsia"/>
                <w:color w:val="000000"/>
                <w:sz w:val="20"/>
                <w:szCs w:val="22"/>
                <w:lang w:eastAsia="zh-CN"/>
              </w:rPr>
              <w:t>，犬只驱虫药采购。</w:t>
            </w:r>
          </w:p>
          <w:p>
            <w:pPr>
              <w:numPr>
                <w:ilvl w:val="0"/>
                <w:numId w:val="0"/>
              </w:numPr>
              <w:ind w:leftChars="0"/>
              <w:jc w:val="left"/>
              <w:rPr>
                <w:rFonts w:hint="eastAsia"/>
                <w:sz w:val="20"/>
                <w:szCs w:val="22"/>
                <w:lang w:val="en-US" w:eastAsia="zh-CN"/>
              </w:rPr>
            </w:pPr>
            <w:r>
              <w:rPr>
                <w:rFonts w:hint="eastAsia"/>
                <w:color w:val="000000"/>
                <w:sz w:val="20"/>
                <w:szCs w:val="22"/>
                <w:lang w:val="en-US" w:eastAsia="zh-CN"/>
              </w:rPr>
              <w:t>2.组织人员开展</w:t>
            </w:r>
            <w:r>
              <w:rPr>
                <w:rFonts w:hint="eastAsia"/>
                <w:sz w:val="20"/>
                <w:szCs w:val="22"/>
                <w:lang w:val="en-US" w:eastAsia="zh-CN"/>
              </w:rPr>
              <w:t>春秋两季集中免疫工作。</w:t>
            </w:r>
          </w:p>
          <w:p>
            <w:pPr>
              <w:numPr>
                <w:ilvl w:val="0"/>
                <w:numId w:val="0"/>
              </w:numPr>
              <w:ind w:leftChars="0"/>
              <w:jc w:val="left"/>
              <w:rPr>
                <w:rFonts w:hint="default"/>
                <w:sz w:val="20"/>
                <w:szCs w:val="22"/>
                <w:lang w:val="en-US" w:eastAsia="zh-CN"/>
              </w:rPr>
            </w:pPr>
            <w:r>
              <w:rPr>
                <w:rFonts w:hint="eastAsia"/>
                <w:sz w:val="20"/>
                <w:szCs w:val="22"/>
                <w:lang w:val="en-US" w:eastAsia="zh-CN"/>
              </w:rPr>
              <w:t>3.开展《动物检疫管理办法》等法律法规宣传，及时对病畜、孕畜、幼畜进行补免，实施动物产地检疫、屠宰检疫及监督指导和考核验收工作，完善免疫档案，采购兽医实验室实验试剂及耗材，采购重大动物疫病防控物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165" w:type="dxa"/>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项目绩效</w:t>
            </w:r>
          </w:p>
        </w:tc>
        <w:tc>
          <w:tcPr>
            <w:tcW w:w="6815" w:type="dxa"/>
            <w:gridSpan w:val="3"/>
            <w:tcBorders>
              <w:top w:val="single" w:color="000000" w:sz="4" w:space="0"/>
              <w:left w:val="single" w:color="000000" w:sz="4" w:space="0"/>
              <w:bottom w:val="single" w:color="000000" w:sz="4" w:space="0"/>
              <w:right w:val="single" w:color="000000" w:sz="4" w:space="0"/>
            </w:tcBorders>
            <w:noWrap/>
            <w:vAlign w:val="center"/>
          </w:tcPr>
          <w:p>
            <w:pPr>
              <w:ind w:firstLine="400" w:firstLineChars="200"/>
              <w:jc w:val="left"/>
              <w:rPr>
                <w:rFonts w:hint="eastAsia" w:ascii="宋体" w:hAnsi="宋体" w:eastAsia="宋体" w:cs="宋体"/>
                <w:i w:val="0"/>
                <w:iCs w:val="0"/>
                <w:color w:val="000000"/>
                <w:sz w:val="16"/>
                <w:szCs w:val="16"/>
                <w:u w:val="none"/>
              </w:rPr>
            </w:pPr>
            <w:r>
              <w:rPr>
                <w:rFonts w:hint="eastAsia" w:ascii="Times New Roman" w:hAnsi="Times New Roman" w:cs="Times New Roman"/>
                <w:sz w:val="20"/>
                <w:szCs w:val="22"/>
                <w:lang w:val="en-US" w:eastAsia="zh-CN"/>
              </w:rPr>
              <w:t>通过实施动物防疫项目，全县口蹄疫、高致病性禽流感、羊小反刍兽疫、布鲁氏菌病等动物疫病免疫应免密度达到100％；免疫抗体合格率达到70%以上；完成农村有主犬只驱虫工作；动物检疫开展面及动物检疫申报检疫率达100%；兽医社会化服务能力不断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6" w:hRule="atLeast"/>
        </w:trPr>
        <w:tc>
          <w:tcPr>
            <w:tcW w:w="2165" w:type="dxa"/>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审核意见</w:t>
            </w:r>
          </w:p>
        </w:tc>
        <w:tc>
          <w:tcPr>
            <w:tcW w:w="24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sz w:val="28"/>
                <w:szCs w:val="28"/>
                <w:lang w:val="en-US" w:eastAsia="zh-CN"/>
              </w:rPr>
            </w:pPr>
            <w:r>
              <w:rPr>
                <w:rFonts w:hint="eastAsia" w:ascii="宋体" w:hAnsi="宋体" w:eastAsia="宋体" w:cs="宋体"/>
                <w:i w:val="0"/>
                <w:iCs w:val="0"/>
                <w:color w:val="000000"/>
                <w:kern w:val="0"/>
                <w:sz w:val="22"/>
                <w:szCs w:val="22"/>
                <w:u w:val="none"/>
                <w:lang w:val="en-US" w:eastAsia="zh-CN" w:bidi="ar"/>
              </w:rPr>
              <w:t>农业农村部门意见：</w:t>
            </w:r>
          </w:p>
          <w:p>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p>
          <w:p>
            <w:pPr>
              <w:pStyle w:val="3"/>
              <w:rPr>
                <w:rFonts w:hint="eastAsia"/>
                <w:lang w:val="en-US" w:eastAsia="zh-CN"/>
              </w:rPr>
            </w:pPr>
          </w:p>
          <w:p>
            <w:pPr>
              <w:keepNext w:val="0"/>
              <w:keepLines w:val="0"/>
              <w:widowControl/>
              <w:suppressLineNumbers w:val="0"/>
              <w:ind w:firstLine="1100" w:firstLineChars="50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（盖章）  </w:t>
            </w:r>
            <w:r>
              <w:rPr>
                <w:rFonts w:hint="eastAsia" w:ascii="宋体" w:hAnsi="宋体" w:cs="宋体"/>
                <w:i w:val="0"/>
                <w:iCs w:val="0"/>
                <w:color w:val="000000"/>
                <w:kern w:val="0"/>
                <w:sz w:val="22"/>
                <w:szCs w:val="22"/>
                <w:u w:val="none"/>
                <w:lang w:val="en-US" w:eastAsia="zh-CN" w:bidi="ar"/>
              </w:rPr>
              <w:t xml:space="preserve"> </w:t>
            </w:r>
          </w:p>
          <w:p>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 xml:space="preserve">年   月    日      </w:t>
            </w:r>
          </w:p>
        </w:tc>
        <w:tc>
          <w:tcPr>
            <w:tcW w:w="44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2400" w:hanging="2200" w:hangingChars="10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财政部门意见：    </w:t>
            </w:r>
          </w:p>
          <w:p>
            <w:pPr>
              <w:pStyle w:val="3"/>
              <w:rPr>
                <w:rFonts w:hint="eastAsia"/>
                <w:sz w:val="28"/>
                <w:szCs w:val="28"/>
                <w:lang w:val="en-US" w:eastAsia="zh-CN"/>
              </w:rPr>
            </w:pPr>
          </w:p>
          <w:p>
            <w:pPr>
              <w:keepNext w:val="0"/>
              <w:keepLines w:val="0"/>
              <w:widowControl/>
              <w:suppressLineNumbers w:val="0"/>
              <w:ind w:left="2400" w:hanging="2200" w:hangingChars="100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ind w:left="2394" w:leftChars="1140"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（盖章）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980" w:type="dxa"/>
            <w:gridSpan w:val="4"/>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备注：每个备案项目填写一张备案表，任务类别为约束性或指导性任务。</w:t>
            </w:r>
          </w:p>
        </w:tc>
      </w:tr>
    </w:tbl>
    <w:p/>
    <w:p>
      <w:pPr>
        <w:pStyle w:val="2"/>
        <w:rPr>
          <w:rFonts w:hint="eastAsia"/>
          <w:lang w:eastAsia="zh-CN"/>
        </w:rPr>
        <w:sectPr>
          <w:pgSz w:w="11910" w:h="16840"/>
          <w:pgMar w:top="2154" w:right="1474" w:bottom="2098" w:left="1587" w:header="0" w:footer="1093" w:gutter="0"/>
          <w:pgNumType w:fmt="numberInDash"/>
          <w:cols w:space="720" w:num="1"/>
          <w:docGrid w:type="lines" w:linePitch="312" w:charSpace="0"/>
        </w:sectPr>
      </w:pPr>
    </w:p>
    <w:p>
      <w:pPr>
        <w:spacing w:line="640" w:lineRule="exact"/>
        <w:jc w:val="left"/>
        <w:rPr>
          <w:rFonts w:hint="eastAsia" w:ascii="黑体" w:hAnsi="黑体" w:eastAsia="黑体" w:cs="黑体"/>
          <w:bCs/>
          <w:sz w:val="32"/>
          <w:szCs w:val="32"/>
          <w:lang w:val="en-US" w:eastAsia="zh-CN"/>
        </w:rPr>
      </w:pPr>
      <w:r>
        <w:rPr>
          <w:rFonts w:hint="eastAsia" w:ascii="黑体" w:hAnsi="黑体" w:eastAsia="黑体" w:cs="黑体"/>
          <w:bCs/>
          <w:sz w:val="32"/>
          <w:szCs w:val="32"/>
          <w:lang w:eastAsia="zh-CN"/>
        </w:rPr>
        <w:t>附件</w:t>
      </w:r>
      <w:r>
        <w:rPr>
          <w:rFonts w:hint="eastAsia" w:ascii="黑体" w:hAnsi="黑体" w:eastAsia="黑体" w:cs="黑体"/>
          <w:bCs/>
          <w:sz w:val="32"/>
          <w:szCs w:val="32"/>
          <w:lang w:val="en-US" w:eastAsia="zh-CN"/>
        </w:rPr>
        <w:t>2：</w:t>
      </w:r>
    </w:p>
    <w:p>
      <w:pPr>
        <w:spacing w:line="64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lang w:eastAsia="zh-CN"/>
        </w:rPr>
        <w:t>隆德县20</w:t>
      </w:r>
      <w:r>
        <w:rPr>
          <w:rFonts w:hint="eastAsia" w:ascii="方正小标宋简体" w:hAnsi="方正小标宋简体" w:eastAsia="方正小标宋简体" w:cs="方正小标宋简体"/>
          <w:bCs/>
          <w:sz w:val="44"/>
          <w:szCs w:val="44"/>
          <w:lang w:val="en-US" w:eastAsia="zh-CN"/>
        </w:rPr>
        <w:t>24</w:t>
      </w:r>
      <w:r>
        <w:rPr>
          <w:rFonts w:hint="eastAsia" w:ascii="方正小标宋简体" w:hAnsi="方正小标宋简体" w:eastAsia="方正小标宋简体" w:cs="方正小标宋简体"/>
          <w:bCs/>
          <w:sz w:val="44"/>
          <w:szCs w:val="44"/>
        </w:rPr>
        <w:t>年动物</w:t>
      </w:r>
      <w:r>
        <w:rPr>
          <w:rFonts w:hint="eastAsia" w:ascii="方正小标宋简体" w:hAnsi="方正小标宋简体" w:eastAsia="方正小标宋简体" w:cs="方正小标宋简体"/>
          <w:bCs/>
          <w:sz w:val="44"/>
          <w:szCs w:val="44"/>
          <w:lang w:eastAsia="zh-CN"/>
        </w:rPr>
        <w:t>防疫经费</w:t>
      </w:r>
    </w:p>
    <w:p>
      <w:pPr>
        <w:spacing w:line="64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绩效考核实施方案</w:t>
      </w:r>
    </w:p>
    <w:p>
      <w:pPr>
        <w:spacing w:line="600" w:lineRule="exact"/>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为提高中央财政资金使用效能，根据财政项目管理工作总体安排，特制订本方案。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一、总体思路和原则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提高财政资金使用效能，全面加强重大动物疫病防控能力，切实保障畜牧业生产安全、动物源性食品安全、公共卫生安全和生态安全。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二、主要目标</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财政资金专款专用，最大限度发挥资金效能。通过实施动物防疫项目，全县</w:t>
      </w:r>
      <w:r>
        <w:rPr>
          <w:rFonts w:hint="eastAsia" w:ascii="仿宋_GB2312" w:hAnsi="仿宋_GB2312" w:eastAsia="仿宋_GB2312" w:cs="仿宋_GB2312"/>
          <w:sz w:val="32"/>
          <w:szCs w:val="32"/>
          <w:lang w:eastAsia="zh-CN"/>
        </w:rPr>
        <w:t>口蹄疫、高致病性禽流感、羊小反刍兽疫、布鲁氏菌病等动物疫病免疫应免密度达到100％；免疫抗体合格率达到70%以上；免疫抗体和病原监测面以乡镇为单位达到100%；完成重点区域包虫病免疫和全县犬只驱虫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实施范围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动物疾病预防控制中心、</w:t>
      </w:r>
      <w:r>
        <w:rPr>
          <w:rFonts w:hint="eastAsia" w:ascii="仿宋_GB2312" w:hAnsi="仿宋_GB2312" w:eastAsia="仿宋_GB2312" w:cs="仿宋_GB2312"/>
          <w:sz w:val="32"/>
          <w:szCs w:val="32"/>
          <w:lang w:val="en-US" w:eastAsia="zh-CN"/>
        </w:rPr>
        <w:t>13个乡镇畜牧兽医工作站</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四、考核内容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对动物疫病免疫工作效果进行科学评估，根据评估结果衡量动物防疫经费使用效能。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五、考核形式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动物疾控中心组织自评验收小组，按照动物防疫考核评价指标体系进行考核打分，汇总自评验收结果，报送县农业农村局进行复核验收。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六、结果运用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将绩效评价结果</w:t>
      </w:r>
      <w:r>
        <w:rPr>
          <w:rFonts w:hint="eastAsia" w:ascii="仿宋_GB2312" w:hAnsi="仿宋_GB2312" w:eastAsia="仿宋_GB2312" w:cs="仿宋_GB2312"/>
          <w:sz w:val="32"/>
          <w:szCs w:val="32"/>
          <w:lang w:val="en-US" w:eastAsia="zh-CN"/>
        </w:rPr>
        <w:t>作为年终业务考核的重要组成部分，并进行公示。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七、工作要求</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（一）加强组织领导。</w:t>
      </w:r>
      <w:r>
        <w:rPr>
          <w:rFonts w:hint="eastAsia" w:ascii="仿宋_GB2312" w:hAnsi="仿宋_GB2312" w:eastAsia="仿宋_GB2312" w:cs="仿宋_GB2312"/>
          <w:sz w:val="32"/>
          <w:szCs w:val="32"/>
          <w:lang w:val="en-US" w:eastAsia="zh-CN"/>
        </w:rPr>
        <w:t>考核单位要高度重视，加强组织领导，主动接受检查，确保考核结果客观准确。</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（二）加强财务管理。</w:t>
      </w:r>
      <w:r>
        <w:rPr>
          <w:rFonts w:hint="eastAsia" w:ascii="仿宋_GB2312" w:hAnsi="仿宋_GB2312" w:eastAsia="仿宋_GB2312" w:cs="仿宋_GB2312"/>
          <w:sz w:val="32"/>
          <w:szCs w:val="32"/>
          <w:lang w:val="en-US" w:eastAsia="zh-CN"/>
        </w:rPr>
        <w:t>项目资金必须做到专款专用，严禁挪用，要及时拨付。严格执行项目招投标制度。疫苗、耳标等防疫物资要建立物资台账，完善出入库记录。</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（三）严格工作纪律。</w:t>
      </w:r>
      <w:r>
        <w:rPr>
          <w:rFonts w:hint="eastAsia" w:ascii="仿宋_GB2312" w:hAnsi="仿宋_GB2312" w:eastAsia="仿宋_GB2312" w:cs="仿宋_GB2312"/>
          <w:sz w:val="32"/>
          <w:szCs w:val="32"/>
          <w:lang w:val="en-US" w:eastAsia="zh-CN"/>
        </w:rPr>
        <w:t>考核组要遵从“公开、透明、公正”的原则开展考核，考核组成员要严格遵守</w:t>
      </w:r>
      <w:r>
        <w:rPr>
          <w:rFonts w:hint="default" w:ascii="仿宋_GB2312" w:hAnsi="仿宋_GB2312" w:eastAsia="仿宋_GB2312" w:cs="仿宋_GB2312"/>
          <w:sz w:val="32"/>
          <w:szCs w:val="32"/>
          <w:lang w:val="en" w:eastAsia="zh-CN"/>
        </w:rPr>
        <w:t>中央八项规定</w:t>
      </w:r>
      <w:r>
        <w:rPr>
          <w:rFonts w:hint="eastAsia" w:ascii="仿宋_GB2312" w:hAnsi="仿宋_GB2312" w:eastAsia="仿宋_GB2312" w:cs="仿宋_GB2312"/>
          <w:sz w:val="32"/>
          <w:szCs w:val="32"/>
          <w:lang w:val="en-US" w:eastAsia="zh-CN"/>
        </w:rPr>
        <w:t>，切实做到实事求是、客观公正、严格标准、严守秘密</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附件1：2024年</w:t>
      </w:r>
      <w:r>
        <w:rPr>
          <w:rFonts w:hint="default" w:ascii="仿宋_GB2312" w:hAnsi="仿宋_GB2312" w:eastAsia="仿宋_GB2312" w:cs="仿宋_GB2312"/>
          <w:sz w:val="32"/>
          <w:szCs w:val="32"/>
          <w:lang w:val="en-US" w:eastAsia="zh-CN"/>
        </w:rPr>
        <w:t>中央财政支农项目绩效考核指标体系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280" w:firstLineChars="4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2：2024年中央动物防疫补助经费区域性绩</w:t>
      </w:r>
      <w:bookmarkStart w:id="1" w:name="_GoBack"/>
      <w:bookmarkEnd w:id="1"/>
      <w:r>
        <w:rPr>
          <w:rFonts w:hint="eastAsia" w:ascii="仿宋_GB2312" w:hAnsi="仿宋_GB2312" w:eastAsia="仿宋_GB2312" w:cs="仿宋_GB2312"/>
          <w:sz w:val="32"/>
          <w:szCs w:val="32"/>
          <w:lang w:val="en-US" w:eastAsia="zh-CN"/>
        </w:rPr>
        <w:t>效目标表</w:t>
      </w:r>
    </w:p>
    <w:p>
      <w:pPr>
        <w:bidi w:val="0"/>
        <w:rPr>
          <w:rFonts w:hint="default"/>
          <w:lang w:val="en-US" w:eastAsia="zh-CN"/>
        </w:rPr>
      </w:pPr>
    </w:p>
    <w:p>
      <w:pPr>
        <w:pStyle w:val="3"/>
        <w:keepNext/>
        <w:keepLines/>
        <w:pageBreakBefore w:val="0"/>
        <w:widowControl w:val="0"/>
        <w:kinsoku/>
        <w:wordWrap/>
        <w:overflowPunct/>
        <w:topLinePunct w:val="0"/>
        <w:autoSpaceDE/>
        <w:autoSpaceDN/>
        <w:bidi w:val="0"/>
        <w:adjustRightInd w:val="0"/>
        <w:snapToGrid w:val="0"/>
        <w:spacing w:before="0" w:after="0" w:line="240" w:lineRule="auto"/>
        <w:ind w:left="0" w:leftChars="0" w:right="0" w:rightChars="0" w:firstLine="0" w:firstLineChars="0"/>
        <w:textAlignment w:val="auto"/>
        <w:outlineLvl w:val="1"/>
        <w:rPr>
          <w:rFonts w:hint="default" w:ascii="仿宋_GB2312" w:hAnsi="仿宋_GB2312" w:eastAsia="仿宋_GB2312" w:cs="仿宋_GB2312"/>
          <w:b w:val="0"/>
          <w:bCs w:val="0"/>
          <w:kern w:val="2"/>
          <w:sz w:val="32"/>
          <w:szCs w:val="32"/>
          <w:lang w:val="en-US" w:eastAsia="zh-CN"/>
        </w:rPr>
      </w:pPr>
    </w:p>
    <w:p>
      <w:pPr>
        <w:bidi w:val="0"/>
        <w:rPr>
          <w:rFonts w:hint="default"/>
          <w:lang w:val="en-US" w:eastAsia="zh-CN"/>
        </w:rPr>
      </w:pPr>
    </w:p>
    <w:p>
      <w:pPr>
        <w:pStyle w:val="2"/>
        <w:rPr>
          <w:rFonts w:hint="default"/>
          <w:lang w:val="en-US" w:eastAsia="zh-CN"/>
        </w:rPr>
      </w:pPr>
    </w:p>
    <w:p>
      <w:pPr>
        <w:pStyle w:val="3"/>
        <w:keepNext/>
        <w:keepLines/>
        <w:pageBreakBefore w:val="0"/>
        <w:widowControl w:val="0"/>
        <w:kinsoku/>
        <w:wordWrap/>
        <w:overflowPunct/>
        <w:topLinePunct w:val="0"/>
        <w:autoSpaceDE/>
        <w:autoSpaceDN/>
        <w:bidi w:val="0"/>
        <w:adjustRightInd w:val="0"/>
        <w:snapToGrid w:val="0"/>
        <w:spacing w:before="0" w:after="0" w:line="240" w:lineRule="auto"/>
        <w:ind w:left="0" w:leftChars="0" w:right="0" w:rightChars="0" w:firstLine="0" w:firstLineChars="0"/>
        <w:textAlignment w:val="auto"/>
        <w:outlineLvl w:val="1"/>
        <w:rPr>
          <w:rFonts w:hint="eastAsia" w:ascii="仿宋_GB2312" w:hAnsi="仿宋_GB2312" w:eastAsia="仿宋_GB2312" w:cs="仿宋_GB2312"/>
          <w:b w:val="0"/>
          <w:bCs w:val="0"/>
          <w:kern w:val="2"/>
          <w:sz w:val="32"/>
          <w:szCs w:val="32"/>
          <w:lang w:val="en-US" w:eastAsia="zh-CN"/>
        </w:rPr>
      </w:pPr>
      <w:r>
        <w:rPr>
          <w:rFonts w:hint="default" w:ascii="仿宋_GB2312" w:hAnsi="仿宋_GB2312" w:eastAsia="仿宋_GB2312" w:cs="仿宋_GB2312"/>
          <w:b w:val="0"/>
          <w:bCs w:val="0"/>
          <w:kern w:val="2"/>
          <w:sz w:val="32"/>
          <w:szCs w:val="32"/>
          <w:lang w:val="en-US" w:eastAsia="zh-CN"/>
        </w:rPr>
        <w:t>附</w:t>
      </w:r>
      <w:r>
        <w:rPr>
          <w:rFonts w:hint="eastAsia" w:ascii="仿宋_GB2312" w:hAnsi="仿宋_GB2312" w:eastAsia="仿宋_GB2312" w:cs="仿宋_GB2312"/>
          <w:b w:val="0"/>
          <w:bCs w:val="0"/>
          <w:kern w:val="2"/>
          <w:sz w:val="32"/>
          <w:szCs w:val="32"/>
          <w:lang w:val="en-US" w:eastAsia="zh-CN"/>
        </w:rPr>
        <w:t>件1：</w:t>
      </w:r>
    </w:p>
    <w:p>
      <w:pPr>
        <w:bidi w:val="0"/>
        <w:rPr>
          <w:rFonts w:hint="eastAsia"/>
          <w:lang w:val="en-US" w:eastAsia="zh-CN"/>
        </w:rPr>
      </w:pPr>
      <w:r>
        <w:rPr>
          <w:rFonts w:hint="eastAsia"/>
          <w:lang w:val="en-US" w:eastAsia="zh-CN"/>
        </w:rPr>
        <w:t xml:space="preserve"> </w:t>
      </w:r>
    </w:p>
    <w:p>
      <w:pPr>
        <w:pStyle w:val="3"/>
        <w:keepNext/>
        <w:keepLines/>
        <w:pageBreakBefore w:val="0"/>
        <w:widowControl w:val="0"/>
        <w:kinsoku/>
        <w:wordWrap/>
        <w:overflowPunct/>
        <w:topLinePunct w:val="0"/>
        <w:autoSpaceDE/>
        <w:autoSpaceDN/>
        <w:bidi w:val="0"/>
        <w:adjustRightInd w:val="0"/>
        <w:snapToGrid w:val="0"/>
        <w:spacing w:before="0" w:after="0" w:line="240" w:lineRule="auto"/>
        <w:ind w:left="0" w:leftChars="0" w:right="0" w:rightChars="0" w:firstLine="0" w:firstLineChars="0"/>
        <w:jc w:val="center"/>
        <w:textAlignment w:val="auto"/>
        <w:outlineLvl w:val="1"/>
        <w:rPr>
          <w:rFonts w:hint="default" w:ascii="Times New Roman" w:hAnsi="Times New Roman" w:eastAsia="方正小标宋简体" w:cs="Times New Roman"/>
          <w:b w:val="0"/>
          <w:bCs w:val="0"/>
          <w:color w:val="auto"/>
          <w:sz w:val="36"/>
          <w:szCs w:val="36"/>
          <w:highlight w:val="none"/>
        </w:rPr>
      </w:pPr>
      <w:r>
        <w:rPr>
          <w:rFonts w:hint="default" w:ascii="方正小标宋简体" w:hAnsi="方正小标宋简体" w:eastAsia="方正小标宋简体" w:cs="方正小标宋简体"/>
          <w:b w:val="0"/>
          <w:bCs w:val="0"/>
          <w:i w:val="0"/>
          <w:iCs w:val="0"/>
          <w:color w:val="000000"/>
          <w:kern w:val="0"/>
          <w:sz w:val="36"/>
          <w:szCs w:val="36"/>
          <w:u w:val="none"/>
          <w:lang w:val="en-US" w:eastAsia="zh-CN" w:bidi="ar"/>
        </w:rPr>
        <w:t>中央财政支农项目</w:t>
      </w:r>
      <w:r>
        <w:rPr>
          <w:rFonts w:hint="default" w:ascii="Times New Roman" w:hAnsi="Times New Roman" w:eastAsia="方正小标宋简体" w:cs="Times New Roman"/>
          <w:b w:val="0"/>
          <w:bCs w:val="0"/>
          <w:color w:val="auto"/>
          <w:sz w:val="36"/>
          <w:szCs w:val="36"/>
          <w:highlight w:val="none"/>
        </w:rPr>
        <w:t>绩效考核指标体系</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（2024年度）</w:t>
      </w:r>
    </w:p>
    <w:tbl>
      <w:tblPr>
        <w:tblStyle w:val="8"/>
        <w:tblW w:w="9156" w:type="dxa"/>
        <w:jc w:val="center"/>
        <w:tblLayout w:type="fixed"/>
        <w:tblCellMar>
          <w:top w:w="15" w:type="dxa"/>
          <w:left w:w="15" w:type="dxa"/>
          <w:bottom w:w="15" w:type="dxa"/>
          <w:right w:w="15" w:type="dxa"/>
        </w:tblCellMar>
      </w:tblPr>
      <w:tblGrid>
        <w:gridCol w:w="860"/>
        <w:gridCol w:w="889"/>
        <w:gridCol w:w="1032"/>
        <w:gridCol w:w="482"/>
        <w:gridCol w:w="5315"/>
        <w:gridCol w:w="578"/>
      </w:tblGrid>
      <w:tr>
        <w:tblPrEx>
          <w:tblCellMar>
            <w:top w:w="15" w:type="dxa"/>
            <w:left w:w="15" w:type="dxa"/>
            <w:bottom w:w="15" w:type="dxa"/>
            <w:right w:w="15" w:type="dxa"/>
          </w:tblCellMar>
        </w:tblPrEx>
        <w:trPr>
          <w:trHeight w:val="90" w:hRule="atLeast"/>
          <w:jc w:val="center"/>
        </w:trPr>
        <w:tc>
          <w:tcPr>
            <w:tcW w:w="8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bCs/>
                <w:color w:val="auto"/>
                <w:sz w:val="21"/>
                <w:szCs w:val="21"/>
                <w:highlight w:val="none"/>
              </w:rPr>
            </w:pPr>
            <w:r>
              <w:rPr>
                <w:rFonts w:hint="default" w:ascii="Times New Roman" w:hAnsi="Times New Roman" w:cs="Times New Roman" w:eastAsiaTheme="minorEastAsia"/>
                <w:b/>
                <w:bCs/>
                <w:color w:val="auto"/>
                <w:sz w:val="21"/>
                <w:szCs w:val="21"/>
                <w:highlight w:val="none"/>
              </w:rPr>
              <w:t>一级指标</w:t>
            </w:r>
          </w:p>
        </w:tc>
        <w:tc>
          <w:tcPr>
            <w:tcW w:w="8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bCs/>
                <w:color w:val="auto"/>
                <w:sz w:val="21"/>
                <w:szCs w:val="21"/>
                <w:highlight w:val="none"/>
              </w:rPr>
            </w:pPr>
            <w:r>
              <w:rPr>
                <w:rFonts w:hint="default" w:ascii="Times New Roman" w:hAnsi="Times New Roman" w:cs="Times New Roman" w:eastAsiaTheme="minorEastAsia"/>
                <w:b/>
                <w:bCs/>
                <w:color w:val="auto"/>
                <w:sz w:val="21"/>
                <w:szCs w:val="21"/>
                <w:highlight w:val="none"/>
              </w:rPr>
              <w:t>二级指标</w:t>
            </w: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bCs/>
                <w:color w:val="auto"/>
                <w:sz w:val="21"/>
                <w:szCs w:val="21"/>
                <w:highlight w:val="none"/>
              </w:rPr>
            </w:pPr>
            <w:r>
              <w:rPr>
                <w:rFonts w:hint="default" w:ascii="Times New Roman" w:hAnsi="Times New Roman" w:cs="Times New Roman" w:eastAsiaTheme="minorEastAsia"/>
                <w:b/>
                <w:bCs/>
                <w:color w:val="auto"/>
                <w:sz w:val="21"/>
                <w:szCs w:val="21"/>
                <w:highlight w:val="none"/>
              </w:rPr>
              <w:t>三级指标</w:t>
            </w:r>
          </w:p>
        </w:tc>
        <w:tc>
          <w:tcPr>
            <w:tcW w:w="4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bCs/>
                <w:color w:val="auto"/>
                <w:sz w:val="21"/>
                <w:szCs w:val="21"/>
                <w:highlight w:val="none"/>
              </w:rPr>
            </w:pPr>
            <w:r>
              <w:rPr>
                <w:rFonts w:hint="default" w:ascii="Times New Roman" w:hAnsi="Times New Roman" w:cs="Times New Roman" w:eastAsiaTheme="minorEastAsia"/>
                <w:b/>
                <w:bCs/>
                <w:color w:val="auto"/>
                <w:sz w:val="21"/>
                <w:szCs w:val="21"/>
                <w:highlight w:val="none"/>
              </w:rPr>
              <w:t>分值</w:t>
            </w:r>
          </w:p>
        </w:tc>
        <w:tc>
          <w:tcPr>
            <w:tcW w:w="53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bCs/>
                <w:color w:val="auto"/>
                <w:sz w:val="21"/>
                <w:szCs w:val="21"/>
                <w:highlight w:val="none"/>
              </w:rPr>
            </w:pPr>
            <w:r>
              <w:rPr>
                <w:rFonts w:hint="default" w:ascii="Times New Roman" w:hAnsi="Times New Roman" w:cs="Times New Roman" w:eastAsiaTheme="minorEastAsia"/>
                <w:b/>
                <w:bCs/>
                <w:color w:val="auto"/>
                <w:sz w:val="21"/>
                <w:szCs w:val="21"/>
                <w:highlight w:val="none"/>
              </w:rPr>
              <w:t>评分标准</w:t>
            </w:r>
          </w:p>
        </w:tc>
        <w:tc>
          <w:tcPr>
            <w:tcW w:w="5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bCs/>
                <w:color w:val="auto"/>
                <w:sz w:val="21"/>
                <w:szCs w:val="21"/>
                <w:highlight w:val="none"/>
              </w:rPr>
            </w:pPr>
            <w:r>
              <w:rPr>
                <w:rFonts w:hint="default" w:ascii="Times New Roman" w:hAnsi="Times New Roman" w:cs="Times New Roman" w:eastAsiaTheme="minorEastAsia"/>
                <w:b/>
                <w:bCs/>
                <w:color w:val="auto"/>
                <w:sz w:val="21"/>
                <w:szCs w:val="21"/>
                <w:highlight w:val="none"/>
              </w:rPr>
              <w:t>自评分</w:t>
            </w:r>
          </w:p>
        </w:tc>
      </w:tr>
      <w:tr>
        <w:tblPrEx>
          <w:tblCellMar>
            <w:top w:w="15" w:type="dxa"/>
            <w:left w:w="15" w:type="dxa"/>
            <w:bottom w:w="15" w:type="dxa"/>
            <w:right w:w="15" w:type="dxa"/>
          </w:tblCellMar>
        </w:tblPrEx>
        <w:trPr>
          <w:trHeight w:val="90" w:hRule="atLeast"/>
          <w:jc w:val="center"/>
        </w:trPr>
        <w:tc>
          <w:tcPr>
            <w:tcW w:w="860"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bCs/>
                <w:color w:val="auto"/>
                <w:sz w:val="21"/>
                <w:szCs w:val="21"/>
                <w:highlight w:val="none"/>
              </w:rPr>
            </w:pPr>
            <w:r>
              <w:rPr>
                <w:rFonts w:hint="default" w:ascii="Times New Roman" w:hAnsi="Times New Roman" w:cs="Times New Roman" w:eastAsiaTheme="minorEastAsia"/>
                <w:b/>
                <w:bCs/>
                <w:color w:val="auto"/>
                <w:sz w:val="21"/>
                <w:szCs w:val="21"/>
                <w:highlight w:val="none"/>
              </w:rPr>
              <w:t>项目</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bCs/>
                <w:color w:val="auto"/>
                <w:sz w:val="21"/>
                <w:szCs w:val="21"/>
                <w:highlight w:val="none"/>
              </w:rPr>
            </w:pPr>
            <w:r>
              <w:rPr>
                <w:rFonts w:hint="default" w:ascii="Times New Roman" w:hAnsi="Times New Roman" w:cs="Times New Roman" w:eastAsiaTheme="minorEastAsia"/>
                <w:b/>
                <w:bCs/>
                <w:color w:val="auto"/>
                <w:sz w:val="21"/>
                <w:szCs w:val="21"/>
                <w:highlight w:val="none"/>
              </w:rPr>
              <w:t>管理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bCs/>
                <w:color w:val="auto"/>
                <w:sz w:val="21"/>
                <w:szCs w:val="21"/>
                <w:highlight w:val="none"/>
              </w:rPr>
            </w:pPr>
            <w:r>
              <w:rPr>
                <w:rFonts w:hint="default" w:ascii="Times New Roman" w:hAnsi="Times New Roman" w:cs="Times New Roman" w:eastAsiaTheme="minorEastAsia"/>
                <w:b/>
                <w:bCs/>
                <w:color w:val="auto"/>
                <w:sz w:val="21"/>
                <w:szCs w:val="21"/>
                <w:highlight w:val="none"/>
              </w:rPr>
              <w:t>（30分）</w:t>
            </w:r>
          </w:p>
        </w:tc>
        <w:tc>
          <w:tcPr>
            <w:tcW w:w="889"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0"/>
                <w:szCs w:val="20"/>
                <w:highlight w:val="none"/>
              </w:rPr>
            </w:pPr>
            <w:r>
              <w:rPr>
                <w:rFonts w:hint="default" w:ascii="Times New Roman" w:hAnsi="Times New Roman" w:cs="Times New Roman" w:eastAsiaTheme="minorEastAsia"/>
                <w:color w:val="auto"/>
                <w:sz w:val="20"/>
                <w:szCs w:val="20"/>
                <w:highlight w:val="none"/>
              </w:rPr>
              <w:t>组织</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0"/>
                <w:szCs w:val="20"/>
                <w:highlight w:val="none"/>
              </w:rPr>
            </w:pPr>
            <w:r>
              <w:rPr>
                <w:rFonts w:hint="default" w:ascii="Times New Roman" w:hAnsi="Times New Roman" w:cs="Times New Roman" w:eastAsiaTheme="minorEastAsia"/>
                <w:color w:val="auto"/>
                <w:sz w:val="20"/>
                <w:szCs w:val="20"/>
                <w:highlight w:val="none"/>
              </w:rPr>
              <w:t>管理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0"/>
                <w:szCs w:val="20"/>
                <w:highlight w:val="none"/>
              </w:rPr>
            </w:pPr>
            <w:r>
              <w:rPr>
                <w:rFonts w:hint="default" w:ascii="Times New Roman" w:hAnsi="Times New Roman" w:cs="Times New Roman" w:eastAsiaTheme="minorEastAsia"/>
                <w:color w:val="auto"/>
                <w:sz w:val="20"/>
                <w:szCs w:val="20"/>
                <w:highlight w:val="none"/>
              </w:rPr>
              <w:t>（5分）</w:t>
            </w:r>
          </w:p>
        </w:tc>
        <w:tc>
          <w:tcPr>
            <w:tcW w:w="1032" w:type="dxa"/>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0"/>
                <w:szCs w:val="20"/>
                <w:highlight w:val="none"/>
              </w:rPr>
            </w:pPr>
            <w:r>
              <w:rPr>
                <w:rFonts w:hint="default" w:ascii="Times New Roman" w:hAnsi="Times New Roman" w:cs="Times New Roman" w:eastAsiaTheme="minorEastAsia"/>
                <w:color w:val="auto"/>
                <w:sz w:val="20"/>
                <w:szCs w:val="20"/>
                <w:highlight w:val="none"/>
              </w:rPr>
              <w:t>机构人员</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0"/>
                <w:szCs w:val="20"/>
                <w:highlight w:val="none"/>
              </w:rPr>
            </w:pPr>
            <w:r>
              <w:rPr>
                <w:rFonts w:hint="default" w:ascii="Times New Roman" w:hAnsi="Times New Roman" w:cs="Times New Roman" w:eastAsiaTheme="minorEastAsia"/>
                <w:color w:val="auto"/>
                <w:sz w:val="20"/>
                <w:szCs w:val="20"/>
                <w:highlight w:val="none"/>
              </w:rPr>
              <w:t>设置</w:t>
            </w:r>
          </w:p>
        </w:tc>
        <w:tc>
          <w:tcPr>
            <w:tcW w:w="482" w:type="dxa"/>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0"/>
                <w:szCs w:val="20"/>
                <w:highlight w:val="none"/>
              </w:rPr>
            </w:pPr>
            <w:r>
              <w:rPr>
                <w:rFonts w:hint="default" w:ascii="Times New Roman" w:hAnsi="Times New Roman" w:cs="Times New Roman" w:eastAsiaTheme="minorEastAsia"/>
                <w:color w:val="auto"/>
                <w:sz w:val="20"/>
                <w:szCs w:val="20"/>
                <w:highlight w:val="none"/>
              </w:rPr>
              <w:t>3</w:t>
            </w:r>
          </w:p>
        </w:tc>
        <w:tc>
          <w:tcPr>
            <w:tcW w:w="53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cs="Times New Roman" w:eastAsiaTheme="minorEastAsia"/>
                <w:color w:val="auto"/>
                <w:sz w:val="20"/>
                <w:szCs w:val="20"/>
                <w:highlight w:val="none"/>
              </w:rPr>
            </w:pPr>
            <w:r>
              <w:rPr>
                <w:rFonts w:hint="default" w:ascii="Times New Roman" w:hAnsi="Times New Roman" w:cs="Times New Roman" w:eastAsiaTheme="minorEastAsia"/>
                <w:color w:val="auto"/>
                <w:sz w:val="20"/>
                <w:szCs w:val="20"/>
                <w:highlight w:val="none"/>
              </w:rPr>
              <w:t>专门机构承担项目的实施、组织管理和实施得2分，机构中专业技术人员占总体人员比例超过60%得1分，否则不得分。</w:t>
            </w:r>
          </w:p>
        </w:tc>
        <w:tc>
          <w:tcPr>
            <w:tcW w:w="5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highlight w:val="none"/>
              </w:rPr>
            </w:pPr>
          </w:p>
        </w:tc>
      </w:tr>
      <w:tr>
        <w:tblPrEx>
          <w:tblCellMar>
            <w:top w:w="15" w:type="dxa"/>
            <w:left w:w="15" w:type="dxa"/>
            <w:bottom w:w="15" w:type="dxa"/>
            <w:right w:w="15" w:type="dxa"/>
          </w:tblCellMar>
        </w:tblPrEx>
        <w:trPr>
          <w:trHeight w:val="90" w:hRule="atLeast"/>
          <w:jc w:val="center"/>
        </w:trPr>
        <w:tc>
          <w:tcPr>
            <w:tcW w:w="860"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bCs/>
                <w:color w:val="auto"/>
                <w:sz w:val="21"/>
                <w:szCs w:val="21"/>
                <w:highlight w:val="none"/>
              </w:rPr>
            </w:pPr>
          </w:p>
        </w:tc>
        <w:tc>
          <w:tcPr>
            <w:tcW w:w="889"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0"/>
                <w:szCs w:val="20"/>
                <w:highlight w:val="none"/>
              </w:rPr>
            </w:pPr>
          </w:p>
        </w:tc>
        <w:tc>
          <w:tcPr>
            <w:tcW w:w="1032" w:type="dxa"/>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0"/>
                <w:szCs w:val="20"/>
                <w:highlight w:val="none"/>
              </w:rPr>
            </w:pPr>
            <w:r>
              <w:rPr>
                <w:rFonts w:hint="default" w:ascii="Times New Roman" w:hAnsi="Times New Roman" w:cs="Times New Roman" w:eastAsiaTheme="minorEastAsia"/>
                <w:color w:val="auto"/>
                <w:sz w:val="20"/>
                <w:szCs w:val="20"/>
                <w:highlight w:val="none"/>
              </w:rPr>
              <w:t>实施方案</w:t>
            </w:r>
          </w:p>
        </w:tc>
        <w:tc>
          <w:tcPr>
            <w:tcW w:w="482" w:type="dxa"/>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0"/>
                <w:szCs w:val="20"/>
                <w:highlight w:val="none"/>
              </w:rPr>
            </w:pPr>
            <w:r>
              <w:rPr>
                <w:rFonts w:hint="default" w:ascii="Times New Roman" w:hAnsi="Times New Roman" w:cs="Times New Roman" w:eastAsiaTheme="minorEastAsia"/>
                <w:color w:val="auto"/>
                <w:sz w:val="20"/>
                <w:szCs w:val="20"/>
                <w:highlight w:val="none"/>
              </w:rPr>
              <w:t>2</w:t>
            </w:r>
          </w:p>
        </w:tc>
        <w:tc>
          <w:tcPr>
            <w:tcW w:w="53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cs="Times New Roman" w:eastAsiaTheme="minorEastAsia"/>
                <w:color w:val="auto"/>
                <w:sz w:val="20"/>
                <w:szCs w:val="20"/>
                <w:highlight w:val="none"/>
              </w:rPr>
            </w:pPr>
            <w:r>
              <w:rPr>
                <w:rFonts w:hint="default" w:ascii="Times New Roman" w:hAnsi="Times New Roman" w:cs="Times New Roman" w:eastAsiaTheme="minorEastAsia"/>
                <w:color w:val="auto"/>
                <w:sz w:val="20"/>
                <w:szCs w:val="20"/>
                <w:highlight w:val="none"/>
              </w:rPr>
              <w:t>制定免疫、监测、流调工作实施方案，并按时上报得2分，没有制定方案或未上报不得分。</w:t>
            </w:r>
          </w:p>
        </w:tc>
        <w:tc>
          <w:tcPr>
            <w:tcW w:w="5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highlight w:val="none"/>
              </w:rPr>
            </w:pPr>
          </w:p>
        </w:tc>
      </w:tr>
      <w:tr>
        <w:tblPrEx>
          <w:tblCellMar>
            <w:top w:w="15" w:type="dxa"/>
            <w:left w:w="15" w:type="dxa"/>
            <w:bottom w:w="15" w:type="dxa"/>
            <w:right w:w="15" w:type="dxa"/>
          </w:tblCellMar>
        </w:tblPrEx>
        <w:trPr>
          <w:trHeight w:val="90" w:hRule="atLeast"/>
          <w:jc w:val="center"/>
        </w:trPr>
        <w:tc>
          <w:tcPr>
            <w:tcW w:w="860"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bCs/>
                <w:color w:val="auto"/>
                <w:sz w:val="21"/>
                <w:szCs w:val="21"/>
                <w:highlight w:val="none"/>
              </w:rPr>
            </w:pPr>
          </w:p>
        </w:tc>
        <w:tc>
          <w:tcPr>
            <w:tcW w:w="889"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0"/>
                <w:szCs w:val="20"/>
                <w:highlight w:val="none"/>
              </w:rPr>
            </w:pPr>
            <w:r>
              <w:rPr>
                <w:rFonts w:hint="default" w:ascii="Times New Roman" w:hAnsi="Times New Roman" w:cs="Times New Roman" w:eastAsiaTheme="minorEastAsia"/>
                <w:color w:val="auto"/>
                <w:sz w:val="20"/>
                <w:szCs w:val="20"/>
                <w:highlight w:val="none"/>
              </w:rPr>
              <w:t>业务</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0"/>
                <w:szCs w:val="20"/>
                <w:highlight w:val="none"/>
              </w:rPr>
            </w:pPr>
            <w:r>
              <w:rPr>
                <w:rFonts w:hint="default" w:ascii="Times New Roman" w:hAnsi="Times New Roman" w:cs="Times New Roman" w:eastAsiaTheme="minorEastAsia"/>
                <w:color w:val="auto"/>
                <w:sz w:val="20"/>
                <w:szCs w:val="20"/>
                <w:highlight w:val="none"/>
              </w:rPr>
              <w:t>管理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0"/>
                <w:szCs w:val="20"/>
                <w:highlight w:val="none"/>
              </w:rPr>
            </w:pPr>
            <w:r>
              <w:rPr>
                <w:rFonts w:hint="default" w:ascii="Times New Roman" w:hAnsi="Times New Roman" w:cs="Times New Roman" w:eastAsiaTheme="minorEastAsia"/>
                <w:color w:val="auto"/>
                <w:sz w:val="20"/>
                <w:szCs w:val="20"/>
                <w:highlight w:val="none"/>
              </w:rPr>
              <w:t>（15分）</w:t>
            </w:r>
          </w:p>
        </w:tc>
        <w:tc>
          <w:tcPr>
            <w:tcW w:w="1032" w:type="dxa"/>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0"/>
                <w:szCs w:val="20"/>
                <w:highlight w:val="none"/>
              </w:rPr>
            </w:pPr>
            <w:r>
              <w:rPr>
                <w:rFonts w:hint="default" w:ascii="Times New Roman" w:hAnsi="Times New Roman" w:cs="Times New Roman" w:eastAsiaTheme="minorEastAsia"/>
                <w:color w:val="auto"/>
                <w:sz w:val="20"/>
                <w:szCs w:val="20"/>
                <w:highlight w:val="none"/>
              </w:rPr>
              <w:t>管理制度</w:t>
            </w:r>
          </w:p>
        </w:tc>
        <w:tc>
          <w:tcPr>
            <w:tcW w:w="482" w:type="dxa"/>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0"/>
                <w:szCs w:val="20"/>
                <w:highlight w:val="none"/>
              </w:rPr>
            </w:pPr>
            <w:r>
              <w:rPr>
                <w:rFonts w:hint="default" w:ascii="Times New Roman" w:hAnsi="Times New Roman" w:cs="Times New Roman" w:eastAsiaTheme="minorEastAsia"/>
                <w:color w:val="auto"/>
                <w:sz w:val="20"/>
                <w:szCs w:val="20"/>
                <w:highlight w:val="none"/>
              </w:rPr>
              <w:t>3</w:t>
            </w:r>
          </w:p>
        </w:tc>
        <w:tc>
          <w:tcPr>
            <w:tcW w:w="53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cs="Times New Roman" w:eastAsiaTheme="minorEastAsia"/>
                <w:color w:val="auto"/>
                <w:sz w:val="20"/>
                <w:szCs w:val="20"/>
                <w:highlight w:val="none"/>
              </w:rPr>
            </w:pPr>
            <w:r>
              <w:rPr>
                <w:rFonts w:hint="default" w:ascii="Times New Roman" w:hAnsi="Times New Roman" w:cs="Times New Roman" w:eastAsiaTheme="minorEastAsia"/>
                <w:color w:val="auto"/>
                <w:sz w:val="20"/>
                <w:szCs w:val="20"/>
                <w:highlight w:val="none"/>
              </w:rPr>
              <w:t>制定相应的项目管理、物资管理制度得3分，一项不健全扣1分，本项扣完为止。</w:t>
            </w:r>
          </w:p>
        </w:tc>
        <w:tc>
          <w:tcPr>
            <w:tcW w:w="5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highlight w:val="none"/>
              </w:rPr>
            </w:pPr>
          </w:p>
        </w:tc>
      </w:tr>
      <w:tr>
        <w:tblPrEx>
          <w:tblCellMar>
            <w:top w:w="15" w:type="dxa"/>
            <w:left w:w="15" w:type="dxa"/>
            <w:bottom w:w="15" w:type="dxa"/>
            <w:right w:w="15" w:type="dxa"/>
          </w:tblCellMar>
        </w:tblPrEx>
        <w:trPr>
          <w:trHeight w:val="90" w:hRule="atLeast"/>
          <w:jc w:val="center"/>
        </w:trPr>
        <w:tc>
          <w:tcPr>
            <w:tcW w:w="860"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bCs/>
                <w:color w:val="auto"/>
                <w:sz w:val="21"/>
                <w:szCs w:val="21"/>
                <w:highlight w:val="none"/>
              </w:rPr>
            </w:pPr>
          </w:p>
        </w:tc>
        <w:tc>
          <w:tcPr>
            <w:tcW w:w="889"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0"/>
                <w:szCs w:val="20"/>
                <w:highlight w:val="none"/>
              </w:rPr>
            </w:pPr>
          </w:p>
        </w:tc>
        <w:tc>
          <w:tcPr>
            <w:tcW w:w="1032" w:type="dxa"/>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0"/>
                <w:szCs w:val="20"/>
                <w:highlight w:val="none"/>
              </w:rPr>
            </w:pPr>
            <w:r>
              <w:rPr>
                <w:rFonts w:hint="default" w:ascii="Times New Roman" w:hAnsi="Times New Roman" w:cs="Times New Roman" w:eastAsiaTheme="minorEastAsia"/>
                <w:color w:val="auto"/>
                <w:sz w:val="20"/>
                <w:szCs w:val="20"/>
                <w:highlight w:val="none"/>
              </w:rPr>
              <w:t>项目执行</w:t>
            </w:r>
          </w:p>
        </w:tc>
        <w:tc>
          <w:tcPr>
            <w:tcW w:w="482" w:type="dxa"/>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0"/>
                <w:szCs w:val="20"/>
                <w:highlight w:val="none"/>
              </w:rPr>
            </w:pPr>
            <w:r>
              <w:rPr>
                <w:rFonts w:hint="default" w:ascii="Times New Roman" w:hAnsi="Times New Roman" w:cs="Times New Roman" w:eastAsiaTheme="minorEastAsia"/>
                <w:color w:val="auto"/>
                <w:sz w:val="20"/>
                <w:szCs w:val="20"/>
                <w:highlight w:val="none"/>
              </w:rPr>
              <w:t>10</w:t>
            </w:r>
          </w:p>
        </w:tc>
        <w:tc>
          <w:tcPr>
            <w:tcW w:w="53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cs="Times New Roman" w:eastAsiaTheme="minorEastAsia"/>
                <w:color w:val="auto"/>
                <w:sz w:val="20"/>
                <w:szCs w:val="20"/>
                <w:highlight w:val="none"/>
              </w:rPr>
            </w:pPr>
            <w:r>
              <w:rPr>
                <w:rFonts w:hint="default" w:ascii="Times New Roman" w:hAnsi="Times New Roman" w:cs="Times New Roman" w:eastAsiaTheme="minorEastAsia"/>
                <w:color w:val="auto"/>
                <w:sz w:val="20"/>
                <w:szCs w:val="20"/>
                <w:highlight w:val="none"/>
              </w:rPr>
              <w:t>按照实施方案要求，按期开展强制免疫、监测、</w:t>
            </w:r>
            <w:r>
              <w:rPr>
                <w:rFonts w:hint="default" w:ascii="Times New Roman" w:hAnsi="Times New Roman" w:cs="Times New Roman" w:eastAsiaTheme="minorEastAsia"/>
                <w:color w:val="auto"/>
                <w:sz w:val="20"/>
                <w:szCs w:val="20"/>
                <w:highlight w:val="none"/>
                <w:lang w:eastAsia="zh-CN"/>
              </w:rPr>
              <w:t>流调、</w:t>
            </w:r>
            <w:r>
              <w:rPr>
                <w:rFonts w:hint="default" w:ascii="Times New Roman" w:hAnsi="Times New Roman" w:cs="Times New Roman" w:eastAsiaTheme="minorEastAsia"/>
                <w:color w:val="auto"/>
                <w:sz w:val="20"/>
                <w:szCs w:val="20"/>
                <w:highlight w:val="none"/>
              </w:rPr>
              <w:t>扑杀补助各得2</w:t>
            </w:r>
            <w:r>
              <w:rPr>
                <w:rFonts w:hint="default" w:ascii="Times New Roman" w:hAnsi="Times New Roman" w:cs="Times New Roman"/>
                <w:color w:val="auto"/>
                <w:sz w:val="20"/>
                <w:szCs w:val="20"/>
                <w:highlight w:val="none"/>
                <w:lang w:val="en-US" w:eastAsia="zh-CN"/>
              </w:rPr>
              <w:t>.5</w:t>
            </w:r>
            <w:r>
              <w:rPr>
                <w:rFonts w:hint="default" w:ascii="Times New Roman" w:hAnsi="Times New Roman" w:cs="Times New Roman" w:eastAsiaTheme="minorEastAsia"/>
                <w:color w:val="auto"/>
                <w:sz w:val="20"/>
                <w:szCs w:val="20"/>
                <w:highlight w:val="none"/>
              </w:rPr>
              <w:t>分，否则均不得分。</w:t>
            </w:r>
          </w:p>
        </w:tc>
        <w:tc>
          <w:tcPr>
            <w:tcW w:w="5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highlight w:val="none"/>
              </w:rPr>
            </w:pPr>
          </w:p>
        </w:tc>
      </w:tr>
      <w:tr>
        <w:tblPrEx>
          <w:tblCellMar>
            <w:top w:w="15" w:type="dxa"/>
            <w:left w:w="15" w:type="dxa"/>
            <w:bottom w:w="15" w:type="dxa"/>
            <w:right w:w="15" w:type="dxa"/>
          </w:tblCellMar>
        </w:tblPrEx>
        <w:trPr>
          <w:trHeight w:val="90" w:hRule="atLeast"/>
          <w:jc w:val="center"/>
        </w:trPr>
        <w:tc>
          <w:tcPr>
            <w:tcW w:w="860"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bCs/>
                <w:color w:val="auto"/>
                <w:sz w:val="21"/>
                <w:szCs w:val="21"/>
                <w:highlight w:val="none"/>
              </w:rPr>
            </w:pPr>
          </w:p>
        </w:tc>
        <w:tc>
          <w:tcPr>
            <w:tcW w:w="889"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0"/>
                <w:szCs w:val="20"/>
                <w:highlight w:val="none"/>
              </w:rPr>
            </w:pPr>
          </w:p>
        </w:tc>
        <w:tc>
          <w:tcPr>
            <w:tcW w:w="1032" w:type="dxa"/>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0"/>
                <w:szCs w:val="20"/>
                <w:highlight w:val="none"/>
              </w:rPr>
            </w:pPr>
            <w:r>
              <w:rPr>
                <w:rFonts w:hint="default" w:ascii="Times New Roman" w:hAnsi="Times New Roman" w:cs="Times New Roman" w:eastAsiaTheme="minorEastAsia"/>
                <w:color w:val="auto"/>
                <w:sz w:val="20"/>
                <w:szCs w:val="20"/>
                <w:highlight w:val="none"/>
              </w:rPr>
              <w:t>验收总结</w:t>
            </w:r>
          </w:p>
        </w:tc>
        <w:tc>
          <w:tcPr>
            <w:tcW w:w="482" w:type="dxa"/>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0"/>
                <w:szCs w:val="20"/>
                <w:highlight w:val="none"/>
              </w:rPr>
            </w:pPr>
            <w:r>
              <w:rPr>
                <w:rFonts w:hint="default" w:ascii="Times New Roman" w:hAnsi="Times New Roman" w:cs="Times New Roman" w:eastAsiaTheme="minorEastAsia"/>
                <w:color w:val="auto"/>
                <w:sz w:val="20"/>
                <w:szCs w:val="20"/>
                <w:highlight w:val="none"/>
              </w:rPr>
              <w:t>2</w:t>
            </w:r>
          </w:p>
        </w:tc>
        <w:tc>
          <w:tcPr>
            <w:tcW w:w="53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cs="Times New Roman" w:eastAsiaTheme="minorEastAsia"/>
                <w:color w:val="auto"/>
                <w:sz w:val="20"/>
                <w:szCs w:val="20"/>
                <w:highlight w:val="none"/>
              </w:rPr>
            </w:pPr>
            <w:r>
              <w:rPr>
                <w:rFonts w:hint="default" w:ascii="Times New Roman" w:hAnsi="Times New Roman" w:cs="Times New Roman" w:eastAsiaTheme="minorEastAsia"/>
                <w:color w:val="auto"/>
                <w:sz w:val="20"/>
                <w:szCs w:val="20"/>
                <w:highlight w:val="none"/>
              </w:rPr>
              <w:t>开展自查自评估得2分，否则不得分。</w:t>
            </w:r>
          </w:p>
        </w:tc>
        <w:tc>
          <w:tcPr>
            <w:tcW w:w="5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highlight w:val="none"/>
              </w:rPr>
            </w:pPr>
          </w:p>
        </w:tc>
      </w:tr>
      <w:tr>
        <w:tblPrEx>
          <w:tblCellMar>
            <w:top w:w="15" w:type="dxa"/>
            <w:left w:w="15" w:type="dxa"/>
            <w:bottom w:w="15" w:type="dxa"/>
            <w:right w:w="15" w:type="dxa"/>
          </w:tblCellMar>
        </w:tblPrEx>
        <w:trPr>
          <w:trHeight w:val="90" w:hRule="atLeast"/>
          <w:jc w:val="center"/>
        </w:trPr>
        <w:tc>
          <w:tcPr>
            <w:tcW w:w="860"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bCs/>
                <w:color w:val="auto"/>
                <w:sz w:val="21"/>
                <w:szCs w:val="21"/>
                <w:highlight w:val="none"/>
              </w:rPr>
            </w:pPr>
          </w:p>
        </w:tc>
        <w:tc>
          <w:tcPr>
            <w:tcW w:w="889"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0"/>
                <w:szCs w:val="20"/>
                <w:highlight w:val="none"/>
              </w:rPr>
            </w:pPr>
            <w:r>
              <w:rPr>
                <w:rFonts w:hint="default" w:ascii="Times New Roman" w:hAnsi="Times New Roman" w:cs="Times New Roman" w:eastAsiaTheme="minorEastAsia"/>
                <w:color w:val="auto"/>
                <w:sz w:val="20"/>
                <w:szCs w:val="20"/>
                <w:highlight w:val="none"/>
              </w:rPr>
              <w:t>财务</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0"/>
                <w:szCs w:val="20"/>
                <w:highlight w:val="none"/>
              </w:rPr>
            </w:pPr>
            <w:r>
              <w:rPr>
                <w:rFonts w:hint="default" w:ascii="Times New Roman" w:hAnsi="Times New Roman" w:cs="Times New Roman" w:eastAsiaTheme="minorEastAsia"/>
                <w:color w:val="auto"/>
                <w:sz w:val="20"/>
                <w:szCs w:val="20"/>
                <w:highlight w:val="none"/>
              </w:rPr>
              <w:t>管理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0"/>
                <w:szCs w:val="20"/>
                <w:highlight w:val="none"/>
              </w:rPr>
            </w:pPr>
            <w:r>
              <w:rPr>
                <w:rFonts w:hint="default" w:ascii="Times New Roman" w:hAnsi="Times New Roman" w:cs="Times New Roman" w:eastAsiaTheme="minorEastAsia"/>
                <w:color w:val="auto"/>
                <w:sz w:val="20"/>
                <w:szCs w:val="20"/>
                <w:highlight w:val="none"/>
              </w:rPr>
              <w:t>（10分）</w:t>
            </w:r>
          </w:p>
        </w:tc>
        <w:tc>
          <w:tcPr>
            <w:tcW w:w="1032" w:type="dxa"/>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0"/>
                <w:szCs w:val="20"/>
                <w:highlight w:val="none"/>
              </w:rPr>
            </w:pPr>
            <w:r>
              <w:rPr>
                <w:rFonts w:hint="default" w:ascii="Times New Roman" w:hAnsi="Times New Roman" w:cs="Times New Roman" w:eastAsiaTheme="minorEastAsia"/>
                <w:color w:val="auto"/>
                <w:sz w:val="20"/>
                <w:szCs w:val="20"/>
                <w:highlight w:val="none"/>
              </w:rPr>
              <w:t>制度建立</w:t>
            </w:r>
          </w:p>
        </w:tc>
        <w:tc>
          <w:tcPr>
            <w:tcW w:w="482" w:type="dxa"/>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0"/>
                <w:szCs w:val="20"/>
                <w:highlight w:val="none"/>
              </w:rPr>
            </w:pPr>
            <w:r>
              <w:rPr>
                <w:rFonts w:hint="default" w:ascii="Times New Roman" w:hAnsi="Times New Roman" w:cs="Times New Roman" w:eastAsiaTheme="minorEastAsia"/>
                <w:color w:val="auto"/>
                <w:sz w:val="20"/>
                <w:szCs w:val="20"/>
                <w:highlight w:val="none"/>
              </w:rPr>
              <w:t>5</w:t>
            </w:r>
          </w:p>
        </w:tc>
        <w:tc>
          <w:tcPr>
            <w:tcW w:w="53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cs="Times New Roman" w:eastAsiaTheme="minorEastAsia"/>
                <w:color w:val="auto"/>
                <w:sz w:val="20"/>
                <w:szCs w:val="20"/>
                <w:highlight w:val="none"/>
              </w:rPr>
            </w:pPr>
            <w:r>
              <w:rPr>
                <w:rFonts w:hint="default" w:ascii="Times New Roman" w:hAnsi="Times New Roman" w:cs="Times New Roman" w:eastAsiaTheme="minorEastAsia"/>
                <w:color w:val="auto"/>
                <w:sz w:val="20"/>
                <w:szCs w:val="20"/>
                <w:highlight w:val="none"/>
              </w:rPr>
              <w:t>建立健全财务管理制度、防疫物资管理制度得3分，否则不得分。财务管理、物资领取和发放登记规范全面得2分，一项不规范扣1分，本项扣完为止。</w:t>
            </w:r>
          </w:p>
        </w:tc>
        <w:tc>
          <w:tcPr>
            <w:tcW w:w="5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highlight w:val="none"/>
              </w:rPr>
            </w:pPr>
          </w:p>
        </w:tc>
      </w:tr>
      <w:tr>
        <w:tblPrEx>
          <w:tblCellMar>
            <w:top w:w="15" w:type="dxa"/>
            <w:left w:w="15" w:type="dxa"/>
            <w:bottom w:w="15" w:type="dxa"/>
            <w:right w:w="15" w:type="dxa"/>
          </w:tblCellMar>
        </w:tblPrEx>
        <w:trPr>
          <w:trHeight w:val="90" w:hRule="atLeast"/>
          <w:jc w:val="center"/>
        </w:trPr>
        <w:tc>
          <w:tcPr>
            <w:tcW w:w="860" w:type="dxa"/>
            <w:vMerge w:val="continue"/>
            <w:tcBorders>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bCs/>
                <w:color w:val="auto"/>
                <w:sz w:val="21"/>
                <w:szCs w:val="21"/>
                <w:highlight w:val="none"/>
              </w:rPr>
            </w:pPr>
          </w:p>
        </w:tc>
        <w:tc>
          <w:tcPr>
            <w:tcW w:w="889"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0"/>
                <w:szCs w:val="20"/>
                <w:highlight w:val="none"/>
              </w:rPr>
            </w:pPr>
          </w:p>
        </w:tc>
        <w:tc>
          <w:tcPr>
            <w:tcW w:w="1032" w:type="dxa"/>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0"/>
                <w:szCs w:val="20"/>
                <w:highlight w:val="none"/>
              </w:rPr>
            </w:pPr>
            <w:r>
              <w:rPr>
                <w:rFonts w:hint="default" w:ascii="Times New Roman" w:hAnsi="Times New Roman" w:cs="Times New Roman" w:eastAsiaTheme="minorEastAsia"/>
                <w:color w:val="auto"/>
                <w:sz w:val="20"/>
                <w:szCs w:val="20"/>
                <w:highlight w:val="none"/>
              </w:rPr>
              <w:t>资金使用</w:t>
            </w:r>
          </w:p>
        </w:tc>
        <w:tc>
          <w:tcPr>
            <w:tcW w:w="482" w:type="dxa"/>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0"/>
                <w:szCs w:val="20"/>
                <w:highlight w:val="none"/>
              </w:rPr>
            </w:pPr>
            <w:r>
              <w:rPr>
                <w:rFonts w:hint="default" w:ascii="Times New Roman" w:hAnsi="Times New Roman" w:cs="Times New Roman" w:eastAsiaTheme="minorEastAsia"/>
                <w:color w:val="auto"/>
                <w:sz w:val="20"/>
                <w:szCs w:val="20"/>
                <w:highlight w:val="none"/>
              </w:rPr>
              <w:t>5</w:t>
            </w:r>
          </w:p>
        </w:tc>
        <w:tc>
          <w:tcPr>
            <w:tcW w:w="53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cs="Times New Roman" w:eastAsiaTheme="minorEastAsia"/>
                <w:color w:val="auto"/>
                <w:sz w:val="20"/>
                <w:szCs w:val="20"/>
                <w:highlight w:val="none"/>
              </w:rPr>
            </w:pPr>
            <w:r>
              <w:rPr>
                <w:rFonts w:hint="default" w:ascii="Times New Roman" w:hAnsi="Times New Roman" w:cs="Times New Roman" w:eastAsiaTheme="minorEastAsia"/>
                <w:color w:val="auto"/>
                <w:sz w:val="20"/>
                <w:szCs w:val="20"/>
                <w:highlight w:val="none"/>
              </w:rPr>
              <w:t>按照财务要求，专款专用、及时支付的得5分，否则不得分。</w:t>
            </w:r>
          </w:p>
        </w:tc>
        <w:tc>
          <w:tcPr>
            <w:tcW w:w="5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highlight w:val="none"/>
              </w:rPr>
            </w:pPr>
          </w:p>
        </w:tc>
      </w:tr>
      <w:tr>
        <w:tblPrEx>
          <w:tblCellMar>
            <w:top w:w="15" w:type="dxa"/>
            <w:left w:w="15" w:type="dxa"/>
            <w:bottom w:w="15" w:type="dxa"/>
            <w:right w:w="15" w:type="dxa"/>
          </w:tblCellMar>
        </w:tblPrEx>
        <w:trPr>
          <w:trHeight w:val="90" w:hRule="atLeast"/>
          <w:jc w:val="center"/>
        </w:trPr>
        <w:tc>
          <w:tcPr>
            <w:tcW w:w="86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bCs/>
                <w:color w:val="auto"/>
                <w:sz w:val="21"/>
                <w:szCs w:val="21"/>
                <w:highlight w:val="none"/>
              </w:rPr>
            </w:pPr>
            <w:r>
              <w:rPr>
                <w:rFonts w:hint="default" w:ascii="Times New Roman" w:hAnsi="Times New Roman" w:cs="Times New Roman" w:eastAsiaTheme="minorEastAsia"/>
                <w:b/>
                <w:bCs/>
                <w:color w:val="auto"/>
                <w:sz w:val="21"/>
                <w:szCs w:val="21"/>
                <w:highlight w:val="none"/>
              </w:rPr>
              <w:t>年度</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bCs/>
                <w:color w:val="auto"/>
                <w:sz w:val="21"/>
                <w:szCs w:val="21"/>
                <w:highlight w:val="none"/>
              </w:rPr>
            </w:pPr>
            <w:r>
              <w:rPr>
                <w:rFonts w:hint="default" w:ascii="Times New Roman" w:hAnsi="Times New Roman" w:cs="Times New Roman" w:eastAsiaTheme="minorEastAsia"/>
                <w:b/>
                <w:bCs/>
                <w:color w:val="auto"/>
                <w:sz w:val="21"/>
                <w:szCs w:val="21"/>
                <w:highlight w:val="none"/>
              </w:rPr>
              <w:t>效益</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bCs/>
                <w:color w:val="auto"/>
                <w:sz w:val="21"/>
                <w:szCs w:val="21"/>
                <w:highlight w:val="none"/>
              </w:rPr>
            </w:pPr>
            <w:r>
              <w:rPr>
                <w:rFonts w:hint="default" w:ascii="Times New Roman" w:hAnsi="Times New Roman" w:cs="Times New Roman" w:eastAsiaTheme="minorEastAsia"/>
                <w:b/>
                <w:bCs/>
                <w:color w:val="auto"/>
                <w:sz w:val="21"/>
                <w:szCs w:val="21"/>
                <w:highlight w:val="none"/>
              </w:rPr>
              <w:t>指标</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bCs/>
                <w:color w:val="auto"/>
                <w:sz w:val="21"/>
                <w:szCs w:val="21"/>
                <w:highlight w:val="none"/>
              </w:rPr>
            </w:pPr>
            <w:r>
              <w:rPr>
                <w:rFonts w:hint="default" w:ascii="Times New Roman" w:hAnsi="Times New Roman" w:cs="Times New Roman" w:eastAsiaTheme="minorEastAsia"/>
                <w:b/>
                <w:bCs/>
                <w:color w:val="auto"/>
                <w:sz w:val="21"/>
                <w:szCs w:val="21"/>
                <w:highlight w:val="none"/>
              </w:rPr>
              <w:t>（70分）</w:t>
            </w:r>
          </w:p>
        </w:tc>
        <w:tc>
          <w:tcPr>
            <w:tcW w:w="889" w:type="dxa"/>
            <w:vMerge w:val="restart"/>
            <w:tcBorders>
              <w:top w:val="single" w:color="000000" w:sz="4" w:space="0"/>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0"/>
                <w:szCs w:val="20"/>
                <w:highlight w:val="none"/>
              </w:rPr>
            </w:pPr>
            <w:r>
              <w:rPr>
                <w:rFonts w:hint="default" w:ascii="Times New Roman" w:hAnsi="Times New Roman" w:cs="Times New Roman" w:eastAsiaTheme="minorEastAsia"/>
                <w:color w:val="auto"/>
                <w:sz w:val="20"/>
                <w:szCs w:val="20"/>
                <w:highlight w:val="none"/>
              </w:rPr>
              <w:t>产出</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0"/>
                <w:szCs w:val="20"/>
                <w:highlight w:val="none"/>
              </w:rPr>
            </w:pPr>
            <w:r>
              <w:rPr>
                <w:rFonts w:hint="default" w:ascii="Times New Roman" w:hAnsi="Times New Roman" w:cs="Times New Roman" w:eastAsiaTheme="minorEastAsia"/>
                <w:color w:val="auto"/>
                <w:sz w:val="20"/>
                <w:szCs w:val="20"/>
                <w:highlight w:val="none"/>
              </w:rPr>
              <w:t>指标</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0"/>
                <w:szCs w:val="20"/>
                <w:highlight w:val="none"/>
              </w:rPr>
            </w:pPr>
            <w:r>
              <w:rPr>
                <w:rFonts w:hint="default" w:ascii="Times New Roman" w:hAnsi="Times New Roman" w:cs="Times New Roman" w:eastAsiaTheme="minorEastAsia"/>
                <w:color w:val="auto"/>
                <w:sz w:val="20"/>
                <w:szCs w:val="20"/>
                <w:highlight w:val="none"/>
              </w:rPr>
              <w:t>（30分）</w:t>
            </w:r>
          </w:p>
        </w:tc>
        <w:tc>
          <w:tcPr>
            <w:tcW w:w="1032" w:type="dxa"/>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0"/>
                <w:szCs w:val="20"/>
                <w:highlight w:val="none"/>
              </w:rPr>
            </w:pPr>
            <w:r>
              <w:rPr>
                <w:rFonts w:hint="default" w:ascii="Times New Roman" w:hAnsi="Times New Roman" w:cs="Times New Roman" w:eastAsiaTheme="minorEastAsia"/>
                <w:color w:val="auto"/>
                <w:sz w:val="20"/>
                <w:szCs w:val="20"/>
                <w:highlight w:val="none"/>
              </w:rPr>
              <w:t>数量指标</w:t>
            </w:r>
          </w:p>
        </w:tc>
        <w:tc>
          <w:tcPr>
            <w:tcW w:w="482" w:type="dxa"/>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0"/>
                <w:szCs w:val="20"/>
                <w:highlight w:val="none"/>
                <w:lang w:eastAsia="zh-CN"/>
              </w:rPr>
            </w:pPr>
            <w:r>
              <w:rPr>
                <w:rFonts w:hint="default" w:ascii="Times New Roman" w:hAnsi="Times New Roman" w:cs="Times New Roman"/>
                <w:color w:val="auto"/>
                <w:sz w:val="20"/>
                <w:szCs w:val="20"/>
                <w:highlight w:val="none"/>
                <w:lang w:val="en-US" w:eastAsia="zh-CN"/>
              </w:rPr>
              <w:t>6</w:t>
            </w:r>
          </w:p>
        </w:tc>
        <w:tc>
          <w:tcPr>
            <w:tcW w:w="53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cs="Times New Roman" w:eastAsiaTheme="minorEastAsia"/>
                <w:color w:val="auto"/>
                <w:sz w:val="20"/>
                <w:szCs w:val="20"/>
                <w:highlight w:val="none"/>
              </w:rPr>
            </w:pPr>
            <w:r>
              <w:rPr>
                <w:rFonts w:hint="default" w:ascii="Times New Roman" w:hAnsi="Times New Roman" w:cs="Times New Roman" w:eastAsiaTheme="minorEastAsia"/>
                <w:color w:val="auto"/>
                <w:sz w:val="20"/>
                <w:szCs w:val="20"/>
                <w:highlight w:val="none"/>
              </w:rPr>
              <w:t>口蹄疫、</w:t>
            </w:r>
            <w:r>
              <w:rPr>
                <w:rFonts w:hint="default" w:ascii="Times New Roman" w:hAnsi="Times New Roman" w:cs="Times New Roman" w:eastAsiaTheme="minorEastAsia"/>
                <w:color w:val="auto"/>
                <w:sz w:val="20"/>
                <w:szCs w:val="20"/>
                <w:highlight w:val="none"/>
                <w:lang w:eastAsia="zh-CN"/>
              </w:rPr>
              <w:t>高致病性</w:t>
            </w:r>
            <w:r>
              <w:rPr>
                <w:rFonts w:hint="default" w:ascii="Times New Roman" w:hAnsi="Times New Roman" w:cs="Times New Roman" w:eastAsiaTheme="minorEastAsia"/>
                <w:color w:val="auto"/>
                <w:sz w:val="20"/>
                <w:szCs w:val="20"/>
                <w:highlight w:val="none"/>
              </w:rPr>
              <w:t>禽流感、小反刍兽疫等重大动物疫病和羊布鲁氏菌病等人畜共患病免疫密度达到100%，春秋季、各病种分别占1分。每少5个百分点扣0.5分，低于80%不得分。</w:t>
            </w:r>
          </w:p>
        </w:tc>
        <w:tc>
          <w:tcPr>
            <w:tcW w:w="5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highlight w:val="none"/>
              </w:rPr>
            </w:pPr>
          </w:p>
        </w:tc>
      </w:tr>
      <w:tr>
        <w:tblPrEx>
          <w:tblCellMar>
            <w:top w:w="15" w:type="dxa"/>
            <w:left w:w="15" w:type="dxa"/>
            <w:bottom w:w="15" w:type="dxa"/>
            <w:right w:w="15" w:type="dxa"/>
          </w:tblCellMar>
        </w:tblPrEx>
        <w:trPr>
          <w:trHeight w:val="90" w:hRule="atLeast"/>
          <w:jc w:val="center"/>
        </w:trPr>
        <w:tc>
          <w:tcPr>
            <w:tcW w:w="8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highlight w:val="none"/>
              </w:rPr>
            </w:pPr>
          </w:p>
        </w:tc>
        <w:tc>
          <w:tcPr>
            <w:tcW w:w="889" w:type="dxa"/>
            <w:vMerge w:val="continue"/>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0"/>
                <w:szCs w:val="20"/>
                <w:highlight w:val="none"/>
              </w:rPr>
            </w:pPr>
          </w:p>
        </w:tc>
        <w:tc>
          <w:tcPr>
            <w:tcW w:w="1032" w:type="dxa"/>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0"/>
                <w:szCs w:val="20"/>
                <w:highlight w:val="none"/>
              </w:rPr>
            </w:pPr>
            <w:r>
              <w:rPr>
                <w:rFonts w:hint="default" w:ascii="Times New Roman" w:hAnsi="Times New Roman" w:cs="Times New Roman" w:eastAsiaTheme="minorEastAsia"/>
                <w:color w:val="auto"/>
                <w:sz w:val="20"/>
                <w:szCs w:val="20"/>
                <w:highlight w:val="none"/>
              </w:rPr>
              <w:t>质量指标</w:t>
            </w:r>
          </w:p>
        </w:tc>
        <w:tc>
          <w:tcPr>
            <w:tcW w:w="482" w:type="dxa"/>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0"/>
                <w:szCs w:val="20"/>
                <w:highlight w:val="none"/>
              </w:rPr>
            </w:pPr>
            <w:r>
              <w:rPr>
                <w:rFonts w:hint="default" w:ascii="Times New Roman" w:hAnsi="Times New Roman" w:cs="Times New Roman" w:eastAsiaTheme="minorEastAsia"/>
                <w:color w:val="auto"/>
                <w:sz w:val="20"/>
                <w:szCs w:val="20"/>
                <w:highlight w:val="none"/>
              </w:rPr>
              <w:t>14</w:t>
            </w:r>
          </w:p>
        </w:tc>
        <w:tc>
          <w:tcPr>
            <w:tcW w:w="53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cs="Times New Roman" w:eastAsiaTheme="minorEastAsia"/>
                <w:color w:val="auto"/>
                <w:sz w:val="20"/>
                <w:szCs w:val="20"/>
                <w:highlight w:val="none"/>
              </w:rPr>
            </w:pPr>
            <w:r>
              <w:rPr>
                <w:rFonts w:hint="default" w:ascii="Times New Roman" w:hAnsi="Times New Roman" w:cs="Times New Roman" w:eastAsiaTheme="minorEastAsia"/>
                <w:color w:val="auto"/>
                <w:sz w:val="20"/>
                <w:szCs w:val="20"/>
                <w:highlight w:val="none"/>
              </w:rPr>
              <w:t>口蹄疫、高致病性禽流感、小反刍兽疫等动物疫病的免疫抗体水平，春秋（季）集中免疫抗体合格率达到70%以上，得满分，一项低于70%扣2分，扣完为止。</w:t>
            </w:r>
          </w:p>
        </w:tc>
        <w:tc>
          <w:tcPr>
            <w:tcW w:w="5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highlight w:val="none"/>
              </w:rPr>
            </w:pPr>
          </w:p>
        </w:tc>
      </w:tr>
      <w:tr>
        <w:tblPrEx>
          <w:tblCellMar>
            <w:top w:w="15" w:type="dxa"/>
            <w:left w:w="15" w:type="dxa"/>
            <w:bottom w:w="15" w:type="dxa"/>
            <w:right w:w="15" w:type="dxa"/>
          </w:tblCellMar>
        </w:tblPrEx>
        <w:trPr>
          <w:trHeight w:val="90" w:hRule="atLeast"/>
          <w:jc w:val="center"/>
        </w:trPr>
        <w:tc>
          <w:tcPr>
            <w:tcW w:w="8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highlight w:val="none"/>
              </w:rPr>
            </w:pPr>
          </w:p>
        </w:tc>
        <w:tc>
          <w:tcPr>
            <w:tcW w:w="889" w:type="dxa"/>
            <w:vMerge w:val="continue"/>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0"/>
                <w:szCs w:val="20"/>
                <w:highlight w:val="none"/>
              </w:rPr>
            </w:pPr>
          </w:p>
        </w:tc>
        <w:tc>
          <w:tcPr>
            <w:tcW w:w="1032" w:type="dxa"/>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0"/>
                <w:szCs w:val="20"/>
                <w:highlight w:val="none"/>
              </w:rPr>
            </w:pPr>
            <w:r>
              <w:rPr>
                <w:rFonts w:hint="default" w:ascii="Times New Roman" w:hAnsi="Times New Roman" w:cs="Times New Roman" w:eastAsiaTheme="minorEastAsia"/>
                <w:color w:val="auto"/>
                <w:sz w:val="20"/>
                <w:szCs w:val="20"/>
                <w:highlight w:val="none"/>
              </w:rPr>
              <w:t>时效性</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0"/>
                <w:szCs w:val="20"/>
                <w:highlight w:val="none"/>
              </w:rPr>
            </w:pPr>
            <w:r>
              <w:rPr>
                <w:rFonts w:hint="default" w:ascii="Times New Roman" w:hAnsi="Times New Roman" w:cs="Times New Roman" w:eastAsiaTheme="minorEastAsia"/>
                <w:color w:val="auto"/>
                <w:sz w:val="20"/>
                <w:szCs w:val="20"/>
                <w:highlight w:val="none"/>
              </w:rPr>
              <w:t>指标</w:t>
            </w:r>
          </w:p>
        </w:tc>
        <w:tc>
          <w:tcPr>
            <w:tcW w:w="4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0"/>
                <w:szCs w:val="20"/>
                <w:highlight w:val="none"/>
              </w:rPr>
            </w:pPr>
            <w:r>
              <w:rPr>
                <w:rFonts w:hint="default" w:ascii="Times New Roman" w:hAnsi="Times New Roman" w:cs="Times New Roman" w:eastAsiaTheme="minorEastAsia"/>
                <w:color w:val="auto"/>
                <w:sz w:val="20"/>
                <w:szCs w:val="20"/>
                <w:highlight w:val="none"/>
              </w:rPr>
              <w:t>10</w:t>
            </w:r>
          </w:p>
        </w:tc>
        <w:tc>
          <w:tcPr>
            <w:tcW w:w="5315" w:type="dxa"/>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cs="Times New Roman" w:eastAsiaTheme="minorEastAsia"/>
                <w:color w:val="auto"/>
                <w:sz w:val="20"/>
                <w:szCs w:val="20"/>
                <w:highlight w:val="none"/>
              </w:rPr>
            </w:pPr>
            <w:r>
              <w:rPr>
                <w:rFonts w:hint="default" w:ascii="Times New Roman" w:hAnsi="Times New Roman" w:cs="Times New Roman" w:eastAsiaTheme="minorEastAsia"/>
                <w:color w:val="auto"/>
                <w:sz w:val="20"/>
                <w:szCs w:val="20"/>
                <w:highlight w:val="none"/>
              </w:rPr>
              <w:t>按照我</w:t>
            </w:r>
            <w:r>
              <w:rPr>
                <w:rFonts w:hint="eastAsia" w:ascii="Times New Roman" w:hAnsi="Times New Roman" w:cs="Times New Roman" w:eastAsiaTheme="minorEastAsia"/>
                <w:color w:val="auto"/>
                <w:sz w:val="20"/>
                <w:szCs w:val="20"/>
                <w:highlight w:val="none"/>
                <w:lang w:val="en-US" w:eastAsia="zh-CN"/>
              </w:rPr>
              <w:t>县</w:t>
            </w:r>
            <w:r>
              <w:rPr>
                <w:rFonts w:hint="default" w:ascii="Times New Roman" w:hAnsi="Times New Roman" w:cs="Times New Roman" w:eastAsiaTheme="minorEastAsia"/>
                <w:color w:val="auto"/>
                <w:sz w:val="20"/>
                <w:szCs w:val="20"/>
                <w:highlight w:val="none"/>
              </w:rPr>
              <w:t>免疫方案要求，按时完成强制免疫工作任务得5分。及时报告动物疫情得3分；报告程序规范，内容完整、真实得2分。</w:t>
            </w:r>
          </w:p>
        </w:tc>
        <w:tc>
          <w:tcPr>
            <w:tcW w:w="578" w:type="dxa"/>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highlight w:val="none"/>
              </w:rPr>
            </w:pPr>
          </w:p>
        </w:tc>
      </w:tr>
      <w:tr>
        <w:tblPrEx>
          <w:tblCellMar>
            <w:top w:w="15" w:type="dxa"/>
            <w:left w:w="15" w:type="dxa"/>
            <w:bottom w:w="15" w:type="dxa"/>
            <w:right w:w="15" w:type="dxa"/>
          </w:tblCellMar>
        </w:tblPrEx>
        <w:trPr>
          <w:trHeight w:val="90" w:hRule="atLeast"/>
          <w:jc w:val="center"/>
        </w:trPr>
        <w:tc>
          <w:tcPr>
            <w:tcW w:w="8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highlight w:val="none"/>
              </w:rPr>
            </w:pPr>
          </w:p>
        </w:tc>
        <w:tc>
          <w:tcPr>
            <w:tcW w:w="889" w:type="dxa"/>
            <w:vMerge w:val="restart"/>
            <w:tcBorders>
              <w:top w:val="single" w:color="000000" w:sz="4" w:space="0"/>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0"/>
                <w:szCs w:val="20"/>
                <w:highlight w:val="none"/>
              </w:rPr>
            </w:pPr>
            <w:r>
              <w:rPr>
                <w:rFonts w:hint="default" w:ascii="Times New Roman" w:hAnsi="Times New Roman" w:cs="Times New Roman" w:eastAsiaTheme="minorEastAsia"/>
                <w:color w:val="auto"/>
                <w:sz w:val="20"/>
                <w:szCs w:val="20"/>
                <w:highlight w:val="none"/>
              </w:rPr>
              <w:t>效益</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0"/>
                <w:szCs w:val="20"/>
                <w:highlight w:val="none"/>
              </w:rPr>
            </w:pPr>
            <w:r>
              <w:rPr>
                <w:rFonts w:hint="default" w:ascii="Times New Roman" w:hAnsi="Times New Roman" w:cs="Times New Roman" w:eastAsiaTheme="minorEastAsia"/>
                <w:color w:val="auto"/>
                <w:sz w:val="20"/>
                <w:szCs w:val="20"/>
                <w:highlight w:val="none"/>
              </w:rPr>
              <w:t>指标</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0"/>
                <w:szCs w:val="20"/>
                <w:highlight w:val="none"/>
              </w:rPr>
            </w:pPr>
            <w:r>
              <w:rPr>
                <w:rFonts w:hint="default" w:ascii="Times New Roman" w:hAnsi="Times New Roman" w:cs="Times New Roman" w:eastAsiaTheme="minorEastAsia"/>
                <w:color w:val="auto"/>
                <w:sz w:val="20"/>
                <w:szCs w:val="20"/>
                <w:highlight w:val="none"/>
              </w:rPr>
              <w:t>（30分）</w:t>
            </w:r>
          </w:p>
        </w:tc>
        <w:tc>
          <w:tcPr>
            <w:tcW w:w="1032" w:type="dxa"/>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0"/>
                <w:szCs w:val="20"/>
                <w:highlight w:val="none"/>
              </w:rPr>
            </w:pPr>
            <w:r>
              <w:rPr>
                <w:rFonts w:hint="default" w:ascii="Times New Roman" w:hAnsi="Times New Roman" w:cs="Times New Roman" w:eastAsiaTheme="minorEastAsia"/>
                <w:color w:val="auto"/>
                <w:sz w:val="20"/>
                <w:szCs w:val="20"/>
                <w:highlight w:val="none"/>
              </w:rPr>
              <w:t>经济效益</w:t>
            </w:r>
          </w:p>
        </w:tc>
        <w:tc>
          <w:tcPr>
            <w:tcW w:w="4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0"/>
                <w:szCs w:val="20"/>
                <w:highlight w:val="none"/>
                <w:lang w:eastAsia="zh-CN"/>
              </w:rPr>
            </w:pPr>
            <w:r>
              <w:rPr>
                <w:rFonts w:hint="default" w:ascii="Times New Roman" w:hAnsi="Times New Roman" w:cs="Times New Roman"/>
                <w:color w:val="auto"/>
                <w:sz w:val="20"/>
                <w:szCs w:val="20"/>
                <w:highlight w:val="none"/>
                <w:lang w:val="en-US" w:eastAsia="zh-CN"/>
              </w:rPr>
              <w:t>10</w:t>
            </w:r>
          </w:p>
        </w:tc>
        <w:tc>
          <w:tcPr>
            <w:tcW w:w="5315" w:type="dxa"/>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cs="Times New Roman" w:eastAsiaTheme="minorEastAsia"/>
                <w:color w:val="auto"/>
                <w:sz w:val="20"/>
                <w:szCs w:val="20"/>
                <w:highlight w:val="none"/>
              </w:rPr>
            </w:pPr>
            <w:r>
              <w:rPr>
                <w:rFonts w:hint="default" w:ascii="Times New Roman" w:hAnsi="Times New Roman" w:cs="Times New Roman" w:eastAsiaTheme="minorEastAsia"/>
                <w:color w:val="auto"/>
                <w:sz w:val="20"/>
                <w:szCs w:val="20"/>
                <w:highlight w:val="none"/>
              </w:rPr>
              <w:t>猪、牛、羊、鸡等家养畜禽口蹄疫、高致病性禽流感、小反刍兽疫、布鲁氏菌病等因病死亡率降低1%，得</w:t>
            </w:r>
            <w:r>
              <w:rPr>
                <w:rFonts w:hint="default" w:ascii="Times New Roman" w:hAnsi="Times New Roman" w:cs="Times New Roman"/>
                <w:color w:val="auto"/>
                <w:sz w:val="20"/>
                <w:szCs w:val="20"/>
                <w:highlight w:val="none"/>
                <w:lang w:val="en-US" w:eastAsia="zh-CN"/>
              </w:rPr>
              <w:t>10</w:t>
            </w:r>
            <w:r>
              <w:rPr>
                <w:rFonts w:hint="default" w:ascii="Times New Roman" w:hAnsi="Times New Roman" w:cs="Times New Roman" w:eastAsiaTheme="minorEastAsia"/>
                <w:color w:val="auto"/>
                <w:sz w:val="20"/>
                <w:szCs w:val="20"/>
                <w:highlight w:val="none"/>
              </w:rPr>
              <w:t>分，否则不得分。</w:t>
            </w:r>
          </w:p>
        </w:tc>
        <w:tc>
          <w:tcPr>
            <w:tcW w:w="578" w:type="dxa"/>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highlight w:val="none"/>
              </w:rPr>
            </w:pPr>
          </w:p>
        </w:tc>
      </w:tr>
      <w:tr>
        <w:tblPrEx>
          <w:tblCellMar>
            <w:top w:w="15" w:type="dxa"/>
            <w:left w:w="15" w:type="dxa"/>
            <w:bottom w:w="15" w:type="dxa"/>
            <w:right w:w="15" w:type="dxa"/>
          </w:tblCellMar>
        </w:tblPrEx>
        <w:trPr>
          <w:trHeight w:val="90" w:hRule="atLeast"/>
          <w:jc w:val="center"/>
        </w:trPr>
        <w:tc>
          <w:tcPr>
            <w:tcW w:w="8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highlight w:val="none"/>
              </w:rPr>
            </w:pPr>
          </w:p>
        </w:tc>
        <w:tc>
          <w:tcPr>
            <w:tcW w:w="889" w:type="dxa"/>
            <w:vMerge w:val="continue"/>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0"/>
                <w:szCs w:val="20"/>
                <w:highlight w:val="none"/>
              </w:rPr>
            </w:pPr>
          </w:p>
        </w:tc>
        <w:tc>
          <w:tcPr>
            <w:tcW w:w="1032" w:type="dxa"/>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0"/>
                <w:szCs w:val="20"/>
                <w:highlight w:val="none"/>
              </w:rPr>
            </w:pPr>
            <w:r>
              <w:rPr>
                <w:rFonts w:hint="default" w:ascii="Times New Roman" w:hAnsi="Times New Roman" w:cs="Times New Roman" w:eastAsiaTheme="minorEastAsia"/>
                <w:color w:val="auto"/>
                <w:sz w:val="20"/>
                <w:szCs w:val="20"/>
                <w:highlight w:val="none"/>
              </w:rPr>
              <w:t>社会效益</w:t>
            </w:r>
          </w:p>
        </w:tc>
        <w:tc>
          <w:tcPr>
            <w:tcW w:w="482" w:type="dxa"/>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0"/>
                <w:szCs w:val="20"/>
                <w:highlight w:val="none"/>
                <w:lang w:val="en-US" w:eastAsia="zh-CN"/>
              </w:rPr>
            </w:pPr>
            <w:r>
              <w:rPr>
                <w:rFonts w:hint="default" w:ascii="Times New Roman" w:hAnsi="Times New Roman" w:cs="Times New Roman" w:eastAsiaTheme="minorEastAsia"/>
                <w:color w:val="auto"/>
                <w:sz w:val="20"/>
                <w:szCs w:val="20"/>
                <w:highlight w:val="none"/>
                <w:lang w:val="en-US" w:eastAsia="zh-CN"/>
              </w:rPr>
              <w:t>1</w:t>
            </w:r>
            <w:r>
              <w:rPr>
                <w:rFonts w:hint="default" w:ascii="Times New Roman" w:hAnsi="Times New Roman" w:cs="Times New Roman"/>
                <w:color w:val="auto"/>
                <w:sz w:val="20"/>
                <w:szCs w:val="20"/>
                <w:highlight w:val="none"/>
                <w:lang w:val="en-US" w:eastAsia="zh-CN"/>
              </w:rPr>
              <w:t>5</w:t>
            </w:r>
          </w:p>
        </w:tc>
        <w:tc>
          <w:tcPr>
            <w:tcW w:w="5315" w:type="dxa"/>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cs="Times New Roman" w:eastAsiaTheme="minorEastAsia"/>
                <w:color w:val="auto"/>
                <w:sz w:val="20"/>
                <w:szCs w:val="20"/>
                <w:highlight w:val="none"/>
              </w:rPr>
            </w:pPr>
            <w:r>
              <w:rPr>
                <w:rFonts w:hint="default" w:ascii="Times New Roman" w:hAnsi="Times New Roman" w:cs="Times New Roman" w:eastAsiaTheme="minorEastAsia"/>
                <w:color w:val="auto"/>
                <w:sz w:val="20"/>
                <w:szCs w:val="20"/>
                <w:highlight w:val="none"/>
              </w:rPr>
              <w:t>未发生影响畜牧业生产安全事件得</w:t>
            </w:r>
            <w:r>
              <w:rPr>
                <w:rFonts w:hint="default" w:ascii="Times New Roman" w:hAnsi="Times New Roman" w:cs="Times New Roman"/>
                <w:color w:val="auto"/>
                <w:sz w:val="20"/>
                <w:szCs w:val="20"/>
                <w:highlight w:val="none"/>
                <w:lang w:val="en-US" w:eastAsia="zh-CN"/>
              </w:rPr>
              <w:t>5</w:t>
            </w:r>
            <w:r>
              <w:rPr>
                <w:rFonts w:hint="default" w:ascii="Times New Roman" w:hAnsi="Times New Roman" w:cs="Times New Roman" w:eastAsiaTheme="minorEastAsia"/>
                <w:color w:val="auto"/>
                <w:sz w:val="20"/>
                <w:szCs w:val="20"/>
                <w:highlight w:val="none"/>
              </w:rPr>
              <w:t>分，未发生影响动物源性食品安全得</w:t>
            </w:r>
            <w:r>
              <w:rPr>
                <w:rFonts w:hint="default" w:ascii="Times New Roman" w:hAnsi="Times New Roman" w:cs="Times New Roman"/>
                <w:color w:val="auto"/>
                <w:sz w:val="20"/>
                <w:szCs w:val="20"/>
                <w:highlight w:val="none"/>
                <w:lang w:val="en-US" w:eastAsia="zh-CN"/>
              </w:rPr>
              <w:t>5</w:t>
            </w:r>
            <w:r>
              <w:rPr>
                <w:rFonts w:hint="default" w:ascii="Times New Roman" w:hAnsi="Times New Roman" w:cs="Times New Roman" w:eastAsiaTheme="minorEastAsia"/>
                <w:color w:val="auto"/>
                <w:sz w:val="20"/>
                <w:szCs w:val="20"/>
                <w:highlight w:val="none"/>
              </w:rPr>
              <w:t>分。否则不得分。畜间布病、炭疽、狂犬病、包虫病等主要人畜共患病的病死率每年下降1%得5分。</w:t>
            </w:r>
          </w:p>
        </w:tc>
        <w:tc>
          <w:tcPr>
            <w:tcW w:w="5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highlight w:val="none"/>
              </w:rPr>
            </w:pPr>
          </w:p>
        </w:tc>
      </w:tr>
      <w:tr>
        <w:tblPrEx>
          <w:tblCellMar>
            <w:top w:w="15" w:type="dxa"/>
            <w:left w:w="15" w:type="dxa"/>
            <w:bottom w:w="15" w:type="dxa"/>
            <w:right w:w="15" w:type="dxa"/>
          </w:tblCellMar>
        </w:tblPrEx>
        <w:trPr>
          <w:trHeight w:val="90" w:hRule="atLeast"/>
          <w:jc w:val="center"/>
        </w:trPr>
        <w:tc>
          <w:tcPr>
            <w:tcW w:w="8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highlight w:val="none"/>
              </w:rPr>
            </w:pPr>
          </w:p>
        </w:tc>
        <w:tc>
          <w:tcPr>
            <w:tcW w:w="889" w:type="dxa"/>
            <w:vMerge w:val="continue"/>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0"/>
                <w:szCs w:val="20"/>
                <w:highlight w:val="none"/>
              </w:rPr>
            </w:pPr>
          </w:p>
        </w:tc>
        <w:tc>
          <w:tcPr>
            <w:tcW w:w="1032" w:type="dxa"/>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0"/>
                <w:szCs w:val="20"/>
                <w:highlight w:val="none"/>
              </w:rPr>
            </w:pPr>
            <w:r>
              <w:rPr>
                <w:rFonts w:hint="default" w:ascii="Times New Roman" w:hAnsi="Times New Roman" w:cs="Times New Roman" w:eastAsiaTheme="minorEastAsia"/>
                <w:color w:val="auto"/>
                <w:sz w:val="20"/>
                <w:szCs w:val="20"/>
                <w:highlight w:val="none"/>
              </w:rPr>
              <w:t>可持续</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0"/>
                <w:szCs w:val="20"/>
                <w:highlight w:val="none"/>
              </w:rPr>
            </w:pPr>
            <w:r>
              <w:rPr>
                <w:rFonts w:hint="default" w:ascii="Times New Roman" w:hAnsi="Times New Roman" w:cs="Times New Roman" w:eastAsiaTheme="minorEastAsia"/>
                <w:color w:val="auto"/>
                <w:sz w:val="20"/>
                <w:szCs w:val="20"/>
                <w:highlight w:val="none"/>
              </w:rPr>
              <w:t>影响</w:t>
            </w:r>
          </w:p>
        </w:tc>
        <w:tc>
          <w:tcPr>
            <w:tcW w:w="482" w:type="dxa"/>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0"/>
                <w:szCs w:val="20"/>
                <w:highlight w:val="none"/>
                <w:lang w:eastAsia="zh-CN"/>
              </w:rPr>
            </w:pPr>
            <w:r>
              <w:rPr>
                <w:rFonts w:hint="default" w:ascii="Times New Roman" w:hAnsi="Times New Roman" w:cs="Times New Roman"/>
                <w:color w:val="auto"/>
                <w:sz w:val="20"/>
                <w:szCs w:val="20"/>
                <w:highlight w:val="none"/>
                <w:lang w:val="en-US" w:eastAsia="zh-CN"/>
              </w:rPr>
              <w:t>5</w:t>
            </w:r>
          </w:p>
        </w:tc>
        <w:tc>
          <w:tcPr>
            <w:tcW w:w="5315" w:type="dxa"/>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cs="Times New Roman" w:eastAsiaTheme="minorEastAsia"/>
                <w:color w:val="auto"/>
                <w:sz w:val="20"/>
                <w:szCs w:val="20"/>
                <w:highlight w:val="none"/>
              </w:rPr>
            </w:pPr>
            <w:r>
              <w:rPr>
                <w:rFonts w:hint="default" w:ascii="Times New Roman" w:hAnsi="Times New Roman" w:cs="Times New Roman" w:eastAsiaTheme="minorEastAsia"/>
                <w:color w:val="auto"/>
                <w:sz w:val="20"/>
                <w:szCs w:val="20"/>
                <w:highlight w:val="none"/>
              </w:rPr>
              <w:t>项目执行后动物疫病和主要人畜共患病发病例持续降低得</w:t>
            </w:r>
            <w:r>
              <w:rPr>
                <w:rFonts w:hint="default" w:ascii="Times New Roman" w:hAnsi="Times New Roman" w:cs="Times New Roman"/>
                <w:color w:val="auto"/>
                <w:sz w:val="20"/>
                <w:szCs w:val="20"/>
                <w:highlight w:val="none"/>
                <w:lang w:val="en-US" w:eastAsia="zh-CN"/>
              </w:rPr>
              <w:t>5</w:t>
            </w:r>
            <w:r>
              <w:rPr>
                <w:rFonts w:hint="default" w:ascii="Times New Roman" w:hAnsi="Times New Roman" w:cs="Times New Roman" w:eastAsiaTheme="minorEastAsia"/>
                <w:color w:val="auto"/>
                <w:sz w:val="20"/>
                <w:szCs w:val="20"/>
                <w:highlight w:val="none"/>
              </w:rPr>
              <w:t>分，发病率上升不得分。</w:t>
            </w:r>
          </w:p>
        </w:tc>
        <w:tc>
          <w:tcPr>
            <w:tcW w:w="5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highlight w:val="none"/>
              </w:rPr>
            </w:pPr>
          </w:p>
        </w:tc>
      </w:tr>
      <w:tr>
        <w:tblPrEx>
          <w:tblCellMar>
            <w:top w:w="15" w:type="dxa"/>
            <w:left w:w="15" w:type="dxa"/>
            <w:bottom w:w="15" w:type="dxa"/>
            <w:right w:w="15" w:type="dxa"/>
          </w:tblCellMar>
        </w:tblPrEx>
        <w:trPr>
          <w:trHeight w:val="90" w:hRule="atLeast"/>
          <w:jc w:val="center"/>
        </w:trPr>
        <w:tc>
          <w:tcPr>
            <w:tcW w:w="8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highlight w:val="none"/>
              </w:rPr>
            </w:pPr>
          </w:p>
        </w:tc>
        <w:tc>
          <w:tcPr>
            <w:tcW w:w="889"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rPr>
              <w:t>满意度</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rPr>
              <w:t>指标</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rPr>
              <w:t>（10分）</w:t>
            </w:r>
          </w:p>
        </w:tc>
        <w:tc>
          <w:tcPr>
            <w:tcW w:w="1032"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rPr>
              <w:t>服务对象满意度</w:t>
            </w:r>
          </w:p>
        </w:tc>
        <w:tc>
          <w:tcPr>
            <w:tcW w:w="482"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rPr>
              <w:t>10</w:t>
            </w:r>
          </w:p>
        </w:tc>
        <w:tc>
          <w:tcPr>
            <w:tcW w:w="5315"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rPr>
              <w:t>养殖户、贩运户、规模养殖场、屠宰场等养殖行业相关人员对项目认可度高得10分，按服务满意度酌情扣分。</w:t>
            </w:r>
          </w:p>
        </w:tc>
        <w:tc>
          <w:tcPr>
            <w:tcW w:w="578"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highlight w:val="none"/>
              </w:rPr>
            </w:pPr>
          </w:p>
        </w:tc>
      </w:tr>
      <w:tr>
        <w:tblPrEx>
          <w:tblCellMar>
            <w:top w:w="15" w:type="dxa"/>
            <w:left w:w="15" w:type="dxa"/>
            <w:bottom w:w="15" w:type="dxa"/>
            <w:right w:w="15" w:type="dxa"/>
          </w:tblCellMar>
        </w:tblPrEx>
        <w:trPr>
          <w:trHeight w:val="90" w:hRule="atLeast"/>
          <w:jc w:val="center"/>
        </w:trPr>
        <w:tc>
          <w:tcPr>
            <w:tcW w:w="2781" w:type="dxa"/>
            <w:gridSpan w:val="3"/>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合计</w:t>
            </w:r>
          </w:p>
        </w:tc>
        <w:tc>
          <w:tcPr>
            <w:tcW w:w="482"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100</w:t>
            </w:r>
          </w:p>
        </w:tc>
        <w:tc>
          <w:tcPr>
            <w:tcW w:w="5315"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cs="Times New Roman" w:eastAsiaTheme="minorEastAsia"/>
                <w:color w:val="auto"/>
                <w:sz w:val="21"/>
                <w:szCs w:val="21"/>
                <w:highlight w:val="none"/>
              </w:rPr>
            </w:pPr>
          </w:p>
        </w:tc>
        <w:tc>
          <w:tcPr>
            <w:tcW w:w="578"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highlight w:val="none"/>
              </w:rPr>
            </w:pPr>
          </w:p>
        </w:tc>
      </w:tr>
    </w:tbl>
    <w:p>
      <w:pPr>
        <w:pStyle w:val="2"/>
        <w:rPr>
          <w:rFonts w:hint="eastAsia"/>
          <w:lang w:val="en-US" w:eastAsia="zh-CN"/>
        </w:rPr>
        <w:sectPr>
          <w:pgSz w:w="11906" w:h="16838"/>
          <w:pgMar w:top="2154" w:right="1474" w:bottom="2098" w:left="1587" w:header="851" w:footer="992" w:gutter="0"/>
          <w:cols w:space="425" w:num="1"/>
          <w:docGrid w:type="lines" w:linePitch="312" w:charSpace="0"/>
        </w:sectPr>
      </w:pPr>
    </w:p>
    <w:p>
      <w:pPr>
        <w:pStyle w:val="3"/>
        <w:keepNext/>
        <w:keepLines/>
        <w:pageBreakBefore w:val="0"/>
        <w:widowControl w:val="0"/>
        <w:kinsoku/>
        <w:wordWrap/>
        <w:overflowPunct/>
        <w:topLinePunct w:val="0"/>
        <w:autoSpaceDE/>
        <w:autoSpaceDN/>
        <w:bidi w:val="0"/>
        <w:adjustRightInd w:val="0"/>
        <w:snapToGrid w:val="0"/>
        <w:spacing w:before="0" w:after="0" w:line="240" w:lineRule="auto"/>
        <w:ind w:left="0" w:leftChars="0" w:right="0" w:rightChars="0" w:firstLine="0" w:firstLineChars="0"/>
        <w:textAlignment w:val="auto"/>
        <w:outlineLvl w:val="1"/>
        <w:rPr>
          <w:rFonts w:hint="eastAsia"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b w:val="0"/>
          <w:bCs w:val="0"/>
          <w:kern w:val="2"/>
          <w:sz w:val="32"/>
          <w:szCs w:val="32"/>
          <w:lang w:val="en-US" w:eastAsia="zh-CN"/>
        </w:rPr>
        <w:t>附件2：</w:t>
      </w:r>
    </w:p>
    <w:p>
      <w:pPr>
        <w:jc w:val="center"/>
        <w:rPr>
          <w:rFonts w:hint="default" w:ascii="方正小标宋_GBK" w:hAnsi="方正小标宋_GBK" w:eastAsia="方正小标宋_GBK" w:cs="方正小标宋_GBK"/>
          <w:i w:val="0"/>
          <w:iCs w:val="0"/>
          <w:color w:val="000000"/>
          <w:kern w:val="0"/>
          <w:sz w:val="36"/>
          <w:szCs w:val="36"/>
          <w:u w:val="none"/>
          <w:lang w:val="en-US" w:eastAsia="zh-CN" w:bidi="ar"/>
        </w:rPr>
      </w:pPr>
      <w:r>
        <w:rPr>
          <w:rFonts w:hint="eastAsia" w:ascii="方正小标宋_GBK" w:hAnsi="方正小标宋_GBK" w:eastAsia="方正小标宋_GBK" w:cs="方正小标宋_GBK"/>
          <w:i w:val="0"/>
          <w:iCs w:val="0"/>
          <w:color w:val="000000"/>
          <w:kern w:val="0"/>
          <w:sz w:val="36"/>
          <w:szCs w:val="36"/>
          <w:u w:val="none"/>
          <w:lang w:val="en-US" w:eastAsia="zh-CN" w:bidi="ar"/>
        </w:rPr>
        <w:t>中央</w:t>
      </w:r>
      <w:r>
        <w:rPr>
          <w:rFonts w:hint="default" w:ascii="方正小标宋_GBK" w:hAnsi="方正小标宋_GBK" w:eastAsia="方正小标宋_GBK" w:cs="方正小标宋_GBK"/>
          <w:i w:val="0"/>
          <w:iCs w:val="0"/>
          <w:color w:val="000000"/>
          <w:kern w:val="0"/>
          <w:sz w:val="36"/>
          <w:szCs w:val="36"/>
          <w:u w:val="none"/>
          <w:lang w:val="en-US" w:eastAsia="zh-CN" w:bidi="ar"/>
        </w:rPr>
        <w:t>动物防疫补助经费区域性绩效目标表</w:t>
      </w:r>
    </w:p>
    <w:p>
      <w:pPr>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sz w:val="24"/>
          <w:highlight w:val="none"/>
        </w:rPr>
        <w:t>（202</w:t>
      </w:r>
      <w:r>
        <w:rPr>
          <w:rFonts w:hint="default"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年度）</w:t>
      </w:r>
    </w:p>
    <w:tbl>
      <w:tblPr>
        <w:tblStyle w:val="8"/>
        <w:tblW w:w="8773" w:type="dxa"/>
        <w:jc w:val="center"/>
        <w:tblLayout w:type="fixed"/>
        <w:tblCellMar>
          <w:top w:w="0" w:type="dxa"/>
          <w:left w:w="108" w:type="dxa"/>
          <w:bottom w:w="0" w:type="dxa"/>
          <w:right w:w="108" w:type="dxa"/>
        </w:tblCellMar>
      </w:tblPr>
      <w:tblGrid>
        <w:gridCol w:w="924"/>
        <w:gridCol w:w="798"/>
        <w:gridCol w:w="405"/>
        <w:gridCol w:w="795"/>
        <w:gridCol w:w="1775"/>
        <w:gridCol w:w="1827"/>
        <w:gridCol w:w="582"/>
        <w:gridCol w:w="1667"/>
      </w:tblGrid>
      <w:tr>
        <w:tblPrEx>
          <w:tblCellMar>
            <w:top w:w="0" w:type="dxa"/>
            <w:left w:w="108" w:type="dxa"/>
            <w:bottom w:w="0" w:type="dxa"/>
            <w:right w:w="108" w:type="dxa"/>
          </w:tblCellMar>
        </w:tblPrEx>
        <w:trPr>
          <w:trHeight w:val="373" w:hRule="atLeast"/>
          <w:jc w:val="center"/>
        </w:trPr>
        <w:tc>
          <w:tcPr>
            <w:tcW w:w="2127" w:type="dxa"/>
            <w:gridSpan w:val="3"/>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lang w:eastAsia="zh-CN"/>
              </w:rPr>
              <w:t>项目</w:t>
            </w:r>
            <w:r>
              <w:rPr>
                <w:rFonts w:hint="default" w:ascii="Times New Roman" w:hAnsi="Times New Roman" w:cs="Times New Roman" w:eastAsiaTheme="minorEastAsia"/>
                <w:color w:val="auto"/>
                <w:kern w:val="0"/>
                <w:sz w:val="21"/>
                <w:szCs w:val="21"/>
                <w:highlight w:val="none"/>
              </w:rPr>
              <w:t>名称</w:t>
            </w:r>
          </w:p>
        </w:tc>
        <w:tc>
          <w:tcPr>
            <w:tcW w:w="6646" w:type="dxa"/>
            <w:gridSpan w:val="5"/>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隆德县2024年动物防疫项目</w:t>
            </w:r>
          </w:p>
        </w:tc>
      </w:tr>
      <w:tr>
        <w:tblPrEx>
          <w:tblCellMar>
            <w:top w:w="0" w:type="dxa"/>
            <w:left w:w="108" w:type="dxa"/>
            <w:bottom w:w="0" w:type="dxa"/>
            <w:right w:w="108" w:type="dxa"/>
          </w:tblCellMar>
        </w:tblPrEx>
        <w:trPr>
          <w:trHeight w:val="378" w:hRule="atLeast"/>
          <w:jc w:val="center"/>
        </w:trPr>
        <w:tc>
          <w:tcPr>
            <w:tcW w:w="2127" w:type="dxa"/>
            <w:gridSpan w:val="3"/>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自治区主管部门</w:t>
            </w:r>
          </w:p>
        </w:tc>
        <w:tc>
          <w:tcPr>
            <w:tcW w:w="2570"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0"/>
                <w:sz w:val="21"/>
                <w:szCs w:val="21"/>
                <w:highlight w:val="none"/>
                <w:lang w:eastAsia="zh-CN"/>
              </w:rPr>
            </w:pPr>
            <w:r>
              <w:rPr>
                <w:rFonts w:hint="default" w:ascii="Times New Roman" w:hAnsi="Times New Roman" w:cs="Times New Roman" w:eastAsiaTheme="minorEastAsia"/>
                <w:color w:val="auto"/>
                <w:kern w:val="0"/>
                <w:sz w:val="21"/>
                <w:szCs w:val="21"/>
                <w:highlight w:val="none"/>
                <w:lang w:val="en-US" w:eastAsia="zh-CN"/>
              </w:rPr>
              <w:t>自治区农业农村厅</w:t>
            </w:r>
          </w:p>
        </w:tc>
        <w:tc>
          <w:tcPr>
            <w:tcW w:w="182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lang w:val="en-US" w:eastAsia="zh-CN"/>
              </w:rPr>
              <w:t>项目实施期</w:t>
            </w:r>
          </w:p>
        </w:tc>
        <w:tc>
          <w:tcPr>
            <w:tcW w:w="2249"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0"/>
                <w:sz w:val="21"/>
                <w:szCs w:val="21"/>
                <w:highlight w:val="none"/>
                <w:lang w:eastAsia="zh-CN"/>
              </w:rPr>
            </w:pPr>
            <w:r>
              <w:rPr>
                <w:rFonts w:hint="default" w:ascii="Times New Roman" w:hAnsi="Times New Roman" w:cs="Times New Roman"/>
                <w:color w:val="auto"/>
                <w:kern w:val="0"/>
                <w:sz w:val="21"/>
                <w:szCs w:val="21"/>
                <w:highlight w:val="none"/>
                <w:lang w:val="en-US" w:eastAsia="zh-CN"/>
              </w:rPr>
              <w:t>1年</w:t>
            </w:r>
          </w:p>
        </w:tc>
      </w:tr>
      <w:tr>
        <w:tblPrEx>
          <w:tblCellMar>
            <w:top w:w="0" w:type="dxa"/>
            <w:left w:w="108" w:type="dxa"/>
            <w:bottom w:w="0" w:type="dxa"/>
            <w:right w:w="108" w:type="dxa"/>
          </w:tblCellMar>
        </w:tblPrEx>
        <w:trPr>
          <w:trHeight w:val="316" w:hRule="atLeast"/>
          <w:jc w:val="center"/>
        </w:trPr>
        <w:tc>
          <w:tcPr>
            <w:tcW w:w="2127" w:type="dxa"/>
            <w:gridSpan w:val="3"/>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0"/>
                <w:sz w:val="21"/>
                <w:szCs w:val="21"/>
                <w:highlight w:val="none"/>
                <w:lang w:eastAsia="zh-CN"/>
              </w:rPr>
            </w:pPr>
            <w:r>
              <w:rPr>
                <w:rFonts w:hint="default" w:ascii="Times New Roman" w:hAnsi="Times New Roman" w:cs="Times New Roman" w:eastAsiaTheme="minorEastAsia"/>
                <w:color w:val="auto"/>
                <w:kern w:val="0"/>
                <w:sz w:val="21"/>
                <w:szCs w:val="21"/>
                <w:highlight w:val="none"/>
                <w:lang w:eastAsia="zh-CN"/>
              </w:rPr>
              <w:t>项目实施单位</w:t>
            </w:r>
          </w:p>
        </w:tc>
        <w:tc>
          <w:tcPr>
            <w:tcW w:w="6646" w:type="dxa"/>
            <w:gridSpan w:val="5"/>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210" w:firstLineChars="100"/>
              <w:jc w:val="left"/>
              <w:textAlignment w:val="auto"/>
              <w:outlineLvl w:val="9"/>
              <w:rPr>
                <w:rFonts w:hint="default" w:ascii="Times New Roman" w:hAnsi="Times New Roman" w:cs="Times New Roman" w:eastAsiaTheme="minorEastAsia"/>
                <w:color w:val="auto"/>
                <w:kern w:val="0"/>
                <w:sz w:val="21"/>
                <w:szCs w:val="21"/>
                <w:highlight w:val="none"/>
                <w:lang w:val="en-US" w:eastAsia="zh-CN"/>
              </w:rPr>
            </w:pPr>
            <w:r>
              <w:rPr>
                <w:rFonts w:hint="eastAsia" w:ascii="宋体" w:hAnsi="宋体" w:cs="宋体"/>
                <w:i w:val="0"/>
                <w:iCs w:val="0"/>
                <w:color w:val="000000"/>
                <w:sz w:val="21"/>
                <w:szCs w:val="21"/>
                <w:u w:val="none"/>
                <w:lang w:eastAsia="zh-CN"/>
              </w:rPr>
              <w:t>隆德县动物疾病预防控制中心</w:t>
            </w:r>
          </w:p>
        </w:tc>
      </w:tr>
      <w:tr>
        <w:tblPrEx>
          <w:tblCellMar>
            <w:top w:w="0" w:type="dxa"/>
            <w:left w:w="108" w:type="dxa"/>
            <w:bottom w:w="0" w:type="dxa"/>
            <w:right w:w="108" w:type="dxa"/>
          </w:tblCellMar>
        </w:tblPrEx>
        <w:trPr>
          <w:trHeight w:val="318" w:hRule="atLeast"/>
          <w:jc w:val="center"/>
        </w:trPr>
        <w:tc>
          <w:tcPr>
            <w:tcW w:w="92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0"/>
                <w:sz w:val="21"/>
                <w:szCs w:val="21"/>
                <w:highlight w:val="none"/>
                <w:lang w:eastAsia="zh-CN"/>
              </w:rPr>
            </w:pPr>
            <w:r>
              <w:rPr>
                <w:rFonts w:hint="default" w:ascii="Times New Roman" w:hAnsi="Times New Roman" w:cs="Times New Roman" w:eastAsiaTheme="minorEastAsia"/>
                <w:color w:val="auto"/>
                <w:kern w:val="0"/>
                <w:sz w:val="21"/>
                <w:szCs w:val="21"/>
                <w:highlight w:val="none"/>
              </w:rPr>
              <w:t>资金</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0"/>
                <w:sz w:val="21"/>
                <w:szCs w:val="21"/>
                <w:highlight w:val="none"/>
                <w:lang w:eastAsia="zh-CN"/>
              </w:rPr>
            </w:pPr>
            <w:r>
              <w:rPr>
                <w:rFonts w:hint="default" w:ascii="Times New Roman" w:hAnsi="Times New Roman" w:cs="Times New Roman" w:eastAsiaTheme="minorEastAsia"/>
                <w:color w:val="auto"/>
                <w:kern w:val="0"/>
                <w:sz w:val="21"/>
                <w:szCs w:val="21"/>
                <w:highlight w:val="none"/>
              </w:rPr>
              <w:t>情况</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0"/>
                <w:sz w:val="21"/>
                <w:szCs w:val="21"/>
                <w:highlight w:val="none"/>
              </w:rPr>
            </w:pPr>
            <w:r>
              <w:rPr>
                <w:rFonts w:hint="eastAsia" w:ascii="Times New Roman" w:hAnsi="Times New Roman" w:cs="Times New Roman" w:eastAsiaTheme="minorEastAsia"/>
                <w:color w:val="auto"/>
                <w:kern w:val="0"/>
                <w:sz w:val="21"/>
                <w:szCs w:val="21"/>
                <w:highlight w:val="none"/>
                <w:lang w:eastAsia="zh-CN"/>
              </w:rPr>
              <w:t>（</w:t>
            </w:r>
            <w:r>
              <w:rPr>
                <w:rFonts w:hint="default" w:ascii="Times New Roman" w:hAnsi="Times New Roman" w:cs="Times New Roman" w:eastAsiaTheme="minorEastAsia"/>
                <w:color w:val="auto"/>
                <w:kern w:val="0"/>
                <w:sz w:val="21"/>
                <w:szCs w:val="21"/>
                <w:highlight w:val="none"/>
              </w:rPr>
              <w:t>万元</w:t>
            </w:r>
            <w:r>
              <w:rPr>
                <w:rFonts w:hint="eastAsia" w:ascii="Times New Roman" w:hAnsi="Times New Roman" w:cs="Times New Roman" w:eastAsiaTheme="minorEastAsia"/>
                <w:color w:val="auto"/>
                <w:kern w:val="0"/>
                <w:sz w:val="21"/>
                <w:szCs w:val="21"/>
                <w:highlight w:val="none"/>
                <w:lang w:eastAsia="zh-CN"/>
              </w:rPr>
              <w:t>）</w:t>
            </w:r>
          </w:p>
        </w:tc>
        <w:tc>
          <w:tcPr>
            <w:tcW w:w="3773"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 xml:space="preserve">  年度</w:t>
            </w:r>
            <w:r>
              <w:rPr>
                <w:rFonts w:hint="default" w:ascii="Times New Roman" w:hAnsi="Times New Roman" w:cs="Times New Roman" w:eastAsiaTheme="minorEastAsia"/>
                <w:color w:val="auto"/>
                <w:kern w:val="0"/>
                <w:sz w:val="21"/>
                <w:szCs w:val="21"/>
                <w:highlight w:val="none"/>
                <w:lang w:eastAsia="zh-CN"/>
              </w:rPr>
              <w:t>资金总</w:t>
            </w:r>
            <w:r>
              <w:rPr>
                <w:rFonts w:hint="default" w:ascii="Times New Roman" w:hAnsi="Times New Roman" w:cs="Times New Roman" w:eastAsiaTheme="minorEastAsia"/>
                <w:color w:val="auto"/>
                <w:kern w:val="0"/>
                <w:sz w:val="21"/>
                <w:szCs w:val="21"/>
                <w:highlight w:val="none"/>
              </w:rPr>
              <w:t>额：</w:t>
            </w:r>
          </w:p>
        </w:tc>
        <w:tc>
          <w:tcPr>
            <w:tcW w:w="4076"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78</w:t>
            </w:r>
          </w:p>
        </w:tc>
      </w:tr>
      <w:tr>
        <w:tblPrEx>
          <w:tblCellMar>
            <w:top w:w="0" w:type="dxa"/>
            <w:left w:w="108" w:type="dxa"/>
            <w:bottom w:w="0" w:type="dxa"/>
            <w:right w:w="108" w:type="dxa"/>
          </w:tblCellMar>
        </w:tblPrEx>
        <w:trPr>
          <w:trHeight w:val="334" w:hRule="atLeast"/>
          <w:jc w:val="center"/>
        </w:trPr>
        <w:tc>
          <w:tcPr>
            <w:tcW w:w="92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kern w:val="0"/>
                <w:sz w:val="21"/>
                <w:szCs w:val="21"/>
                <w:highlight w:val="none"/>
              </w:rPr>
            </w:pPr>
          </w:p>
        </w:tc>
        <w:tc>
          <w:tcPr>
            <w:tcW w:w="3773"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 xml:space="preserve">    其中：</w:t>
            </w:r>
            <w:r>
              <w:rPr>
                <w:rFonts w:hint="default" w:ascii="Times New Roman" w:hAnsi="Times New Roman" w:cs="Times New Roman" w:eastAsiaTheme="minorEastAsia"/>
                <w:color w:val="auto"/>
                <w:kern w:val="0"/>
                <w:sz w:val="21"/>
                <w:szCs w:val="21"/>
                <w:highlight w:val="none"/>
                <w:lang w:eastAsia="zh-CN"/>
              </w:rPr>
              <w:t>中央财政资金</w:t>
            </w:r>
          </w:p>
        </w:tc>
        <w:tc>
          <w:tcPr>
            <w:tcW w:w="4076"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78</w:t>
            </w:r>
          </w:p>
        </w:tc>
      </w:tr>
      <w:tr>
        <w:tblPrEx>
          <w:tblCellMar>
            <w:top w:w="0" w:type="dxa"/>
            <w:left w:w="108" w:type="dxa"/>
            <w:bottom w:w="0" w:type="dxa"/>
            <w:right w:w="108" w:type="dxa"/>
          </w:tblCellMar>
        </w:tblPrEx>
        <w:trPr>
          <w:trHeight w:val="347" w:hRule="atLeast"/>
          <w:jc w:val="center"/>
        </w:trPr>
        <w:tc>
          <w:tcPr>
            <w:tcW w:w="92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kern w:val="0"/>
                <w:sz w:val="21"/>
                <w:szCs w:val="21"/>
                <w:highlight w:val="none"/>
              </w:rPr>
            </w:pPr>
          </w:p>
        </w:tc>
        <w:tc>
          <w:tcPr>
            <w:tcW w:w="3773"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　</w:t>
            </w:r>
            <w:r>
              <w:rPr>
                <w:rFonts w:hint="default" w:ascii="Times New Roman" w:hAnsi="Times New Roman" w:cs="Times New Roman" w:eastAsiaTheme="minorEastAsia"/>
                <w:color w:val="auto"/>
                <w:kern w:val="0"/>
                <w:sz w:val="21"/>
                <w:szCs w:val="21"/>
                <w:highlight w:val="none"/>
                <w:lang w:val="en-US" w:eastAsia="zh-CN"/>
              </w:rPr>
              <w:t xml:space="preserve">        </w:t>
            </w:r>
            <w:r>
              <w:rPr>
                <w:rFonts w:hint="default" w:ascii="Times New Roman" w:hAnsi="Times New Roman" w:cs="Times New Roman" w:eastAsiaTheme="minorEastAsia"/>
                <w:color w:val="auto"/>
                <w:kern w:val="0"/>
                <w:sz w:val="21"/>
                <w:szCs w:val="21"/>
                <w:highlight w:val="none"/>
              </w:rPr>
              <w:t>自治区</w:t>
            </w:r>
            <w:r>
              <w:rPr>
                <w:rFonts w:hint="default" w:ascii="Times New Roman" w:hAnsi="Times New Roman" w:cs="Times New Roman" w:eastAsiaTheme="minorEastAsia"/>
                <w:color w:val="auto"/>
                <w:kern w:val="0"/>
                <w:sz w:val="21"/>
                <w:szCs w:val="21"/>
                <w:highlight w:val="none"/>
                <w:lang w:eastAsia="zh-CN"/>
              </w:rPr>
              <w:t>财政资金</w:t>
            </w:r>
          </w:p>
        </w:tc>
        <w:tc>
          <w:tcPr>
            <w:tcW w:w="4076"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0"/>
                <w:sz w:val="21"/>
                <w:szCs w:val="21"/>
                <w:highlight w:val="none"/>
                <w:lang w:val="en-US" w:eastAsia="zh-CN"/>
              </w:rPr>
            </w:pPr>
          </w:p>
        </w:tc>
      </w:tr>
      <w:tr>
        <w:tblPrEx>
          <w:tblCellMar>
            <w:top w:w="0" w:type="dxa"/>
            <w:left w:w="108" w:type="dxa"/>
            <w:bottom w:w="0" w:type="dxa"/>
            <w:right w:w="108" w:type="dxa"/>
          </w:tblCellMar>
        </w:tblPrEx>
        <w:trPr>
          <w:trHeight w:val="334" w:hRule="atLeast"/>
          <w:jc w:val="center"/>
        </w:trPr>
        <w:tc>
          <w:tcPr>
            <w:tcW w:w="92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kern w:val="0"/>
                <w:sz w:val="21"/>
                <w:szCs w:val="21"/>
                <w:highlight w:val="none"/>
              </w:rPr>
            </w:pPr>
          </w:p>
        </w:tc>
        <w:tc>
          <w:tcPr>
            <w:tcW w:w="3773"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 xml:space="preserve">                 市县资金</w:t>
            </w:r>
          </w:p>
        </w:tc>
        <w:tc>
          <w:tcPr>
            <w:tcW w:w="4076"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　</w:t>
            </w:r>
          </w:p>
        </w:tc>
      </w:tr>
      <w:tr>
        <w:tblPrEx>
          <w:tblCellMar>
            <w:top w:w="0" w:type="dxa"/>
            <w:left w:w="108" w:type="dxa"/>
            <w:bottom w:w="0" w:type="dxa"/>
            <w:right w:w="108" w:type="dxa"/>
          </w:tblCellMar>
        </w:tblPrEx>
        <w:trPr>
          <w:trHeight w:val="935"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0"/>
                <w:sz w:val="21"/>
                <w:szCs w:val="21"/>
                <w:highlight w:val="none"/>
                <w:lang w:eastAsia="zh-CN"/>
              </w:rPr>
            </w:pPr>
            <w:r>
              <w:rPr>
                <w:rFonts w:hint="default" w:ascii="Times New Roman" w:hAnsi="Times New Roman" w:cs="Times New Roman" w:eastAsiaTheme="minorEastAsia"/>
                <w:color w:val="auto"/>
                <w:kern w:val="0"/>
                <w:sz w:val="21"/>
                <w:szCs w:val="21"/>
                <w:highlight w:val="none"/>
              </w:rPr>
              <w:t>年度</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0"/>
                <w:sz w:val="21"/>
                <w:szCs w:val="21"/>
                <w:highlight w:val="none"/>
                <w:lang w:eastAsia="zh-CN"/>
              </w:rPr>
            </w:pPr>
            <w:r>
              <w:rPr>
                <w:rFonts w:hint="default" w:ascii="Times New Roman" w:hAnsi="Times New Roman" w:cs="Times New Roman" w:eastAsiaTheme="minorEastAsia"/>
                <w:color w:val="auto"/>
                <w:kern w:val="0"/>
                <w:sz w:val="21"/>
                <w:szCs w:val="21"/>
                <w:highlight w:val="none"/>
              </w:rPr>
              <w:t>总体</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目标</w:t>
            </w:r>
          </w:p>
        </w:tc>
        <w:tc>
          <w:tcPr>
            <w:tcW w:w="7849" w:type="dxa"/>
            <w:gridSpan w:val="7"/>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kern w:val="0"/>
                <w:sz w:val="21"/>
                <w:szCs w:val="21"/>
                <w:highlight w:val="none"/>
                <w:lang w:val="en-US" w:eastAsia="zh-CN"/>
              </w:rPr>
            </w:pPr>
            <w:r>
              <w:rPr>
                <w:rFonts w:hint="default" w:ascii="Times New Roman" w:hAnsi="Times New Roman" w:cs="Times New Roman" w:eastAsiaTheme="minorEastAsia"/>
                <w:color w:val="auto"/>
                <w:kern w:val="0"/>
                <w:sz w:val="21"/>
                <w:szCs w:val="21"/>
                <w:highlight w:val="none"/>
                <w:lang w:val="en-US" w:eastAsia="zh-CN"/>
              </w:rPr>
              <w:t>1.强制免疫病种应免疫畜禽的免疫密度达到100%，平均抗体合格率常年保持70%以上；</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kern w:val="0"/>
                <w:sz w:val="21"/>
                <w:szCs w:val="21"/>
                <w:highlight w:val="none"/>
                <w:lang w:val="en-US" w:eastAsia="zh-CN"/>
              </w:rPr>
            </w:pPr>
            <w:r>
              <w:rPr>
                <w:rFonts w:hint="default" w:ascii="Times New Roman" w:hAnsi="Times New Roman" w:cs="Times New Roman" w:eastAsiaTheme="minorEastAsia"/>
                <w:color w:val="auto"/>
                <w:kern w:val="0"/>
                <w:sz w:val="21"/>
                <w:szCs w:val="21"/>
                <w:highlight w:val="none"/>
                <w:lang w:val="en-US" w:eastAsia="zh-CN"/>
              </w:rPr>
              <w:t>2.完成包虫病疫区犬的驱虫数量</w:t>
            </w:r>
            <w:r>
              <w:rPr>
                <w:rFonts w:hint="eastAsia" w:ascii="Times New Roman" w:hAnsi="Times New Roman" w:cs="Times New Roman" w:eastAsiaTheme="minorEastAsia"/>
                <w:color w:val="auto"/>
                <w:kern w:val="0"/>
                <w:sz w:val="21"/>
                <w:szCs w:val="21"/>
                <w:highlight w:val="none"/>
                <w:lang w:val="en-US" w:eastAsia="zh-CN"/>
              </w:rPr>
              <w:t>1.3万</w:t>
            </w:r>
            <w:r>
              <w:rPr>
                <w:rFonts w:hint="default" w:ascii="Times New Roman" w:hAnsi="Times New Roman" w:cs="Times New Roman" w:eastAsiaTheme="minorEastAsia"/>
                <w:color w:val="auto"/>
                <w:kern w:val="0"/>
                <w:sz w:val="21"/>
                <w:szCs w:val="21"/>
                <w:highlight w:val="none"/>
                <w:lang w:val="en-US" w:eastAsia="zh-CN"/>
              </w:rPr>
              <w:t>只；</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kern w:val="0"/>
                <w:sz w:val="21"/>
                <w:szCs w:val="21"/>
                <w:highlight w:val="none"/>
                <w:lang w:val="en-US" w:eastAsia="zh-CN"/>
              </w:rPr>
            </w:pPr>
            <w:r>
              <w:rPr>
                <w:rFonts w:hint="default" w:ascii="Times New Roman" w:hAnsi="Times New Roman" w:cs="Times New Roman" w:eastAsiaTheme="minorEastAsia"/>
                <w:color w:val="auto"/>
                <w:kern w:val="0"/>
                <w:sz w:val="21"/>
                <w:szCs w:val="21"/>
                <w:highlight w:val="none"/>
                <w:lang w:val="en-US" w:eastAsia="zh-CN"/>
              </w:rPr>
              <w:t>3.依法对重大动物疫情处置率和重大动物疫情及时报告率达到100%；</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kern w:val="0"/>
                <w:sz w:val="21"/>
                <w:szCs w:val="21"/>
                <w:highlight w:val="none"/>
                <w:lang w:val="en-US" w:eastAsia="zh-CN"/>
              </w:rPr>
            </w:pPr>
            <w:r>
              <w:rPr>
                <w:rFonts w:hint="default" w:ascii="Times New Roman" w:hAnsi="Times New Roman" w:cs="Times New Roman" w:eastAsiaTheme="minorEastAsia"/>
                <w:color w:val="auto"/>
                <w:kern w:val="0"/>
                <w:sz w:val="21"/>
                <w:szCs w:val="21"/>
                <w:highlight w:val="none"/>
                <w:lang w:val="en-US" w:eastAsia="zh-CN"/>
              </w:rPr>
              <w:t>4.保障强制扑杀措施实施，有效控制和清除传染源。</w:t>
            </w:r>
          </w:p>
        </w:tc>
      </w:tr>
      <w:tr>
        <w:tblPrEx>
          <w:tblCellMar>
            <w:top w:w="0" w:type="dxa"/>
            <w:left w:w="108" w:type="dxa"/>
            <w:bottom w:w="0" w:type="dxa"/>
            <w:right w:w="108" w:type="dxa"/>
          </w:tblCellMar>
        </w:tblPrEx>
        <w:trPr>
          <w:trHeight w:val="512" w:hRule="atLeast"/>
          <w:jc w:val="center"/>
        </w:trPr>
        <w:tc>
          <w:tcPr>
            <w:tcW w:w="92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0"/>
                <w:sz w:val="21"/>
                <w:szCs w:val="21"/>
                <w:highlight w:val="none"/>
                <w:lang w:eastAsia="zh-CN"/>
              </w:rPr>
            </w:pPr>
            <w:r>
              <w:rPr>
                <w:rFonts w:hint="default" w:ascii="Times New Roman" w:hAnsi="Times New Roman" w:cs="Times New Roman" w:eastAsiaTheme="minorEastAsia"/>
                <w:color w:val="auto"/>
                <w:kern w:val="0"/>
                <w:sz w:val="21"/>
                <w:szCs w:val="21"/>
                <w:highlight w:val="none"/>
              </w:rPr>
              <w:t>绩</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0"/>
                <w:sz w:val="21"/>
                <w:szCs w:val="21"/>
                <w:highlight w:val="none"/>
                <w:lang w:eastAsia="zh-CN"/>
              </w:rPr>
            </w:pPr>
            <w:r>
              <w:rPr>
                <w:rFonts w:hint="default" w:ascii="Times New Roman" w:hAnsi="Times New Roman" w:cs="Times New Roman" w:eastAsiaTheme="minorEastAsia"/>
                <w:color w:val="auto"/>
                <w:kern w:val="0"/>
                <w:sz w:val="21"/>
                <w:szCs w:val="21"/>
                <w:highlight w:val="none"/>
              </w:rPr>
              <w:t>效</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0"/>
                <w:sz w:val="21"/>
                <w:szCs w:val="21"/>
                <w:highlight w:val="none"/>
                <w:lang w:eastAsia="zh-CN"/>
              </w:rPr>
            </w:pPr>
            <w:r>
              <w:rPr>
                <w:rFonts w:hint="default" w:ascii="Times New Roman" w:hAnsi="Times New Roman" w:cs="Times New Roman" w:eastAsiaTheme="minorEastAsia"/>
                <w:color w:val="auto"/>
                <w:kern w:val="0"/>
                <w:sz w:val="21"/>
                <w:szCs w:val="21"/>
                <w:highlight w:val="none"/>
              </w:rPr>
              <w:t>指</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标</w:t>
            </w:r>
          </w:p>
        </w:tc>
        <w:tc>
          <w:tcPr>
            <w:tcW w:w="79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一级指标</w:t>
            </w:r>
          </w:p>
        </w:tc>
        <w:tc>
          <w:tcPr>
            <w:tcW w:w="120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二级指标</w:t>
            </w:r>
          </w:p>
        </w:tc>
        <w:tc>
          <w:tcPr>
            <w:tcW w:w="4184"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三级指标</w:t>
            </w:r>
          </w:p>
        </w:tc>
        <w:tc>
          <w:tcPr>
            <w:tcW w:w="166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指标值</w:t>
            </w:r>
          </w:p>
        </w:tc>
      </w:tr>
      <w:tr>
        <w:tblPrEx>
          <w:tblCellMar>
            <w:top w:w="0" w:type="dxa"/>
            <w:left w:w="108" w:type="dxa"/>
            <w:bottom w:w="0" w:type="dxa"/>
            <w:right w:w="108" w:type="dxa"/>
          </w:tblCellMar>
        </w:tblPrEx>
        <w:trPr>
          <w:trHeight w:val="461" w:hRule="atLeast"/>
          <w:jc w:val="center"/>
        </w:trPr>
        <w:tc>
          <w:tcPr>
            <w:tcW w:w="92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kern w:val="0"/>
                <w:sz w:val="21"/>
                <w:szCs w:val="21"/>
                <w:highlight w:val="none"/>
              </w:rPr>
            </w:pPr>
          </w:p>
        </w:tc>
        <w:tc>
          <w:tcPr>
            <w:tcW w:w="798" w:type="dxa"/>
            <w:vMerge w:val="restart"/>
            <w:tcBorders>
              <w:left w:val="single" w:color="auto" w:sz="4" w:space="0"/>
              <w:right w:val="single" w:color="auto" w:sz="4" w:space="0"/>
            </w:tcBorders>
            <w:vAlign w:val="center"/>
          </w:tcPr>
          <w:p>
            <w:pPr>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产出</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sz w:val="21"/>
                <w:szCs w:val="21"/>
                <w:highlight w:val="none"/>
              </w:rPr>
              <w:t>指标</w:t>
            </w:r>
          </w:p>
        </w:tc>
        <w:tc>
          <w:tcPr>
            <w:tcW w:w="1200" w:type="dxa"/>
            <w:gridSpan w:val="2"/>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0"/>
                <w:sz w:val="21"/>
                <w:szCs w:val="21"/>
                <w:highlight w:val="none"/>
                <w:lang w:eastAsia="zh-CN"/>
              </w:rPr>
            </w:pPr>
            <w:r>
              <w:rPr>
                <w:rFonts w:hint="default" w:ascii="Times New Roman" w:hAnsi="Times New Roman" w:cs="Times New Roman" w:eastAsiaTheme="minorEastAsia"/>
                <w:color w:val="auto"/>
                <w:kern w:val="0"/>
                <w:sz w:val="21"/>
                <w:szCs w:val="21"/>
                <w:highlight w:val="none"/>
                <w:lang w:eastAsia="zh-CN"/>
              </w:rPr>
              <w:t>数量指标</w:t>
            </w:r>
          </w:p>
        </w:tc>
        <w:tc>
          <w:tcPr>
            <w:tcW w:w="4184"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强制免疫病种应免疫畜禽的免疫密度</w:t>
            </w:r>
          </w:p>
        </w:tc>
        <w:tc>
          <w:tcPr>
            <w:tcW w:w="166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highlight w:val="none"/>
                <w:lang w:val="en-US" w:eastAsia="zh-CN"/>
              </w:rPr>
            </w:pPr>
            <w:r>
              <w:rPr>
                <w:rFonts w:hint="default" w:ascii="Times New Roman" w:hAnsi="Times New Roman" w:cs="Times New Roman" w:eastAsiaTheme="minorEastAsia"/>
                <w:color w:val="auto"/>
                <w:kern w:val="0"/>
                <w:sz w:val="21"/>
                <w:szCs w:val="21"/>
                <w:highlight w:val="none"/>
                <w:lang w:val="en-US" w:eastAsia="zh-CN"/>
              </w:rPr>
              <w:t>100%</w:t>
            </w:r>
          </w:p>
        </w:tc>
      </w:tr>
      <w:tr>
        <w:tblPrEx>
          <w:tblCellMar>
            <w:top w:w="0" w:type="dxa"/>
            <w:left w:w="108" w:type="dxa"/>
            <w:bottom w:w="0" w:type="dxa"/>
            <w:right w:w="108" w:type="dxa"/>
          </w:tblCellMar>
        </w:tblPrEx>
        <w:trPr>
          <w:trHeight w:val="90" w:hRule="atLeast"/>
          <w:jc w:val="center"/>
        </w:trPr>
        <w:tc>
          <w:tcPr>
            <w:tcW w:w="92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kern w:val="0"/>
                <w:sz w:val="21"/>
                <w:szCs w:val="21"/>
                <w:highlight w:val="none"/>
              </w:rPr>
            </w:pPr>
          </w:p>
        </w:tc>
        <w:tc>
          <w:tcPr>
            <w:tcW w:w="79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highlight w:val="none"/>
              </w:rPr>
            </w:pPr>
          </w:p>
        </w:tc>
        <w:tc>
          <w:tcPr>
            <w:tcW w:w="1200"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0"/>
                <w:sz w:val="21"/>
                <w:szCs w:val="21"/>
                <w:highlight w:val="none"/>
                <w:lang w:eastAsia="zh-CN"/>
              </w:rPr>
            </w:pPr>
          </w:p>
        </w:tc>
        <w:tc>
          <w:tcPr>
            <w:tcW w:w="4184"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kern w:val="0"/>
                <w:sz w:val="21"/>
                <w:szCs w:val="21"/>
                <w:highlight w:val="none"/>
                <w:lang w:val="en-US" w:eastAsia="zh-CN"/>
              </w:rPr>
            </w:pPr>
            <w:r>
              <w:rPr>
                <w:rFonts w:hint="default" w:ascii="Times New Roman" w:hAnsi="Times New Roman" w:cs="Times New Roman" w:eastAsiaTheme="minorEastAsia"/>
                <w:color w:val="auto"/>
                <w:kern w:val="0"/>
                <w:sz w:val="21"/>
                <w:szCs w:val="21"/>
                <w:highlight w:val="none"/>
                <w:lang w:val="en-US" w:eastAsia="zh-CN"/>
              </w:rPr>
              <w:t>强制免疫病种应免畜禽数量</w:t>
            </w:r>
          </w:p>
        </w:tc>
        <w:tc>
          <w:tcPr>
            <w:tcW w:w="166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0"/>
                <w:sz w:val="21"/>
                <w:szCs w:val="21"/>
                <w:highlight w:val="none"/>
                <w:lang w:val="en-US" w:eastAsia="zh-CN"/>
              </w:rPr>
            </w:pPr>
            <w:r>
              <w:rPr>
                <w:rFonts w:hint="default" w:ascii="Times New Roman" w:hAnsi="Times New Roman" w:cs="Times New Roman" w:eastAsiaTheme="minorEastAsia"/>
                <w:color w:val="auto"/>
                <w:kern w:val="0"/>
                <w:sz w:val="21"/>
                <w:szCs w:val="21"/>
                <w:highlight w:val="none"/>
                <w:lang w:val="en-US" w:eastAsia="zh-CN"/>
              </w:rPr>
              <w:t>实际完成畜禽免疫数量</w:t>
            </w:r>
          </w:p>
        </w:tc>
      </w:tr>
      <w:tr>
        <w:tblPrEx>
          <w:tblCellMar>
            <w:top w:w="0" w:type="dxa"/>
            <w:left w:w="108" w:type="dxa"/>
            <w:bottom w:w="0" w:type="dxa"/>
            <w:right w:w="108" w:type="dxa"/>
          </w:tblCellMar>
        </w:tblPrEx>
        <w:trPr>
          <w:trHeight w:val="651" w:hRule="atLeast"/>
          <w:jc w:val="center"/>
        </w:trPr>
        <w:tc>
          <w:tcPr>
            <w:tcW w:w="92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kern w:val="0"/>
                <w:sz w:val="21"/>
                <w:szCs w:val="21"/>
                <w:highlight w:val="none"/>
              </w:rPr>
            </w:pPr>
          </w:p>
        </w:tc>
        <w:tc>
          <w:tcPr>
            <w:tcW w:w="79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0"/>
                <w:sz w:val="21"/>
                <w:szCs w:val="21"/>
                <w:highlight w:val="none"/>
              </w:rPr>
            </w:pPr>
          </w:p>
        </w:tc>
        <w:tc>
          <w:tcPr>
            <w:tcW w:w="1200"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0"/>
                <w:sz w:val="21"/>
                <w:szCs w:val="21"/>
                <w:highlight w:val="none"/>
                <w:lang w:eastAsia="zh-CN"/>
              </w:rPr>
            </w:pPr>
          </w:p>
        </w:tc>
        <w:tc>
          <w:tcPr>
            <w:tcW w:w="4184"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kern w:val="0"/>
                <w:sz w:val="21"/>
                <w:szCs w:val="21"/>
                <w:highlight w:val="none"/>
                <w:lang w:val="en-US" w:eastAsia="zh-CN"/>
              </w:rPr>
            </w:pPr>
            <w:r>
              <w:rPr>
                <w:rFonts w:hint="default" w:ascii="Times New Roman" w:hAnsi="Times New Roman" w:cs="Times New Roman" w:eastAsiaTheme="minorEastAsia"/>
                <w:color w:val="auto"/>
                <w:kern w:val="0"/>
                <w:sz w:val="21"/>
                <w:szCs w:val="21"/>
                <w:highlight w:val="none"/>
                <w:lang w:val="en-US" w:eastAsia="zh-CN"/>
              </w:rPr>
              <w:t>强制扑杀补助数量（头、只</w:t>
            </w:r>
            <w:r>
              <w:rPr>
                <w:rFonts w:hint="eastAsia" w:ascii="Times New Roman" w:hAnsi="Times New Roman" w:cs="Times New Roman"/>
                <w:color w:val="auto"/>
                <w:kern w:val="0"/>
                <w:sz w:val="21"/>
                <w:szCs w:val="21"/>
                <w:highlight w:val="none"/>
                <w:lang w:val="en-US" w:eastAsia="zh-CN"/>
              </w:rPr>
              <w:t>、羽</w:t>
            </w:r>
            <w:r>
              <w:rPr>
                <w:rFonts w:hint="default" w:ascii="Times New Roman" w:hAnsi="Times New Roman" w:cs="Times New Roman" w:eastAsiaTheme="minorEastAsia"/>
                <w:color w:val="auto"/>
                <w:kern w:val="0"/>
                <w:sz w:val="21"/>
                <w:szCs w:val="21"/>
                <w:highlight w:val="none"/>
                <w:lang w:val="en-US" w:eastAsia="zh-CN"/>
              </w:rPr>
              <w:t>）</w:t>
            </w:r>
          </w:p>
        </w:tc>
        <w:tc>
          <w:tcPr>
            <w:tcW w:w="166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0"/>
                <w:sz w:val="21"/>
                <w:szCs w:val="21"/>
                <w:highlight w:val="none"/>
                <w:lang w:val="en-US" w:eastAsia="zh-CN"/>
              </w:rPr>
            </w:pPr>
            <w:r>
              <w:rPr>
                <w:rFonts w:hint="default" w:ascii="Times New Roman" w:hAnsi="Times New Roman" w:cs="Times New Roman" w:eastAsiaTheme="minorEastAsia"/>
                <w:color w:val="auto"/>
                <w:kern w:val="0"/>
                <w:sz w:val="21"/>
                <w:szCs w:val="21"/>
                <w:highlight w:val="none"/>
                <w:lang w:val="en-US" w:eastAsia="zh-CN"/>
              </w:rPr>
              <w:t>按疫情实际发生情况补助</w:t>
            </w:r>
          </w:p>
        </w:tc>
      </w:tr>
      <w:tr>
        <w:tblPrEx>
          <w:tblCellMar>
            <w:top w:w="0" w:type="dxa"/>
            <w:left w:w="108" w:type="dxa"/>
            <w:bottom w:w="0" w:type="dxa"/>
            <w:right w:w="108" w:type="dxa"/>
          </w:tblCellMar>
        </w:tblPrEx>
        <w:trPr>
          <w:trHeight w:val="422" w:hRule="atLeast"/>
          <w:jc w:val="center"/>
        </w:trPr>
        <w:tc>
          <w:tcPr>
            <w:tcW w:w="92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kern w:val="0"/>
                <w:sz w:val="21"/>
                <w:szCs w:val="21"/>
                <w:highlight w:val="none"/>
              </w:rPr>
            </w:pPr>
          </w:p>
        </w:tc>
        <w:tc>
          <w:tcPr>
            <w:tcW w:w="79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0"/>
                <w:sz w:val="21"/>
                <w:szCs w:val="21"/>
                <w:highlight w:val="none"/>
              </w:rPr>
            </w:pPr>
          </w:p>
        </w:tc>
        <w:tc>
          <w:tcPr>
            <w:tcW w:w="1200" w:type="dxa"/>
            <w:gridSpan w:val="2"/>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0"/>
                <w:sz w:val="21"/>
                <w:szCs w:val="21"/>
                <w:highlight w:val="none"/>
                <w:lang w:eastAsia="zh-CN"/>
              </w:rPr>
            </w:pPr>
          </w:p>
        </w:tc>
        <w:tc>
          <w:tcPr>
            <w:tcW w:w="4184"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kern w:val="0"/>
                <w:sz w:val="21"/>
                <w:szCs w:val="21"/>
                <w:highlight w:val="none"/>
                <w:lang w:val="en-US" w:eastAsia="zh-CN"/>
              </w:rPr>
            </w:pPr>
            <w:r>
              <w:rPr>
                <w:rFonts w:hint="default" w:ascii="Times New Roman" w:hAnsi="Times New Roman" w:cs="Times New Roman" w:eastAsiaTheme="minorEastAsia"/>
                <w:color w:val="auto"/>
                <w:kern w:val="0"/>
                <w:sz w:val="21"/>
                <w:szCs w:val="21"/>
                <w:highlight w:val="none"/>
                <w:lang w:val="en-US" w:eastAsia="zh-CN"/>
              </w:rPr>
              <w:t>完成包虫病疫区犬的驱虫数量（万只）</w:t>
            </w:r>
          </w:p>
        </w:tc>
        <w:tc>
          <w:tcPr>
            <w:tcW w:w="166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1.3</w:t>
            </w:r>
          </w:p>
        </w:tc>
      </w:tr>
      <w:tr>
        <w:tblPrEx>
          <w:tblCellMar>
            <w:top w:w="0" w:type="dxa"/>
            <w:left w:w="108" w:type="dxa"/>
            <w:bottom w:w="0" w:type="dxa"/>
            <w:right w:w="108" w:type="dxa"/>
          </w:tblCellMar>
        </w:tblPrEx>
        <w:trPr>
          <w:trHeight w:val="441" w:hRule="atLeast"/>
          <w:jc w:val="center"/>
        </w:trPr>
        <w:tc>
          <w:tcPr>
            <w:tcW w:w="92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kern w:val="0"/>
                <w:sz w:val="21"/>
                <w:szCs w:val="21"/>
                <w:highlight w:val="none"/>
              </w:rPr>
            </w:pPr>
          </w:p>
        </w:tc>
        <w:tc>
          <w:tcPr>
            <w:tcW w:w="79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kern w:val="0"/>
                <w:sz w:val="21"/>
                <w:szCs w:val="21"/>
                <w:highlight w:val="none"/>
              </w:rPr>
            </w:pPr>
          </w:p>
        </w:tc>
        <w:tc>
          <w:tcPr>
            <w:tcW w:w="1200"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质量指标</w:t>
            </w:r>
          </w:p>
        </w:tc>
        <w:tc>
          <w:tcPr>
            <w:tcW w:w="418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kern w:val="0"/>
                <w:sz w:val="21"/>
                <w:szCs w:val="21"/>
                <w:highlight w:val="none"/>
                <w:lang w:val="en-US" w:eastAsia="zh-CN"/>
              </w:rPr>
            </w:pPr>
            <w:r>
              <w:rPr>
                <w:rFonts w:hint="default" w:ascii="Times New Roman" w:hAnsi="Times New Roman" w:cs="Times New Roman" w:eastAsiaTheme="minorEastAsia"/>
                <w:color w:val="auto"/>
                <w:kern w:val="0"/>
                <w:sz w:val="21"/>
                <w:szCs w:val="21"/>
                <w:highlight w:val="none"/>
                <w:lang w:val="en-US" w:eastAsia="zh-CN"/>
              </w:rPr>
              <w:t>依法对重大动物疫情处置率</w:t>
            </w:r>
          </w:p>
        </w:tc>
        <w:tc>
          <w:tcPr>
            <w:tcW w:w="166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0"/>
                <w:sz w:val="21"/>
                <w:szCs w:val="21"/>
                <w:highlight w:val="none"/>
                <w:lang w:val="en-US" w:eastAsia="zh-CN"/>
              </w:rPr>
            </w:pPr>
            <w:r>
              <w:rPr>
                <w:rFonts w:hint="default" w:ascii="Times New Roman" w:hAnsi="Times New Roman" w:cs="Times New Roman" w:eastAsiaTheme="minorEastAsia"/>
                <w:color w:val="auto"/>
                <w:kern w:val="0"/>
                <w:sz w:val="21"/>
                <w:szCs w:val="21"/>
                <w:highlight w:val="none"/>
                <w:lang w:val="en-US" w:eastAsia="zh-CN"/>
              </w:rPr>
              <w:t>100%</w:t>
            </w:r>
          </w:p>
        </w:tc>
      </w:tr>
      <w:tr>
        <w:tblPrEx>
          <w:tblCellMar>
            <w:top w:w="0" w:type="dxa"/>
            <w:left w:w="108" w:type="dxa"/>
            <w:bottom w:w="0" w:type="dxa"/>
            <w:right w:w="108" w:type="dxa"/>
          </w:tblCellMar>
        </w:tblPrEx>
        <w:trPr>
          <w:trHeight w:val="421" w:hRule="atLeast"/>
          <w:jc w:val="center"/>
        </w:trPr>
        <w:tc>
          <w:tcPr>
            <w:tcW w:w="92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kern w:val="0"/>
                <w:sz w:val="21"/>
                <w:szCs w:val="21"/>
                <w:highlight w:val="none"/>
              </w:rPr>
            </w:pPr>
          </w:p>
        </w:tc>
        <w:tc>
          <w:tcPr>
            <w:tcW w:w="79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kern w:val="0"/>
                <w:sz w:val="21"/>
                <w:szCs w:val="21"/>
                <w:highlight w:val="none"/>
              </w:rPr>
            </w:pPr>
          </w:p>
        </w:tc>
        <w:tc>
          <w:tcPr>
            <w:tcW w:w="1200"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0"/>
                <w:sz w:val="21"/>
                <w:szCs w:val="21"/>
                <w:highlight w:val="none"/>
              </w:rPr>
            </w:pPr>
          </w:p>
        </w:tc>
        <w:tc>
          <w:tcPr>
            <w:tcW w:w="418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kern w:val="0"/>
                <w:sz w:val="21"/>
                <w:szCs w:val="21"/>
                <w:highlight w:val="none"/>
                <w:lang w:val="en-US" w:eastAsia="zh-CN"/>
              </w:rPr>
            </w:pPr>
            <w:r>
              <w:rPr>
                <w:rFonts w:hint="default" w:ascii="Times New Roman" w:hAnsi="Times New Roman" w:cs="Times New Roman" w:eastAsiaTheme="minorEastAsia"/>
                <w:color w:val="auto"/>
                <w:kern w:val="0"/>
                <w:sz w:val="21"/>
                <w:szCs w:val="21"/>
                <w:highlight w:val="none"/>
                <w:lang w:val="en-US" w:eastAsia="zh-CN"/>
              </w:rPr>
              <w:t>免疫质量和免疫效果（除布病外其他病种的平均免疫抗体合格率）</w:t>
            </w:r>
          </w:p>
        </w:tc>
        <w:tc>
          <w:tcPr>
            <w:tcW w:w="166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0"/>
                <w:sz w:val="21"/>
                <w:szCs w:val="21"/>
                <w:highlight w:val="none"/>
                <w:lang w:val="en-US" w:eastAsia="zh-CN"/>
              </w:rPr>
            </w:pPr>
            <w:r>
              <w:rPr>
                <w:rFonts w:hint="default" w:ascii="Arial" w:hAnsi="Arial" w:cs="Arial" w:eastAsiaTheme="minorEastAsia"/>
                <w:color w:val="auto"/>
                <w:kern w:val="0"/>
                <w:sz w:val="21"/>
                <w:szCs w:val="21"/>
                <w:highlight w:val="none"/>
                <w:lang w:val="en-US" w:eastAsia="zh-CN"/>
              </w:rPr>
              <w:t>≥</w:t>
            </w:r>
            <w:r>
              <w:rPr>
                <w:rFonts w:hint="default" w:ascii="Times New Roman" w:hAnsi="Times New Roman" w:cs="Times New Roman" w:eastAsiaTheme="minorEastAsia"/>
                <w:color w:val="auto"/>
                <w:kern w:val="0"/>
                <w:sz w:val="21"/>
                <w:szCs w:val="21"/>
                <w:highlight w:val="none"/>
                <w:lang w:val="en-US" w:eastAsia="zh-CN"/>
              </w:rPr>
              <w:t>70%</w:t>
            </w:r>
          </w:p>
        </w:tc>
      </w:tr>
      <w:tr>
        <w:tblPrEx>
          <w:tblCellMar>
            <w:top w:w="0" w:type="dxa"/>
            <w:left w:w="108" w:type="dxa"/>
            <w:bottom w:w="0" w:type="dxa"/>
            <w:right w:w="108" w:type="dxa"/>
          </w:tblCellMar>
        </w:tblPrEx>
        <w:trPr>
          <w:trHeight w:val="434" w:hRule="atLeast"/>
          <w:jc w:val="center"/>
        </w:trPr>
        <w:tc>
          <w:tcPr>
            <w:tcW w:w="92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kern w:val="0"/>
                <w:sz w:val="21"/>
                <w:szCs w:val="21"/>
                <w:highlight w:val="none"/>
              </w:rPr>
            </w:pPr>
          </w:p>
        </w:tc>
        <w:tc>
          <w:tcPr>
            <w:tcW w:w="79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kern w:val="0"/>
                <w:sz w:val="21"/>
                <w:szCs w:val="21"/>
                <w:highlight w:val="none"/>
              </w:rPr>
            </w:pPr>
          </w:p>
        </w:tc>
        <w:tc>
          <w:tcPr>
            <w:tcW w:w="1200" w:type="dxa"/>
            <w:gridSpan w:val="2"/>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时效指标</w:t>
            </w:r>
          </w:p>
        </w:tc>
        <w:tc>
          <w:tcPr>
            <w:tcW w:w="418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kern w:val="0"/>
                <w:sz w:val="21"/>
                <w:szCs w:val="21"/>
                <w:highlight w:val="none"/>
                <w:lang w:val="en-US" w:eastAsia="zh-CN"/>
              </w:rPr>
            </w:pPr>
            <w:r>
              <w:rPr>
                <w:rFonts w:hint="default" w:ascii="Times New Roman" w:hAnsi="Times New Roman" w:cs="Times New Roman" w:eastAsiaTheme="minorEastAsia"/>
                <w:color w:val="auto"/>
                <w:kern w:val="0"/>
                <w:sz w:val="21"/>
                <w:szCs w:val="21"/>
                <w:highlight w:val="none"/>
                <w:lang w:val="en-US" w:eastAsia="zh-CN"/>
              </w:rPr>
              <w:t>重大动物疫情及时报告率</w:t>
            </w:r>
          </w:p>
        </w:tc>
        <w:tc>
          <w:tcPr>
            <w:tcW w:w="166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0"/>
                <w:sz w:val="21"/>
                <w:szCs w:val="21"/>
                <w:highlight w:val="none"/>
                <w:lang w:val="en-US" w:eastAsia="zh-CN"/>
              </w:rPr>
            </w:pPr>
            <w:r>
              <w:rPr>
                <w:rFonts w:hint="default" w:ascii="Times New Roman" w:hAnsi="Times New Roman" w:cs="Times New Roman" w:eastAsiaTheme="minorEastAsia"/>
                <w:color w:val="auto"/>
                <w:kern w:val="0"/>
                <w:sz w:val="21"/>
                <w:szCs w:val="21"/>
                <w:highlight w:val="none"/>
                <w:lang w:val="en-US" w:eastAsia="zh-CN"/>
              </w:rPr>
              <w:t>100%</w:t>
            </w:r>
          </w:p>
        </w:tc>
      </w:tr>
      <w:tr>
        <w:tblPrEx>
          <w:tblCellMar>
            <w:top w:w="0" w:type="dxa"/>
            <w:left w:w="108" w:type="dxa"/>
            <w:bottom w:w="0" w:type="dxa"/>
            <w:right w:w="108" w:type="dxa"/>
          </w:tblCellMar>
        </w:tblPrEx>
        <w:trPr>
          <w:trHeight w:val="453" w:hRule="atLeast"/>
          <w:jc w:val="center"/>
        </w:trPr>
        <w:tc>
          <w:tcPr>
            <w:tcW w:w="92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kern w:val="0"/>
                <w:sz w:val="21"/>
                <w:szCs w:val="21"/>
                <w:highlight w:val="none"/>
              </w:rPr>
            </w:pPr>
          </w:p>
        </w:tc>
        <w:tc>
          <w:tcPr>
            <w:tcW w:w="79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kern w:val="0"/>
                <w:sz w:val="21"/>
                <w:szCs w:val="21"/>
                <w:highlight w:val="none"/>
              </w:rPr>
            </w:pPr>
          </w:p>
        </w:tc>
        <w:tc>
          <w:tcPr>
            <w:tcW w:w="120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lang w:val="en-US" w:eastAsia="zh-CN"/>
              </w:rPr>
              <w:t>成本指标</w:t>
            </w:r>
          </w:p>
        </w:tc>
        <w:tc>
          <w:tcPr>
            <w:tcW w:w="4184"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kern w:val="0"/>
                <w:sz w:val="21"/>
                <w:szCs w:val="21"/>
                <w:highlight w:val="none"/>
                <w:lang w:val="en-US" w:eastAsia="zh-CN"/>
              </w:rPr>
            </w:pPr>
            <w:r>
              <w:rPr>
                <w:rFonts w:hint="default" w:ascii="Times New Roman" w:hAnsi="Times New Roman" w:cs="Times New Roman" w:eastAsiaTheme="minorEastAsia"/>
                <w:color w:val="auto"/>
                <w:kern w:val="0"/>
                <w:sz w:val="21"/>
                <w:szCs w:val="21"/>
                <w:highlight w:val="none"/>
                <w:lang w:val="en-US" w:eastAsia="zh-CN"/>
              </w:rPr>
              <w:t xml:space="preserve">强制免疫疫苗及先打后补、驱虫药经费 </w:t>
            </w:r>
          </w:p>
        </w:tc>
        <w:tc>
          <w:tcPr>
            <w:tcW w:w="166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78</w:t>
            </w:r>
            <w:r>
              <w:rPr>
                <w:rFonts w:hint="default" w:ascii="Times New Roman" w:hAnsi="Times New Roman" w:cs="Times New Roman" w:eastAsiaTheme="minorEastAsia"/>
                <w:color w:val="auto"/>
                <w:kern w:val="0"/>
                <w:sz w:val="21"/>
                <w:szCs w:val="21"/>
                <w:highlight w:val="none"/>
                <w:lang w:val="en-US" w:eastAsia="zh-CN"/>
              </w:rPr>
              <w:t>万元</w:t>
            </w:r>
          </w:p>
        </w:tc>
      </w:tr>
      <w:tr>
        <w:tblPrEx>
          <w:tblCellMar>
            <w:top w:w="0" w:type="dxa"/>
            <w:left w:w="108" w:type="dxa"/>
            <w:bottom w:w="0" w:type="dxa"/>
            <w:right w:w="108" w:type="dxa"/>
          </w:tblCellMar>
        </w:tblPrEx>
        <w:trPr>
          <w:trHeight w:val="623" w:hRule="atLeast"/>
          <w:jc w:val="center"/>
        </w:trPr>
        <w:tc>
          <w:tcPr>
            <w:tcW w:w="92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kern w:val="0"/>
                <w:sz w:val="21"/>
                <w:szCs w:val="21"/>
                <w:highlight w:val="none"/>
              </w:rPr>
            </w:pPr>
          </w:p>
        </w:tc>
        <w:tc>
          <w:tcPr>
            <w:tcW w:w="798"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效益指标</w:t>
            </w:r>
          </w:p>
        </w:tc>
        <w:tc>
          <w:tcPr>
            <w:tcW w:w="120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kern w:val="0"/>
                <w:sz w:val="21"/>
                <w:szCs w:val="21"/>
                <w:highlight w:val="none"/>
                <w:lang w:eastAsia="zh-CN"/>
              </w:rPr>
            </w:pPr>
            <w:r>
              <w:rPr>
                <w:rFonts w:hint="default" w:ascii="Times New Roman" w:hAnsi="Times New Roman" w:cs="Times New Roman" w:eastAsiaTheme="minorEastAsia"/>
                <w:color w:val="auto"/>
                <w:kern w:val="0"/>
                <w:sz w:val="21"/>
                <w:szCs w:val="21"/>
                <w:highlight w:val="none"/>
              </w:rPr>
              <w:t>社会效益</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指标</w:t>
            </w:r>
          </w:p>
        </w:tc>
        <w:tc>
          <w:tcPr>
            <w:tcW w:w="418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口蹄疫、高致病性禽流感、布病、包虫病等优先防治病种防治工作</w:t>
            </w:r>
          </w:p>
        </w:tc>
        <w:tc>
          <w:tcPr>
            <w:tcW w:w="1667"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全面完成</w:t>
            </w:r>
          </w:p>
        </w:tc>
      </w:tr>
      <w:tr>
        <w:tblPrEx>
          <w:tblCellMar>
            <w:top w:w="0" w:type="dxa"/>
            <w:left w:w="108" w:type="dxa"/>
            <w:bottom w:w="0" w:type="dxa"/>
            <w:right w:w="108" w:type="dxa"/>
          </w:tblCellMar>
        </w:tblPrEx>
        <w:trPr>
          <w:trHeight w:val="646" w:hRule="atLeast"/>
          <w:jc w:val="center"/>
        </w:trPr>
        <w:tc>
          <w:tcPr>
            <w:tcW w:w="92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kern w:val="0"/>
                <w:sz w:val="21"/>
                <w:szCs w:val="21"/>
                <w:highlight w:val="none"/>
              </w:rPr>
            </w:pPr>
          </w:p>
        </w:tc>
        <w:tc>
          <w:tcPr>
            <w:tcW w:w="798"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kern w:val="0"/>
                <w:sz w:val="21"/>
                <w:szCs w:val="21"/>
                <w:highlight w:val="none"/>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0"/>
                <w:sz w:val="21"/>
                <w:szCs w:val="21"/>
                <w:highlight w:val="none"/>
                <w:lang w:eastAsia="zh-CN"/>
              </w:rPr>
            </w:pPr>
            <w:r>
              <w:rPr>
                <w:rFonts w:hint="default" w:ascii="Times New Roman" w:hAnsi="Times New Roman" w:cs="Times New Roman" w:eastAsiaTheme="minorEastAsia"/>
                <w:color w:val="auto"/>
                <w:kern w:val="0"/>
                <w:sz w:val="21"/>
                <w:szCs w:val="21"/>
                <w:highlight w:val="none"/>
                <w:lang w:eastAsia="zh-CN"/>
              </w:rPr>
              <w:t>生态效益抬标</w:t>
            </w:r>
          </w:p>
        </w:tc>
        <w:tc>
          <w:tcPr>
            <w:tcW w:w="418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kern w:val="0"/>
                <w:sz w:val="21"/>
                <w:szCs w:val="21"/>
                <w:highlight w:val="none"/>
                <w:lang w:val="en-US" w:eastAsia="zh-CN"/>
              </w:rPr>
              <w:t>大规模随意抛弃病死猪事件发生率</w:t>
            </w:r>
          </w:p>
        </w:tc>
        <w:tc>
          <w:tcPr>
            <w:tcW w:w="1667"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kern w:val="0"/>
                <w:sz w:val="21"/>
                <w:szCs w:val="21"/>
                <w:highlight w:val="none"/>
                <w:lang w:val="en-US" w:eastAsia="zh-CN"/>
              </w:rPr>
            </w:pPr>
            <w:r>
              <w:rPr>
                <w:rFonts w:hint="eastAsia" w:ascii="Times New Roman" w:hAnsi="Times New Roman" w:cs="Times New Roman" w:eastAsiaTheme="minorEastAsia"/>
                <w:color w:val="auto"/>
                <w:kern w:val="0"/>
                <w:sz w:val="21"/>
                <w:szCs w:val="21"/>
                <w:highlight w:val="none"/>
                <w:lang w:val="en-US" w:eastAsia="zh-CN"/>
              </w:rPr>
              <w:t>无</w:t>
            </w:r>
          </w:p>
        </w:tc>
      </w:tr>
      <w:tr>
        <w:tblPrEx>
          <w:tblCellMar>
            <w:top w:w="0" w:type="dxa"/>
            <w:left w:w="108" w:type="dxa"/>
            <w:bottom w:w="0" w:type="dxa"/>
            <w:right w:w="108" w:type="dxa"/>
          </w:tblCellMar>
        </w:tblPrEx>
        <w:trPr>
          <w:trHeight w:val="757" w:hRule="atLeast"/>
          <w:jc w:val="center"/>
        </w:trPr>
        <w:tc>
          <w:tcPr>
            <w:tcW w:w="92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kern w:val="0"/>
                <w:sz w:val="21"/>
                <w:szCs w:val="21"/>
                <w:highlight w:val="none"/>
              </w:rPr>
            </w:pPr>
          </w:p>
        </w:tc>
        <w:tc>
          <w:tcPr>
            <w:tcW w:w="79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满意度指标</w:t>
            </w:r>
          </w:p>
        </w:tc>
        <w:tc>
          <w:tcPr>
            <w:tcW w:w="120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0"/>
                <w:sz w:val="21"/>
                <w:szCs w:val="21"/>
                <w:highlight w:val="none"/>
                <w:lang w:eastAsia="zh-CN"/>
              </w:rPr>
            </w:pPr>
            <w:r>
              <w:rPr>
                <w:rFonts w:hint="default" w:ascii="Times New Roman" w:hAnsi="Times New Roman" w:cs="Times New Roman" w:eastAsiaTheme="minorEastAsia"/>
                <w:color w:val="auto"/>
                <w:kern w:val="0"/>
                <w:sz w:val="21"/>
                <w:szCs w:val="21"/>
                <w:highlight w:val="none"/>
              </w:rPr>
              <w:t>服务对象</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满意度指标</w:t>
            </w:r>
          </w:p>
        </w:tc>
        <w:tc>
          <w:tcPr>
            <w:tcW w:w="4184"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kern w:val="0"/>
                <w:sz w:val="21"/>
                <w:szCs w:val="21"/>
                <w:highlight w:val="none"/>
                <w:lang w:eastAsia="zh-CN"/>
              </w:rPr>
            </w:pPr>
            <w:r>
              <w:rPr>
                <w:rFonts w:hint="default" w:ascii="Times New Roman" w:hAnsi="Times New Roman" w:cs="Times New Roman" w:eastAsiaTheme="minorEastAsia"/>
                <w:color w:val="auto"/>
                <w:kern w:val="0"/>
                <w:sz w:val="21"/>
                <w:szCs w:val="21"/>
                <w:highlight w:val="none"/>
                <w:lang w:eastAsia="zh-CN"/>
              </w:rPr>
              <w:t>补助对象对政策实施的满意度</w:t>
            </w:r>
          </w:p>
        </w:tc>
        <w:tc>
          <w:tcPr>
            <w:tcW w:w="166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0"/>
                <w:sz w:val="21"/>
                <w:szCs w:val="21"/>
                <w:highlight w:val="none"/>
                <w:lang w:val="en-US" w:eastAsia="zh-CN"/>
              </w:rPr>
            </w:pPr>
            <w:r>
              <w:rPr>
                <w:rFonts w:hint="default" w:ascii="Arial" w:hAnsi="Arial" w:cs="Arial" w:eastAsiaTheme="minorEastAsia"/>
                <w:color w:val="auto"/>
                <w:kern w:val="0"/>
                <w:sz w:val="21"/>
                <w:szCs w:val="21"/>
                <w:highlight w:val="none"/>
                <w:lang w:val="en-US" w:eastAsia="zh-CN"/>
              </w:rPr>
              <w:t>≥</w:t>
            </w:r>
            <w:r>
              <w:rPr>
                <w:rFonts w:hint="eastAsia" w:ascii="Times New Roman" w:hAnsi="Times New Roman" w:cs="Times New Roman" w:eastAsiaTheme="minorEastAsia"/>
                <w:color w:val="auto"/>
                <w:kern w:val="0"/>
                <w:sz w:val="21"/>
                <w:szCs w:val="21"/>
                <w:highlight w:val="none"/>
                <w:lang w:val="en-US" w:eastAsia="zh-CN"/>
              </w:rPr>
              <w:t>90%</w:t>
            </w:r>
          </w:p>
        </w:tc>
      </w:tr>
    </w:tbl>
    <w:p/>
    <w:sectPr>
      <w:pgSz w:w="11906" w:h="16838"/>
      <w:pgMar w:top="2154" w:right="1474" w:bottom="209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Cambria">
    <w:altName w:val="FreeSerif"/>
    <w:panose1 w:val="02040503050406030204"/>
    <w:charset w:val="00"/>
    <w:family w:val="roman"/>
    <w:pitch w:val="default"/>
    <w:sig w:usb0="00000000" w:usb1="00000000" w:usb2="00000000" w:usb3="00000000" w:csb0="2000019F" w:csb1="00000000"/>
  </w:font>
  <w:font w:name="方正仿宋简体">
    <w:altName w:val="方正仿宋_GBK"/>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FreeSerif">
    <w:panose1 w:val="02020603050405020304"/>
    <w:charset w:val="00"/>
    <w:family w:val="auto"/>
    <w:pitch w:val="default"/>
    <w:sig w:usb0="E59FAFFF" w:usb1="C200FDFF" w:usb2="43501B29" w:usb3="04000043" w:csb0="600101FF" w:csb1="F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矩形 5"/>
              <wp:cNvGraphicFramePr/>
              <a:graphic xmlns:a="http://schemas.openxmlformats.org/drawingml/2006/main">
                <a:graphicData uri="http://schemas.microsoft.com/office/word/2010/wordprocessingShape">
                  <wps:wsp>
                    <wps:cNvSpPr/>
                    <wps:spPr>
                      <a:xfrm>
                        <a:off x="0" y="0"/>
                        <a:ext cx="1828800" cy="1828800"/>
                      </a:xfrm>
                      <a:prstGeom prst="rect">
                        <a:avLst/>
                      </a:prstGeom>
                      <a:noFill/>
                      <a:ln w="15875">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- 1 -</w:t>
                          </w:r>
                          <w:r>
                            <w:rPr>
                              <w:rFonts w:hint="eastAsia"/>
                              <w:sz w:val="18"/>
                              <w:lang w:eastAsia="zh-CN"/>
                            </w:rPr>
                            <w:fldChar w:fldCharType="end"/>
                          </w:r>
                        </w:p>
                      </w:txbxContent>
                    </wps:txbx>
                    <wps:bodyPr wrap="none" lIns="0" tIns="0" rIns="0" bIns="0" upright="false">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Ci5023RAAAABQEAAA8AAABkcnMvZG93bnJldi54bWxNj09LxEAMxe+C32GI&#10;4M2dbgtSa6d7WPAiCLquntNOtlPtZEpn9o9+eqMIegl5vPDye/Xq5Ed1oDkOgQ0sFxko4i7YgXsD&#10;2+e7qxJUTMgWx8Bk4IMirJrzsxorG478RIdN6pWEcKzQgEtpqrSOnSOPcREmYvF2YfaYRM69tjMe&#10;JdyPOs+ya+1xYPngcKK1o+59s/cGCmwf3S4vyoJv8OX+4fVNr7efxlxeLLNbUIlO6e8YvvEFHRph&#10;asOebVSjASmSfqZ4eVmKbH8X3dT6P33zBVBLAwQUAAAACACHTuJAKp+T8rABAABMAwAADgAAAGRy&#10;cy9lMm9Eb2MueG1srVNdauMwEH5f6B2E3hs7gWyNiVMKpaVQtoV2D6DIUizQHyMldk6zsG89RI9T&#10;eo2OFDstu2/LvsgzmtE33zczXl0ORpO9gKCcbeh8VlIiLHetstuG/ny+Oa8oCZHZlmlnRUMPItDL&#10;9dm3Ve9rsXCd060AgiA21L1vaBejr4si8E4YFmbOC4tB6cCwiC5sixZYj+hGF4uy/F70DloPjosQ&#10;8Pb6GKTrjC+l4PFByiAi0Q1FbjGfkM9NOov1itVbYL5TfKTB/oGFYcpi0RPUNYuM7ED9BWUUBxec&#10;jDPuTOGkVFxkDahmXv6h5qljXmQt2JzgT20K/w+W/9g/AlFtQ5eUWGZwRO+/Xt5ef5Nl6k3vQ40p&#10;T/4RRi+gmYQOEkz6ogQy5H4eTv0UQyQcL+fVoqpKbDvH2OQgTvH53EOIt8IZkoyGAg4s95Ht70M8&#10;pk4pqZp1N0prvGe1tqRH1GV1scwvTiFE1xaLJO5HtsmKw2YYJWxce0DRPU69oRbXkhJ9Z7GpaUEm&#10;AyZjMxk7D2rbIUnJdEhjYQh/tYtIKTNNVY7QY3EcWdY6rlfaia9+zvr8CdY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KLnTbdEAAAAFAQAADwAAAAAAAAABACAAAAA4AAAAZHJzL2Rvd25yZXYueG1s&#10;UEsBAhQAFAAAAAgAh07iQCqfk/KwAQAATAMAAA4AAAAAAAAAAQAgAAAANgEAAGRycy9lMm9Eb2Mu&#10;eG1sUEsFBgAAAAAGAAYAWQEAAFgFAAAAAA==&#10;">
              <v:fill on="f" focussize="0,0"/>
              <v:stroke on="f" weight="1.2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- 1 -</w:t>
                    </w:r>
                    <w:r>
                      <w:rPr>
                        <w:rFonts w:hint="eastAsia"/>
                        <w:sz w:val="18"/>
                        <w:lang w:eastAsia="zh-CN"/>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0BA6BE"/>
    <w:multiLevelType w:val="singleLevel"/>
    <w:tmpl w:val="840BA6BE"/>
    <w:lvl w:ilvl="0" w:tentative="0">
      <w:start w:val="2"/>
      <w:numFmt w:val="chineseCounting"/>
      <w:suff w:val="nothing"/>
      <w:lvlText w:val="%1、"/>
      <w:lvlJc w:val="left"/>
      <w:rPr>
        <w:rFonts w:hint="eastAsia"/>
      </w:rPr>
    </w:lvl>
  </w:abstractNum>
  <w:abstractNum w:abstractNumId="1">
    <w:nsid w:val="0000000B"/>
    <w:multiLevelType w:val="singleLevel"/>
    <w:tmpl w:val="0000000B"/>
    <w:lvl w:ilvl="0" w:tentative="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1ODVkYTgwMTRlM2YwZTFlNWVmMzcyY2Q4YTc5ZWMifQ=="/>
  </w:docVars>
  <w:rsids>
    <w:rsidRoot w:val="05B80946"/>
    <w:rsid w:val="030D40BE"/>
    <w:rsid w:val="03D14F77"/>
    <w:rsid w:val="05B80946"/>
    <w:rsid w:val="077A3D9F"/>
    <w:rsid w:val="07A41D01"/>
    <w:rsid w:val="092A5912"/>
    <w:rsid w:val="094B5A00"/>
    <w:rsid w:val="0A803B24"/>
    <w:rsid w:val="0C4B1988"/>
    <w:rsid w:val="11096801"/>
    <w:rsid w:val="13767A5D"/>
    <w:rsid w:val="16001982"/>
    <w:rsid w:val="1BA61E2C"/>
    <w:rsid w:val="1F3668D0"/>
    <w:rsid w:val="22977A66"/>
    <w:rsid w:val="34142C4F"/>
    <w:rsid w:val="39210CF1"/>
    <w:rsid w:val="39A802E0"/>
    <w:rsid w:val="4817698E"/>
    <w:rsid w:val="488C5052"/>
    <w:rsid w:val="49303C2F"/>
    <w:rsid w:val="4C1D6C6B"/>
    <w:rsid w:val="4CA27513"/>
    <w:rsid w:val="58353010"/>
    <w:rsid w:val="5B0373F5"/>
    <w:rsid w:val="5C6B439C"/>
    <w:rsid w:val="622F172D"/>
    <w:rsid w:val="6295247F"/>
    <w:rsid w:val="6582273C"/>
    <w:rsid w:val="6A035618"/>
    <w:rsid w:val="6AA67D9D"/>
    <w:rsid w:val="703F10F5"/>
    <w:rsid w:val="74066E9C"/>
    <w:rsid w:val="74597C2E"/>
    <w:rsid w:val="75AA3A49"/>
    <w:rsid w:val="75AC437A"/>
    <w:rsid w:val="7617626B"/>
    <w:rsid w:val="D5CFD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rPr>
  </w:style>
  <w:style w:type="paragraph" w:styleId="2">
    <w:name w:val="heading 1"/>
    <w:basedOn w:val="1"/>
    <w:next w:val="1"/>
    <w:qFormat/>
    <w:uiPriority w:val="0"/>
    <w:pPr>
      <w:outlineLvl w:val="0"/>
    </w:pPr>
    <w:rPr>
      <w:rFonts w:ascii="方正小标宋_GBK" w:hAnsi="方正小标宋_GBK" w:eastAsia="方正小标宋_GBK"/>
      <w:i/>
      <w:sz w:val="44"/>
      <w:szCs w:val="44"/>
    </w:rPr>
  </w:style>
  <w:style w:type="paragraph" w:styleId="3">
    <w:name w:val="heading 2"/>
    <w:basedOn w:val="1"/>
    <w:next w:val="1"/>
    <w:unhideWhenUsed/>
    <w:qFormat/>
    <w:uiPriority w:val="0"/>
    <w:pPr>
      <w:keepNext/>
      <w:keepLines/>
      <w:spacing w:before="260" w:after="260" w:line="416" w:lineRule="auto"/>
      <w:outlineLvl w:val="1"/>
    </w:pPr>
    <w:rPr>
      <w:rFonts w:ascii="Cambria" w:hAnsi="Cambria" w:eastAsia="宋体"/>
      <w:b/>
      <w:bCs/>
      <w:sz w:val="32"/>
      <w:szCs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rPr>
      <w:rFonts w:ascii="仿宋_GB2312" w:hAnsi="仿宋_GB2312" w:eastAsia="仿宋_GB2312" w:cs="仿宋_GB2312"/>
      <w:sz w:val="32"/>
      <w:szCs w:val="32"/>
      <w:lang w:val="zh-CN" w:eastAsia="zh-CN"/>
    </w:rPr>
  </w:style>
  <w:style w:type="paragraph" w:styleId="6">
    <w:name w:val="footer"/>
    <w:basedOn w:val="1"/>
    <w:next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customStyle="1" w:styleId="10">
    <w:name w:val="font51"/>
    <w:basedOn w:val="9"/>
    <w:qFormat/>
    <w:uiPriority w:val="0"/>
    <w:rPr>
      <w:rFonts w:hint="default" w:ascii="Times New Roman" w:hAnsi="Times New Roman" w:cs="Times New Roman"/>
      <w:color w:val="000000"/>
      <w:sz w:val="24"/>
      <w:szCs w:val="24"/>
      <w:u w:val="none"/>
    </w:rPr>
  </w:style>
  <w:style w:type="paragraph" w:customStyle="1" w:styleId="11">
    <w:name w:val="Char Char1 Char Char Char Char"/>
    <w:basedOn w:val="1"/>
    <w:qFormat/>
    <w:uiPriority w:val="0"/>
    <w:pPr>
      <w:widowControl/>
      <w:spacing w:after="160" w:afterLines="0" w:line="240" w:lineRule="exact"/>
      <w:jc w:val="left"/>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5292</Words>
  <Characters>5491</Characters>
  <Lines>0</Lines>
  <Paragraphs>0</Paragraphs>
  <TotalTime>259</TotalTime>
  <ScaleCrop>false</ScaleCrop>
  <LinksUpToDate>false</LinksUpToDate>
  <CharactersWithSpaces>5765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2024-01-29T10:37:00Z</dcterms:created>
  <dc:creator>低调</dc:creator>
  <cp:lastModifiedBy>guyuan</cp:lastModifiedBy>
  <cp:lastPrinted>2024-06-04T16:03:00Z</cp:lastPrinted>
  <dcterms:modified xsi:type="dcterms:W3CDTF">2024-12-06T16:52:44Z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6F65219C981447AF9EF8D49298A0715A_13</vt:lpwstr>
  </property>
</Properties>
</file>