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OLE_LINK1"/>
    </w:p>
    <w:p>
      <w:pPr>
        <w:pStyle w:val="24"/>
      </w:pPr>
    </w:p>
    <w:p/>
    <w:p>
      <w:pPr>
        <w:pStyle w:val="14"/>
      </w:pPr>
    </w:p>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hAnsi="Times New Roman" w:eastAsia="黑体"/>
          <w:color w:val="000000" w:themeColor="text1"/>
          <w:kern w:val="0"/>
          <w:sz w:val="72"/>
          <w:szCs w:val="72"/>
          <w14:textFill>
            <w14:solidFill>
              <w14:schemeClr w14:val="tx1"/>
            </w14:solidFill>
          </w14:textFill>
        </w:rPr>
      </w:pPr>
      <w:r>
        <w:rPr>
          <w:rFonts w:hint="eastAsia" w:ascii="宋体" w:hAnsi="宋体" w:eastAsia="宋体" w:cs="宋体"/>
          <w:color w:val="000000" w:themeColor="text1"/>
          <w:kern w:val="0"/>
          <w:sz w:val="72"/>
          <w:szCs w:val="72"/>
          <w14:textFill>
            <w14:solidFill>
              <w14:schemeClr w14:val="tx1"/>
            </w14:solidFill>
          </w14:textFill>
        </w:rPr>
        <w:t>建设项目环境影响报告表</w:t>
      </w:r>
    </w:p>
    <w:p>
      <w:pPr>
        <w:pStyle w:val="25"/>
        <w:keepNext w:val="0"/>
        <w:keepLines w:val="0"/>
        <w:pageBreakBefore w:val="0"/>
        <w:widowControl w:val="0"/>
        <w:kinsoku/>
        <w:wordWrap/>
        <w:overflowPunct/>
        <w:topLinePunct w:val="0"/>
        <w:bidi w:val="0"/>
        <w:snapToGrid/>
        <w:spacing w:line="240" w:lineRule="auto"/>
        <w:ind w:firstLine="492"/>
        <w:jc w:val="center"/>
        <w:textAlignment w:val="auto"/>
        <w:rPr>
          <w:rFonts w:hint="eastAsia" w:eastAsia="宋体"/>
          <w:color w:val="000000" w:themeColor="text1"/>
          <w:sz w:val="44"/>
          <w:szCs w:val="48"/>
          <w:lang w:eastAsia="zh-CN"/>
          <w14:textFill>
            <w14:solidFill>
              <w14:schemeClr w14:val="tx1"/>
            </w14:solidFill>
          </w14:textFill>
        </w:rPr>
      </w:pPr>
      <w:bookmarkStart w:id="1" w:name="_Hlk57883728"/>
      <w:r>
        <w:rPr>
          <w:rFonts w:hint="eastAsia"/>
          <w:color w:val="000000" w:themeColor="text1"/>
          <w:sz w:val="44"/>
          <w:szCs w:val="48"/>
          <w:lang w:eastAsia="zh-CN"/>
          <w14:textFill>
            <w14:solidFill>
              <w14:schemeClr w14:val="tx1"/>
            </w14:solidFill>
          </w14:textFill>
        </w:rPr>
        <w:t>（生态影响类）</w:t>
      </w:r>
    </w:p>
    <w:p>
      <w:pPr>
        <w:pStyle w:val="25"/>
        <w:ind w:firstLine="492"/>
        <w:rPr>
          <w:color w:val="000000" w:themeColor="text1"/>
          <w14:textFill>
            <w14:solidFill>
              <w14:schemeClr w14:val="tx1"/>
            </w14:solidFill>
          </w14:textFill>
        </w:rPr>
      </w:pPr>
      <w:bookmarkStart w:id="2" w:name="OLE_LINK7"/>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default" w:ascii="Times New Roman" w:hAnsi="Times New Roman" w:eastAsia="宋体" w:cs="Times New Roman"/>
          <w:color w:val="000000" w:themeColor="text1"/>
          <w:kern w:val="0"/>
          <w:sz w:val="36"/>
          <w:szCs w:val="36"/>
          <w:lang w:val="en-US" w:eastAsia="zh-CN"/>
          <w14:textFill>
            <w14:solidFill>
              <w14:schemeClr w14:val="tx1"/>
            </w14:solidFill>
          </w14:textFill>
        </w:rPr>
      </w:pPr>
      <w:r>
        <w:rPr>
          <w:rFonts w:hint="default" w:ascii="Times New Roman" w:hAnsi="Times New Roman" w:eastAsia="宋体"/>
          <w:color w:val="000000" w:themeColor="text1"/>
          <w:kern w:val="0"/>
          <w:sz w:val="36"/>
          <w:szCs w:val="36"/>
          <w14:textFill>
            <w14:solidFill>
              <w14:schemeClr w14:val="tx1"/>
            </w14:solidFill>
          </w14:textFill>
        </w:rPr>
        <w:t>项目名称：</w:t>
      </w:r>
      <w:r>
        <w:rPr>
          <w:rFonts w:hint="eastAsia" w:ascii="Times New Roman" w:hAnsi="Times New Roman"/>
          <w:color w:val="000000" w:themeColor="text1"/>
          <w:kern w:val="0"/>
          <w:sz w:val="36"/>
          <w:szCs w:val="36"/>
          <w:u w:val="single"/>
          <w:lang w:val="en-US" w:eastAsia="zh-CN"/>
          <w14:textFill>
            <w14:solidFill>
              <w14:schemeClr w14:val="tx1"/>
            </w14:solidFill>
          </w14:textFill>
        </w:rPr>
        <w:t xml:space="preserve">  </w:t>
      </w:r>
      <w:bookmarkStart w:id="3" w:name="OLE_LINK3"/>
      <w:r>
        <w:rPr>
          <w:rFonts w:hint="eastAsia" w:ascii="Times New Roman" w:hAnsi="Times New Roman"/>
          <w:color w:val="000000" w:themeColor="text1"/>
          <w:kern w:val="0"/>
          <w:sz w:val="36"/>
          <w:szCs w:val="36"/>
          <w:u w:val="single"/>
          <w:lang w:val="en-US" w:eastAsia="zh-CN"/>
          <w14:textFill>
            <w14:solidFill>
              <w14:schemeClr w14:val="tx1"/>
            </w14:solidFill>
          </w14:textFill>
        </w:rPr>
        <w:t>隆德县县城排水防涝能力提升项目</w:t>
      </w:r>
      <w:bookmarkEnd w:id="3"/>
      <w:r>
        <w:rPr>
          <w:rFonts w:hint="eastAsia" w:ascii="Times New Roman" w:hAnsi="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cs="Times New Roman"/>
          <w:color w:val="000000" w:themeColor="text1"/>
          <w:spacing w:val="-11"/>
          <w:kern w:val="0"/>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288" w:lineRule="auto"/>
        <w:ind w:firstLine="0" w:firstLineChars="0"/>
        <w:textAlignment w:val="auto"/>
        <w:rPr>
          <w:rFonts w:hint="default" w:ascii="Times New Roman" w:hAnsi="Times New Roman" w:eastAsia="宋体" w:cs="Times New Roman"/>
          <w:color w:val="000000" w:themeColor="text1"/>
          <w:kern w:val="0"/>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36"/>
          <w:szCs w:val="36"/>
          <w14:textFill>
            <w14:solidFill>
              <w14:schemeClr w14:val="tx1"/>
            </w14:solidFill>
          </w14:textFill>
        </w:rPr>
        <w:t>建设单位：</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隆德县城市公共服务中心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ind w:firstLine="0" w:firstLineChars="0"/>
        <w:textAlignment w:val="auto"/>
        <w:rPr>
          <w:rFonts w:hint="eastAsia" w:ascii="Times New Roman" w:hAnsi="Times New Roman" w:eastAsia="黑体"/>
          <w:color w:val="000000" w:themeColor="text1"/>
          <w:kern w:val="0"/>
          <w:sz w:val="36"/>
          <w:szCs w:val="36"/>
          <w:lang w:eastAsia="zh-CN"/>
          <w14:textFill>
            <w14:solidFill>
              <w14:schemeClr w14:val="tx1"/>
            </w14:solidFill>
          </w14:textFill>
        </w:rPr>
      </w:pPr>
      <w:r>
        <w:rPr>
          <w:rFonts w:hint="eastAsia" w:ascii="Times New Roman" w:hAnsi="Times New Roman" w:eastAsia="宋体" w:cs="Times New Roman"/>
          <w:color w:val="000000" w:themeColor="text1"/>
          <w:kern w:val="0"/>
          <w:sz w:val="36"/>
          <w:szCs w:val="36"/>
          <w:u w:val="none"/>
          <w:lang w:val="en-US" w:eastAsia="zh-CN"/>
          <w14:textFill>
            <w14:solidFill>
              <w14:schemeClr w14:val="tx1"/>
            </w14:solidFill>
          </w14:textFill>
        </w:rPr>
        <w:t>编制日期：</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20</w:t>
      </w:r>
      <w:r>
        <w:rPr>
          <w:rFonts w:hint="eastAsia" w:cs="Times New Roman"/>
          <w:color w:val="000000" w:themeColor="text1"/>
          <w:kern w:val="0"/>
          <w:sz w:val="36"/>
          <w:szCs w:val="36"/>
          <w:u w:val="single"/>
          <w:lang w:val="en-US" w:eastAsia="zh-CN"/>
          <w14:textFill>
            <w14:solidFill>
              <w14:schemeClr w14:val="tx1"/>
            </w14:solidFill>
          </w14:textFill>
        </w:rPr>
        <w:t>25</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年</w:t>
      </w:r>
      <w:r>
        <w:rPr>
          <w:rFonts w:hint="eastAsia" w:cs="Times New Roman"/>
          <w:color w:val="000000" w:themeColor="text1"/>
          <w:kern w:val="0"/>
          <w:sz w:val="36"/>
          <w:szCs w:val="36"/>
          <w:u w:val="singl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月          </w:t>
      </w:r>
      <w:r>
        <w:rPr>
          <w:rFonts w:hint="eastAsia" w:ascii="Times New Roman" w:hAnsi="Times New Roman"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 xml:space="preserve"> </w:t>
      </w: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rFonts w:hint="default" w:eastAsia="宋体"/>
          <w:color w:val="000000" w:themeColor="text1"/>
          <w:lang w:val="en-US" w:eastAsia="zh-CN"/>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pStyle w:val="25"/>
        <w:ind w:firstLine="49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color w:val="000000"/>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000000"/>
          <w:sz w:val="36"/>
          <w:szCs w:val="36"/>
        </w:rPr>
        <w:t>中华人民共和国生态环境部制</w:t>
      </w:r>
      <w:bookmarkEnd w:id="1"/>
      <w:bookmarkEnd w:id="2"/>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bookmarkStart w:id="4" w:name="OLE_LINK2"/>
      <w:r>
        <w:rPr>
          <w:rFonts w:hint="default" w:ascii="Times New Roman" w:hAnsi="Times New Roman" w:eastAsia="黑体" w:cs="Times New Roman"/>
          <w:snapToGrid w:val="0"/>
          <w:color w:val="auto"/>
          <w:kern w:val="0"/>
          <w:sz w:val="30"/>
          <w:szCs w:val="30"/>
          <w:lang w:val="en-US" w:eastAsia="zh-CN" w:bidi="ar-SA"/>
        </w:rPr>
        <w:t>一、建设项目基本情况</w:t>
      </w:r>
      <w:bookmarkStart w:id="52" w:name="_GoBack"/>
      <w:bookmarkEnd w:id="52"/>
    </w:p>
    <w:tbl>
      <w:tblPr>
        <w:tblStyle w:val="20"/>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2"/>
        <w:gridCol w:w="2826"/>
        <w:gridCol w:w="2218"/>
        <w:gridCol w:w="9"/>
        <w:gridCol w:w="2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992"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隆德县县城排水防涝能力提升项目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992"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2310-640423-04-01-877760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28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王玉博</w:t>
            </w:r>
          </w:p>
        </w:tc>
        <w:tc>
          <w:tcPr>
            <w:tcW w:w="2227"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29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18395081558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992"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u w:val="single"/>
              </w:rPr>
              <w:t xml:space="preserve"> 宁夏 </w:t>
            </w:r>
            <w:r>
              <w:rPr>
                <w:rFonts w:hint="default" w:ascii="Times New Roman" w:hAnsi="Times New Roman" w:eastAsia="宋体" w:cs="Times New Roman"/>
                <w:color w:val="auto"/>
                <w:sz w:val="24"/>
                <w:highlight w:val="none"/>
              </w:rPr>
              <w:t>省（自治区）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固原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市</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lang w:val="en-US" w:eastAsia="zh-CN"/>
              </w:rPr>
              <w:t>隆德</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县（区）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乡（街道）</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99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left"/>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项目中心坐标：</w:t>
            </w:r>
            <w:r>
              <w:rPr>
                <w:rFonts w:hint="default" w:ascii="Times New Roman" w:hAnsi="Times New Roman" w:eastAsia="宋体" w:cs="Times New Roman"/>
                <w:color w:val="auto"/>
                <w:kern w:val="0"/>
                <w:sz w:val="24"/>
                <w:highlight w:val="none"/>
                <w:lang w:val="en-US"/>
              </w:rPr>
              <w:t>E106°</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rPr>
              <w:t>′</w:t>
            </w:r>
            <w:r>
              <w:rPr>
                <w:rFonts w:hint="eastAsia" w:cs="Times New Roman"/>
                <w:color w:val="auto"/>
                <w:kern w:val="0"/>
                <w:sz w:val="24"/>
                <w:highlight w:val="none"/>
                <w:lang w:val="en-US" w:eastAsia="zh-CN"/>
              </w:rPr>
              <w:t>14.260</w:t>
            </w:r>
            <w:r>
              <w:rPr>
                <w:rFonts w:hint="default" w:ascii="Times New Roman" w:hAnsi="Times New Roman" w:eastAsia="宋体" w:cs="Times New Roman"/>
                <w:color w:val="auto"/>
                <w:kern w:val="0"/>
                <w:sz w:val="24"/>
                <w:highlight w:val="none"/>
                <w:lang w:val="en-US"/>
              </w:rPr>
              <w:t>″，N35°</w:t>
            </w:r>
            <w:r>
              <w:rPr>
                <w:rFonts w:hint="eastAsia" w:cs="Times New Roman"/>
                <w:color w:val="auto"/>
                <w:kern w:val="0"/>
                <w:sz w:val="24"/>
                <w:highlight w:val="none"/>
                <w:lang w:val="en-US" w:eastAsia="zh-CN"/>
              </w:rPr>
              <w:t>37</w:t>
            </w:r>
            <w:r>
              <w:rPr>
                <w:rFonts w:hint="default" w:ascii="Times New Roman" w:hAnsi="Times New Roman" w:eastAsia="宋体" w:cs="Times New Roman"/>
                <w:color w:val="auto"/>
                <w:kern w:val="0"/>
                <w:sz w:val="24"/>
                <w:highlight w:val="none"/>
                <w:lang w:val="en-US"/>
              </w:rPr>
              <w:t>′</w:t>
            </w:r>
            <w:r>
              <w:rPr>
                <w:rFonts w:hint="eastAsia" w:cs="Times New Roman"/>
                <w:color w:val="auto"/>
                <w:kern w:val="0"/>
                <w:sz w:val="24"/>
                <w:highlight w:val="none"/>
                <w:lang w:val="en-US" w:eastAsia="zh-CN"/>
              </w:rPr>
              <w:t>26.942</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北象山新建排洪渠及拦洪渠浆砌石挡土墙起止坐标：E106°7′3.437″，N35°37′28.593″ ~ E106°7′31.942″，N35°37′22.613″；</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县城东侧建筑垃圾填埋场排洪渠起止坐标：E106°8′10.709″，N35°36′51.980″ ~ E106°8′20.558″，N35°36′44.350″；排洪沟新建浆砌石砌护起止坐标：E106°7′57.596″，N35°37′2.451″ ~ E106°8′0.300″，N35°37′0.630″；</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县生活垃圾填埋场排洪渠起止坐标：E106°6′51.357″，N35°38′15.427″ ~ E106°6′53.539″，N35°38′4.974″；</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行政中心北侧现状排洪渠清淤疏浚：E106°6′6.929″，N35°37′31.894″ ~ E106°6′36.631″，N35°37′35.567″；</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南河社区两侧沟道砌护起止坐标：E106°7′1.042″，N35°36′15.751″ ~ E106°7′17.843″，N35°35′47.863″；</w:t>
            </w:r>
          </w:p>
          <w:p>
            <w:pPr>
              <w:keepNext w:val="0"/>
              <w:keepLines w:val="0"/>
              <w:pageBreakBefore w:val="0"/>
              <w:widowControl w:val="0"/>
              <w:kinsoku/>
              <w:wordWrap/>
              <w:overflowPunct/>
              <w:topLinePunct w:val="0"/>
              <w:autoSpaceDE/>
              <w:autoSpaceDN/>
              <w:bidi w:val="0"/>
              <w:adjustRightInd w:val="0"/>
              <w:snapToGrid w:val="0"/>
              <w:spacing w:line="540" w:lineRule="exact"/>
              <w:ind w:left="72" w:leftChars="30" w:right="72" w:rightChars="30" w:firstLine="0" w:firstLineChars="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排洪管涵起止坐标：E106°6′50.613″，N35°37′28.252″ ~ E106°6′49.609″，N35°37′14.751″；E106°7′17.804″，N35°37′24.955″ ~ E106°7′18.152″，N35°37′18.331″；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建设项目行业类别</w:t>
            </w:r>
          </w:p>
        </w:tc>
        <w:tc>
          <w:tcPr>
            <w:tcW w:w="28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五十一、水利；12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防洪除涝工程</w:t>
            </w:r>
            <w:r>
              <w:rPr>
                <w:rFonts w:hint="default" w:ascii="Times New Roman" w:hAnsi="Times New Roman" w:eastAsia="宋体" w:cs="Times New Roman"/>
                <w:color w:val="auto"/>
                <w:sz w:val="24"/>
                <w:highlight w:val="none"/>
              </w:rPr>
              <w:t>中其他</w:t>
            </w:r>
          </w:p>
        </w:tc>
        <w:tc>
          <w:tcPr>
            <w:tcW w:w="22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FF"/>
                <w:sz w:val="24"/>
                <w:highlight w:val="none"/>
              </w:rPr>
            </w:pPr>
            <w:r>
              <w:rPr>
                <w:rFonts w:hint="default" w:ascii="Times New Roman" w:hAnsi="Times New Roman" w:eastAsia="宋体" w:cs="Times New Roman"/>
                <w:color w:val="auto"/>
                <w:sz w:val="24"/>
                <w:highlight w:val="none"/>
              </w:rPr>
              <w:t>用地（用海）面积（m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）/长度（km）</w:t>
            </w:r>
          </w:p>
        </w:tc>
        <w:tc>
          <w:tcPr>
            <w:tcW w:w="294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FF"/>
                <w:sz w:val="24"/>
                <w:highlight w:val="none"/>
              </w:rPr>
            </w:pPr>
            <w:bookmarkStart w:id="5" w:name="OLE_LINK8"/>
            <w:r>
              <w:rPr>
                <w:rFonts w:hint="default" w:ascii="Times New Roman" w:hAnsi="Times New Roman" w:eastAsia="宋体" w:cs="Times New Roman"/>
                <w:color w:val="auto"/>
                <w:kern w:val="0"/>
                <w:sz w:val="24"/>
                <w:szCs w:val="24"/>
                <w:highlight w:val="none"/>
                <w:lang w:val="en-US" w:eastAsia="zh-CN" w:bidi="ar"/>
              </w:rPr>
              <w:t>本项目总占地</w:t>
            </w:r>
            <w:bookmarkEnd w:id="5"/>
            <w:r>
              <w:rPr>
                <w:rFonts w:hint="eastAsia" w:cs="Times New Roman"/>
                <w:color w:val="auto"/>
                <w:kern w:val="0"/>
                <w:sz w:val="24"/>
                <w:szCs w:val="24"/>
                <w:highlight w:val="none"/>
                <w:lang w:val="en-US" w:eastAsia="zh-CN" w:bidi="ar"/>
              </w:rPr>
              <w:t>4.29</w:t>
            </w:r>
            <w:r>
              <w:rPr>
                <w:rFonts w:hint="default" w:ascii="Times New Roman" w:hAnsi="Times New Roman" w:eastAsia="宋体" w:cs="Times New Roman"/>
                <w:color w:val="auto"/>
                <w:kern w:val="0"/>
                <w:sz w:val="24"/>
                <w:szCs w:val="24"/>
                <w:highlight w:val="none"/>
                <w:lang w:val="en-US" w:eastAsia="zh-CN" w:bidi="ar"/>
              </w:rPr>
              <w:t>hm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，其中永久占地为</w:t>
            </w:r>
            <w:r>
              <w:rPr>
                <w:rFonts w:hint="eastAsia" w:cs="Times New Roman"/>
                <w:color w:val="auto"/>
                <w:kern w:val="0"/>
                <w:sz w:val="24"/>
                <w:szCs w:val="24"/>
                <w:highlight w:val="none"/>
                <w:lang w:val="en-US" w:eastAsia="zh-CN" w:bidi="ar"/>
              </w:rPr>
              <w:t>2.75</w:t>
            </w:r>
            <w:r>
              <w:rPr>
                <w:rFonts w:hint="default" w:ascii="Times New Roman" w:hAnsi="Times New Roman" w:eastAsia="宋体" w:cs="Times New Roman"/>
                <w:color w:val="auto"/>
                <w:kern w:val="0"/>
                <w:sz w:val="24"/>
                <w:szCs w:val="24"/>
                <w:highlight w:val="none"/>
                <w:lang w:val="en-US" w:eastAsia="zh-CN" w:bidi="ar"/>
              </w:rPr>
              <w:t>hm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，临时占地为</w:t>
            </w:r>
            <w:r>
              <w:rPr>
                <w:rFonts w:hint="eastAsia" w:cs="Times New Roman"/>
                <w:color w:val="auto"/>
                <w:kern w:val="0"/>
                <w:sz w:val="24"/>
                <w:szCs w:val="24"/>
                <w:highlight w:val="none"/>
                <w:lang w:val="en-US" w:eastAsia="zh-CN" w:bidi="ar"/>
              </w:rPr>
              <w:t>1.54</w:t>
            </w:r>
            <w:r>
              <w:rPr>
                <w:rFonts w:hint="default" w:ascii="Times New Roman" w:hAnsi="Times New Roman" w:eastAsia="宋体" w:cs="Times New Roman"/>
                <w:color w:val="auto"/>
                <w:kern w:val="0"/>
                <w:sz w:val="24"/>
                <w:szCs w:val="24"/>
                <w:highlight w:val="none"/>
                <w:lang w:val="en-US" w:eastAsia="zh-CN" w:bidi="ar"/>
              </w:rPr>
              <w:t>hm</w:t>
            </w:r>
            <w:r>
              <w:rPr>
                <w:rFonts w:hint="default" w:ascii="Times New Roman" w:hAnsi="Times New Roman" w:eastAsia="宋体" w:cs="Times New Roman"/>
                <w:color w:val="auto"/>
                <w:kern w:val="0"/>
                <w:sz w:val="24"/>
                <w:szCs w:val="24"/>
                <w:highlight w:val="none"/>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2826" w:type="dxa"/>
            <w:tcBorders>
              <w:tl2br w:val="nil"/>
              <w:tr2bl w:val="nil"/>
            </w:tcBorders>
            <w:vAlign w:val="center"/>
          </w:tcPr>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新建（迁建）</w:t>
            </w:r>
          </w:p>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22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申报情形</w:t>
            </w:r>
          </w:p>
        </w:tc>
        <w:tc>
          <w:tcPr>
            <w:tcW w:w="2948" w:type="dxa"/>
            <w:gridSpan w:val="2"/>
            <w:tcBorders>
              <w:tl2br w:val="nil"/>
              <w:tr2bl w:val="nil"/>
            </w:tcBorders>
            <w:vAlign w:val="center"/>
          </w:tcPr>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□不予批准后再次申报项目</w:t>
            </w:r>
          </w:p>
          <w:p>
            <w:pPr>
              <w:adjustRightInd w:val="0"/>
              <w:snapToGrid w:val="0"/>
              <w:spacing w:line="240" w:lineRule="auto"/>
              <w:ind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□超五年重新审核项目</w:t>
            </w:r>
          </w:p>
          <w:p>
            <w:pPr>
              <w:adjustRightInd w:val="0"/>
              <w:snapToGrid w:val="0"/>
              <w:spacing w:line="240" w:lineRule="auto"/>
              <w:ind w:firstLine="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项目审批（核准/备案）部门（选填）</w:t>
            </w:r>
          </w:p>
        </w:tc>
        <w:tc>
          <w:tcPr>
            <w:tcW w:w="28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隆德县发展改革和科学技术局</w:t>
            </w:r>
          </w:p>
        </w:tc>
        <w:tc>
          <w:tcPr>
            <w:tcW w:w="22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94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隆发改审</w:t>
            </w:r>
            <w:r>
              <w:rPr>
                <w:rFonts w:hint="default" w:ascii="Times New Roman" w:hAnsi="Times New Roman" w:eastAsia="宋体" w:cs="Times New Roman"/>
                <w:color w:val="auto"/>
                <w:sz w:val="24"/>
                <w:highlight w:val="none"/>
                <w:lang w:eastAsia="zh-CN"/>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181</w:t>
            </w:r>
            <w:r>
              <w:rPr>
                <w:rFonts w:hint="default" w:ascii="Times New Roman" w:hAnsi="Times New Roman" w:eastAsia="宋体" w:cs="Times New Roman"/>
                <w:color w:val="auto"/>
                <w:sz w:val="24"/>
                <w:highlight w:val="none"/>
                <w:lang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28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3842.31</w:t>
            </w:r>
          </w:p>
        </w:tc>
        <w:tc>
          <w:tcPr>
            <w:tcW w:w="2218"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94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28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2.52%</w:t>
            </w:r>
          </w:p>
        </w:tc>
        <w:tc>
          <w:tcPr>
            <w:tcW w:w="2218"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94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是否开工建设</w:t>
            </w:r>
          </w:p>
        </w:tc>
        <w:tc>
          <w:tcPr>
            <w:tcW w:w="7992" w:type="dxa"/>
            <w:gridSpan w:val="4"/>
            <w:tcBorders>
              <w:tl2br w:val="nil"/>
              <w:tr2bl w:val="nil"/>
            </w:tcBorders>
            <w:vAlign w:val="center"/>
          </w:tcPr>
          <w:p>
            <w:pPr>
              <w:adjustRightInd w:val="0"/>
              <w:snapToGrid w:val="0"/>
              <w:spacing w:line="240" w:lineRule="auto"/>
              <w:ind w:firstLine="105"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pPr>
              <w:adjustRightInd w:val="0"/>
              <w:snapToGrid w:val="0"/>
              <w:spacing w:line="240" w:lineRule="auto"/>
              <w:ind w:firstLine="92"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专项评价设置情况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对照《建设项目环境影响评价分类管理名录（2021 年版）》相关内容分析，本项目环评形式应为环境影响报告表，具体情况详见下表：</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firstLine="0" w:firstLineChars="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val="en-US" w:eastAsia="zh-CN"/>
              </w:rPr>
              <w:t xml:space="preserve"> </w:t>
            </w:r>
            <w:r>
              <w:rPr>
                <w:rFonts w:hint="eastAsia" w:cs="Times New Roman"/>
                <w:b/>
                <w:bCs/>
                <w:color w:val="auto"/>
                <w:kern w:val="0"/>
                <w:sz w:val="24"/>
                <w:highlight w:val="none"/>
                <w:lang w:val="en-US" w:eastAsia="zh-CN"/>
              </w:rPr>
              <w:t xml:space="preserve"> 对照《建设项目环境影响评价分类管理名录（2021 年版）》分析</w:t>
            </w:r>
          </w:p>
          <w:tbl>
            <w:tblPr>
              <w:tblStyle w:val="21"/>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00"/>
              <w:gridCol w:w="1572"/>
              <w:gridCol w:w="1750"/>
              <w:gridCol w:w="1182"/>
              <w:gridCol w:w="1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2251" w:type="dxa"/>
                  <w:gridSpan w:val="2"/>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bCs/>
                      <w:color w:val="auto"/>
                      <w:kern w:val="0"/>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项目类别</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环评类别</w:t>
                  </w:r>
                </w:p>
              </w:tc>
              <w:tc>
                <w:tcPr>
                  <w:tcW w:w="15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报告书</w:t>
                  </w:r>
                </w:p>
              </w:tc>
              <w:tc>
                <w:tcPr>
                  <w:tcW w:w="17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报告表</w:t>
                  </w:r>
                </w:p>
              </w:tc>
              <w:tc>
                <w:tcPr>
                  <w:tcW w:w="1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登记表</w:t>
                  </w:r>
                </w:p>
              </w:tc>
              <w:tc>
                <w:tcPr>
                  <w:tcW w:w="1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环境敏感区含义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7" w:type="dxa"/>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五十一、水利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127</w:t>
                  </w:r>
                </w:p>
              </w:tc>
              <w:tc>
                <w:tcPr>
                  <w:tcW w:w="15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w:t>
                  </w:r>
                </w:p>
              </w:tc>
              <w:tc>
                <w:tcPr>
                  <w:tcW w:w="15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新建大中型</w:t>
                  </w:r>
                </w:p>
              </w:tc>
              <w:tc>
                <w:tcPr>
                  <w:tcW w:w="17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其他（小型沟渠的护坡除外；城镇排涝河流水闸、排涝泵站除外））</w:t>
                  </w:r>
                </w:p>
              </w:tc>
              <w:tc>
                <w:tcPr>
                  <w:tcW w:w="1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城镇排涝河流水闸、排涝泵站</w:t>
                  </w:r>
                </w:p>
              </w:tc>
              <w:tc>
                <w:tcPr>
                  <w:tcW w:w="1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根据《建设项目环境影响报告表编制技术指南（生态影响类）（试行）》中</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专项评价设置原则表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内容，本项目</w:t>
            </w:r>
            <w:r>
              <w:rPr>
                <w:rFonts w:hint="eastAsia" w:cs="Times New Roman"/>
                <w:color w:val="auto"/>
                <w:kern w:val="0"/>
                <w:sz w:val="24"/>
                <w:highlight w:val="none"/>
                <w:lang w:val="en-US" w:eastAsia="zh-CN"/>
              </w:rPr>
              <w:t>不设置专项评价</w:t>
            </w:r>
            <w:r>
              <w:rPr>
                <w:rFonts w:hint="default" w:ascii="Times New Roman" w:hAnsi="Times New Roman" w:eastAsia="宋体" w:cs="Times New Roman"/>
                <w:color w:val="auto"/>
                <w:kern w:val="0"/>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firstLine="0" w:firstLineChars="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lang w:val="en-US" w:eastAsia="zh-CN"/>
              </w:rPr>
              <w:t xml:space="preserve"> </w:t>
            </w:r>
            <w:r>
              <w:rPr>
                <w:rFonts w:hint="eastAsia"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lang w:val="en-US" w:eastAsia="zh-CN"/>
              </w:rPr>
              <w:t>专项评价设置原则表</w:t>
            </w:r>
          </w:p>
          <w:tbl>
            <w:tblPr>
              <w:tblStyle w:val="21"/>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476"/>
              <w:gridCol w:w="2526"/>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专项评价类别</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涉及项目类别</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水力发电：引水式发电、涉及调峰发电的项目；</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人工湖、人工湿地：全部；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水库：全部；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引水工程：全部（配套的管线工程等除外）；</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防洪除涝工程：包含水库的项目；</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河湖整治：涉及清淤且底泥存在重金属污染的项目</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本项目为城市排水防涝能力提升项目，不包含水库，包括排洪渠清淤，但泥沙不存在重金属污染</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地下水</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陆地石油和天然气开采：全部；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地下水（含矿泉水）开采：全部；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水利、水电、交通等：含穿越可溶岩地层隧道的项目</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生态</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涉及环境敏感区（不包括饮用水水源保护区，以居住、医疗卫生、文化教育、科研、行政办公为主要功能的区域，以及文物保护单位）的项目</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新建北象山排洪渠工程位于隆德县北象山，位于生态保护红线内，但根据《建设项目环境影响评价分类管理名录》，本项目不涉及该类项目所列的环境敏感区，同时，经过分析论证，项目环境影响范围也不涵盖环境敏感区。因此，本项目无需设置生态专项评价。</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大气</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干散货（含煤炭、矿石）、件杂、多用途、通用码头：涉及粉尘、挥发性有机物排放的项目</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噪声</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城市道路（不含维护，不含支路、人行天桥、人行地道）：全部</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本项目不涉及道路建设</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环境风险</w:t>
                  </w:r>
                </w:p>
              </w:tc>
              <w:tc>
                <w:tcPr>
                  <w:tcW w:w="34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石油和天然气开采：全部；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原油、成品油、天然气管线（不含城镇天然气管线、企业厂区内管线），危险化学品输送管线（不含企业厂区内管线）：全部</w:t>
                  </w:r>
                </w:p>
              </w:tc>
              <w:tc>
                <w:tcPr>
                  <w:tcW w:w="25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left="120" w:leftChars="50" w:right="120" w:rightChars="50" w:firstLine="0" w:firstLineChars="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涉及环境敏感区”是指建设项目位于、穿（跨）越（无害化通过的除外）环境敏感区，或环境影响范围涵盖环境敏感区。环境敏感区是指《建设项目环境影响评价分类管理名录》中针对该类项目所列的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规划名称：《宁夏回族自治区水安全保障“十四五”规划》</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审批机关：宁夏回族自治区人民政府办公厅</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审批文件名称：《自治区人民政府办公厅关于印发宁夏回族自治区水安全保障“十四五”规划的通知》</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审批文号：宁政办发〔2021〕82号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规划环境影响评价情况</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《宁夏回族自治区水安全保障“十四五”规划环境影响报告书》</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审查机关：宁夏回族自治区生态环境厅</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审查文件名称：《自治区生态环境厅关于〈宁夏水安全保障“十四五”规划环境影响报告书〉审查意见的函》</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0" w:firstLineChars="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审查文号：宁环函〔2021〕721号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规划及</w:t>
            </w:r>
            <w:r>
              <w:rPr>
                <w:rFonts w:hint="default" w:ascii="Times New Roman" w:hAnsi="Times New Roman" w:eastAsia="宋体" w:cs="Times New Roman"/>
                <w:b/>
                <w:bCs/>
                <w:color w:val="auto"/>
                <w:sz w:val="24"/>
                <w:highlight w:val="none"/>
              </w:rPr>
              <w:t>规划环境影响评价</w:t>
            </w:r>
            <w:r>
              <w:rPr>
                <w:rFonts w:hint="default" w:ascii="Times New Roman" w:hAnsi="Times New Roman" w:eastAsia="宋体" w:cs="Times New Roman"/>
                <w:b/>
                <w:bCs/>
                <w:color w:val="auto"/>
                <w:kern w:val="0"/>
                <w:sz w:val="24"/>
                <w:highlight w:val="none"/>
              </w:rPr>
              <w:t>符合性分析</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与《宁夏回族自治区水安全保障“十四五”规划环境影响报告书》及审查意见的函符合性分析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宁夏回族自治区水安全保障“十四五”规划环境影响报告书》要求对于涉及各类环境敏感区的建设内容，严格遵守有关法律法规的要求，在后续的设计和建设过程中，依法依规采取必要的避让措施；确实无法避让的，应符合相关法律法规的要求，取得相关行政主管部门的许可，在项目环评中充分论证对环境敏感区的影响范围和程度，并采取有效的保护和恢复措施。确保规划项目的建设符合有关法律法规及政策要求，不会对环境敏感区的生态系统功能、生态环境质量和区域生态安全造成重大影响，生态保护红线范围内“生态功能不降低、面积不减少、性质不改变”。</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《宁夏回族自治区水安全保障“十四五”规划环境影响报告书》</w:t>
            </w:r>
            <w:r>
              <w:rPr>
                <w:rFonts w:hint="default" w:ascii="Times New Roman" w:hAnsi="Times New Roman" w:eastAsia="宋体" w:cs="Times New Roman"/>
                <w:color w:val="auto"/>
                <w:kern w:val="0"/>
                <w:sz w:val="24"/>
                <w:highlight w:val="none"/>
                <w:lang w:val="en-US" w:eastAsia="zh-CN"/>
              </w:rPr>
              <w:t>中提出：</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总体布局：黄河生态经济带。以黄河为主轴，突出生态优先地位，按照河双线三带四区</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进行空间划分和规划布局，分区分类进行保护治理。开展黄河宁夏段河道治理工程，实施河道与滩区综合提升治理，保护传承弘扬黄河文化；建设河段堤防安全标准区，打造黄河流域生态保护和高质量发展先行区的核心带。2.1.4.3提升水旱灾害风险防控能力、⑶加强重要支流及中小河流提标治理：持续开展中小河流提标治理。按照生态治河理念，以保证防洪排水安全为基础，结合农村水系综合整治，通过堤防、护岸、清、除障、疏浚等工程措施，疏通中小河流防洪排水脉络，实施堤防护岸达标建设，维持河道行洪能力和生态环境功能。”</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宁夏回族自治区水安全保障“十四五”规划环境影响报告书》审查意见的函中给出《规划》优化调整和实施的意见：（一）严守生态保护红线，加强空间管控。将生态保护红线作为保障和维护区域生态安全的底线，依法实施严格保护，对所涉及的水利工程设施，严格执行各项生态环境保护要求。（二）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三）严格水利工程建设的环境准入条件。严格水利工程准入要求，从源头上避免对区域水环境质量及水生态造成影响。加强水资源综合利用，提高资源节约集约利用水平。（四）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120" w:leftChars="50" w:right="120" w:rightChars="5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highlight w:val="none"/>
              </w:rPr>
              <w:t>本</w:t>
            </w: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为</w:t>
            </w:r>
            <w:r>
              <w:rPr>
                <w:rFonts w:hint="eastAsia" w:cs="Times New Roman"/>
                <w:color w:val="auto"/>
                <w:kern w:val="0"/>
                <w:sz w:val="24"/>
                <w:highlight w:val="none"/>
                <w:lang w:eastAsia="zh-CN"/>
              </w:rPr>
              <w:t>排洪渠建设、现状排洪渠清淤、</w:t>
            </w:r>
            <w:r>
              <w:rPr>
                <w:rFonts w:hint="default" w:ascii="Times New Roman" w:hAnsi="Times New Roman" w:eastAsia="宋体" w:cs="Times New Roman"/>
                <w:color w:val="auto"/>
                <w:kern w:val="0"/>
                <w:sz w:val="24"/>
                <w:highlight w:val="none"/>
                <w:lang w:val="en-US" w:eastAsia="zh-CN"/>
              </w:rPr>
              <w:t>边坡治理</w:t>
            </w:r>
            <w:r>
              <w:rPr>
                <w:rFonts w:hint="default" w:ascii="Times New Roman" w:hAnsi="Times New Roman" w:eastAsia="宋体" w:cs="Times New Roman"/>
                <w:color w:val="auto"/>
                <w:kern w:val="0"/>
                <w:sz w:val="24"/>
                <w:highlight w:val="none"/>
              </w:rPr>
              <w:t>工程，</w:t>
            </w:r>
            <w:r>
              <w:rPr>
                <w:rFonts w:hint="eastAsia" w:cs="Times New Roman"/>
                <w:color w:val="auto"/>
                <w:kern w:val="0"/>
                <w:sz w:val="24"/>
                <w:highlight w:val="none"/>
                <w:lang w:eastAsia="zh-CN"/>
              </w:rPr>
              <w:t>主要涉及隆德县北象山，</w:t>
            </w:r>
            <w:r>
              <w:rPr>
                <w:rFonts w:hint="default" w:ascii="Times New Roman" w:hAnsi="Times New Roman" w:eastAsia="宋体" w:cs="Times New Roman"/>
                <w:color w:val="auto"/>
                <w:kern w:val="0"/>
                <w:sz w:val="24"/>
                <w:highlight w:val="none"/>
              </w:rPr>
              <w:t>施工严格控制施工红线，</w:t>
            </w:r>
            <w:r>
              <w:rPr>
                <w:rFonts w:hint="default" w:ascii="Times New Roman" w:hAnsi="Times New Roman" w:eastAsia="宋体" w:cs="Times New Roman"/>
                <w:color w:val="auto"/>
                <w:sz w:val="24"/>
                <w:highlight w:val="none"/>
              </w:rPr>
              <w:t>多余土方外运，本项目不设置弃土场；施工期间不得随意调整临时设施的位置，</w:t>
            </w:r>
            <w:r>
              <w:rPr>
                <w:rFonts w:hint="default" w:ascii="Times New Roman" w:hAnsi="Times New Roman" w:eastAsia="宋体" w:cs="Times New Roman"/>
                <w:color w:val="auto"/>
                <w:sz w:val="24"/>
                <w:highlight w:val="none"/>
                <w:lang w:val="en-US" w:eastAsia="zh-CN"/>
              </w:rPr>
              <w:t>施工营地租用周边闲置房屋，且工程建设需要避让</w:t>
            </w:r>
            <w:r>
              <w:rPr>
                <w:rFonts w:hint="eastAsia" w:cs="Times New Roman"/>
                <w:color w:val="auto"/>
                <w:sz w:val="24"/>
                <w:highlight w:val="none"/>
                <w:lang w:val="en-US" w:eastAsia="zh-CN"/>
              </w:rPr>
              <w:t>居民区</w:t>
            </w:r>
            <w:r>
              <w:rPr>
                <w:rFonts w:hint="default" w:ascii="Times New Roman" w:hAnsi="Times New Roman" w:eastAsia="宋体" w:cs="Times New Roman"/>
                <w:color w:val="auto"/>
                <w:sz w:val="24"/>
                <w:highlight w:val="none"/>
                <w:lang w:val="en-US" w:eastAsia="zh-CN"/>
              </w:rPr>
              <w:t>等环境敏</w:t>
            </w:r>
            <w:r>
              <w:rPr>
                <w:rFonts w:hint="default" w:ascii="Times New Roman" w:hAnsi="Times New Roman" w:eastAsia="宋体" w:cs="Times New Roman"/>
                <w:color w:val="auto"/>
                <w:kern w:val="0"/>
                <w:sz w:val="24"/>
                <w:highlight w:val="none"/>
              </w:rPr>
              <w:t>感区，施工期通过采取洒水抑尘、设置沉淀池等措施；建设完成后采取土地平整，恢复植被等措施，使得本工程对生态的影响降为最低，</w:t>
            </w:r>
            <w:r>
              <w:rPr>
                <w:rFonts w:hint="default" w:ascii="Times New Roman" w:hAnsi="Times New Roman" w:eastAsia="宋体" w:cs="Times New Roman"/>
                <w:color w:val="auto"/>
                <w:kern w:val="0"/>
                <w:sz w:val="24"/>
                <w:highlight w:val="none"/>
                <w:lang w:val="en-US" w:eastAsia="zh-CN"/>
              </w:rPr>
              <w:t>因此本项目的建设</w:t>
            </w:r>
            <w:r>
              <w:rPr>
                <w:rFonts w:hint="default" w:ascii="Times New Roman" w:hAnsi="Times New Roman" w:eastAsia="宋体" w:cs="Times New Roman"/>
                <w:color w:val="auto"/>
                <w:kern w:val="0"/>
                <w:sz w:val="24"/>
                <w:highlight w:val="none"/>
              </w:rPr>
              <w:t>符合规划环境影响报告书</w:t>
            </w:r>
            <w:r>
              <w:rPr>
                <w:rFonts w:hint="default" w:ascii="Times New Roman" w:hAnsi="Times New Roman" w:eastAsia="宋体" w:cs="Times New Roman"/>
                <w:color w:val="auto"/>
                <w:kern w:val="0"/>
                <w:sz w:val="24"/>
                <w:highlight w:val="none"/>
                <w:lang w:val="en-US" w:eastAsia="zh-CN"/>
              </w:rPr>
              <w:t>及</w:t>
            </w:r>
            <w:r>
              <w:rPr>
                <w:rFonts w:hint="default" w:ascii="Times New Roman" w:hAnsi="Times New Roman" w:eastAsia="宋体" w:cs="Times New Roman"/>
                <w:color w:val="auto"/>
                <w:kern w:val="0"/>
                <w:sz w:val="24"/>
                <w:highlight w:val="none"/>
              </w:rPr>
              <w:t>《宁夏回族自治区水安全保障</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十四五</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rPr>
              <w:t>规划</w:t>
            </w:r>
            <w:r>
              <w:rPr>
                <w:rFonts w:hint="default" w:ascii="Times New Roman" w:hAnsi="Times New Roman" w:eastAsia="宋体" w:cs="Times New Roman"/>
                <w:color w:val="auto"/>
                <w:kern w:val="0"/>
                <w:sz w:val="24"/>
                <w:highlight w:val="none"/>
              </w:rPr>
              <w:t>环境影响报告书》审查意见的要求。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bookmarkStart w:id="6" w:name="_Hlk56690880"/>
            <w:r>
              <w:rPr>
                <w:rFonts w:hint="default" w:ascii="Times New Roman" w:hAnsi="Times New Roman" w:eastAsia="宋体" w:cs="Times New Roman"/>
                <w:b/>
                <w:bCs/>
                <w:color w:val="auto"/>
                <w:kern w:val="0"/>
                <w:sz w:val="24"/>
                <w:highlight w:val="none"/>
              </w:rPr>
              <w:t>其他符合性分析</w:t>
            </w:r>
          </w:p>
        </w:tc>
        <w:tc>
          <w:tcPr>
            <w:tcW w:w="7992" w:type="dxa"/>
            <w:gridSpan w:val="4"/>
            <w:tcBorders>
              <w:tl2br w:val="nil"/>
              <w:tr2bl w:val="nil"/>
            </w:tcBorders>
            <w:tcMar>
              <w:top w:w="16" w:type="dxa"/>
              <w:left w:w="16" w:type="dxa"/>
              <w:right w:w="16" w:type="dxa"/>
            </w:tcMar>
            <w:vAlign w:val="center"/>
          </w:tcPr>
          <w:p>
            <w:pPr>
              <w:keepNext w:val="0"/>
              <w:keepLines w:val="0"/>
              <w:pageBreakBefore w:val="0"/>
              <w:widowControl w:val="0"/>
              <w:kinsoku/>
              <w:wordWrap/>
              <w:topLinePunct w:val="0"/>
              <w:autoSpaceDE w:val="0"/>
              <w:autoSpaceDN w:val="0"/>
              <w:bidi w:val="0"/>
              <w:adjustRightInd w:val="0"/>
              <w:snapToGrid w:val="0"/>
              <w:spacing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1、产业政策合理性分析</w:t>
            </w:r>
          </w:p>
          <w:p>
            <w:pPr>
              <w:keepNext w:val="0"/>
              <w:keepLines w:val="0"/>
              <w:pageBreakBefore w:val="0"/>
              <w:widowControl w:val="0"/>
              <w:kinsoku/>
              <w:wordWrap/>
              <w:topLinePunct w:val="0"/>
              <w:autoSpaceDE w:val="0"/>
              <w:autoSpaceDN w:val="0"/>
              <w:bidi w:val="0"/>
              <w:adjustRightInd w:val="0"/>
              <w:snapToGrid w:val="0"/>
              <w:spacing w:line="540" w:lineRule="exact"/>
              <w:ind w:left="120" w:leftChars="50" w:right="120" w:rightChars="5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根据中华人民共和国国家发展和改革委员会令第7号《产业结构调整指导目录（2024年本）》，本项目属于第一类鼓励类，二、水利—3．防洪提升工程：</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城市积涝预警和防洪工程</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，因此本项目符合国家产业政策。</w:t>
            </w:r>
          </w:p>
          <w:p>
            <w:pPr>
              <w:keepNext w:val="0"/>
              <w:keepLines w:val="0"/>
              <w:pageBreakBefore w:val="0"/>
              <w:widowControl w:val="0"/>
              <w:kinsoku/>
              <w:wordWrap/>
              <w:topLinePunct w:val="0"/>
              <w:autoSpaceDE w:val="0"/>
              <w:autoSpaceDN w:val="0"/>
              <w:bidi w:val="0"/>
              <w:adjustRightInd w:val="0"/>
              <w:snapToGrid w:val="0"/>
              <w:spacing w:line="540" w:lineRule="exact"/>
              <w:ind w:left="120" w:leftChars="50" w:right="120" w:rightChars="5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2、“三线一单”符合性分析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⑴与</w:t>
            </w:r>
            <w:r>
              <w:rPr>
                <w:rFonts w:hint="eastAsia"/>
                <w:sz w:val="24"/>
                <w:highlight w:val="none"/>
                <w:lang w:eastAsia="zh-CN"/>
              </w:rPr>
              <w:t>固原市</w:t>
            </w:r>
            <w:r>
              <w:rPr>
                <w:sz w:val="24"/>
                <w:highlight w:val="none"/>
              </w:rPr>
              <w:t>生态红线及生态环境分区管控符合性分析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rFonts w:hint="eastAsia"/>
                <w:sz w:val="24"/>
                <w:highlight w:val="none"/>
              </w:rPr>
              <w:t>根据</w:t>
            </w:r>
            <w:r>
              <w:rPr>
                <w:rFonts w:hint="eastAsia"/>
                <w:color w:val="000000" w:themeColor="text1"/>
                <w:sz w:val="24"/>
                <w:highlight w:val="none"/>
                <w14:textFill>
                  <w14:solidFill>
                    <w14:schemeClr w14:val="tx1"/>
                  </w14:solidFill>
                </w14:textFill>
              </w:rPr>
              <w:t>《固原市人民政府关于实施“三线一单”生态环境分区管控的意见》（固政规发〔20</w:t>
            </w:r>
            <w:r>
              <w:rPr>
                <w:rFonts w:hint="eastAsia"/>
                <w:color w:val="000000" w:themeColor="text1"/>
                <w:sz w:val="24"/>
                <w:highlight w:val="none"/>
                <w:lang w:val="en-US" w:eastAsia="zh-CN"/>
                <w14:textFill>
                  <w14:solidFill>
                    <w14:schemeClr w14:val="tx1"/>
                  </w14:solidFill>
                </w14:textFill>
              </w:rPr>
              <w:t>24</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28</w:t>
            </w:r>
            <w:r>
              <w:rPr>
                <w:rFonts w:hint="eastAsia"/>
                <w:color w:val="000000" w:themeColor="text1"/>
                <w:sz w:val="24"/>
                <w:highlight w:val="none"/>
                <w14:textFill>
                  <w14:solidFill>
                    <w14:schemeClr w14:val="tx1"/>
                  </w14:solidFill>
                </w14:textFill>
              </w:rPr>
              <w:t>号），</w:t>
            </w:r>
            <w:r>
              <w:rPr>
                <w:rFonts w:hint="eastAsia"/>
                <w:sz w:val="24"/>
                <w:highlight w:val="none"/>
              </w:rPr>
              <w:t>基于生态保护红线划定评估，以生态系统功能极重要区和重要区、生态环境极敏感区和敏感区为重点，衔接自治区级及以上自然保护区，县级及以上饮用水水源保护区，自治区级及以上风景名胜区、湿地公园、森林公园、地质公园，国家级水产种质资源保护区，国家级生态公益林等各类自然保护地和其他保护区域，衔接相关规划及经济社会发展需求，划定固原市生态空间总面积4171.22平方公里，占全市国土总面积的39.63%。其中生态保护红线面积为3302.06平方公里，占全市国土总面积的31.37%；除生态保护红线以外的一般生态空间面积869.16平方公里，占全市国土面积8.26%。</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生态分区管控要求：</w:t>
            </w:r>
            <w:r>
              <w:rPr>
                <w:rFonts w:hint="eastAsia"/>
                <w:sz w:val="24"/>
                <w:highlight w:val="none"/>
              </w:rPr>
              <w:t>生态保护红线原则上按禁止开发区域的要求进行管理。严禁不符合主体功能定位的各类开发活动，严禁任意改变用途，确保生态保护红线内“生态功能不降低，面积不减少，性质不改变”。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特别的，对于固原市所属的南部水源涵养区，持续开展国土绿化行动，加大植树种草力度，提升水源涵养能力。严格控制林木采伐，禁止开垦25度以上坡地和河湖滩地，持续开展草原禁牧封育。加强干支流河道、沟道及重点水土流失区域的综合治理，开展陡坡地退耕还林、坡耕地改造，控制水土流失，减少入黄泥沙量。</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eastAsia="宋体"/>
                <w:sz w:val="24"/>
                <w:highlight w:val="none"/>
                <w:lang w:eastAsia="zh-CN"/>
              </w:rPr>
            </w:pPr>
            <w:r>
              <w:rPr>
                <w:sz w:val="24"/>
                <w:highlight w:val="none"/>
              </w:rPr>
              <w:t>本项目位于</w:t>
            </w:r>
            <w:r>
              <w:rPr>
                <w:rFonts w:hint="eastAsia"/>
                <w:sz w:val="24"/>
                <w:highlight w:val="none"/>
                <w:lang w:eastAsia="zh-CN"/>
              </w:rPr>
              <w:t>固原市隆德县</w:t>
            </w:r>
            <w:r>
              <w:rPr>
                <w:sz w:val="24"/>
                <w:highlight w:val="none"/>
              </w:rPr>
              <w:t>，</w:t>
            </w:r>
            <w:r>
              <w:rPr>
                <w:rFonts w:hint="eastAsia"/>
                <w:sz w:val="24"/>
                <w:highlight w:val="none"/>
              </w:rPr>
              <w:t>根据“宁夏回族自治区生态保护红线分布示意图”与本项目位置关系确定，本项目在自治区生态保护红线范围内（见附图1）。根据固原市“三线一单”中“固原市生态空间分布图”与本项目位置关系确定可知，确定本项目</w:t>
            </w:r>
            <w:r>
              <w:rPr>
                <w:rFonts w:hint="eastAsia"/>
                <w:sz w:val="24"/>
                <w:highlight w:val="none"/>
                <w:lang w:eastAsia="zh-CN"/>
              </w:rPr>
              <w:t>北象山排洪渠及拦洪渠</w:t>
            </w:r>
            <w:r>
              <w:rPr>
                <w:rFonts w:hint="default" w:ascii="Times New Roman" w:hAnsi="Times New Roman" w:eastAsia="宋体" w:cs="Times New Roman"/>
                <w:color w:val="auto"/>
                <w:kern w:val="0"/>
                <w:sz w:val="24"/>
                <w:highlight w:val="none"/>
                <w:lang w:val="en-US" w:eastAsia="zh-CN"/>
              </w:rPr>
              <w:t>浆砌石挡土墙</w:t>
            </w:r>
            <w:r>
              <w:rPr>
                <w:rFonts w:hint="eastAsia" w:ascii="Times New Roman" w:hAnsi="Times New Roman" w:eastAsia="宋体" w:cs="Times New Roman"/>
                <w:color w:val="auto"/>
                <w:kern w:val="0"/>
                <w:sz w:val="24"/>
                <w:highlight w:val="none"/>
                <w:lang w:val="en-US" w:eastAsia="zh-CN"/>
              </w:rPr>
              <w:t>部分</w:t>
            </w:r>
            <w:r>
              <w:rPr>
                <w:rFonts w:hint="eastAsia"/>
                <w:sz w:val="24"/>
                <w:highlight w:val="none"/>
              </w:rPr>
              <w:t>在固原市生态保护红线范围内（见附图2）。</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sz w:val="24"/>
                <w:highlight w:val="none"/>
              </w:rPr>
            </w:pPr>
            <w:r>
              <w:rPr>
                <w:rFonts w:hint="eastAsia"/>
                <w:sz w:val="24"/>
                <w:highlight w:val="none"/>
              </w:rPr>
              <w:t>本项目属于防洪排涝能力提升项目，主要建设防洪渠、</w:t>
            </w:r>
            <w:r>
              <w:rPr>
                <w:rFonts w:hint="eastAsia"/>
                <w:sz w:val="24"/>
                <w:highlight w:val="none"/>
                <w:lang w:eastAsia="zh-CN"/>
              </w:rPr>
              <w:t>沟道砌护及排洪渠清淤</w:t>
            </w:r>
            <w:r>
              <w:rPr>
                <w:rFonts w:hint="eastAsia"/>
                <w:sz w:val="24"/>
                <w:highlight w:val="none"/>
              </w:rPr>
              <w:t>，不属于开垦类项目，本项目施工期仅有施工扬尘，施工机械废气产生，经施工场地洒水与完全实行施工扬尘“六个百分百”治理措施后，施工期废气对生态环境基本无影响；施工人员居住租用民房，因此生活污水排放依托租用民房，本项目施工废水设置沉淀池，沉淀后用于施工场地洒水抑尘；项目产生固体废物主要为废弃土石方及生活垃圾，开挖土石方全部用于道路铺设及场地平整，生活垃圾设置垃圾桶收集后及时清运至附近农村生活垃圾转运站处置；故本项目施工期三废经上述处理后，对项目区环境基本无影响。</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sz w:val="24"/>
                <w:highlight w:val="none"/>
              </w:rPr>
            </w:pPr>
            <w:r>
              <w:rPr>
                <w:rFonts w:hint="eastAsia"/>
                <w:sz w:val="24"/>
                <w:highlight w:val="none"/>
              </w:rPr>
              <w:t>本项目运营期无废水、废气产生，只在清除</w:t>
            </w:r>
            <w:r>
              <w:rPr>
                <w:rFonts w:hint="eastAsia"/>
                <w:sz w:val="24"/>
                <w:highlight w:val="none"/>
                <w:lang w:eastAsia="zh-CN"/>
              </w:rPr>
              <w:t>排洪渠</w:t>
            </w:r>
            <w:r>
              <w:rPr>
                <w:rFonts w:hint="eastAsia"/>
                <w:sz w:val="24"/>
                <w:highlight w:val="none"/>
              </w:rPr>
              <w:t>漂浮物及杂草时会有少量固体废物产生，由当地环卫部门清理处置。</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rFonts w:hint="eastAsia"/>
                <w:sz w:val="24"/>
                <w:highlight w:val="none"/>
              </w:rPr>
              <w:t>综上，本项目建设符合一般生态空间及生态保护红线管控要求。</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⑵与</w:t>
            </w:r>
            <w:r>
              <w:rPr>
                <w:rFonts w:hint="eastAsia"/>
                <w:sz w:val="24"/>
                <w:highlight w:val="none"/>
                <w:lang w:eastAsia="zh-CN"/>
              </w:rPr>
              <w:t>固原市</w:t>
            </w:r>
            <w:r>
              <w:rPr>
                <w:sz w:val="24"/>
                <w:highlight w:val="none"/>
              </w:rPr>
              <w:t>生态环境质量底线及分区管控符合性分析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①与</w:t>
            </w:r>
            <w:r>
              <w:rPr>
                <w:rFonts w:hint="eastAsia"/>
                <w:sz w:val="24"/>
                <w:highlight w:val="none"/>
                <w:lang w:eastAsia="zh-CN"/>
              </w:rPr>
              <w:t>固原市</w:t>
            </w:r>
            <w:r>
              <w:rPr>
                <w:sz w:val="24"/>
                <w:highlight w:val="none"/>
              </w:rPr>
              <w:t>大气环境质量底线及分区管控符合性分析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sz w:val="24"/>
                <w:highlight w:val="none"/>
              </w:rPr>
            </w:pPr>
            <w:r>
              <w:rPr>
                <w:sz w:val="24"/>
                <w:highlight w:val="none"/>
              </w:rPr>
              <w:t>大气环境质量底线：根据</w:t>
            </w:r>
            <w:r>
              <w:rPr>
                <w:rFonts w:hint="eastAsia"/>
                <w:sz w:val="24"/>
                <w:highlight w:val="none"/>
              </w:rPr>
              <w:t>《2023年宁夏生态环境质量状况》</w:t>
            </w:r>
            <w:r>
              <w:rPr>
                <w:sz w:val="24"/>
                <w:highlight w:val="none"/>
              </w:rPr>
              <w:t>公开的区域环境空气质量数据可以看出，PM</w:t>
            </w:r>
            <w:r>
              <w:rPr>
                <w:sz w:val="24"/>
                <w:highlight w:val="none"/>
                <w:vertAlign w:val="subscript"/>
              </w:rPr>
              <w:t>10</w:t>
            </w:r>
            <w:r>
              <w:rPr>
                <w:sz w:val="24"/>
                <w:highlight w:val="none"/>
              </w:rPr>
              <w:t>、PM</w:t>
            </w:r>
            <w:r>
              <w:rPr>
                <w:sz w:val="24"/>
                <w:highlight w:val="none"/>
                <w:vertAlign w:val="subscript"/>
              </w:rPr>
              <w:t>2.5</w:t>
            </w:r>
            <w:r>
              <w:rPr>
                <w:sz w:val="24"/>
                <w:highlight w:val="none"/>
              </w:rPr>
              <w:t>、SO</w:t>
            </w:r>
            <w:r>
              <w:rPr>
                <w:sz w:val="24"/>
                <w:highlight w:val="none"/>
                <w:vertAlign w:val="subscript"/>
              </w:rPr>
              <w:t>2</w:t>
            </w:r>
            <w:r>
              <w:rPr>
                <w:sz w:val="24"/>
                <w:highlight w:val="none"/>
              </w:rPr>
              <w:t>、NO</w:t>
            </w:r>
            <w:r>
              <w:rPr>
                <w:sz w:val="24"/>
                <w:highlight w:val="none"/>
                <w:vertAlign w:val="subscript"/>
              </w:rPr>
              <w:t>2</w:t>
            </w:r>
            <w:r>
              <w:rPr>
                <w:sz w:val="24"/>
                <w:highlight w:val="none"/>
              </w:rPr>
              <w:t>、年均值、O</w:t>
            </w:r>
            <w:r>
              <w:rPr>
                <w:sz w:val="24"/>
                <w:highlight w:val="none"/>
                <w:vertAlign w:val="subscript"/>
              </w:rPr>
              <w:t>3</w:t>
            </w:r>
            <w:r>
              <w:rPr>
                <w:sz w:val="24"/>
                <w:highlight w:val="none"/>
              </w:rPr>
              <w:t>日最大8h滑动平均值的第90百分位数、CO</w:t>
            </w:r>
            <w:r>
              <w:rPr>
                <w:rFonts w:hint="eastAsia"/>
                <w:sz w:val="24"/>
                <w:highlight w:val="none"/>
                <w:lang w:val="en-US" w:eastAsia="zh-CN"/>
              </w:rPr>
              <w:t xml:space="preserve"> </w:t>
            </w:r>
            <w:r>
              <w:rPr>
                <w:sz w:val="24"/>
                <w:highlight w:val="none"/>
              </w:rPr>
              <w:t>24h平均第95百分位数均满足《环境空气质量标准》（GB3095-2012及2018年修改单）中二级标准要求</w:t>
            </w:r>
            <w:r>
              <w:rPr>
                <w:rFonts w:hint="eastAsia"/>
                <w:sz w:val="24"/>
                <w:highlight w:val="none"/>
              </w:rPr>
              <w:t>。</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本项目</w:t>
            </w:r>
            <w:r>
              <w:rPr>
                <w:rFonts w:hint="default" w:ascii="Times New Roman" w:hAnsi="Times New Roman" w:eastAsia="宋体" w:cs="Times New Roman"/>
                <w:color w:val="auto"/>
                <w:kern w:val="0"/>
                <w:sz w:val="24"/>
                <w:highlight w:val="none"/>
                <w:lang w:val="en-US" w:eastAsia="zh-CN"/>
              </w:rPr>
              <w:t>北象山新建排洪渠及拦洪渠浆砌石挡土墙</w:t>
            </w:r>
            <w:r>
              <w:rPr>
                <w:rFonts w:hint="eastAsia" w:ascii="Times New Roman" w:hAnsi="Times New Roman" w:eastAsia="宋体" w:cs="Times New Roman"/>
                <w:color w:val="auto"/>
                <w:kern w:val="0"/>
                <w:sz w:val="24"/>
                <w:highlight w:val="none"/>
                <w:lang w:val="en-US" w:eastAsia="zh-CN"/>
              </w:rPr>
              <w:t>位于优先保护区，</w:t>
            </w:r>
            <w:r>
              <w:rPr>
                <w:rFonts w:hint="default" w:ascii="Times New Roman" w:hAnsi="Times New Roman" w:eastAsia="宋体" w:cs="Times New Roman"/>
                <w:color w:val="auto"/>
                <w:kern w:val="0"/>
                <w:sz w:val="24"/>
                <w:highlight w:val="none"/>
                <w:lang w:val="en-US" w:eastAsia="zh-CN"/>
              </w:rPr>
              <w:t>县城东侧建筑垃圾填埋场排洪渠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县生活垃圾填埋场排洪渠</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行政中心北侧现状排洪渠清淤疏浚</w:t>
            </w:r>
            <w:r>
              <w:rPr>
                <w:rFonts w:hint="eastAsia" w:ascii="Times New Roman" w:hAnsi="Times New Roman" w:eastAsia="宋体" w:cs="Times New Roman"/>
                <w:color w:val="auto"/>
                <w:kern w:val="0"/>
                <w:sz w:val="24"/>
                <w:highlight w:val="none"/>
                <w:lang w:val="en-US" w:eastAsia="zh-CN"/>
              </w:rPr>
              <w:t>工程、</w:t>
            </w:r>
            <w:r>
              <w:rPr>
                <w:rFonts w:hint="default" w:ascii="Times New Roman" w:hAnsi="Times New Roman" w:eastAsia="宋体" w:cs="Times New Roman"/>
                <w:color w:val="auto"/>
                <w:kern w:val="0"/>
                <w:sz w:val="24"/>
                <w:highlight w:val="none"/>
                <w:lang w:val="en-US" w:eastAsia="zh-CN"/>
              </w:rPr>
              <w:t>南河社区两侧沟道砌护</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排洪管</w:t>
            </w:r>
            <w:r>
              <w:rPr>
                <w:rFonts w:hint="eastAsia" w:ascii="Times New Roman" w:hAnsi="Times New Roman" w:eastAsia="宋体" w:cs="Times New Roman"/>
                <w:color w:val="auto"/>
                <w:kern w:val="0"/>
                <w:sz w:val="24"/>
                <w:highlight w:val="none"/>
                <w:lang w:val="en-US" w:eastAsia="zh-CN"/>
              </w:rPr>
              <w:t>位于</w:t>
            </w:r>
            <w:r>
              <w:rPr>
                <w:rFonts w:hint="eastAsia"/>
                <w:sz w:val="24"/>
                <w:highlight w:val="none"/>
                <w:lang w:eastAsia="zh-CN"/>
              </w:rPr>
              <w:t>受体敏感</w:t>
            </w:r>
            <w:r>
              <w:rPr>
                <w:sz w:val="24"/>
                <w:highlight w:val="none"/>
              </w:rPr>
              <w:t>重点管控区</w:t>
            </w:r>
            <w:r>
              <w:rPr>
                <w:rFonts w:hint="eastAsia"/>
                <w:sz w:val="24"/>
                <w:highlight w:val="none"/>
                <w:lang w:eastAsia="zh-CN"/>
              </w:rPr>
              <w:t>。大气环境优先保护区管控要求：严格落实相关法律法规对自然保护区、风景名胜区的保护要求，原则上禁止新建、扩建涉及大气污染物排放的各类工业项目及生活垃圾焚烧发电项目，现有项目依法拆除或关停。受体敏感</w:t>
            </w:r>
            <w:r>
              <w:rPr>
                <w:sz w:val="24"/>
                <w:highlight w:val="none"/>
              </w:rPr>
              <w:t>重点管控区</w:t>
            </w:r>
            <w:r>
              <w:rPr>
                <w:rFonts w:hint="eastAsia"/>
                <w:sz w:val="24"/>
                <w:highlight w:val="none"/>
                <w:lang w:eastAsia="zh-CN"/>
              </w:rPr>
              <w:t>管控</w:t>
            </w:r>
            <w:r>
              <w:rPr>
                <w:sz w:val="24"/>
                <w:highlight w:val="none"/>
              </w:rPr>
              <w:t>要求为：</w:t>
            </w:r>
            <w:r>
              <w:rPr>
                <w:rFonts w:hint="eastAsia"/>
                <w:sz w:val="24"/>
                <w:highlight w:val="none"/>
              </w:rPr>
              <w:t>推进固原市区、四县县城、乡镇所在地和城市周边等重点区域清洁供暖。禁止在高排放非道路移动机械禁止使用区域内使用污染物排放达不到GB36886中规定的Ⅲ类限值标准或排放黑烟等明显可视污染物的非道路移动柴油工程机械。严格落实建筑、拆迁工地“6个100%”防控措施，最大限度减少城市建成区裸露地面，提高城市建成区道路机械化清扫率。严格限制产生和排放有毒有害大气污染物项目，鼓励现有该类项目逐步搬迁退出。禁止焚烧产生有毒有害烟尘和恶臭气体的物质。加强餐饮业燃料烟气及餐饮油烟防治，鼓励餐饮业及居民生活能源使用天然气、液化石油气、生物酒精等洁净能源。加快新能源汽车推广使用，推进新能源汽车有序替换存量燃油公交车。</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项目</w:t>
            </w:r>
            <w:r>
              <w:rPr>
                <w:rFonts w:hint="eastAsia"/>
                <w:sz w:val="24"/>
                <w:highlight w:val="none"/>
              </w:rPr>
              <w:t>属于防洪排涝能力提升项目</w:t>
            </w:r>
            <w:r>
              <w:rPr>
                <w:rFonts w:hint="eastAsia"/>
                <w:sz w:val="24"/>
                <w:highlight w:val="none"/>
                <w:lang w:eastAsia="zh-CN"/>
              </w:rPr>
              <w:t>，运营期无大气污染物排放，仅在施工期有少量施工扬尘扩散，</w:t>
            </w:r>
            <w:r>
              <w:rPr>
                <w:sz w:val="24"/>
                <w:highlight w:val="none"/>
              </w:rPr>
              <w:t>可满足其管控要求。</w:t>
            </w:r>
            <w:r>
              <w:rPr>
                <w:rFonts w:hint="eastAsia"/>
                <w:sz w:val="24"/>
                <w:highlight w:val="none"/>
              </w:rPr>
              <w:t>本项目与</w:t>
            </w:r>
            <w:r>
              <w:rPr>
                <w:rFonts w:hint="eastAsia"/>
                <w:sz w:val="24"/>
                <w:highlight w:val="none"/>
                <w:lang w:eastAsia="zh-CN"/>
              </w:rPr>
              <w:t>固原市</w:t>
            </w:r>
            <w:r>
              <w:rPr>
                <w:rFonts w:hint="eastAsia"/>
                <w:sz w:val="24"/>
                <w:highlight w:val="none"/>
              </w:rPr>
              <w:t>大气环境分区管控位置关系图见</w:t>
            </w:r>
            <w:r>
              <w:rPr>
                <w:rFonts w:hint="eastAsia"/>
                <w:sz w:val="24"/>
                <w:highlight w:val="none"/>
                <w:lang w:eastAsia="zh-CN"/>
              </w:rPr>
              <w:t>附图</w:t>
            </w:r>
            <w:r>
              <w:rPr>
                <w:rFonts w:hint="eastAsia"/>
                <w:sz w:val="24"/>
                <w:highlight w:val="none"/>
                <w:lang w:val="en-US" w:eastAsia="zh-CN"/>
              </w:rPr>
              <w:t>3</w:t>
            </w:r>
            <w:r>
              <w:rPr>
                <w:sz w:val="24"/>
                <w:highlight w:val="none"/>
              </w:rPr>
              <w:t>。</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sz w:val="24"/>
                <w:highlight w:val="none"/>
              </w:rPr>
            </w:pPr>
            <w:r>
              <w:rPr>
                <w:sz w:val="24"/>
                <w:highlight w:val="none"/>
              </w:rPr>
              <w:t>②与</w:t>
            </w:r>
            <w:r>
              <w:rPr>
                <w:rFonts w:hint="eastAsia"/>
                <w:sz w:val="24"/>
                <w:highlight w:val="none"/>
                <w:lang w:eastAsia="zh-CN"/>
              </w:rPr>
              <w:t>固原市</w:t>
            </w:r>
            <w:r>
              <w:rPr>
                <w:sz w:val="24"/>
                <w:highlight w:val="none"/>
              </w:rPr>
              <w:t>水环境质量底线及分区管控符合性分析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sz w:val="24"/>
                <w:highlight w:val="none"/>
              </w:rPr>
            </w:pPr>
            <w:r>
              <w:rPr>
                <w:sz w:val="24"/>
                <w:highlight w:val="none"/>
              </w:rPr>
              <w:t>水环境质量底线及达标情况：</w:t>
            </w:r>
            <w:r>
              <w:rPr>
                <w:rFonts w:hint="eastAsia"/>
                <w:sz w:val="24"/>
                <w:highlight w:val="none"/>
              </w:rPr>
              <w:t>地表水国控断面水质优良（Ⅰ-Ⅲ类）比例为87.5%；区控断面水质优良（Ⅰ-Ⅲ类）比例为100%。城市集中式饮用水源地水质达标比例为100%。县级集中式饮用水源地水质达标比例为100%。</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kern w:val="0"/>
                <w:sz w:val="24"/>
                <w:highlight w:val="none"/>
              </w:rPr>
            </w:pPr>
            <w:r>
              <w:rPr>
                <w:color w:val="auto"/>
                <w:sz w:val="24"/>
                <w:highlight w:val="none"/>
              </w:rPr>
              <w:t>本项目水环境质量引用《</w:t>
            </w:r>
            <w:r>
              <w:rPr>
                <w:rFonts w:hint="eastAsia"/>
                <w:color w:val="auto"/>
                <w:sz w:val="24"/>
                <w:highlight w:val="none"/>
              </w:rPr>
              <w:t>2023年1-12月固原市地表水国控断面水质状况</w:t>
            </w:r>
            <w:r>
              <w:rPr>
                <w:color w:val="auto"/>
                <w:sz w:val="24"/>
                <w:highlight w:val="none"/>
              </w:rPr>
              <w:t>》</w:t>
            </w:r>
            <w:r>
              <w:rPr>
                <w:rFonts w:hint="eastAsia"/>
                <w:color w:val="auto"/>
                <w:sz w:val="24"/>
                <w:highlight w:val="none"/>
                <w:lang w:eastAsia="zh-CN"/>
              </w:rPr>
              <w:t>公开的数据，</w:t>
            </w:r>
            <w:r>
              <w:rPr>
                <w:color w:val="auto"/>
                <w:sz w:val="24"/>
                <w:highlight w:val="none"/>
              </w:rPr>
              <w:t>距本项目最近的监测点</w:t>
            </w:r>
            <w:r>
              <w:rPr>
                <w:rFonts w:hint="eastAsia"/>
                <w:color w:val="auto"/>
                <w:sz w:val="24"/>
                <w:highlight w:val="none"/>
                <w:lang w:eastAsia="zh-CN"/>
              </w:rPr>
              <w:t>渝河峰台</w:t>
            </w:r>
            <w:r>
              <w:rPr>
                <w:color w:val="auto"/>
                <w:sz w:val="24"/>
                <w:highlight w:val="none"/>
              </w:rPr>
              <w:t>断面的数据，此监测点位于本项目西</w:t>
            </w:r>
            <w:r>
              <w:rPr>
                <w:rFonts w:hint="eastAsia"/>
                <w:color w:val="auto"/>
                <w:sz w:val="24"/>
                <w:highlight w:val="none"/>
              </w:rPr>
              <w:t>北</w:t>
            </w:r>
            <w:r>
              <w:rPr>
                <w:color w:val="auto"/>
                <w:sz w:val="24"/>
                <w:highlight w:val="none"/>
              </w:rPr>
              <w:t>侧</w:t>
            </w:r>
            <w:r>
              <w:rPr>
                <w:rFonts w:hint="eastAsia"/>
                <w:color w:val="auto"/>
                <w:sz w:val="24"/>
                <w:highlight w:val="none"/>
                <w:lang w:val="en-US" w:eastAsia="zh-CN"/>
              </w:rPr>
              <w:t>2.9km</w:t>
            </w:r>
            <w:r>
              <w:rPr>
                <w:color w:val="auto"/>
                <w:sz w:val="24"/>
                <w:highlight w:val="none"/>
              </w:rPr>
              <w:t>处。监测数据显示，</w:t>
            </w:r>
            <w:r>
              <w:rPr>
                <w:color w:val="auto"/>
                <w:kern w:val="0"/>
                <w:sz w:val="24"/>
                <w:highlight w:val="none"/>
                <w:lang w:bidi="ar"/>
              </w:rPr>
              <w:t>20</w:t>
            </w:r>
            <w:r>
              <w:rPr>
                <w:rFonts w:hint="eastAsia"/>
                <w:color w:val="auto"/>
                <w:kern w:val="0"/>
                <w:sz w:val="24"/>
                <w:highlight w:val="none"/>
                <w:lang w:bidi="ar"/>
              </w:rPr>
              <w:t>2</w:t>
            </w:r>
            <w:r>
              <w:rPr>
                <w:rFonts w:hint="eastAsia"/>
                <w:color w:val="auto"/>
                <w:kern w:val="0"/>
                <w:sz w:val="24"/>
                <w:highlight w:val="none"/>
                <w:lang w:val="en-US" w:eastAsia="zh-CN" w:bidi="ar"/>
              </w:rPr>
              <w:t>3</w:t>
            </w:r>
            <w:r>
              <w:rPr>
                <w:color w:val="auto"/>
                <w:kern w:val="0"/>
                <w:sz w:val="24"/>
                <w:highlight w:val="none"/>
                <w:lang w:bidi="ar"/>
              </w:rPr>
              <w:t>年</w:t>
            </w:r>
            <w:r>
              <w:rPr>
                <w:rFonts w:hint="eastAsia"/>
                <w:color w:val="auto"/>
                <w:sz w:val="24"/>
                <w:highlight w:val="none"/>
                <w:lang w:eastAsia="zh-CN"/>
              </w:rPr>
              <w:t>渝河峰台</w:t>
            </w:r>
            <w:r>
              <w:rPr>
                <w:color w:val="auto"/>
                <w:sz w:val="24"/>
                <w:highlight w:val="none"/>
              </w:rPr>
              <w:t>断面</w:t>
            </w:r>
            <w:r>
              <w:rPr>
                <w:color w:val="auto"/>
                <w:kern w:val="0"/>
                <w:sz w:val="24"/>
                <w:highlight w:val="none"/>
                <w:lang w:bidi="ar"/>
              </w:rPr>
              <w:t>水质指标中，</w:t>
            </w:r>
            <w:r>
              <w:rPr>
                <w:rFonts w:hint="eastAsia"/>
                <w:color w:val="auto"/>
                <w:sz w:val="24"/>
                <w:highlight w:val="none"/>
                <w:lang w:eastAsia="zh-CN"/>
              </w:rPr>
              <w:t>渝河峰台</w:t>
            </w:r>
            <w:r>
              <w:rPr>
                <w:color w:val="auto"/>
                <w:sz w:val="24"/>
                <w:highlight w:val="none"/>
              </w:rPr>
              <w:t>断面各监测因子均能满足《地表水环境质量标准》(GB3838-2002)Ⅱ类标准</w:t>
            </w:r>
            <w:r>
              <w:rPr>
                <w:color w:val="auto"/>
                <w:kern w:val="0"/>
                <w:sz w:val="24"/>
                <w:highlight w:val="none"/>
              </w:rPr>
              <w:t>。</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本项目位于水环境</w:t>
            </w:r>
            <w:r>
              <w:rPr>
                <w:rFonts w:hint="eastAsia"/>
                <w:color w:val="auto"/>
                <w:sz w:val="24"/>
                <w:highlight w:val="none"/>
                <w:lang w:eastAsia="zh-CN"/>
              </w:rPr>
              <w:t>一般管控区</w:t>
            </w:r>
            <w:r>
              <w:rPr>
                <w:color w:val="auto"/>
                <w:sz w:val="24"/>
                <w:highlight w:val="none"/>
              </w:rPr>
              <w:t>，其具体要求为：“</w:t>
            </w:r>
            <w:r>
              <w:rPr>
                <w:rFonts w:hint="eastAsia"/>
                <w:color w:val="auto"/>
                <w:sz w:val="24"/>
                <w:highlight w:val="none"/>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color w:val="auto"/>
                <w:sz w:val="24"/>
                <w:highlight w:val="none"/>
                <w:lang w:eastAsia="zh-CN"/>
              </w:rPr>
            </w:pPr>
            <w:r>
              <w:rPr>
                <w:color w:val="auto"/>
                <w:sz w:val="24"/>
                <w:highlight w:val="none"/>
              </w:rPr>
              <w:t>本项目</w:t>
            </w:r>
            <w:r>
              <w:rPr>
                <w:rFonts w:hint="eastAsia"/>
                <w:color w:val="auto"/>
                <w:sz w:val="24"/>
                <w:highlight w:val="none"/>
                <w:lang w:eastAsia="zh-CN"/>
              </w:rPr>
              <w:t>废水只在施工期产生设备清洗废水，设置沉淀池沉淀后，用于场地扬尘洒水治理，车辆冲洗等，不外排。</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rFonts w:hint="eastAsia"/>
                <w:color w:val="auto"/>
                <w:sz w:val="24"/>
                <w:highlight w:val="none"/>
                <w:lang w:eastAsia="zh-CN"/>
              </w:rPr>
              <w:t>综上，本项目符合固原市水环境一般管控要求，本项目与固原市水环境分区管控位置关系图见附图</w:t>
            </w:r>
            <w:r>
              <w:rPr>
                <w:rFonts w:hint="eastAsia"/>
                <w:color w:val="auto"/>
                <w:sz w:val="24"/>
                <w:highlight w:val="none"/>
                <w:lang w:val="en-US" w:eastAsia="zh-CN"/>
              </w:rPr>
              <w:t>4</w:t>
            </w:r>
            <w:r>
              <w:rPr>
                <w:rFonts w:hint="eastAsia"/>
                <w:color w:val="auto"/>
                <w:sz w:val="24"/>
                <w:highlight w:val="none"/>
                <w:lang w:eastAsia="zh-CN"/>
              </w:rPr>
              <w:t>。</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③与</w:t>
            </w:r>
            <w:r>
              <w:rPr>
                <w:rFonts w:hint="eastAsia"/>
                <w:color w:val="auto"/>
                <w:sz w:val="24"/>
                <w:highlight w:val="none"/>
                <w:lang w:eastAsia="zh-CN"/>
              </w:rPr>
              <w:t>固原市</w:t>
            </w:r>
            <w:r>
              <w:rPr>
                <w:color w:val="auto"/>
                <w:sz w:val="24"/>
                <w:highlight w:val="none"/>
              </w:rPr>
              <w:t>土壤环境质量底线及分区管控符合性分析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eastAsia="宋体"/>
                <w:color w:val="0000FF"/>
                <w:sz w:val="24"/>
                <w:highlight w:val="none"/>
                <w:lang w:eastAsia="zh-CN"/>
              </w:rPr>
            </w:pPr>
            <w:r>
              <w:rPr>
                <w:color w:val="auto"/>
                <w:sz w:val="24"/>
                <w:highlight w:val="none"/>
              </w:rPr>
              <w:t>土壤环境：根据</w:t>
            </w:r>
            <w:r>
              <w:rPr>
                <w:rFonts w:hint="eastAsia"/>
                <w:color w:val="auto"/>
                <w:sz w:val="24"/>
                <w:highlight w:val="none"/>
                <w:lang w:eastAsia="zh-CN"/>
              </w:rPr>
              <w:t>固原市</w:t>
            </w:r>
            <w:r>
              <w:rPr>
                <w:color w:val="auto"/>
                <w:sz w:val="24"/>
                <w:highlight w:val="none"/>
              </w:rPr>
              <w:t>土壤污染风险管控分区，本项目属于</w:t>
            </w:r>
            <w:r>
              <w:rPr>
                <w:rFonts w:hint="eastAsia"/>
                <w:color w:val="auto"/>
                <w:sz w:val="24"/>
                <w:highlight w:val="none"/>
                <w:lang w:eastAsia="zh-CN"/>
              </w:rPr>
              <w:t>一般管控区</w:t>
            </w:r>
            <w:r>
              <w:rPr>
                <w:color w:val="auto"/>
                <w:sz w:val="24"/>
                <w:highlight w:val="none"/>
              </w:rPr>
              <w:t>。</w:t>
            </w:r>
            <w:r>
              <w:rPr>
                <w:rFonts w:hint="eastAsia"/>
                <w:color w:val="auto"/>
                <w:sz w:val="24"/>
                <w:highlight w:val="none"/>
              </w:rPr>
              <w:t>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eastAsia="宋体"/>
                <w:color w:val="auto"/>
                <w:sz w:val="24"/>
                <w:highlight w:val="none"/>
                <w:lang w:eastAsia="zh-CN"/>
              </w:rPr>
            </w:pPr>
            <w:r>
              <w:rPr>
                <w:color w:val="auto"/>
                <w:sz w:val="24"/>
                <w:highlight w:val="none"/>
              </w:rPr>
              <w:t>本项目</w:t>
            </w:r>
            <w:r>
              <w:rPr>
                <w:rFonts w:hint="eastAsia"/>
                <w:color w:val="auto"/>
                <w:sz w:val="24"/>
                <w:highlight w:val="none"/>
                <w:lang w:eastAsia="zh-CN"/>
              </w:rPr>
              <w:t>为县城排水防涝能力提升工程，不排放重点污染物，</w:t>
            </w:r>
            <w:r>
              <w:rPr>
                <w:color w:val="auto"/>
                <w:sz w:val="24"/>
                <w:highlight w:val="none"/>
              </w:rPr>
              <w:t>不存在土壤、地下水污染途径。项目根据《建设项目环境影响报告表编制技术指南（</w:t>
            </w:r>
            <w:r>
              <w:rPr>
                <w:rFonts w:hint="eastAsia"/>
                <w:color w:val="auto"/>
                <w:sz w:val="24"/>
                <w:highlight w:val="none"/>
                <w:lang w:eastAsia="zh-CN"/>
              </w:rPr>
              <w:t>生态</w:t>
            </w:r>
            <w:r>
              <w:rPr>
                <w:color w:val="auto"/>
                <w:sz w:val="24"/>
                <w:highlight w:val="none"/>
              </w:rPr>
              <w:t>影响类）》（试行），不开展土壤环境质量现状评价。因此，符合其相关管控要求。</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本项目产生的环境影响经防治措施治理后，能保障基本环境质量要求的安全线。总体来看，项目符合环境质量底线要求。</w:t>
            </w:r>
            <w:r>
              <w:rPr>
                <w:rFonts w:hint="eastAsia"/>
                <w:color w:val="auto"/>
                <w:sz w:val="24"/>
                <w:highlight w:val="none"/>
              </w:rPr>
              <w:t>本项目与</w:t>
            </w:r>
            <w:r>
              <w:rPr>
                <w:rFonts w:hint="eastAsia"/>
                <w:color w:val="auto"/>
                <w:sz w:val="24"/>
                <w:highlight w:val="none"/>
                <w:lang w:eastAsia="zh-CN"/>
              </w:rPr>
              <w:t>固原市</w:t>
            </w:r>
            <w:r>
              <w:rPr>
                <w:rFonts w:hint="eastAsia"/>
                <w:color w:val="auto"/>
                <w:sz w:val="24"/>
                <w:highlight w:val="none"/>
              </w:rPr>
              <w:t>土壤污染风险环境分区管控位置关系图见</w:t>
            </w:r>
            <w:r>
              <w:rPr>
                <w:rFonts w:hint="eastAsia"/>
                <w:color w:val="auto"/>
                <w:sz w:val="24"/>
                <w:highlight w:val="none"/>
                <w:lang w:eastAsia="zh-CN"/>
              </w:rPr>
              <w:t>附</w:t>
            </w:r>
            <w:r>
              <w:rPr>
                <w:rFonts w:hint="eastAsia"/>
                <w:color w:val="auto"/>
                <w:sz w:val="24"/>
                <w:highlight w:val="none"/>
              </w:rPr>
              <w:t>图</w:t>
            </w:r>
            <w:r>
              <w:rPr>
                <w:rFonts w:hint="eastAsia"/>
                <w:color w:val="auto"/>
                <w:sz w:val="24"/>
                <w:highlight w:val="none"/>
                <w:lang w:val="en-US" w:eastAsia="zh-CN"/>
              </w:rPr>
              <w:t>5</w:t>
            </w:r>
            <w:r>
              <w:rPr>
                <w:color w:val="auto"/>
                <w:sz w:val="24"/>
                <w:highlight w:val="none"/>
              </w:rPr>
              <w:t>。</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⑶资源利用上限符合性分析</w:t>
            </w:r>
          </w:p>
          <w:p>
            <w:pPr>
              <w:keepNext w:val="0"/>
              <w:keepLines w:val="0"/>
              <w:pageBreakBefore w:val="0"/>
              <w:widowControl w:val="0"/>
              <w:kinsoku/>
              <w:wordWrap/>
              <w:overflowPunct w:val="0"/>
              <w:topLinePunct w:val="0"/>
              <w:bidi w:val="0"/>
              <w:adjustRightInd w:val="0"/>
              <w:snapToGrid w:val="0"/>
              <w:spacing w:line="540" w:lineRule="exact"/>
              <w:ind w:left="120" w:leftChars="50" w:right="120" w:rightChars="50" w:firstLine="480" w:firstLineChars="200"/>
              <w:jc w:val="both"/>
              <w:textAlignment w:val="auto"/>
              <w:rPr>
                <w:rFonts w:hint="default" w:ascii="Times New Roman" w:hAnsi="Times New Roman" w:eastAsia="宋体" w:cs="Times New Roman"/>
                <w:bCs/>
                <w:color w:val="auto"/>
                <w:kern w:val="16"/>
                <w:sz w:val="24"/>
                <w:szCs w:val="24"/>
                <w:highlight w:val="none"/>
              </w:rPr>
            </w:pPr>
            <w:r>
              <w:rPr>
                <w:rFonts w:hint="default" w:ascii="Times New Roman" w:hAnsi="Times New Roman" w:eastAsia="宋体" w:cs="Times New Roman"/>
                <w:bCs/>
                <w:color w:val="auto"/>
                <w:kern w:val="16"/>
                <w:sz w:val="24"/>
                <w:szCs w:val="24"/>
                <w:highlight w:val="none"/>
              </w:rPr>
              <w:t>本项目</w:t>
            </w:r>
            <w:r>
              <w:rPr>
                <w:rFonts w:hint="default" w:ascii="Times New Roman" w:hAnsi="Times New Roman" w:eastAsia="宋体" w:cs="Times New Roman"/>
                <w:bCs/>
                <w:color w:val="auto"/>
                <w:kern w:val="16"/>
                <w:sz w:val="24"/>
                <w:szCs w:val="24"/>
                <w:highlight w:val="none"/>
                <w:lang w:val="en-US" w:eastAsia="zh-CN"/>
              </w:rPr>
              <w:t>为</w:t>
            </w:r>
            <w:r>
              <w:rPr>
                <w:rFonts w:hint="eastAsia" w:cs="Times New Roman"/>
                <w:bCs/>
                <w:color w:val="auto"/>
                <w:kern w:val="16"/>
                <w:sz w:val="24"/>
                <w:szCs w:val="24"/>
                <w:highlight w:val="none"/>
                <w:lang w:val="en-US" w:eastAsia="zh-CN"/>
              </w:rPr>
              <w:t>排洪渠修建、清淤以及山洪沟砌护</w:t>
            </w:r>
            <w:r>
              <w:rPr>
                <w:rFonts w:hint="default" w:ascii="Times New Roman" w:hAnsi="Times New Roman" w:eastAsia="宋体" w:cs="Times New Roman"/>
                <w:bCs/>
                <w:color w:val="auto"/>
                <w:kern w:val="16"/>
                <w:sz w:val="24"/>
                <w:szCs w:val="24"/>
                <w:highlight w:val="none"/>
                <w:lang w:val="en-US" w:eastAsia="zh-CN"/>
              </w:rPr>
              <w:t>工程</w:t>
            </w:r>
            <w:r>
              <w:rPr>
                <w:rFonts w:hint="default" w:ascii="Times New Roman" w:hAnsi="Times New Roman" w:eastAsia="宋体" w:cs="Times New Roman"/>
                <w:bCs/>
                <w:color w:val="auto"/>
                <w:kern w:val="16"/>
                <w:sz w:val="24"/>
                <w:szCs w:val="24"/>
                <w:highlight w:val="none"/>
              </w:rPr>
              <w:t>，</w:t>
            </w:r>
            <w:r>
              <w:rPr>
                <w:rFonts w:hint="default" w:ascii="Times New Roman" w:hAnsi="Times New Roman" w:eastAsia="宋体" w:cs="Times New Roman"/>
                <w:bCs/>
                <w:color w:val="auto"/>
                <w:kern w:val="16"/>
                <w:sz w:val="24"/>
                <w:szCs w:val="24"/>
                <w:highlight w:val="none"/>
                <w:lang w:val="en-US" w:eastAsia="zh-CN"/>
              </w:rPr>
              <w:t>由于前期工程</w:t>
            </w:r>
            <w:r>
              <w:rPr>
                <w:rFonts w:hint="default" w:ascii="Times New Roman" w:hAnsi="Times New Roman" w:eastAsia="宋体" w:cs="Times New Roman"/>
                <w:color w:val="auto"/>
                <w:kern w:val="0"/>
                <w:sz w:val="24"/>
                <w:highlight w:val="none"/>
                <w:lang w:val="en-US" w:eastAsia="zh-CN"/>
              </w:rPr>
              <w:t>投入不足，一些</w:t>
            </w:r>
            <w:r>
              <w:rPr>
                <w:rFonts w:hint="eastAsia" w:cs="Times New Roman"/>
                <w:color w:val="auto"/>
                <w:kern w:val="0"/>
                <w:sz w:val="24"/>
                <w:highlight w:val="none"/>
                <w:lang w:val="en-US" w:eastAsia="zh-CN"/>
              </w:rPr>
              <w:t>排洪</w:t>
            </w:r>
            <w:r>
              <w:rPr>
                <w:rFonts w:hint="default" w:ascii="Times New Roman" w:hAnsi="Times New Roman" w:eastAsia="宋体" w:cs="Times New Roman"/>
                <w:color w:val="auto"/>
                <w:kern w:val="0"/>
                <w:sz w:val="24"/>
                <w:highlight w:val="none"/>
                <w:lang w:val="en-US" w:eastAsia="zh-CN"/>
              </w:rPr>
              <w:t>工程未能按规划全面实施，已建的</w:t>
            </w:r>
            <w:r>
              <w:rPr>
                <w:rFonts w:hint="eastAsia" w:cs="Times New Roman"/>
                <w:color w:val="auto"/>
                <w:kern w:val="0"/>
                <w:sz w:val="24"/>
                <w:highlight w:val="none"/>
                <w:lang w:val="en-US" w:eastAsia="zh-CN"/>
              </w:rPr>
              <w:t>排洪</w:t>
            </w:r>
            <w:r>
              <w:rPr>
                <w:rFonts w:hint="default" w:ascii="Times New Roman" w:hAnsi="Times New Roman" w:eastAsia="宋体" w:cs="Times New Roman"/>
                <w:color w:val="auto"/>
                <w:kern w:val="0"/>
                <w:sz w:val="24"/>
                <w:highlight w:val="none"/>
                <w:lang w:val="en-US" w:eastAsia="zh-CN"/>
              </w:rPr>
              <w:t>工程少且标准不够，拦沙防洪能力降低，水土流失加剧，大量泥沙输入</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，造成河床淤积，威胁</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防洪防汛安全，有限的水资源不能充分拦蓄利用，造成了水资源浪费，严重威胁和影响着</w:t>
            </w:r>
            <w:r>
              <w:rPr>
                <w:rFonts w:hint="eastAsia" w:cs="Times New Roman"/>
                <w:color w:val="auto"/>
                <w:kern w:val="0"/>
                <w:sz w:val="24"/>
                <w:highlight w:val="none"/>
                <w:lang w:val="en-US" w:eastAsia="zh-CN"/>
              </w:rPr>
              <w:t>清流河</w:t>
            </w:r>
            <w:r>
              <w:rPr>
                <w:rFonts w:hint="default" w:ascii="Times New Roman" w:hAnsi="Times New Roman" w:eastAsia="宋体" w:cs="Times New Roman"/>
                <w:color w:val="auto"/>
                <w:kern w:val="0"/>
                <w:sz w:val="24"/>
                <w:highlight w:val="none"/>
                <w:lang w:val="en-US" w:eastAsia="zh-CN"/>
              </w:rPr>
              <w:t>两岸人民群众的生产生活安全。本项目的实施可对整个城市雨水系统进行补充完善，真正做到雨污分流。雨水管网的完善建设，补齐排水防涝设施短板，增强城市防洪排涝能力。</w:t>
            </w:r>
            <w:r>
              <w:rPr>
                <w:rFonts w:hint="default" w:ascii="Times New Roman" w:hAnsi="Times New Roman" w:eastAsia="宋体" w:cs="Times New Roman"/>
                <w:bCs/>
                <w:color w:val="auto"/>
                <w:kern w:val="16"/>
                <w:sz w:val="24"/>
                <w:szCs w:val="24"/>
                <w:highlight w:val="none"/>
              </w:rPr>
              <w:t>满足资源利用上线要求。</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本项目占用的资源包括：土地、水、电等资源，经分析，项目占用的资源相较于区域资源利用上线的比重很小，符合资源利用上线的要求。</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⑷环境准入清单符合性分析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①与</w:t>
            </w:r>
            <w:r>
              <w:rPr>
                <w:rFonts w:hint="eastAsia"/>
                <w:color w:val="auto"/>
                <w:sz w:val="24"/>
                <w:highlight w:val="none"/>
                <w:lang w:eastAsia="zh-CN"/>
              </w:rPr>
              <w:t>固原市</w:t>
            </w:r>
            <w:r>
              <w:rPr>
                <w:color w:val="auto"/>
                <w:sz w:val="24"/>
                <w:highlight w:val="none"/>
              </w:rPr>
              <w:t>环境准入清单符合性分析</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color w:val="auto"/>
                <w:sz w:val="24"/>
                <w:highlight w:val="none"/>
              </w:rPr>
              <w:t>本项目与</w:t>
            </w:r>
            <w:r>
              <w:rPr>
                <w:rFonts w:hint="eastAsia"/>
                <w:color w:val="auto"/>
                <w:sz w:val="24"/>
                <w:highlight w:val="none"/>
                <w:lang w:eastAsia="zh-CN"/>
              </w:rPr>
              <w:t>固原市</w:t>
            </w:r>
            <w:r>
              <w:rPr>
                <w:color w:val="auto"/>
                <w:sz w:val="24"/>
                <w:highlight w:val="none"/>
              </w:rPr>
              <w:t>生态环境准入清单符合性分析见表</w:t>
            </w:r>
            <w:r>
              <w:rPr>
                <w:rFonts w:hint="eastAsia"/>
                <w:color w:val="auto"/>
                <w:sz w:val="24"/>
                <w:highlight w:val="none"/>
              </w:rPr>
              <w:t>1-</w:t>
            </w:r>
            <w:r>
              <w:rPr>
                <w:rFonts w:hint="eastAsia"/>
                <w:color w:val="auto"/>
                <w:sz w:val="24"/>
                <w:highlight w:val="none"/>
                <w:lang w:val="en-US" w:eastAsia="zh-CN"/>
              </w:rPr>
              <w:t>3</w:t>
            </w:r>
            <w:r>
              <w:rPr>
                <w:color w:val="auto"/>
                <w:sz w:val="24"/>
                <w:highlight w:val="none"/>
              </w:rPr>
              <w:t>。</w:t>
            </w:r>
          </w:p>
          <w:p>
            <w:pPr>
              <w:pStyle w:val="2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宋体" w:hAnsi="宋体" w:eastAsia="宋体" w:cs="宋体"/>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表1-3  </w:t>
            </w:r>
            <w:r>
              <w:rPr>
                <w:rFonts w:hint="eastAsia" w:ascii="宋体" w:hAnsi="宋体" w:eastAsia="宋体" w:cs="宋体"/>
                <w:b/>
                <w:bCs/>
                <w:color w:val="auto"/>
                <w:highlight w:val="none"/>
                <w:lang w:val="en-US" w:eastAsia="zh-CN"/>
              </w:rPr>
              <w:t>项目与</w:t>
            </w:r>
            <w:r>
              <w:rPr>
                <w:rFonts w:hint="eastAsia" w:ascii="宋体" w:hAnsi="宋体" w:eastAsia="宋体" w:cs="宋体"/>
                <w:b/>
                <w:bCs/>
                <w:color w:val="auto"/>
                <w:highlight w:val="none"/>
                <w:lang w:val="en-US"/>
              </w:rPr>
              <w:t>固原市生态环境总体准入要求</w:t>
            </w:r>
            <w:r>
              <w:rPr>
                <w:rFonts w:hint="eastAsia" w:ascii="宋体" w:hAnsi="宋体" w:eastAsia="宋体" w:cs="宋体"/>
                <w:b/>
                <w:bCs/>
                <w:color w:val="auto"/>
                <w:highlight w:val="none"/>
                <w:lang w:val="en-US" w:eastAsia="zh-CN"/>
              </w:rPr>
              <w:t>符合性分析表</w:t>
            </w:r>
          </w:p>
          <w:tbl>
            <w:tblPr>
              <w:tblStyle w:val="2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45"/>
              <w:gridCol w:w="3569"/>
              <w:gridCol w:w="207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3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管控维度</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准入要求</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本项目情况</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A1空间布局约束</w:t>
                  </w:r>
                </w:p>
              </w:tc>
              <w:tc>
                <w:tcPr>
                  <w:tcW w:w="11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A1.1禁止开发建设活动的要求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严禁产</w:t>
                  </w:r>
                  <w:r>
                    <w:rPr>
                      <w:rFonts w:hint="default" w:ascii="Times New Roman" w:hAnsi="Times New Roman" w:cs="Times New Roman"/>
                      <w:color w:val="auto"/>
                      <w:sz w:val="21"/>
                      <w:szCs w:val="21"/>
                      <w:highlight w:val="none"/>
                    </w:rPr>
                    <w:t>能过</w:t>
                  </w:r>
                  <w:r>
                    <w:rPr>
                      <w:rFonts w:hint="default" w:ascii="Times New Roman" w:hAnsi="Times New Roman" w:cs="Times New Roman" w:eastAsiaTheme="minorEastAsia"/>
                      <w:color w:val="auto"/>
                      <w:sz w:val="21"/>
                      <w:szCs w:val="21"/>
                      <w:highlight w:val="none"/>
                    </w:rPr>
                    <w:t>剩行业新增产能，各开发区主导产业产值占比达到60%以上，严防发达地区淘汰退出的高污染企业落户固原。</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本项目为防洪排涝能力提升项目，不属于高污染生产项目</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严禁在“五河”临岸1公里范围内新建“两高一资”项目及相关产业园区。</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本项目不属于“两高一资”项目</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城市建成区一律禁止新建35蒸吨/小时以下燃煤锅炉。</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w:t>
                  </w:r>
                  <w:r>
                    <w:rPr>
                      <w:rFonts w:hint="eastAsia" w:cs="Times New Roman" w:eastAsiaTheme="minorEastAsia"/>
                      <w:color w:val="auto"/>
                      <w:sz w:val="21"/>
                      <w:szCs w:val="21"/>
                      <w:highlight w:val="none"/>
                      <w:lang w:val="en-US" w:eastAsia="zh-CN"/>
                    </w:rPr>
                    <w:t>涉及</w:t>
                  </w:r>
                  <w:r>
                    <w:rPr>
                      <w:rFonts w:hint="default" w:ascii="Times New Roman" w:hAnsi="Times New Roman" w:cs="Times New Roman" w:eastAsiaTheme="minorEastAsia"/>
                      <w:color w:val="auto"/>
                      <w:sz w:val="21"/>
                      <w:szCs w:val="21"/>
                      <w:highlight w:val="none"/>
                      <w:lang w:val="en-US" w:eastAsia="zh-CN"/>
                    </w:rPr>
                    <w:t>锅炉新建项目</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A1.2限制开发建设活动的要求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严格控制在优先保护类耕地集中区域新建有色金属冶炼、石油化工、化工、焦化、电镀、制革等行业企业。</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本项目不属于有色金属冶炼、石油化工、化工、焦化、电镀、制革等行业企业</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A1.3不符合空间布局要求活动的退出要求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在一定过渡期并给予合理补偿的基础上，依法依规关闭或搬迁禁养区内确需关闭或搬迁的畜禽规模养殖场（园区）。</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本项目不涉及养殖场</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全面取缔保护区违法建设项目，全面解决保护区矿产资源开发等历史遗留问题，自然保护区内全面禁止一切与保护无关的开发建设活动。</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本项目不属于开发建设类项目，</w:t>
                  </w:r>
                  <w:r>
                    <w:rPr>
                      <w:rFonts w:hint="eastAsia" w:cs="Times New Roman" w:eastAsiaTheme="minorEastAsia"/>
                      <w:color w:val="auto"/>
                      <w:sz w:val="21"/>
                      <w:szCs w:val="21"/>
                      <w:highlight w:val="none"/>
                      <w:lang w:val="en-US" w:eastAsia="zh-CN"/>
                    </w:rPr>
                    <w:t>为自然保护区的排水防涝能力提升项目</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对六盘山水源核心区，坚决退出旅游项目，严禁游客进入。</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w:t>
                  </w:r>
                  <w:r>
                    <w:rPr>
                      <w:rFonts w:hint="eastAsia" w:cs="Times New Roman" w:eastAsiaTheme="minorEastAsia"/>
                      <w:color w:val="auto"/>
                      <w:sz w:val="21"/>
                      <w:szCs w:val="21"/>
                      <w:highlight w:val="none"/>
                      <w:lang w:val="en-US" w:eastAsia="zh-CN"/>
                    </w:rPr>
                    <w:t>涉及</w:t>
                  </w:r>
                  <w:r>
                    <w:rPr>
                      <w:rFonts w:hint="default" w:ascii="Times New Roman" w:hAnsi="Times New Roman" w:cs="Times New Roman" w:eastAsiaTheme="minorEastAsia"/>
                      <w:color w:val="auto"/>
                      <w:sz w:val="21"/>
                      <w:szCs w:val="21"/>
                      <w:highlight w:val="none"/>
                      <w:lang w:val="en-US" w:eastAsia="zh-CN"/>
                    </w:rPr>
                    <w:t>六盘山水源核心区</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城市建成区基本淘汰35蒸吨/小时以下燃煤锅炉。</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本项目不涉及燃煤锅炉建设</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A2污染物排放管控</w:t>
                  </w:r>
                </w:p>
              </w:tc>
              <w:tc>
                <w:tcPr>
                  <w:tcW w:w="11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A2.1允许排放量要求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化学需氧量、氨氮、氮氧化物、挥发性有机物排放总量及减排量完成自治区下达任务。</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生活废水和生产废水均可有效处理</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新改扩建耗煤项目（除煤化工、火电）一律实施煤炭减量等量置换，所有新建、改建、扩建耗煤1万吨及以上项目（除热电联产外）一律实施煤炭等量替代。</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本项目不涉及煤炭资源消耗</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严格重金属排放项目准入，坚持“减量置换”或“等量置换”原则。</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本项目不涉及重金属排放</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在“五河”干流已覆盖集污管网的区域配套建设污水处理设施，确保所有建制镇和中心村污水处理全覆盖。</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本项目建设管网为雨水处理管网</w:t>
                  </w:r>
                  <w:r>
                    <w:rPr>
                      <w:rFonts w:hint="eastAsia" w:cs="Times New Roman" w:eastAsiaTheme="minorEastAsia"/>
                      <w:color w:val="auto"/>
                      <w:sz w:val="21"/>
                      <w:szCs w:val="21"/>
                      <w:highlight w:val="none"/>
                      <w:lang w:val="en-US" w:eastAsia="zh-CN"/>
                    </w:rPr>
                    <w:t>，不涉及污水处理设施</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火电、水泥等重点行业及燃煤锅炉，严格按照大气污染物排放标准及特别排放限值要求执行。</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到2025年，全市工业固体废弃物综合利用率达到80%，中水利用率达到85%以上。</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本项目不涉及污染排放</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A2.2现有源提标升级改造</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全市65蒸吨/小时及以上燃煤锅炉全部完成节能和超低排放改造；新建燃气锅炉要同步实现低氮改造。</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加快农村养殖“出户入园”，落实“一控两减三利用”，减少化肥和农药使用量；实现畜禽粪便、农作物秸秆、农膜资源化利用，到2025年，农业废弃物综合利用率达到94%以上。</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A3环境风险防控</w:t>
                  </w:r>
                </w:p>
              </w:tc>
              <w:tc>
                <w:tcPr>
                  <w:tcW w:w="11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A3.1联防联控要求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在清水河城镇产业带、黄河支流、饮用水源地及其周边范围内的企业开展环境风险排查。</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本项目无环境危害风险</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合理布局危险化学品生产装置和仓储设施，严格控制环境风险。</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11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实施环境风险分级管理制度，建立“分类管理、分级负责、属地管理”为主的环境应急管理体系；构建突发环境事件应急响应机制和应急指挥系统，实行环保、公安、交通、消防、卫生、安监部门环境应急联动。</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本项目施工、运营期</w:t>
                  </w:r>
                  <w:r>
                    <w:rPr>
                      <w:rFonts w:hint="eastAsia" w:cs="Times New Roman" w:eastAsiaTheme="minorEastAsia"/>
                      <w:color w:val="auto"/>
                      <w:sz w:val="21"/>
                      <w:szCs w:val="21"/>
                      <w:highlight w:val="none"/>
                      <w:lang w:val="en-US" w:eastAsia="zh-CN"/>
                    </w:rPr>
                    <w:t>不涉及环境风险物质，故不建立</w:t>
                  </w:r>
                  <w:r>
                    <w:rPr>
                      <w:rFonts w:hint="default" w:ascii="Times New Roman" w:hAnsi="Times New Roman" w:cs="Times New Roman" w:eastAsiaTheme="minorEastAsia"/>
                      <w:color w:val="auto"/>
                      <w:sz w:val="21"/>
                      <w:szCs w:val="21"/>
                      <w:highlight w:val="none"/>
                    </w:rPr>
                    <w:t>突发环境事件应急响应机制和应急指挥系统</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A4资源利用效率要求</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A4.1能源利用总量及效率要求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严控煤炭消费总量，实行新（改、扩）建耗煤项目煤炭消费等量或者减量替代。</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A4.2水资源利用总量及效率要求</w:t>
                  </w:r>
                </w:p>
              </w:tc>
              <w:tc>
                <w:tcPr>
                  <w:tcW w:w="3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落实节水指标纳入县（区）政绩考核，对水资源超载地区实行用水和项目“双限批”，到2025年全市用水总量控制在2.89亿立方米，单位GDP用水量较2020年下降8%。积极推广农业成套综合节水技术，到2025年农田灌溉水有效利用系数达到0.7以上。</w:t>
                  </w:r>
                </w:p>
              </w:tc>
              <w:tc>
                <w:tcPr>
                  <w:tcW w:w="2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本项目不涉及</w:t>
                  </w:r>
                </w:p>
              </w:tc>
              <w:tc>
                <w:tcPr>
                  <w:tcW w:w="9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color w:val="auto"/>
                <w:sz w:val="24"/>
                <w:highlight w:val="none"/>
              </w:rPr>
            </w:pPr>
            <w:r>
              <w:rPr>
                <w:rFonts w:hint="eastAsia"/>
                <w:color w:val="auto"/>
                <w:sz w:val="24"/>
                <w:highlight w:val="none"/>
              </w:rPr>
              <w:t>经与固原市生态环境总体准入要求进行对比分析后，本项目符合准入要求。</w:t>
            </w:r>
          </w:p>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default" w:eastAsia="宋体"/>
                <w:color w:val="auto"/>
                <w:sz w:val="24"/>
                <w:highlight w:val="none"/>
                <w:lang w:val="en-US" w:eastAsia="zh-CN"/>
              </w:rPr>
            </w:pPr>
            <w:r>
              <w:rPr>
                <w:rFonts w:hint="eastAsia"/>
                <w:color w:val="auto"/>
                <w:sz w:val="24"/>
                <w:highlight w:val="none"/>
              </w:rPr>
              <w:t>根据“固原市人民政府关于实施“三线一单”生态环境分区管控的意见”中“二、构建生态环境分区管控体系，（一）环境管控单元划分，全市共划分优先保护、重点管控、一般管控等三类95个环境管控单元。优先保护单元主要包括生态保护红线、自然保护地、饮用水水源保护区、环境空气质量一类功能区等区域，共54个，面积为4769.7平方公里，占全市总面积的45.31%。重点管控单元主要涉及城镇和工业园区等人口密集、资源开发强度大且污染物排放强度高的区域，共13个，面积为1948.26平方公里，占全市总面积的18.51%。一般管控单元为除优先保护单元和重点管控单元之外的其他区域，共28个，面积为3808.18平方公里，占全市总面积的36.18%。本项目与固原市环境管控单元位置关系</w:t>
            </w:r>
            <w:r>
              <w:rPr>
                <w:rFonts w:hint="eastAsia"/>
                <w:color w:val="auto"/>
                <w:sz w:val="24"/>
                <w:highlight w:val="none"/>
                <w:lang w:eastAsia="zh-CN"/>
              </w:rPr>
              <w:t>见附图</w:t>
            </w:r>
            <w:r>
              <w:rPr>
                <w:rFonts w:hint="eastAsia"/>
                <w:color w:val="auto"/>
                <w:sz w:val="24"/>
                <w:highlight w:val="none"/>
                <w:lang w:val="en-US" w:eastAsia="zh-CN"/>
              </w:rPr>
              <w:t>6。</w:t>
            </w:r>
          </w:p>
          <w:p>
            <w:pPr>
              <w:keepNext w:val="0"/>
              <w:keepLines w:val="0"/>
              <w:pageBreakBefore w:val="0"/>
              <w:widowControl w:val="0"/>
              <w:kinsoku/>
              <w:wordWrap/>
              <w:overflowPunct w:val="0"/>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宋体" w:cs="Times New Roman"/>
                <w:b/>
                <w:bCs w:val="0"/>
                <w:color w:val="auto"/>
                <w:kern w:val="16"/>
                <w:sz w:val="24"/>
                <w:highlight w:val="none"/>
              </w:rPr>
            </w:pPr>
            <w:r>
              <w:rPr>
                <w:rFonts w:hint="default" w:ascii="Times New Roman" w:hAnsi="Times New Roman" w:eastAsia="宋体" w:cs="Times New Roman"/>
                <w:b/>
                <w:bCs w:val="0"/>
                <w:color w:val="auto"/>
                <w:kern w:val="16"/>
                <w:sz w:val="24"/>
                <w:highlight w:val="none"/>
                <w:lang w:eastAsia="zh-CN"/>
              </w:rPr>
              <w:t>表</w:t>
            </w:r>
            <w:r>
              <w:rPr>
                <w:rFonts w:hint="default" w:ascii="Times New Roman" w:hAnsi="Times New Roman" w:eastAsia="宋体" w:cs="Times New Roman"/>
                <w:b/>
                <w:bCs w:val="0"/>
                <w:color w:val="auto"/>
                <w:kern w:val="16"/>
                <w:sz w:val="24"/>
                <w:highlight w:val="none"/>
                <w:lang w:val="en-US" w:eastAsia="zh-CN"/>
              </w:rPr>
              <w:t xml:space="preserve">1-2  </w:t>
            </w:r>
            <w:r>
              <w:rPr>
                <w:rFonts w:hint="default" w:ascii="Times New Roman" w:hAnsi="Times New Roman" w:eastAsia="宋体" w:cs="Times New Roman"/>
                <w:b/>
                <w:bCs w:val="0"/>
                <w:color w:val="auto"/>
                <w:kern w:val="16"/>
                <w:sz w:val="24"/>
                <w:highlight w:val="none"/>
              </w:rPr>
              <w:t>项目与固原市环境管控单元生态环境准入清单符合性分析</w:t>
            </w:r>
          </w:p>
          <w:tbl>
            <w:tblPr>
              <w:tblStyle w:val="21"/>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678"/>
              <w:gridCol w:w="376"/>
              <w:gridCol w:w="362"/>
              <w:gridCol w:w="2179"/>
              <w:gridCol w:w="1801"/>
              <w:gridCol w:w="561"/>
              <w:gridCol w:w="596"/>
              <w:gridCol w:w="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88"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序号</w:t>
                  </w:r>
                </w:p>
              </w:tc>
              <w:tc>
                <w:tcPr>
                  <w:tcW w:w="678"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环境管控单元名称</w:t>
                  </w:r>
                </w:p>
              </w:tc>
              <w:tc>
                <w:tcPr>
                  <w:tcW w:w="376"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要素属性</w:t>
                  </w:r>
                </w:p>
              </w:tc>
              <w:tc>
                <w:tcPr>
                  <w:tcW w:w="362" w:type="dxa"/>
                  <w:vMerge w:val="restart"/>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管控单元分类</w:t>
                  </w:r>
                </w:p>
              </w:tc>
              <w:tc>
                <w:tcPr>
                  <w:tcW w:w="5137" w:type="dxa"/>
                  <w:gridSpan w:val="4"/>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shd w:val="clear" w:fill="FFFFFF"/>
                    </w:rPr>
                    <w:t>管控要求</w:t>
                  </w:r>
                </w:p>
              </w:tc>
              <w:tc>
                <w:tcPr>
                  <w:tcW w:w="996" w:type="dxa"/>
                  <w:vMerge w:val="restar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eastAsia="zh-CN"/>
                    </w:rPr>
                  </w:pPr>
                  <w:r>
                    <w:rPr>
                      <w:rFonts w:hint="default" w:ascii="Times New Roman" w:hAnsi="Times New Roman" w:eastAsia="宋体" w:cs="Times New Roman"/>
                      <w:b/>
                      <w:bCs/>
                      <w:i w:val="0"/>
                      <w:iCs w:val="0"/>
                      <w:caps w:val="0"/>
                      <w:color w:val="auto"/>
                      <w:spacing w:val="0"/>
                      <w:sz w:val="21"/>
                      <w:szCs w:val="21"/>
                      <w:highlight w:val="none"/>
                      <w:shd w:val="clear" w:fill="FFFFFF"/>
                      <w:lang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388" w:type="dxa"/>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1"/>
                      <w:szCs w:val="21"/>
                      <w:highlight w:val="none"/>
                    </w:rPr>
                  </w:pPr>
                </w:p>
              </w:tc>
              <w:tc>
                <w:tcPr>
                  <w:tcW w:w="678" w:type="dxa"/>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1"/>
                      <w:szCs w:val="21"/>
                      <w:highlight w:val="none"/>
                    </w:rPr>
                  </w:pPr>
                </w:p>
              </w:tc>
              <w:tc>
                <w:tcPr>
                  <w:tcW w:w="376" w:type="dxa"/>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1"/>
                      <w:szCs w:val="21"/>
                      <w:highlight w:val="none"/>
                    </w:rPr>
                  </w:pPr>
                </w:p>
              </w:tc>
              <w:tc>
                <w:tcPr>
                  <w:tcW w:w="362" w:type="dxa"/>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1"/>
                      <w:szCs w:val="21"/>
                      <w:highlight w:val="none"/>
                    </w:rPr>
                  </w:pP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空间布局约束</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0"/>
                      <w:sz w:val="21"/>
                      <w:szCs w:val="21"/>
                      <w:highlight w:val="none"/>
                    </w:rPr>
                    <w:t>污染物排放管控</w:t>
                  </w:r>
                </w:p>
              </w:tc>
              <w:tc>
                <w:tcPr>
                  <w:tcW w:w="56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i w:val="0"/>
                      <w:iCs w:val="0"/>
                      <w:caps w:val="0"/>
                      <w:color w:val="auto"/>
                      <w:spacing w:val="-23"/>
                      <w:sz w:val="21"/>
                      <w:szCs w:val="21"/>
                      <w:highlight w:val="none"/>
                    </w:rPr>
                    <w:t>环境风险防控</w:t>
                  </w:r>
                </w:p>
              </w:tc>
              <w:tc>
                <w:tcPr>
                  <w:tcW w:w="596" w:type="dxa"/>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pacing w:val="-17"/>
                      <w:sz w:val="21"/>
                      <w:szCs w:val="21"/>
                      <w:highlight w:val="none"/>
                      <w:vertAlign w:val="baseline"/>
                    </w:rPr>
                    <w:t>资源开发效率要求</w:t>
                  </w:r>
                </w:p>
              </w:tc>
              <w:tc>
                <w:tcPr>
                  <w:tcW w:w="996" w:type="dxa"/>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ZH640423100</w:t>
                  </w:r>
                  <w:r>
                    <w:rPr>
                      <w:rFonts w:hint="eastAsia" w:cs="Times New Roman"/>
                      <w:color w:val="auto"/>
                      <w:sz w:val="21"/>
                      <w:szCs w:val="21"/>
                      <w:highlight w:val="none"/>
                      <w:vertAlign w:val="baseline"/>
                      <w:lang w:val="en-US" w:eastAsia="zh-CN"/>
                    </w:rPr>
                    <w:t>10</w:t>
                  </w:r>
                </w:p>
              </w:tc>
              <w:tc>
                <w:tcPr>
                  <w:tcW w:w="678" w:type="dxa"/>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隆德县优先保护单元1</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生态空间+水环境优先保护区</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优先保护单元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1.六盘山自治区级自然保护区等自然保护地参照相关法律法规的要求，按照禁止开发区域进行管理。2.除国家重大战略项目以及对生态功能不造成破坏的八类有限人为活动之外，严格禁止各类开发性、生产性建设活动。加快开展自然保护地内违法违规人类活动的清退工作，开展生态恢复与治理。</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56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5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i w:val="0"/>
                      <w:iCs w:val="0"/>
                      <w:caps w:val="0"/>
                      <w:color w:val="auto"/>
                      <w:spacing w:val="0"/>
                      <w:sz w:val="21"/>
                      <w:szCs w:val="21"/>
                      <w:highlight w:val="none"/>
                    </w:rPr>
                    <w:t>/</w:t>
                  </w:r>
                </w:p>
              </w:tc>
              <w:tc>
                <w:tcPr>
                  <w:tcW w:w="99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本项目为城市防洪排涝提升项目，</w:t>
                  </w:r>
                  <w:r>
                    <w:rPr>
                      <w:rFonts w:hint="eastAsia" w:cs="Times New Roman"/>
                      <w:i w:val="0"/>
                      <w:iCs w:val="0"/>
                      <w:caps w:val="0"/>
                      <w:color w:val="auto"/>
                      <w:spacing w:val="-11"/>
                      <w:sz w:val="21"/>
                      <w:szCs w:val="21"/>
                      <w:highlight w:val="none"/>
                      <w:lang w:val="en-US" w:eastAsia="zh-CN"/>
                    </w:rPr>
                    <w:t>属于八类有限人为活动中必要的公共设施建设项目，项目完成后对开挖的地表进行回填和植被恢复，符合管控要求。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8" w:type="dxa"/>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ZH64042320002</w:t>
                  </w:r>
                </w:p>
              </w:tc>
              <w:tc>
                <w:tcPr>
                  <w:tcW w:w="678" w:type="dxa"/>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隆德县重点管控单元1</w:t>
                  </w:r>
                </w:p>
              </w:tc>
              <w:tc>
                <w:tcPr>
                  <w:tcW w:w="376"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大气环境受体敏感区＋高污染燃料禁燃区</w:t>
                  </w:r>
                </w:p>
              </w:tc>
              <w:tc>
                <w:tcPr>
                  <w:tcW w:w="362"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重点管控单元</w:t>
                  </w:r>
                </w:p>
              </w:tc>
              <w:tc>
                <w:tcPr>
                  <w:tcW w:w="2179"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1.禁止新建涉及大规模排放大气污染物和VOCs排放的工业项目。2.禁止新建涉及有毒有害大气污染物排放的项目。3.严格限制新建涉及恶臭污染物、颗粒物无组织排放的项目。</w:t>
                  </w:r>
                </w:p>
              </w:tc>
              <w:tc>
                <w:tcPr>
                  <w:tcW w:w="1801" w:type="dxa"/>
                  <w:tcBorders>
                    <w:tl2br w:val="nil"/>
                    <w:tr2bl w:val="nil"/>
                  </w:tcBorders>
                  <w:vAlign w:val="center"/>
                </w:tcPr>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1改建、扩建水泥、建材等行业项目应实施主要大气污染物等量替代。2.新建或改扩建畜禽规模养殖场应依法依规开展环境影响评价，配套建设粪污处理设施，提高粪污综合利用率。3.宁夏易巨能实业有限公司应采取有效措施，减小燃煤、灰渣等物料贮存转运产生的颗粒物排放。（超低排放改造）</w:t>
                  </w:r>
                </w:p>
              </w:tc>
              <w:tc>
                <w:tcPr>
                  <w:tcW w:w="56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5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cs="Times New Roman"/>
                      <w:i w:val="0"/>
                      <w:iCs w:val="0"/>
                      <w:caps w:val="0"/>
                      <w:color w:val="auto"/>
                      <w:spacing w:val="0"/>
                      <w:sz w:val="21"/>
                      <w:szCs w:val="21"/>
                      <w:highlight w:val="none"/>
                      <w:lang w:val="en-US" w:eastAsia="zh-CN"/>
                    </w:rPr>
                    <w:t>/</w:t>
                  </w:r>
                </w:p>
              </w:tc>
              <w:tc>
                <w:tcPr>
                  <w:tcW w:w="99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aps w:val="0"/>
                      <w:color w:val="auto"/>
                      <w:spacing w:val="-11"/>
                      <w:sz w:val="21"/>
                      <w:szCs w:val="21"/>
                      <w:highlight w:val="none"/>
                      <w:lang w:val="en-US" w:eastAsia="zh-CN"/>
                    </w:rPr>
                  </w:pPr>
                  <w:r>
                    <w:rPr>
                      <w:rFonts w:hint="default" w:ascii="Times New Roman" w:hAnsi="Times New Roman" w:eastAsia="宋体" w:cs="Times New Roman"/>
                      <w:i w:val="0"/>
                      <w:iCs w:val="0"/>
                      <w:caps w:val="0"/>
                      <w:color w:val="auto"/>
                      <w:spacing w:val="-11"/>
                      <w:sz w:val="21"/>
                      <w:szCs w:val="21"/>
                      <w:highlight w:val="none"/>
                      <w:lang w:val="en-US" w:eastAsia="zh-CN"/>
                    </w:rPr>
                    <w:t>本项目为排洪渠建设、现状排洪渠清淤、边坡治理工程，</w:t>
                  </w:r>
                  <w:r>
                    <w:rPr>
                      <w:rFonts w:hint="eastAsia" w:cs="Times New Roman"/>
                      <w:i w:val="0"/>
                      <w:iCs w:val="0"/>
                      <w:caps w:val="0"/>
                      <w:color w:val="auto"/>
                      <w:spacing w:val="-11"/>
                      <w:sz w:val="21"/>
                      <w:szCs w:val="21"/>
                      <w:highlight w:val="none"/>
                      <w:lang w:val="en-US" w:eastAsia="zh-CN"/>
                    </w:rPr>
                    <w:t>项目实施可对整个城市雨水系统进行补充完善，增强城市防洪排涝能力，不属于工业污染类项目。</w:t>
                  </w:r>
                </w:p>
              </w:tc>
            </w:tr>
          </w:tbl>
          <w:p>
            <w:pPr>
              <w:keepNext w:val="0"/>
              <w:keepLines w:val="0"/>
              <w:pageBreakBefore w:val="0"/>
              <w:widowControl w:val="0"/>
              <w:kinsoku/>
              <w:wordWrap/>
              <w:topLinePunct w:val="0"/>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综上所述，本项目符合固原市环境管控单元生态环境准入清单要求。</w:t>
            </w:r>
          </w:p>
          <w:p>
            <w:pPr>
              <w:keepNext w:val="0"/>
              <w:keepLines w:val="0"/>
              <w:pageBreakBefore w:val="0"/>
              <w:widowControl w:val="0"/>
              <w:kinsoku/>
              <w:wordWrap/>
              <w:overflowPunct/>
              <w:topLinePunct w:val="0"/>
              <w:autoSpaceDE/>
              <w:autoSpaceDN/>
              <w:bidi w:val="0"/>
              <w:adjustRightInd w:val="0"/>
              <w:snapToGrid w:val="0"/>
              <w:spacing w:line="520" w:lineRule="exact"/>
              <w:ind w:left="120" w:leftChars="50" w:right="120" w:rightChars="50" w:firstLine="482" w:firstLineChars="200"/>
              <w:textAlignment w:val="auto"/>
              <w:rPr>
                <w:rFonts w:hint="eastAsia"/>
                <w:b/>
                <w:bCs/>
                <w:color w:val="auto"/>
                <w:sz w:val="24"/>
                <w:highlight w:val="none"/>
              </w:rPr>
            </w:pPr>
            <w:r>
              <w:rPr>
                <w:rFonts w:hint="eastAsia"/>
                <w:b/>
                <w:bCs/>
                <w:color w:val="auto"/>
                <w:sz w:val="24"/>
                <w:highlight w:val="none"/>
              </w:rPr>
              <w:t>3、本项目与《宁夏回族自治区生态保护红线管理条例》符合性分析</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根据《宁夏回族自治区生态保护红线管理条例》第九条，“下列区域应当划入生态保护红线：</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（一）按照国家相关规定经评估确定的重要水源涵养、生物多样性维护、水土保持、防风固沙等生态功能极重要区域，以及水土流失、土地沙化、盐渍化等生态环境极敏感脆弱区域；</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（二）国家级和自治区级禁止开发区域；</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（三）其他需要纳入生态保护红线管理的保护区域。”</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“第十九条 县级以上人民政府应当统筹各类生态保护与修复资金，实施生物多样性维护、天然林保护、防沙治沙、水土流失、盐渍化综合治理等保护与修复工程，改善和提升生态保护红线生态功能。”</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“第二十三条 自治区人民政府生态环境主管部门应当会同相关部门，建立和完善生态保护红线生态环境质量监测网络和监管平台，组织开展生态保护红线生态环境质量监测、生态状况评估和生态环境监管。”</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本项目占地属于其他需要纳入生态保护红线管理的保护区域，且本项目属于排洪防涝能力提升项目，为生态修复类项目，本项目建成后可有效缓解当地水土流失问题，对生态影响具有正效应。</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2" w:firstLineChars="200"/>
              <w:textAlignment w:val="auto"/>
              <w:rPr>
                <w:rFonts w:hint="eastAsia"/>
                <w:b/>
                <w:bCs/>
                <w:color w:val="auto"/>
                <w:sz w:val="24"/>
                <w:highlight w:val="none"/>
              </w:rPr>
            </w:pPr>
            <w:r>
              <w:rPr>
                <w:rFonts w:hint="eastAsia"/>
                <w:b/>
                <w:bCs/>
                <w:color w:val="auto"/>
                <w:sz w:val="24"/>
                <w:highlight w:val="none"/>
              </w:rPr>
              <w:t>4、与《水利建设项目（河湖整治与河湖整治工程）环境影响评价文件审批原则》符合性分析</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水利建设项目（河湖整治与河湖整治工程）环境影响评价文件审批原则》，第二条：“项目符合环境保护相关法律法规和政策要求，与主体功能区规划、生态功能区划、水环境功能区划、水功能区划、生态环境保护规划、流域综合规划、防洪规划等相协调，满足相关规划环评要求。”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第七条：“项目施工组织方案具有环境合理性，对料场、弃土（渣）场等施工场地提出了水土流失防治和生态修复等措施。根据环境保护相关标准和要求，对施工期各类废（污）水、扬尘、废气、噪声、固体废物等提出了防治或处置措施。”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第十二条：“对环境保护措施进行了深入论证，建设单位主体责任、投资估算、时间节点、预期效果明确，确保科学有效、安全可行、绿色协调。”</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上文，本项目符合《宁夏回族自治区水安全保障“十四五”规划》及《固原市人民政府关于实施“三线一单”生态环境分区管控的意见》。本项目为防洪排涝能力提升项目，主要对隆德县的城区进行防洪排涝能力的提升，对防洪渠及排洪沟进行沟道清淤、边坡治理及城市管道建设；在原有沟道与原有沟边道路上进行施工，工程选址选线具有唯一性。项目施工组织方案具有环境合理性，对施工场地提出了水土流失防治和生态修复等措施。本项目施工现场定期洒水，运输车辆加盖篷布，施工期施工人员生活污水依托附近村民设施，施工废水经沉淀池处理后洒水降尘；项目污染物均采取合理可行的污染防治措施。符合《水利建设项目（河湖整治与河湖整治工程）环境影响评价文件审批原则》。</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2" w:firstLineChars="200"/>
              <w:textAlignment w:val="auto"/>
              <w:rPr>
                <w:rFonts w:hint="eastAsia"/>
                <w:color w:val="auto"/>
                <w:sz w:val="24"/>
                <w:highlight w:val="none"/>
              </w:rPr>
            </w:pPr>
            <w:r>
              <w:rPr>
                <w:rFonts w:hint="eastAsia"/>
                <w:b/>
                <w:bCs/>
                <w:color w:val="auto"/>
                <w:sz w:val="24"/>
                <w:highlight w:val="none"/>
              </w:rPr>
              <w:t>5、与《宁夏回族自治区建设黄河流域生态保护和高质量发展先行区促进条例》的符合性分析</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根据《宁夏回族自治区建设黄河流域生态保护和高质量发展先行区促进条例》（2022年1月23日）中第三章生态环境保护和治理，第十七条自治区加强生态环境保护，坚持山水林田湖草沙综合治理，实行自然恢复为主、自然恢复与人工修复相结合的系统治理，统筹推进农业、工业和城乡生活污染防治，维护生态功能稳定，提升生态环境质量。</w:t>
            </w:r>
          </w:p>
          <w:p>
            <w:pPr>
              <w:keepNext w:val="0"/>
              <w:keepLines w:val="0"/>
              <w:pageBreakBefore w:val="0"/>
              <w:widowControl w:val="0"/>
              <w:kinsoku/>
              <w:wordWrap/>
              <w:overflowPunct/>
              <w:topLinePunct w:val="0"/>
              <w:autoSpaceDE/>
              <w:autoSpaceDN/>
              <w:bidi w:val="0"/>
              <w:adjustRightInd w:val="0"/>
              <w:snapToGrid w:val="0"/>
              <w:spacing w:line="540" w:lineRule="exact"/>
              <w:ind w:left="120" w:leftChars="50" w:right="120" w:rightChars="50" w:firstLine="480" w:firstLineChars="200"/>
              <w:textAlignment w:val="auto"/>
              <w:rPr>
                <w:rFonts w:hint="eastAsia"/>
                <w:color w:val="auto"/>
                <w:sz w:val="24"/>
                <w:highlight w:val="none"/>
              </w:rPr>
            </w:pPr>
            <w:r>
              <w:rPr>
                <w:rFonts w:hint="eastAsia"/>
                <w:color w:val="auto"/>
                <w:sz w:val="24"/>
                <w:highlight w:val="none"/>
              </w:rPr>
              <w:t>本项目为防洪排涝能力提升项目，主要对隆德县的城区进行防洪排涝能力的提升，对防洪渠及排洪沟进行沟道清淤、边坡治理及城市管道建设，改善河湖水系周边的生态环境，保障沿线洪漫区人民的生命财产安全，符合《宁夏回族自治区建设黄河流域生态保护和高质量发展先行区促进条例》相关要求。</w:t>
            </w:r>
          </w:p>
          <w:p>
            <w:pPr>
              <w:keepNext w:val="0"/>
              <w:keepLines w:val="0"/>
              <w:pageBreakBefore w:val="0"/>
              <w:widowControl w:val="0"/>
              <w:kinsoku/>
              <w:wordWrap/>
              <w:overflowPunct/>
              <w:topLinePunct w:val="0"/>
              <w:autoSpaceDE/>
              <w:autoSpaceDN/>
              <w:bidi w:val="0"/>
              <w:adjustRightInd w:val="0"/>
              <w:snapToGrid w:val="0"/>
              <w:spacing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left="120" w:leftChars="50" w:right="120" w:rightChars="50" w:firstLine="480" w:firstLineChars="200"/>
              <w:textAlignment w:val="auto"/>
              <w:rPr>
                <w:rFonts w:hint="eastAsia"/>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120" w:rightChars="50" w:firstLine="0" w:firstLineChars="0"/>
              <w:textAlignment w:val="auto"/>
              <w:rPr>
                <w:rFonts w:hint="eastAsia"/>
                <w:color w:val="auto"/>
                <w:sz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tc>
      </w:tr>
      <w:bookmarkEnd w:id="6"/>
    </w:tbl>
    <w:p>
      <w:pPr>
        <w:spacing w:line="360" w:lineRule="auto"/>
        <w:outlineLvl w:val="0"/>
        <w:rPr>
          <w:rFonts w:hint="default" w:ascii="Times New Roman" w:hAnsi="Times New Roman" w:eastAsia="黑体" w:cs="Times New Roman"/>
          <w:color w:val="0000FF"/>
          <w:sz w:val="3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二、建设内容</w:t>
      </w:r>
    </w:p>
    <w:tbl>
      <w:tblPr>
        <w:tblStyle w:val="20"/>
        <w:tblW w:w="90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地理位置</w:t>
            </w:r>
          </w:p>
        </w:tc>
        <w:tc>
          <w:tcPr>
            <w:tcW w:w="829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jc w:val="left"/>
              <w:textAlignment w:val="auto"/>
              <w:rPr>
                <w:rFonts w:hint="eastAsia"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项目</w:t>
            </w:r>
            <w:r>
              <w:rPr>
                <w:rFonts w:hint="eastAsia" w:ascii="Times New Roman" w:hAnsi="Times New Roman" w:eastAsia="宋体" w:cs="Times New Roman"/>
                <w:color w:val="auto"/>
                <w:kern w:val="0"/>
                <w:sz w:val="24"/>
                <w:highlight w:val="none"/>
                <w:lang w:val="en-US" w:eastAsia="zh-CN"/>
              </w:rPr>
              <w:t>建设地点在隆德县县城</w:t>
            </w:r>
            <w:r>
              <w:rPr>
                <w:rFonts w:hint="default" w:ascii="Times New Roman" w:hAnsi="Times New Roman" w:eastAsia="宋体" w:cs="Times New Roman"/>
                <w:color w:val="auto"/>
                <w:kern w:val="0"/>
                <w:sz w:val="24"/>
                <w:highlight w:val="none"/>
                <w:lang w:val="en-US"/>
              </w:rPr>
              <w:t>，项目中心坐标：106°7′14.260″，N35°37′26.942″</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项目线性工程起止坐标</w:t>
            </w:r>
            <w:r>
              <w:rPr>
                <w:rFonts w:hint="eastAsia" w:cs="Times New Roman"/>
                <w:color w:val="auto"/>
                <w:kern w:val="0"/>
                <w:sz w:val="24"/>
                <w:highlight w:val="none"/>
                <w:lang w:val="en-US" w:eastAsia="zh-CN"/>
              </w:rPr>
              <w:t>具体如下</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北象山新建排洪渠及拦洪渠浆砌石挡土墙起止坐标：</w:t>
            </w:r>
            <w:r>
              <w:rPr>
                <w:rFonts w:hint="default" w:ascii="Times New Roman" w:hAnsi="Times New Roman" w:eastAsia="宋体" w:cs="Times New Roman"/>
                <w:color w:val="auto"/>
                <w:kern w:val="0"/>
                <w:sz w:val="24"/>
                <w:highlight w:val="none"/>
                <w:lang w:val="en-US"/>
              </w:rPr>
              <w:t>E</w:t>
            </w:r>
            <w:r>
              <w:rPr>
                <w:rFonts w:hint="default" w:ascii="Times New Roman" w:hAnsi="Times New Roman" w:cs="Times New Roman"/>
                <w:color w:val="auto"/>
                <w:kern w:val="0"/>
                <w:sz w:val="24"/>
                <w:highlight w:val="none"/>
                <w:lang w:val="en-US" w:eastAsia="zh-CN"/>
              </w:rPr>
              <w:t>106°7′3.437″，N35°37′28.593″</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w:t>
            </w:r>
            <w:r>
              <w:rPr>
                <w:rFonts w:hint="default" w:ascii="Times New Roman" w:hAnsi="Times New Roman" w:cs="Times New Roman"/>
                <w:color w:val="auto"/>
                <w:kern w:val="0"/>
                <w:sz w:val="24"/>
                <w:highlight w:val="none"/>
                <w:lang w:val="en-US" w:eastAsia="zh-CN"/>
              </w:rPr>
              <w:t>106°7′31.942″，N35°37′22.613″</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县城东侧建筑垃圾填埋场排洪渠起止坐标：</w:t>
            </w:r>
            <w:r>
              <w:rPr>
                <w:rFonts w:hint="default" w:ascii="Times New Roman" w:hAnsi="Times New Roman" w:eastAsia="宋体" w:cs="Times New Roman"/>
                <w:color w:val="auto"/>
                <w:kern w:val="0"/>
                <w:sz w:val="24"/>
                <w:highlight w:val="none"/>
                <w:lang w:val="en-US"/>
              </w:rPr>
              <w:t>E106°8′10.709″</w:t>
            </w:r>
            <w:r>
              <w:rPr>
                <w:rFonts w:hint="default" w:ascii="Times New Roman" w:hAnsi="Times New Roman" w:cs="Times New Roman"/>
                <w:color w:val="auto"/>
                <w:kern w:val="0"/>
                <w:sz w:val="24"/>
                <w:highlight w:val="none"/>
                <w:lang w:val="en-US" w:eastAsia="zh-CN"/>
              </w:rPr>
              <w:t>，N35°36′51.980″</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E106°8′20.558″</w:t>
            </w:r>
            <w:r>
              <w:rPr>
                <w:rFonts w:hint="default" w:ascii="Times New Roman" w:hAnsi="Times New Roman" w:cs="Times New Roman"/>
                <w:color w:val="auto"/>
                <w:kern w:val="0"/>
                <w:sz w:val="24"/>
                <w:highlight w:val="none"/>
                <w:lang w:val="en-US" w:eastAsia="zh-CN"/>
              </w:rPr>
              <w:t>，N35°36′44.3</w:t>
            </w:r>
            <w:r>
              <w:rPr>
                <w:rFonts w:hint="eastAsia" w:cs="Times New Roman"/>
                <w:color w:val="auto"/>
                <w:kern w:val="0"/>
                <w:sz w:val="24"/>
                <w:highlight w:val="none"/>
                <w:lang w:val="en-US" w:eastAsia="zh-CN"/>
              </w:rPr>
              <w:t>50</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；排洪沟新建浆砌石砌护起止坐标：</w:t>
            </w:r>
            <w:r>
              <w:rPr>
                <w:rFonts w:hint="default" w:ascii="Times New Roman" w:hAnsi="Times New Roman" w:eastAsia="宋体" w:cs="Times New Roman"/>
                <w:color w:val="auto"/>
                <w:kern w:val="0"/>
                <w:sz w:val="24"/>
                <w:highlight w:val="none"/>
                <w:lang w:val="en-US"/>
              </w:rPr>
              <w:t>E106°7′57.596″</w:t>
            </w:r>
            <w:r>
              <w:rPr>
                <w:rFonts w:hint="default" w:ascii="Times New Roman" w:hAnsi="Times New Roman" w:cs="Times New Roman"/>
                <w:color w:val="auto"/>
                <w:kern w:val="0"/>
                <w:sz w:val="24"/>
                <w:highlight w:val="none"/>
                <w:lang w:val="en-US" w:eastAsia="zh-CN"/>
              </w:rPr>
              <w:t>，N35°37′2.451″</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E106°8′0.300″</w:t>
            </w:r>
            <w:r>
              <w:rPr>
                <w:rFonts w:hint="default" w:ascii="Times New Roman" w:hAnsi="Times New Roman" w:cs="Times New Roman"/>
                <w:color w:val="auto"/>
                <w:kern w:val="0"/>
                <w:sz w:val="24"/>
                <w:highlight w:val="none"/>
                <w:lang w:val="en-US" w:eastAsia="zh-CN"/>
              </w:rPr>
              <w:t>，N35°37′0.630″</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县生活垃圾填埋场排洪渠起止坐标：</w:t>
            </w:r>
            <w:r>
              <w:rPr>
                <w:rFonts w:hint="default" w:ascii="Times New Roman" w:hAnsi="Times New Roman" w:eastAsia="宋体" w:cs="Times New Roman"/>
                <w:color w:val="auto"/>
                <w:kern w:val="0"/>
                <w:sz w:val="24"/>
                <w:highlight w:val="none"/>
                <w:lang w:val="en-US"/>
              </w:rPr>
              <w:t>E106°6′51.35</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rPr>
              <w:t>″</w:t>
            </w:r>
            <w:r>
              <w:rPr>
                <w:rFonts w:hint="default" w:ascii="Times New Roman" w:hAnsi="Times New Roman" w:cs="Times New Roman"/>
                <w:color w:val="auto"/>
                <w:kern w:val="0"/>
                <w:sz w:val="24"/>
                <w:highlight w:val="none"/>
                <w:lang w:val="en-US" w:eastAsia="zh-CN"/>
              </w:rPr>
              <w:t>，N35°38′15.427″</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E106°6′53.539″</w:t>
            </w:r>
            <w:r>
              <w:rPr>
                <w:rFonts w:hint="default" w:ascii="Times New Roman" w:hAnsi="Times New Roman" w:cs="Times New Roman"/>
                <w:color w:val="auto"/>
                <w:kern w:val="0"/>
                <w:sz w:val="24"/>
                <w:highlight w:val="none"/>
                <w:lang w:val="en-US" w:eastAsia="zh-CN"/>
              </w:rPr>
              <w:t>，N35°38′4.974″</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行政中心北侧现状排洪渠清淤疏浚：</w:t>
            </w:r>
            <w:r>
              <w:rPr>
                <w:rFonts w:hint="default" w:ascii="Times New Roman" w:hAnsi="Times New Roman" w:eastAsia="宋体" w:cs="Times New Roman"/>
                <w:color w:val="auto"/>
                <w:kern w:val="0"/>
                <w:sz w:val="24"/>
                <w:highlight w:val="none"/>
                <w:lang w:val="en-US"/>
              </w:rPr>
              <w:t>E106°6′6.929″</w:t>
            </w:r>
            <w:r>
              <w:rPr>
                <w:rFonts w:hint="default" w:ascii="Times New Roman" w:hAnsi="Times New Roman" w:cs="Times New Roman"/>
                <w:color w:val="auto"/>
                <w:kern w:val="0"/>
                <w:sz w:val="24"/>
                <w:highlight w:val="none"/>
                <w:lang w:val="en-US" w:eastAsia="zh-CN"/>
              </w:rPr>
              <w:t>，N35°37′31.89</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E106°6′36.631″</w:t>
            </w:r>
            <w:r>
              <w:rPr>
                <w:rFonts w:hint="default" w:ascii="Times New Roman" w:hAnsi="Times New Roman" w:cs="Times New Roman"/>
                <w:color w:val="auto"/>
                <w:kern w:val="0"/>
                <w:sz w:val="24"/>
                <w:highlight w:val="none"/>
                <w:lang w:val="en-US" w:eastAsia="zh-CN"/>
              </w:rPr>
              <w:t>，N35°37′35.567″</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南河社区两侧沟道砌护起止坐标：</w:t>
            </w:r>
            <w:r>
              <w:rPr>
                <w:rFonts w:hint="default" w:ascii="Times New Roman" w:hAnsi="Times New Roman" w:eastAsia="宋体" w:cs="Times New Roman"/>
                <w:color w:val="auto"/>
                <w:kern w:val="0"/>
                <w:sz w:val="24"/>
                <w:highlight w:val="none"/>
                <w:lang w:val="en-US"/>
              </w:rPr>
              <w:t>E106°7′1.04</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w:t>
            </w:r>
            <w:r>
              <w:rPr>
                <w:rFonts w:hint="default" w:ascii="Times New Roman" w:hAnsi="Times New Roman" w:cs="Times New Roman"/>
                <w:color w:val="auto"/>
                <w:kern w:val="0"/>
                <w:sz w:val="24"/>
                <w:highlight w:val="none"/>
                <w:lang w:val="en-US" w:eastAsia="zh-CN"/>
              </w:rPr>
              <w:t>，N35°36′15.75</w:t>
            </w: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E106°7′17.843″</w:t>
            </w:r>
            <w:r>
              <w:rPr>
                <w:rFonts w:hint="default" w:ascii="Times New Roman" w:hAnsi="Times New Roman" w:cs="Times New Roman"/>
                <w:color w:val="auto"/>
                <w:kern w:val="0"/>
                <w:sz w:val="24"/>
                <w:highlight w:val="none"/>
                <w:lang w:val="en-US" w:eastAsia="zh-CN"/>
              </w:rPr>
              <w:t>，N35°35′47.863″</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排洪管涵起止坐标：</w:t>
            </w:r>
            <w:r>
              <w:rPr>
                <w:rFonts w:hint="default" w:ascii="Times New Roman" w:hAnsi="Times New Roman" w:eastAsia="宋体" w:cs="Times New Roman"/>
                <w:color w:val="auto"/>
                <w:kern w:val="0"/>
                <w:sz w:val="24"/>
                <w:highlight w:val="none"/>
                <w:lang w:val="en-US"/>
              </w:rPr>
              <w:t>E106°6′50.613″</w:t>
            </w:r>
            <w:r>
              <w:rPr>
                <w:rFonts w:hint="default" w:ascii="Times New Roman" w:hAnsi="Times New Roman" w:cs="Times New Roman"/>
                <w:color w:val="auto"/>
                <w:kern w:val="0"/>
                <w:sz w:val="24"/>
                <w:highlight w:val="none"/>
                <w:lang w:val="en-US" w:eastAsia="zh-CN"/>
              </w:rPr>
              <w:t>，N35°37′28.25</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 </w:t>
            </w:r>
            <w:r>
              <w:rPr>
                <w:rFonts w:hint="default" w:ascii="Times New Roman" w:hAnsi="Times New Roman" w:eastAsia="宋体" w:cs="Times New Roman"/>
                <w:color w:val="auto"/>
                <w:kern w:val="0"/>
                <w:sz w:val="24"/>
                <w:highlight w:val="none"/>
                <w:lang w:val="en-US"/>
              </w:rPr>
              <w:t>E106°6′49.609″</w:t>
            </w:r>
            <w:r>
              <w:rPr>
                <w:rFonts w:hint="default" w:ascii="Times New Roman" w:hAnsi="Times New Roman" w:cs="Times New Roman"/>
                <w:color w:val="auto"/>
                <w:kern w:val="0"/>
                <w:sz w:val="24"/>
                <w:highlight w:val="none"/>
                <w:lang w:val="en-US" w:eastAsia="zh-CN"/>
              </w:rPr>
              <w:t>，N35°37′14.751″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E106°7′17.804″</w:t>
            </w:r>
            <w:r>
              <w:rPr>
                <w:rFonts w:hint="default" w:ascii="Times New Roman" w:hAnsi="Times New Roman" w:cs="Times New Roman"/>
                <w:color w:val="auto"/>
                <w:kern w:val="0"/>
                <w:sz w:val="24"/>
                <w:highlight w:val="none"/>
                <w:lang w:val="en-US" w:eastAsia="zh-CN"/>
              </w:rPr>
              <w:t>，N35°37′24.955″</w:t>
            </w:r>
            <w:r>
              <w:rPr>
                <w:rFonts w:hint="eastAsia" w:cs="Times New Roman"/>
                <w:color w:val="auto"/>
                <w:kern w:val="0"/>
                <w:sz w:val="24"/>
                <w:highlight w:val="none"/>
                <w:lang w:val="en-US" w:eastAsia="zh-CN"/>
              </w:rPr>
              <w:t xml:space="preserve"> </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val="en-US"/>
              </w:rPr>
              <w:t>E106°7′18.152″</w:t>
            </w:r>
            <w:r>
              <w:rPr>
                <w:rFonts w:hint="default" w:ascii="Times New Roman" w:hAnsi="Times New Roman" w:cs="Times New Roman"/>
                <w:color w:val="auto"/>
                <w:kern w:val="0"/>
                <w:sz w:val="24"/>
                <w:highlight w:val="none"/>
                <w:lang w:val="en-US" w:eastAsia="zh-CN"/>
              </w:rPr>
              <w:t>，N35°37′18.33</w:t>
            </w: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0000FF"/>
                <w:kern w:val="0"/>
                <w:sz w:val="24"/>
                <w:highlight w:val="none"/>
                <w:lang w:val="en-US"/>
              </w:rPr>
            </w:pPr>
            <w:r>
              <w:rPr>
                <w:rFonts w:hint="default" w:ascii="Times New Roman" w:hAnsi="Times New Roman" w:eastAsia="宋体" w:cs="Times New Roman"/>
                <w:color w:val="auto"/>
                <w:kern w:val="0"/>
                <w:sz w:val="24"/>
                <w:highlight w:val="none"/>
              </w:rPr>
              <w:t>本项目地理位置</w:t>
            </w:r>
            <w:r>
              <w:rPr>
                <w:rFonts w:hint="default" w:ascii="Times New Roman" w:hAnsi="Times New Roman" w:eastAsia="宋体" w:cs="Times New Roman"/>
                <w:color w:val="auto"/>
                <w:kern w:val="0"/>
                <w:sz w:val="24"/>
                <w:highlight w:val="none"/>
                <w:lang w:val="en-US" w:eastAsia="zh-CN"/>
              </w:rPr>
              <w:t>图见</w:t>
            </w:r>
            <w:r>
              <w:rPr>
                <w:rFonts w:hint="eastAsia" w:cs="Times New Roman"/>
                <w:color w:val="auto"/>
                <w:kern w:val="0"/>
                <w:sz w:val="24"/>
                <w:highlight w:val="none"/>
                <w:lang w:val="en-US" w:eastAsia="zh-CN"/>
              </w:rPr>
              <w:t>附</w:t>
            </w:r>
            <w:r>
              <w:rPr>
                <w:rFonts w:hint="default" w:ascii="Times New Roman" w:hAnsi="Times New Roman" w:eastAsia="宋体" w:cs="Times New Roman"/>
                <w:color w:val="auto"/>
                <w:kern w:val="0"/>
                <w:sz w:val="24"/>
                <w:highlight w:val="none"/>
                <w:lang w:val="en-US" w:eastAsia="zh-CN"/>
              </w:rPr>
              <w:t>图</w:t>
            </w:r>
            <w:r>
              <w:rPr>
                <w:rFonts w:hint="eastAsia" w:cs="Times New Roman"/>
                <w:color w:val="auto"/>
                <w:kern w:val="0"/>
                <w:sz w:val="24"/>
                <w:highlight w:val="non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8" w:hRule="atLeast"/>
          <w:jc w:val="center"/>
        </w:trPr>
        <w:tc>
          <w:tcPr>
            <w:tcW w:w="70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项目组成及规模</w:t>
            </w:r>
          </w:p>
        </w:tc>
        <w:tc>
          <w:tcPr>
            <w:tcW w:w="829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540" w:lineRule="exact"/>
              <w:ind w:firstLine="482" w:firstLineChars="20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、主要建设内容及建设规模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本项目建设内容</w:t>
            </w:r>
            <w:r>
              <w:rPr>
                <w:rFonts w:hint="default" w:ascii="Times New Roman" w:hAnsi="Times New Roman" w:eastAsia="宋体" w:cs="Times New Roman"/>
                <w:color w:val="auto"/>
                <w:kern w:val="0"/>
                <w:sz w:val="24"/>
                <w:highlight w:val="none"/>
                <w:lang w:val="en-US" w:eastAsia="zh-CN"/>
              </w:rPr>
              <w:t>主要</w:t>
            </w:r>
            <w:r>
              <w:rPr>
                <w:rFonts w:hint="default" w:ascii="Times New Roman" w:hAnsi="Times New Roman" w:eastAsia="宋体" w:cs="Times New Roman"/>
                <w:color w:val="auto"/>
                <w:kern w:val="0"/>
                <w:sz w:val="24"/>
                <w:highlight w:val="none"/>
                <w:lang w:val="en-US"/>
              </w:rPr>
              <w:t>为</w:t>
            </w:r>
            <w:r>
              <w:rPr>
                <w:rFonts w:hint="default" w:ascii="Times New Roman" w:hAnsi="Times New Roman" w:eastAsia="宋体" w:cs="Times New Roman"/>
                <w:color w:val="auto"/>
                <w:kern w:val="0"/>
                <w:sz w:val="24"/>
                <w:highlight w:val="none"/>
                <w:lang w:val="en-US" w:eastAsia="zh-CN"/>
              </w:rPr>
              <w:t>建设排洪渠及现状清淤工程</w:t>
            </w:r>
            <w:r>
              <w:rPr>
                <w:rFonts w:hint="default" w:ascii="Times New Roman" w:hAnsi="Times New Roman" w:eastAsia="宋体" w:cs="Times New Roman"/>
                <w:color w:val="auto"/>
                <w:kern w:val="0"/>
                <w:sz w:val="24"/>
                <w:highlight w:val="none"/>
                <w:lang w:val="en-US"/>
              </w:rPr>
              <w:t>、</w:t>
            </w:r>
            <w:r>
              <w:rPr>
                <w:rFonts w:hint="default" w:ascii="Times New Roman" w:hAnsi="Times New Roman" w:eastAsia="宋体" w:cs="Times New Roman"/>
                <w:color w:val="auto"/>
                <w:kern w:val="0"/>
                <w:sz w:val="24"/>
                <w:highlight w:val="none"/>
                <w:lang w:val="en-US" w:eastAsia="zh-CN"/>
              </w:rPr>
              <w:t>建设山洪沟砌护</w:t>
            </w:r>
            <w:r>
              <w:rPr>
                <w:rFonts w:hint="default" w:ascii="Times New Roman" w:hAnsi="Times New Roman" w:eastAsia="宋体" w:cs="Times New Roman"/>
                <w:color w:val="auto"/>
                <w:kern w:val="0"/>
                <w:sz w:val="24"/>
                <w:highlight w:val="none"/>
                <w:lang w:val="en-US"/>
              </w:rPr>
              <w:t>、</w:t>
            </w:r>
            <w:r>
              <w:rPr>
                <w:rFonts w:hint="default" w:ascii="Times New Roman" w:hAnsi="Times New Roman" w:eastAsia="宋体" w:cs="Times New Roman"/>
                <w:color w:val="auto"/>
                <w:kern w:val="0"/>
                <w:sz w:val="24"/>
                <w:highlight w:val="none"/>
                <w:lang w:val="en-US" w:eastAsia="zh-CN"/>
              </w:rPr>
              <w:t>排洪管涵建设</w:t>
            </w:r>
            <w:r>
              <w:rPr>
                <w:rFonts w:hint="default" w:ascii="Times New Roman" w:hAnsi="Times New Roman" w:eastAsia="宋体" w:cs="Times New Roman"/>
                <w:color w:val="auto"/>
                <w:kern w:val="0"/>
                <w:sz w:val="24"/>
                <w:highlight w:val="none"/>
                <w:lang w:val="en-US"/>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1.建设排洪渠及现状清淤工程。建设排洪渠2.627km，其中北象山建设排洪渠1136m、县城东侧建筑垃圾填埋场建设排洪渠721m、县生活垃圾填埋厂建设排洪渠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lang w:val="en-US" w:eastAsia="zh-CN"/>
              </w:rPr>
              <w:t>m;建设浆砌石砌护180m、浆砌石挡土墙1.857km、浆砌石直墙15m;行政中心北侧现状排洪渠清淤疏浚767m;及其附属工程施工便道3.35km、临时施工堆料场4处。</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2.建设山洪沟砌护。南河社区两侧建设沟道砌护3.135km</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其中南河社区西侧建设沟道砌护单侧长度1.564km，南河社区东侧建设沟道砌护单侧长度1.081km，入河口建设沟道砌护0.49km。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3.排洪管涵建设。建设d1500钢筋混凝土管395米，d2000钢筋混凝土管180米</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建设钢筋混凝土检査井7座</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排水口3座。</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本项目工程组成主要包括主体工程、临时工程、储运工程、公用工程以及环保工程。具体的项目工程组成情况见表2</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w:t>
            </w:r>
          </w:p>
          <w:tbl>
            <w:tblPr>
              <w:tblStyle w:val="20"/>
              <w:tblpPr w:leftFromText="180" w:rightFromText="180" w:vertAnchor="text" w:horzAnchor="page" w:tblpX="143" w:tblpY="532"/>
              <w:tblOverlap w:val="never"/>
              <w:tblW w:w="8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96"/>
              <w:gridCol w:w="5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lang w:eastAsia="zh-CN"/>
                    </w:rPr>
                  </w:pPr>
                  <w:bookmarkStart w:id="7" w:name="OLE_LINK9"/>
                  <w:r>
                    <w:rPr>
                      <w:rFonts w:hint="default" w:ascii="Times New Roman" w:hAnsi="Times New Roman" w:eastAsia="宋体" w:cs="Times New Roman"/>
                      <w:b/>
                      <w:color w:val="auto"/>
                      <w:sz w:val="21"/>
                      <w:szCs w:val="21"/>
                      <w:highlight w:val="none"/>
                      <w:lang w:val="en-US" w:eastAsia="zh-CN"/>
                    </w:rPr>
                    <w:t>类别</w:t>
                  </w: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名称</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主体工程</w:t>
                  </w:r>
                </w:p>
              </w:tc>
              <w:tc>
                <w:tcPr>
                  <w:tcW w:w="37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排洪渠工程</w:t>
                  </w:r>
                </w:p>
              </w:tc>
              <w:tc>
                <w:tcPr>
                  <w:tcW w:w="12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北象山东侧排洪渠工程</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设计长度919m，设计渠道比降1/500～1/2000。根据分流计算渠道采用1.5m×1.5m、1.0m×1.5m两种矩形排洪渠断面，设计水深1.0m，设计渠深1.5m，采用预制C30混凝土渠道对排洪渠进行防护。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北象山中间段排洪渠工程</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设计长度217m，设计渠道比降1/500～1/2000。根据分流计算渠道采用1.0m×1.5m 两种矩形排洪渠断面，设计水深1.0m，设计渠深1.5m，采用预制C30混凝土渠道对排洪渠进行防护。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行政中心北侧现状排洪渠及排洪管涵工程</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现状排洪渠长度0.767km，进行清淤处理；现状排洪管涵设计长度0.85km，进行 清淤处理。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县城东侧建筑垃圾填埋厂排洪渠</w:t>
                  </w:r>
                  <w:r>
                    <w:rPr>
                      <w:rFonts w:hint="eastAsia" w:cs="Times New Roman"/>
                      <w:color w:val="auto"/>
                      <w:spacing w:val="-17"/>
                      <w:sz w:val="21"/>
                      <w:szCs w:val="21"/>
                      <w:highlight w:val="none"/>
                      <w:lang w:val="en-US" w:eastAsia="zh-CN"/>
                    </w:rPr>
                    <w:t>工程</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设计长度721m，设计渠道比降1/2000。根据分流计算渠道采用1.0m×1.5m矩形排洪渠断面，设计水深1.0m，设计渠深1.5m，采用预制C30混凝土渠道对排洪渠进行防护。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7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29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县城城市垃圾填埋厂排洪渠</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设计长度</w:t>
                  </w:r>
                  <w:r>
                    <w:rPr>
                      <w:rFonts w:hint="eastAsia" w:cs="Times New Roman"/>
                      <w:color w:val="auto"/>
                      <w:sz w:val="21"/>
                      <w:szCs w:val="21"/>
                      <w:highlight w:val="none"/>
                      <w:lang w:val="en-US" w:eastAsia="zh-CN"/>
                    </w:rPr>
                    <w:t>77</w:t>
                  </w:r>
                  <w:r>
                    <w:rPr>
                      <w:rFonts w:hint="default" w:ascii="Times New Roman" w:hAnsi="Times New Roman" w:eastAsia="宋体" w:cs="Times New Roman"/>
                      <w:color w:val="auto"/>
                      <w:sz w:val="21"/>
                      <w:szCs w:val="21"/>
                      <w:highlight w:val="none"/>
                    </w:rPr>
                    <w:t>0m，设计渠道比降1/2000。根据分流计算渠道采用1.0m×1.5m矩形 排洪渠断面，设计水深1.0m，设计渠深1.5m，采用预制C30 混凝土渠道对排洪渠进行防护。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山洪沟砌护</w:t>
                  </w:r>
                </w:p>
              </w:tc>
              <w:tc>
                <w:tcPr>
                  <w:tcW w:w="5884" w:type="dxa"/>
                  <w:tcBorders>
                    <w:tl2br w:val="nil"/>
                    <w:tr2bl w:val="nil"/>
                  </w:tcBorders>
                  <w:vAlign w:val="center"/>
                </w:tcPr>
                <w:p>
                  <w:pPr>
                    <w:keepNext w:val="0"/>
                    <w:keepLines w:val="0"/>
                    <w:pageBreakBefore w:val="0"/>
                    <w:tabs>
                      <w:tab w:val="left" w:pos="556"/>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南河社区两侧建设沟道砌护单侧长度3.315km；其中：南河社区西侧建设沟道砌护单侧长度1.564km，南河社区东侧建设沟道砌护单侧长度1.081km，入河口建设沟道砌护0.49km。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6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临时工程</w:t>
                  </w: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施工临时道路</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临时施工道路可利用现有</w:t>
                  </w:r>
                  <w:r>
                    <w:rPr>
                      <w:rFonts w:hint="eastAsia" w:cs="Times New Roman"/>
                      <w:bCs/>
                      <w:color w:val="auto"/>
                      <w:sz w:val="21"/>
                      <w:szCs w:val="21"/>
                      <w:highlight w:val="none"/>
                      <w:lang w:val="en-US" w:eastAsia="zh-CN"/>
                    </w:rPr>
                    <w:t>周边道路，建设施工临时道路2.5km，并采取分段施工，减少对交通的影响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临时施工区</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eastAsia" w:cs="Times New Roman"/>
                      <w:bCs/>
                      <w:color w:val="auto"/>
                      <w:sz w:val="21"/>
                      <w:szCs w:val="21"/>
                      <w:highlight w:val="none"/>
                      <w:lang w:eastAsia="zh-CN"/>
                    </w:rPr>
                    <w:t>不设</w:t>
                  </w:r>
                  <w:r>
                    <w:rPr>
                      <w:rFonts w:hint="default" w:ascii="Times New Roman" w:hAnsi="Times New Roman" w:eastAsia="宋体" w:cs="Times New Roman"/>
                      <w:color w:val="auto"/>
                      <w:kern w:val="0"/>
                      <w:sz w:val="21"/>
                      <w:szCs w:val="21"/>
                      <w:highlight w:val="none"/>
                      <w:lang w:bidi="ar"/>
                    </w:rPr>
                    <w:t>施工营地</w:t>
                  </w:r>
                  <w:r>
                    <w:rPr>
                      <w:rFonts w:hint="default" w:ascii="Times New Roman" w:hAnsi="Times New Roman" w:eastAsia="宋体" w:cs="Times New Roman"/>
                      <w:bCs/>
                      <w:color w:val="auto"/>
                      <w:sz w:val="21"/>
                      <w:szCs w:val="21"/>
                      <w:highlight w:val="none"/>
                    </w:rPr>
                    <w:t>；项目施工期较短，施工期施工人员依托周边村庄居住</w:t>
                  </w:r>
                  <w:r>
                    <w:rPr>
                      <w:rFonts w:hint="default" w:ascii="Times New Roman" w:hAnsi="Times New Roman" w:eastAsia="宋体" w:cs="Times New Roman"/>
                      <w:bCs/>
                      <w:color w:val="auto"/>
                      <w:sz w:val="21"/>
                      <w:szCs w:val="21"/>
                      <w:highlight w:val="none"/>
                      <w:lang w:val="en-US" w:eastAsia="zh-CN"/>
                    </w:rPr>
                    <w:t>；施工结束后对临时施工区进行土地平整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播撒草籽</w:t>
                  </w:r>
                  <w:r>
                    <w:rPr>
                      <w:rFonts w:hint="default" w:ascii="Times New Roman" w:hAnsi="Times New Roman" w:eastAsia="宋体" w:cs="Times New Roman"/>
                      <w:bCs/>
                      <w:color w:val="auto"/>
                      <w:sz w:val="21"/>
                      <w:szCs w:val="21"/>
                      <w:highlight w:val="none"/>
                      <w:lang w:val="en-US" w:eastAsia="zh-CN"/>
                    </w:rPr>
                    <w:t>，施工过程中采取洒水降尘、彩钢板拦挡等措施。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临时堆土场</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eastAsia" w:cs="Times New Roman"/>
                      <w:bCs/>
                      <w:color w:val="auto"/>
                      <w:sz w:val="21"/>
                      <w:szCs w:val="21"/>
                      <w:highlight w:val="none"/>
                      <w:lang w:eastAsia="zh-CN"/>
                    </w:rPr>
                    <w:t>不设置弃土场</w:t>
                  </w:r>
                  <w:r>
                    <w:rPr>
                      <w:rFonts w:hint="default" w:ascii="Times New Roman" w:hAnsi="Times New Roman" w:eastAsia="宋体" w:cs="Times New Roman"/>
                      <w:bCs/>
                      <w:color w:val="auto"/>
                      <w:sz w:val="21"/>
                      <w:szCs w:val="21"/>
                      <w:highlight w:val="none"/>
                    </w:rPr>
                    <w:t>，设置1个临时堆土场</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工程施工沟渠挖出的</w:t>
                  </w:r>
                  <w:r>
                    <w:rPr>
                      <w:rFonts w:hint="eastAsia" w:cs="Times New Roman"/>
                      <w:bCs/>
                      <w:color w:val="auto"/>
                      <w:sz w:val="21"/>
                      <w:szCs w:val="21"/>
                      <w:highlight w:val="none"/>
                      <w:lang w:eastAsia="zh-CN"/>
                    </w:rPr>
                    <w:t>泥沙</w:t>
                  </w:r>
                  <w:r>
                    <w:rPr>
                      <w:rFonts w:hint="default" w:ascii="Times New Roman" w:hAnsi="Times New Roman" w:eastAsia="宋体" w:cs="Times New Roman"/>
                      <w:bCs/>
                      <w:color w:val="auto"/>
                      <w:sz w:val="21"/>
                      <w:szCs w:val="21"/>
                      <w:highlight w:val="none"/>
                    </w:rPr>
                    <w:t>堆在</w:t>
                  </w:r>
                  <w:r>
                    <w:rPr>
                      <w:rFonts w:hint="eastAsia" w:cs="Times New Roman"/>
                      <w:bCs/>
                      <w:color w:val="auto"/>
                      <w:sz w:val="21"/>
                      <w:szCs w:val="21"/>
                      <w:highlight w:val="none"/>
                      <w:lang w:eastAsia="zh-CN"/>
                    </w:rPr>
                    <w:t>临时堆土场，按照原有处理计划，及时运走弃土</w:t>
                  </w:r>
                  <w:r>
                    <w:rPr>
                      <w:rFonts w:hint="default" w:ascii="Times New Roman" w:hAnsi="Times New Roman" w:eastAsia="宋体" w:cs="Times New Roman"/>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公用工程</w:t>
                  </w: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给水</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施工用水就近取用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排水</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施工废水沉淀后用于场地泼洒抑尘；生活污水排放依托</w:t>
                  </w:r>
                  <w:r>
                    <w:rPr>
                      <w:rFonts w:hint="default" w:ascii="Times New Roman" w:hAnsi="Times New Roman" w:eastAsia="宋体" w:cs="Times New Roman"/>
                      <w:color w:val="auto"/>
                      <w:kern w:val="0"/>
                      <w:sz w:val="21"/>
                      <w:szCs w:val="21"/>
                      <w:highlight w:val="none"/>
                      <w:lang w:val="en-US" w:eastAsia="zh-CN"/>
                    </w:rPr>
                    <w:t>附近</w:t>
                  </w:r>
                  <w:r>
                    <w:rPr>
                      <w:rFonts w:hint="default" w:ascii="Times New Roman" w:hAnsi="Times New Roman" w:eastAsia="宋体" w:cs="Times New Roman"/>
                      <w:color w:val="auto"/>
                      <w:kern w:val="0"/>
                      <w:sz w:val="21"/>
                      <w:szCs w:val="21"/>
                      <w:highlight w:val="none"/>
                    </w:rPr>
                    <w:t>租用民房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供电</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工程用电负荷较小，可就近接用附近电网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FF"/>
                      <w:sz w:val="21"/>
                      <w:szCs w:val="21"/>
                      <w:highlight w:val="none"/>
                    </w:rPr>
                  </w:pPr>
                  <w:r>
                    <w:rPr>
                      <w:rFonts w:hint="default" w:ascii="Times New Roman" w:hAnsi="Times New Roman" w:eastAsia="宋体" w:cs="Times New Roman"/>
                      <w:b/>
                      <w:bCs w:val="0"/>
                      <w:color w:val="auto"/>
                      <w:sz w:val="21"/>
                      <w:szCs w:val="21"/>
                      <w:highlight w:val="none"/>
                    </w:rPr>
                    <w:t>环保工程</w:t>
                  </w:r>
                </w:p>
              </w:tc>
              <w:tc>
                <w:tcPr>
                  <w:tcW w:w="1668" w:type="dxa"/>
                  <w:gridSpan w:val="2"/>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废气防治措施</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施工扬尘：施工场地洒水、运输车辆</w:t>
                  </w:r>
                  <w:r>
                    <w:rPr>
                      <w:rFonts w:hint="default" w:ascii="Times New Roman" w:hAnsi="Times New Roman" w:eastAsia="宋体" w:cs="Times New Roman"/>
                      <w:bCs/>
                      <w:color w:val="auto"/>
                      <w:sz w:val="21"/>
                      <w:szCs w:val="21"/>
                      <w:highlight w:val="none"/>
                      <w:lang w:eastAsia="zh-CN"/>
                    </w:rPr>
                    <w:t>盖上篷布。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施工机械废气：加强施工机械的使用管理和保养维修，合理降低使用次数，优化机械设备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废水治理措施</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施工废水沉淀后用于施工场地洒水抑尘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施工人员居住</w:t>
                  </w:r>
                  <w:r>
                    <w:rPr>
                      <w:rFonts w:hint="eastAsia" w:cs="Times New Roman"/>
                      <w:bCs/>
                      <w:color w:val="auto"/>
                      <w:sz w:val="21"/>
                      <w:szCs w:val="21"/>
                      <w:highlight w:val="none"/>
                      <w:lang w:eastAsia="zh-CN"/>
                    </w:rPr>
                    <w:t>附近村民</w:t>
                  </w:r>
                  <w:r>
                    <w:rPr>
                      <w:rFonts w:hint="default" w:ascii="Times New Roman" w:hAnsi="Times New Roman" w:eastAsia="宋体" w:cs="Times New Roman"/>
                      <w:bCs/>
                      <w:color w:val="auto"/>
                      <w:sz w:val="21"/>
                      <w:szCs w:val="21"/>
                      <w:highlight w:val="none"/>
                    </w:rPr>
                    <w:t>民房，因此生活污水排放依托</w:t>
                  </w:r>
                  <w:r>
                    <w:rPr>
                      <w:rFonts w:hint="eastAsia" w:cs="Times New Roman"/>
                      <w:bCs/>
                      <w:color w:val="auto"/>
                      <w:sz w:val="21"/>
                      <w:szCs w:val="21"/>
                      <w:highlight w:val="none"/>
                      <w:lang w:eastAsia="zh-CN"/>
                    </w:rPr>
                    <w:t>村民</w:t>
                  </w:r>
                  <w:r>
                    <w:rPr>
                      <w:rFonts w:hint="default" w:ascii="Times New Roman" w:hAnsi="Times New Roman" w:eastAsia="宋体" w:cs="Times New Roman"/>
                      <w:bCs/>
                      <w:color w:val="auto"/>
                      <w:sz w:val="21"/>
                      <w:szCs w:val="21"/>
                      <w:highlight w:val="none"/>
                    </w:rPr>
                    <w:t>民房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噪声治理措施</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施工期合理安排施工时间，选用低噪声设备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固废治理措施</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开挖土石方全部</w:t>
                  </w:r>
                  <w:r>
                    <w:rPr>
                      <w:rFonts w:hint="eastAsia" w:cs="Times New Roman"/>
                      <w:bCs/>
                      <w:color w:val="auto"/>
                      <w:sz w:val="21"/>
                      <w:szCs w:val="21"/>
                      <w:highlight w:val="none"/>
                      <w:lang w:eastAsia="zh-CN"/>
                    </w:rPr>
                    <w:t>用于场地平整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清於后产生的泥沙，晾晒后用于场地平整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FF"/>
                      <w:sz w:val="21"/>
                      <w:szCs w:val="21"/>
                      <w:highlight w:val="none"/>
                    </w:rPr>
                  </w:pPr>
                </w:p>
              </w:tc>
              <w:tc>
                <w:tcPr>
                  <w:tcW w:w="166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生态恢复、水土保持措施</w:t>
                  </w:r>
                </w:p>
              </w:tc>
              <w:tc>
                <w:tcPr>
                  <w:tcW w:w="58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施工完毕后，对临时占地进行恢复</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水土保持及恢复措施</w:t>
                  </w:r>
                </w:p>
              </w:tc>
            </w:tr>
            <w:bookmarkEnd w:id="7"/>
          </w:tbl>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Cs/>
                <w:color w:val="auto"/>
                <w:sz w:val="24"/>
                <w:highlight w:val="none"/>
              </w:rPr>
            </w:pPr>
            <w:r>
              <w:rPr>
                <w:rFonts w:hint="default" w:ascii="Times New Roman" w:hAnsi="Times New Roman" w:eastAsia="宋体"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highlight w:val="none"/>
              </w:rPr>
              <w:t xml:space="preserve">  本项目工程组成一览</w:t>
            </w:r>
            <w:r>
              <w:rPr>
                <w:rFonts w:hint="default" w:ascii="Times New Roman" w:hAnsi="Times New Roman" w:eastAsia="宋体" w:cs="Times New Roman"/>
                <w:b/>
                <w:bCs/>
                <w:color w:val="auto"/>
                <w:sz w:val="24"/>
                <w:highlight w:val="none"/>
              </w:rPr>
              <w:t>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40" w:lineRule="exact"/>
              <w:ind w:left="0" w:leftChars="0" w:right="0" w:rightChars="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2、排洪渠</w:t>
            </w:r>
            <w:r>
              <w:rPr>
                <w:rFonts w:hint="default" w:ascii="Times New Roman" w:hAnsi="Times New Roman" w:eastAsia="宋体" w:cs="Times New Roman"/>
                <w:b/>
                <w:color w:val="auto"/>
                <w:kern w:val="0"/>
                <w:sz w:val="24"/>
                <w:highlight w:val="none"/>
              </w:rPr>
              <w:t>工程</w:t>
            </w:r>
            <w:r>
              <w:rPr>
                <w:rFonts w:hint="default" w:ascii="Times New Roman" w:hAnsi="Times New Roman" w:eastAsia="宋体" w:cs="Times New Roman"/>
                <w:b/>
                <w:color w:val="auto"/>
                <w:kern w:val="0"/>
                <w:sz w:val="24"/>
                <w:highlight w:val="none"/>
                <w:lang w:val="en-US" w:eastAsia="zh-CN"/>
              </w:rPr>
              <w:t>设计</w:t>
            </w:r>
            <w:r>
              <w:rPr>
                <w:rFonts w:hint="default" w:ascii="Times New Roman" w:hAnsi="Times New Roman" w:eastAsia="宋体" w:cs="Times New Roman"/>
                <w:b/>
                <w:color w:val="auto"/>
                <w:kern w:val="0"/>
                <w:sz w:val="24"/>
                <w:highlight w:val="none"/>
              </w:rPr>
              <w:t>方案</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本次隆德县县城排水防涝能力提升项目建设排洪渠</w:t>
            </w:r>
            <w:r>
              <w:rPr>
                <w:rFonts w:hint="eastAsia" w:cs="Times New Roman"/>
                <w:color w:val="auto"/>
                <w:kern w:val="0"/>
                <w:sz w:val="24"/>
                <w:highlight w:val="none"/>
                <w:lang w:val="en-US" w:eastAsia="zh-CN"/>
              </w:rPr>
              <w:t>2.747</w:t>
            </w:r>
            <w:r>
              <w:rPr>
                <w:rFonts w:hint="default" w:ascii="Times New Roman" w:hAnsi="Times New Roman" w:eastAsia="宋体" w:cs="Times New Roman"/>
                <w:color w:val="auto"/>
                <w:kern w:val="0"/>
                <w:sz w:val="24"/>
                <w:highlight w:val="none"/>
                <w:lang w:val="en-US"/>
              </w:rPr>
              <w:t>km，其中北象山东侧建设排洪渠919m、北象山中间段建设排洪渠217m、县城东侧建筑垃圾填埋场建设排洪渠721m、县城城市垃圾填埋厂建设排洪渠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lang w:val="en-US"/>
              </w:rPr>
              <w:t>m</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为防止因建设排洪渠造成的山体滑坡，沿排洪渠山体一侧建设浆砌石挡土墙1.857km。建设排洪渠与排洪管涵连接处浆砌石直墙15m，建设行政中心北侧现状排洪渠清淤疏浚767m。附属工程建设施工</w:t>
            </w:r>
            <w:r>
              <w:rPr>
                <w:rFonts w:hint="eastAsia" w:cs="Times New Roman"/>
                <w:color w:val="auto"/>
                <w:kern w:val="0"/>
                <w:sz w:val="24"/>
                <w:highlight w:val="none"/>
                <w:lang w:val="en-US" w:eastAsia="zh-CN"/>
              </w:rPr>
              <w:t>临时</w:t>
            </w:r>
            <w:r>
              <w:rPr>
                <w:rFonts w:hint="default" w:ascii="Times New Roman" w:hAnsi="Times New Roman" w:eastAsia="宋体" w:cs="Times New Roman"/>
                <w:color w:val="auto"/>
                <w:kern w:val="0"/>
                <w:sz w:val="24"/>
                <w:highlight w:val="none"/>
                <w:lang w:val="en-US"/>
              </w:rPr>
              <w:t>便道3.35km，建设临时施工堆料场4处。</w:t>
            </w:r>
          </w:p>
          <w:p>
            <w:pPr>
              <w:keepNext w:val="0"/>
              <w:keepLines w:val="0"/>
              <w:pageBreakBefore w:val="0"/>
              <w:widowControl w:val="0"/>
              <w:kinsoku/>
              <w:wordWrap/>
              <w:overflowPunct/>
              <w:topLinePunct w:val="0"/>
              <w:autoSpaceDE w:val="0"/>
              <w:autoSpaceDN w:val="0"/>
              <w:bidi w:val="0"/>
              <w:adjustRightInd w:val="0"/>
              <w:snapToGrid w:val="0"/>
              <w:spacing w:line="540" w:lineRule="exact"/>
              <w:ind w:right="0" w:rightChars="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排洪渠工程设计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排洪渠道断面设计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渠道断面计算采用明渠均匀流公式：</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 xml:space="preserve">Q=AC </w:t>
            </w:r>
            <m:oMath>
              <m:rad>
                <m:radPr>
                  <m:degHide m:val="1"/>
                  <m:ctrlPr>
                    <w:rPr>
                      <w:rFonts w:ascii="Cambria Math" w:hAnsi="Cambria Math" w:cs="Times New Roman"/>
                      <w:i/>
                      <w:color w:val="auto"/>
                      <w:kern w:val="0"/>
                      <w:sz w:val="24"/>
                      <w:highlight w:val="none"/>
                      <w:lang w:val="en-US"/>
                    </w:rPr>
                  </m:ctrlPr>
                </m:radPr>
                <m:deg>
                  <m:ctrlPr>
                    <w:rPr>
                      <w:rFonts w:ascii="Cambria Math" w:hAnsi="Cambria Math" w:cs="Times New Roman"/>
                      <w:i/>
                      <w:color w:val="auto"/>
                      <w:kern w:val="0"/>
                      <w:sz w:val="24"/>
                      <w:highlight w:val="none"/>
                      <w:lang w:val="en-US"/>
                    </w:rPr>
                  </m:ctrlPr>
                </m:deg>
                <m:e>
                  <m:r>
                    <w:rPr>
                      <w:rFonts w:hint="default" w:ascii="Cambria Math" w:hAnsi="Cambria Math" w:cs="Times New Roman"/>
                      <w:color w:val="auto"/>
                      <w:kern w:val="0"/>
                      <w:sz w:val="24"/>
                      <w:highlight w:val="none"/>
                      <w:lang w:val="en-US" w:eastAsia="zh-CN"/>
                    </w:rPr>
                    <m:t>Ri</m:t>
                  </m:r>
                  <m:ctrlPr>
                    <w:rPr>
                      <w:rFonts w:ascii="Cambria Math" w:hAnsi="Cambria Math" w:cs="Times New Roman"/>
                      <w:i/>
                      <w:color w:val="auto"/>
                      <w:kern w:val="0"/>
                      <w:sz w:val="24"/>
                      <w:highlight w:val="none"/>
                      <w:lang w:val="en-US"/>
                    </w:rPr>
                  </m:ctrlPr>
                </m:e>
              </m:rad>
            </m:oMath>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设计流量；</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A</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过水断面面积（m</w:t>
            </w:r>
            <w:r>
              <w:rPr>
                <w:rFonts w:hint="default" w:ascii="Times New Roman" w:hAnsi="Times New Roman" w:eastAsia="宋体" w:cs="Times New Roman"/>
                <w:color w:val="auto"/>
                <w:kern w:val="0"/>
                <w:sz w:val="24"/>
                <w:highlight w:val="none"/>
                <w:vertAlign w:val="superscript"/>
                <w:lang w:val="en-US"/>
              </w:rPr>
              <w:t>2</w:t>
            </w:r>
            <w:r>
              <w:rPr>
                <w:rFonts w:hint="default" w:ascii="Times New Roman" w:hAnsi="Times New Roman" w:eastAsia="宋体" w:cs="Times New Roman"/>
                <w:color w:val="auto"/>
                <w:kern w:val="0"/>
                <w:sz w:val="24"/>
                <w:highlight w:val="none"/>
                <w:lang w:val="en-US"/>
              </w:rPr>
              <w:t>），A=（B+mH）H，B 为设计沟底宽；m为边坡系数，土质边坡1:0.0；</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eastAsia"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R</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水力半径（m），R=A/X，X=B+2H 设</w:t>
            </w:r>
            <w:r>
              <w:rPr>
                <w:rFonts w:hint="default" w:ascii="Times New Roman" w:hAnsi="Times New Roman" w:eastAsia="宋体" w:cs="Times New Roman"/>
                <w:color w:val="auto"/>
                <w:kern w:val="0"/>
                <w:sz w:val="24"/>
                <w:highlight w:val="none"/>
                <w:lang w:val="en-US"/>
              </w:rPr>
              <w:drawing>
                <wp:inline distT="0" distB="0" distL="0" distR="0">
                  <wp:extent cx="549275" cy="295910"/>
                  <wp:effectExtent l="0" t="0" r="3175" b="698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
                          <a:stretch>
                            <a:fillRect/>
                          </a:stretch>
                        </pic:blipFill>
                        <pic:spPr>
                          <a:xfrm>
                            <a:off x="0" y="0"/>
                            <a:ext cx="549364" cy="296361"/>
                          </a:xfrm>
                          <a:prstGeom prst="rect">
                            <a:avLst/>
                          </a:prstGeom>
                        </pic:spPr>
                      </pic:pic>
                    </a:graphicData>
                  </a:graphic>
                </wp:inline>
              </w:drawing>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I</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沟道比降；</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mc:AlternateContent>
                <mc:Choice Requires="wps">
                  <w:drawing>
                    <wp:anchor distT="0" distB="0" distL="114300" distR="114300" simplePos="0" relativeHeight="251659264" behindDoc="0" locked="0" layoutInCell="1" allowOverlap="1">
                      <wp:simplePos x="0" y="0"/>
                      <wp:positionH relativeFrom="column">
                        <wp:posOffset>3798570</wp:posOffset>
                      </wp:positionH>
                      <wp:positionV relativeFrom="paragraph">
                        <wp:posOffset>125095</wp:posOffset>
                      </wp:positionV>
                      <wp:extent cx="80645" cy="1790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0645" cy="179070"/>
                              </a:xfrm>
                              <a:prstGeom prst="rect">
                                <a:avLst/>
                              </a:prstGeom>
                              <a:noFill/>
                              <a:ln>
                                <a:noFill/>
                              </a:ln>
                            </wps:spPr>
                            <wps:txbx>
                              <w:txbxContent>
                                <w:p>
                                  <w:pPr>
                                    <w:pStyle w:val="6"/>
                                    <w:tabs>
                                      <w:tab w:val="left" w:pos="106"/>
                                    </w:tabs>
                                    <w:spacing w:before="20"/>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299.1pt;margin-top:9.85pt;height:14.1pt;width:6.35pt;z-index:251659264;mso-width-relative:page;mso-height-relative:page;" filled="f" stroked="f" coordsize="21600,21600" o:gfxdata="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mR3tgAAAAJAQAADwAAAAAAAAAB&#10;ACAAAAAiAAAAZHJzL2Rvd25yZXYueG1sUEsBAhQAFAAAAAgAh07iQKVNIQSeAQAAIgMAAA4AAAAA&#10;AAAAAQAgAAAAJwEAAGRycy9lMm9Eb2MueG1sUEsFBgAAAAAGAAYAWQEAADcFAAAAAA==&#10;">
                      <v:fill on="f" focussize="0,0"/>
                      <v:stroke on="f"/>
                      <v:imagedata o:title=""/>
                      <o:lock v:ext="edit" aspectratio="f"/>
                      <v:textbox inset="0mm,0mm,0mm,0mm">
                        <w:txbxContent>
                          <w:p>
                            <w:pPr>
                              <w:pStyle w:val="6"/>
                              <w:tabs>
                                <w:tab w:val="left" w:pos="106"/>
                              </w:tabs>
                              <w:spacing w:before="20"/>
                              <w:ind w:left="20"/>
                            </w:pPr>
                            <w:r>
                              <w:rPr>
                                <w:u w:val="single" w:color="auto"/>
                              </w:rPr>
                              <w:tab/>
                            </w:r>
                          </w:p>
                        </w:txbxContent>
                      </v:textbox>
                    </v:shape>
                  </w:pict>
                </mc:Fallback>
              </mc:AlternateContent>
            </w:r>
            <w:r>
              <w:rPr>
                <w:rFonts w:hint="default" w:ascii="Times New Roman" w:hAnsi="Times New Roman" w:eastAsia="宋体" w:cs="Times New Roman"/>
                <w:color w:val="auto"/>
                <w:kern w:val="0"/>
                <w:sz w:val="24"/>
                <w:highlight w:val="none"/>
                <w:lang w:val="en-US"/>
              </w:rPr>
              <w:t>C</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谢才系数，一般采用公式</w:t>
            </w:r>
            <w:r>
              <w:rPr>
                <w:rFonts w:hint="eastAsia" w:cs="Times New Roman"/>
                <w:color w:val="auto"/>
                <w:kern w:val="0"/>
                <w:sz w:val="24"/>
                <w:highlight w:val="none"/>
                <w:lang w:val="en-US" w:eastAsia="zh-CN"/>
              </w:rPr>
              <w:t>C=</w:t>
            </w:r>
            <m:oMath>
              <m:f>
                <m:fPr>
                  <m:ctrlPr>
                    <w:rPr>
                      <w:rFonts w:ascii="Cambria Math" w:hAnsi="Cambria Math" w:cs="Times New Roman"/>
                      <w:i/>
                      <w:color w:val="auto"/>
                      <w:kern w:val="0"/>
                      <w:sz w:val="24"/>
                      <w:highlight w:val="none"/>
                      <w:lang w:val="en-US"/>
                    </w:rPr>
                  </m:ctrlPr>
                </m:fPr>
                <m:num>
                  <m:r>
                    <w:rPr>
                      <w:rFonts w:hint="default" w:ascii="Cambria Math" w:hAnsi="Cambria Math" w:cs="Times New Roman"/>
                      <w:color w:val="auto"/>
                      <w:kern w:val="0"/>
                      <w:sz w:val="24"/>
                      <w:highlight w:val="none"/>
                      <w:lang w:val="en-US" w:eastAsia="zh-CN"/>
                    </w:rPr>
                    <m:t>1</m:t>
                  </m:r>
                  <m:ctrlPr>
                    <w:rPr>
                      <w:rFonts w:ascii="Cambria Math" w:hAnsi="Cambria Math" w:cs="Times New Roman"/>
                      <w:i/>
                      <w:color w:val="auto"/>
                      <w:kern w:val="0"/>
                      <w:sz w:val="24"/>
                      <w:highlight w:val="none"/>
                      <w:lang w:val="en-US"/>
                    </w:rPr>
                  </m:ctrlPr>
                </m:num>
                <m:den>
                  <m:r>
                    <w:rPr>
                      <w:rFonts w:hint="default" w:ascii="Cambria Math" w:hAnsi="Cambria Math" w:cs="Times New Roman"/>
                      <w:color w:val="auto"/>
                      <w:kern w:val="0"/>
                      <w:sz w:val="24"/>
                      <w:highlight w:val="none"/>
                      <w:lang w:val="en-US" w:eastAsia="zh-CN"/>
                    </w:rPr>
                    <m:t>n</m:t>
                  </m:r>
                  <m:ctrlPr>
                    <w:rPr>
                      <w:rFonts w:ascii="Cambria Math" w:hAnsi="Cambria Math" w:cs="Times New Roman"/>
                      <w:i/>
                      <w:color w:val="auto"/>
                      <w:kern w:val="0"/>
                      <w:sz w:val="24"/>
                      <w:highlight w:val="none"/>
                      <w:lang w:val="en-US"/>
                    </w:rPr>
                  </m:ctrlPr>
                </m:den>
              </m:f>
            </m:oMath>
            <w:r>
              <w:rPr>
                <w:rFonts w:hint="eastAsia" w:cs="Times New Roman"/>
                <w:color w:val="auto"/>
                <w:kern w:val="0"/>
                <w:sz w:val="24"/>
                <w:highlight w:val="none"/>
                <w:lang w:val="en-US" w:eastAsia="zh-CN"/>
              </w:rPr>
              <w:t xml:space="preserve"> </w:t>
            </w:r>
            <m:oMath>
              <m:sSup>
                <m:sSupPr>
                  <m:ctrlPr>
                    <w:rPr>
                      <w:rFonts w:ascii="Cambria Math" w:hAnsi="Cambria Math" w:cs="Times New Roman"/>
                      <w:i/>
                      <w:color w:val="auto"/>
                      <w:kern w:val="0"/>
                      <w:sz w:val="24"/>
                      <w:highlight w:val="none"/>
                      <w:lang w:val="en-US"/>
                    </w:rPr>
                  </m:ctrlPr>
                </m:sSupPr>
                <m:e>
                  <m:r>
                    <w:rPr>
                      <w:rFonts w:hint="default" w:ascii="Cambria Math" w:hAnsi="Cambria Math" w:cs="Times New Roman"/>
                      <w:color w:val="auto"/>
                      <w:kern w:val="0"/>
                      <w:sz w:val="24"/>
                      <w:highlight w:val="none"/>
                      <w:lang w:val="en-US" w:eastAsia="zh-CN"/>
                    </w:rPr>
                    <m:t>R</m:t>
                  </m:r>
                  <m:ctrlPr>
                    <w:rPr>
                      <w:rFonts w:ascii="Cambria Math" w:hAnsi="Cambria Math" w:cs="Times New Roman"/>
                      <w:i/>
                      <w:color w:val="auto"/>
                      <w:kern w:val="0"/>
                      <w:sz w:val="24"/>
                      <w:highlight w:val="none"/>
                      <w:lang w:val="en-US"/>
                    </w:rPr>
                  </m:ctrlPr>
                </m:e>
                <m:sup>
                  <m:f>
                    <m:fPr>
                      <m:ctrlPr>
                        <w:rPr>
                          <w:rFonts w:ascii="Cambria Math" w:hAnsi="Cambria Math" w:cs="Times New Roman"/>
                          <w:i/>
                          <w:color w:val="auto"/>
                          <w:kern w:val="0"/>
                          <w:sz w:val="24"/>
                          <w:highlight w:val="none"/>
                          <w:lang w:val="en-US"/>
                        </w:rPr>
                      </m:ctrlPr>
                    </m:fPr>
                    <m:num>
                      <m:r>
                        <w:rPr>
                          <w:rFonts w:hint="default" w:ascii="Cambria Math" w:hAnsi="Cambria Math" w:cs="Times New Roman"/>
                          <w:color w:val="auto"/>
                          <w:kern w:val="0"/>
                          <w:sz w:val="24"/>
                          <w:highlight w:val="none"/>
                          <w:lang w:val="en-US" w:eastAsia="zh-CN"/>
                        </w:rPr>
                        <m:t>1</m:t>
                      </m:r>
                      <m:ctrlPr>
                        <w:rPr>
                          <w:rFonts w:ascii="Cambria Math" w:hAnsi="Cambria Math" w:cs="Times New Roman"/>
                          <w:i/>
                          <w:color w:val="auto"/>
                          <w:kern w:val="0"/>
                          <w:sz w:val="24"/>
                          <w:highlight w:val="none"/>
                          <w:lang w:val="en-US"/>
                        </w:rPr>
                      </m:ctrlPr>
                    </m:num>
                    <m:den>
                      <m:r>
                        <w:rPr>
                          <w:rFonts w:hint="default" w:ascii="Cambria Math" w:hAnsi="Cambria Math" w:cs="Times New Roman"/>
                          <w:color w:val="auto"/>
                          <w:kern w:val="0"/>
                          <w:sz w:val="24"/>
                          <w:highlight w:val="none"/>
                          <w:lang w:val="en-US" w:eastAsia="zh-CN"/>
                        </w:rPr>
                        <m:t>6</m:t>
                      </m:r>
                      <m:ctrlPr>
                        <w:rPr>
                          <w:rFonts w:ascii="Cambria Math" w:hAnsi="Cambria Math" w:cs="Times New Roman"/>
                          <w:i/>
                          <w:color w:val="auto"/>
                          <w:kern w:val="0"/>
                          <w:sz w:val="24"/>
                          <w:highlight w:val="none"/>
                          <w:lang w:val="en-US"/>
                        </w:rPr>
                      </m:ctrlPr>
                    </m:den>
                  </m:f>
                  <m:ctrlPr>
                    <w:rPr>
                      <w:rFonts w:ascii="Cambria Math" w:hAnsi="Cambria Math" w:cs="Times New Roman"/>
                      <w:i/>
                      <w:color w:val="auto"/>
                      <w:kern w:val="0"/>
                      <w:sz w:val="24"/>
                      <w:highlight w:val="none"/>
                      <w:lang w:val="en-US"/>
                    </w:rPr>
                  </m:ctrlPr>
                </m:sup>
              </m:sSup>
            </m:oMath>
            <w:r>
              <w:rPr>
                <w:rFonts w:hint="default" w:ascii="Times New Roman" w:hAnsi="Times New Roman" w:eastAsia="宋体" w:cs="Times New Roman"/>
                <w:color w:val="auto"/>
                <w:kern w:val="0"/>
                <w:sz w:val="24"/>
                <w:highlight w:val="none"/>
                <w:lang w:val="en-US"/>
              </w:rPr>
              <w:t>进行计算，其中，n为渠道糙率，取0.015。</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right="0" w:rightChars="0"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水力计算结果具体见下表：</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 xml:space="preserve">2-2  </w:t>
            </w:r>
            <w:r>
              <w:rPr>
                <w:rFonts w:hint="eastAsia" w:ascii="Times New Roman" w:hAnsi="Times New Roman" w:eastAsia="宋体" w:cs="Times New Roman"/>
                <w:b/>
                <w:bCs w:val="0"/>
                <w:color w:val="auto"/>
                <w:sz w:val="24"/>
                <w:szCs w:val="24"/>
                <w:highlight w:val="none"/>
              </w:rPr>
              <w:t>排洪渠水力要素计算表</w:t>
            </w:r>
          </w:p>
          <w:tbl>
            <w:tblPr>
              <w:tblStyle w:val="32"/>
              <w:tblW w:w="793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962"/>
              <w:gridCol w:w="774"/>
              <w:gridCol w:w="805"/>
              <w:gridCol w:w="1074"/>
              <w:gridCol w:w="758"/>
              <w:gridCol w:w="968"/>
              <w:gridCol w:w="539"/>
              <w:gridCol w:w="5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7"/>
                      <w:sz w:val="21"/>
                      <w:szCs w:val="21"/>
                      <w:highlight w:val="none"/>
                    </w:rPr>
                    <w:t>名称</w:t>
                  </w:r>
                </w:p>
              </w:tc>
              <w:tc>
                <w:tcPr>
                  <w:tcW w:w="96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底宽</w:t>
                  </w:r>
                  <w:r>
                    <w:rPr>
                      <w:rFonts w:hint="default" w:ascii="Times New Roman" w:hAnsi="Times New Roman" w:eastAsia="Times New Roman" w:cs="Times New Roman"/>
                      <w:b/>
                      <w:bCs/>
                      <w:spacing w:val="-4"/>
                      <w:sz w:val="21"/>
                      <w:szCs w:val="21"/>
                      <w:highlight w:val="none"/>
                    </w:rPr>
                    <w:t>(m)</w:t>
                  </w:r>
                </w:p>
              </w:tc>
              <w:tc>
                <w:tcPr>
                  <w:tcW w:w="77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边坡</w:t>
                  </w:r>
                  <w:r>
                    <w:rPr>
                      <w:rFonts w:hint="default" w:ascii="Times New Roman" w:hAnsi="Times New Roman" w:eastAsia="Times New Roman" w:cs="Times New Roman"/>
                      <w:b/>
                      <w:bCs/>
                      <w:sz w:val="21"/>
                      <w:szCs w:val="21"/>
                      <w:highlight w:val="none"/>
                    </w:rPr>
                    <w:t>i</w:t>
                  </w:r>
                </w:p>
              </w:tc>
              <w:tc>
                <w:tcPr>
                  <w:tcW w:w="80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5"/>
                      <w:sz w:val="21"/>
                      <w:szCs w:val="21"/>
                      <w:highlight w:val="none"/>
                    </w:rPr>
                    <w:t>糙率</w:t>
                  </w:r>
                  <w:r>
                    <w:rPr>
                      <w:rFonts w:hint="default" w:ascii="Times New Roman" w:hAnsi="Times New Roman" w:eastAsia="Times New Roman" w:cs="Times New Roman"/>
                      <w:b/>
                      <w:bCs/>
                      <w:position w:val="-1"/>
                      <w:sz w:val="21"/>
                      <w:szCs w:val="21"/>
                      <w:highlight w:val="none"/>
                    </w:rPr>
                    <w:t>n</w:t>
                  </w:r>
                </w:p>
              </w:tc>
              <w:tc>
                <w:tcPr>
                  <w:tcW w:w="107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12"/>
                      <w:sz w:val="21"/>
                      <w:szCs w:val="21"/>
                      <w:highlight w:val="none"/>
                    </w:rPr>
                    <w:t>比降</w:t>
                  </w:r>
                  <w:r>
                    <w:rPr>
                      <w:rFonts w:hint="default" w:ascii="Times New Roman" w:hAnsi="Times New Roman" w:cs="Times New Roman"/>
                      <w:b/>
                      <w:bCs/>
                      <w:spacing w:val="-54"/>
                      <w:sz w:val="21"/>
                      <w:szCs w:val="21"/>
                      <w:highlight w:val="none"/>
                    </w:rPr>
                    <w:t xml:space="preserve"> </w:t>
                  </w:r>
                  <w:r>
                    <w:rPr>
                      <w:rFonts w:hint="default" w:ascii="Times New Roman" w:hAnsi="Times New Roman" w:eastAsia="Times New Roman" w:cs="Times New Roman"/>
                      <w:b/>
                      <w:bCs/>
                      <w:spacing w:val="-12"/>
                      <w:sz w:val="21"/>
                      <w:szCs w:val="21"/>
                      <w:highlight w:val="none"/>
                    </w:rPr>
                    <w:t>i</w:t>
                  </w:r>
                </w:p>
              </w:tc>
              <w:tc>
                <w:tcPr>
                  <w:tcW w:w="75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过水面积</w:t>
                  </w:r>
                  <w:r>
                    <w:rPr>
                      <w:rFonts w:hint="default" w:ascii="Times New Roman" w:hAnsi="Times New Roman" w:eastAsia="Times New Roman" w:cs="Times New Roman"/>
                      <w:b/>
                      <w:bCs/>
                      <w:spacing w:val="5"/>
                      <w:sz w:val="21"/>
                      <w:szCs w:val="21"/>
                      <w:highlight w:val="none"/>
                    </w:rPr>
                    <w:t>(</w:t>
                  </w:r>
                  <w:r>
                    <w:rPr>
                      <w:rFonts w:hint="default" w:ascii="Times New Roman" w:hAnsi="Times New Roman" w:eastAsia="宋体" w:cs="Times New Roman"/>
                      <w:b/>
                      <w:bCs/>
                      <w:spacing w:val="5"/>
                      <w:sz w:val="21"/>
                      <w:szCs w:val="21"/>
                      <w:highlight w:val="none"/>
                      <w:lang w:eastAsia="zh-CN"/>
                    </w:rPr>
                    <w:t>㎡</w:t>
                  </w:r>
                  <w:r>
                    <w:rPr>
                      <w:rFonts w:hint="default" w:ascii="Times New Roman" w:hAnsi="Times New Roman" w:eastAsia="Times New Roman" w:cs="Times New Roman"/>
                      <w:b/>
                      <w:bCs/>
                      <w:spacing w:val="5"/>
                      <w:sz w:val="21"/>
                      <w:szCs w:val="21"/>
                      <w:highlight w:val="none"/>
                    </w:rPr>
                    <w:t>)</w:t>
                  </w:r>
                </w:p>
              </w:tc>
              <w:tc>
                <w:tcPr>
                  <w:tcW w:w="96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流速</w:t>
                  </w:r>
                  <w:r>
                    <w:rPr>
                      <w:rFonts w:hint="default" w:ascii="Times New Roman" w:hAnsi="Times New Roman" w:eastAsia="Times New Roman" w:cs="Times New Roman"/>
                      <w:b/>
                      <w:bCs/>
                      <w:sz w:val="21"/>
                      <w:szCs w:val="21"/>
                      <w:highlight w:val="none"/>
                    </w:rPr>
                    <w:t>V</w:t>
                  </w:r>
                  <w:r>
                    <w:rPr>
                      <w:rFonts w:hint="default" w:ascii="Times New Roman" w:hAnsi="Times New Roman" w:eastAsia="Times New Roman" w:cs="Times New Roman"/>
                      <w:b/>
                      <w:bCs/>
                      <w:spacing w:val="-2"/>
                      <w:sz w:val="21"/>
                      <w:szCs w:val="21"/>
                      <w:highlight w:val="none"/>
                    </w:rPr>
                    <w:t>(m/s)</w:t>
                  </w:r>
                </w:p>
              </w:tc>
              <w:tc>
                <w:tcPr>
                  <w:tcW w:w="53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7"/>
                      <w:sz w:val="21"/>
                      <w:szCs w:val="21"/>
                      <w:highlight w:val="none"/>
                    </w:rPr>
                    <w:t>水深</w:t>
                  </w:r>
                  <w:r>
                    <w:rPr>
                      <w:rFonts w:hint="default" w:ascii="Times New Roman" w:hAnsi="Times New Roman" w:eastAsia="Times New Roman" w:cs="Times New Roman"/>
                      <w:b/>
                      <w:bCs/>
                      <w:spacing w:val="-4"/>
                      <w:sz w:val="21"/>
                      <w:szCs w:val="21"/>
                      <w:highlight w:val="none"/>
                    </w:rPr>
                    <w:t>(m)</w:t>
                  </w:r>
                </w:p>
              </w:tc>
              <w:tc>
                <w:tcPr>
                  <w:tcW w:w="54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sz w:val="21"/>
                      <w:szCs w:val="21"/>
                      <w:highlight w:val="none"/>
                    </w:rPr>
                  </w:pPr>
                  <w:r>
                    <w:rPr>
                      <w:rFonts w:hint="default" w:ascii="Times New Roman" w:hAnsi="Times New Roman" w:cs="Times New Roman"/>
                      <w:b/>
                      <w:bCs/>
                      <w:spacing w:val="-6"/>
                      <w:sz w:val="21"/>
                      <w:szCs w:val="21"/>
                      <w:highlight w:val="none"/>
                    </w:rPr>
                    <w:t>渠深</w:t>
                  </w:r>
                  <w:r>
                    <w:rPr>
                      <w:rFonts w:hint="default" w:ascii="Times New Roman" w:hAnsi="Times New Roman" w:eastAsia="Times New Roman" w:cs="Times New Roman"/>
                      <w:b/>
                      <w:bCs/>
                      <w:spacing w:val="-4"/>
                      <w:sz w:val="21"/>
                      <w:szCs w:val="21"/>
                      <w:highlight w:val="none"/>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98" w:hRule="atLeast"/>
                <w:jc w:val="center"/>
              </w:trPr>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2"/>
                      <w:sz w:val="21"/>
                      <w:szCs w:val="21"/>
                      <w:highlight w:val="none"/>
                    </w:rPr>
                    <w:t>象山东侧建设排洪渠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4"/>
                      <w:sz w:val="21"/>
                      <w:szCs w:val="21"/>
                      <w:highlight w:val="none"/>
                    </w:rPr>
                    <w:t>1.0/1.5</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1/500</w:t>
                  </w:r>
                  <w:r>
                    <w:rPr>
                      <w:rFonts w:hint="default" w:ascii="Times New Roman" w:hAnsi="Times New Roman" w:cs="Times New Roman"/>
                      <w:spacing w:val="-3"/>
                      <w:sz w:val="21"/>
                      <w:szCs w:val="21"/>
                      <w:highlight w:val="none"/>
                    </w:rPr>
                    <w:t>～</w:t>
                  </w:r>
                  <w:r>
                    <w:rPr>
                      <w:rFonts w:hint="default" w:ascii="Times New Roman" w:hAnsi="Times New Roman" w:eastAsia="Times New Roman" w:cs="Times New Roman"/>
                      <w:spacing w:val="-3"/>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10"/>
                      <w:sz w:val="21"/>
                      <w:szCs w:val="21"/>
                      <w:highlight w:val="none"/>
                    </w:rPr>
                    <w:t>1.4</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1.09</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0.95</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74" w:hRule="atLeast"/>
                <w:jc w:val="center"/>
              </w:trPr>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2"/>
                      <w:sz w:val="21"/>
                      <w:szCs w:val="21"/>
                      <w:highlight w:val="none"/>
                    </w:rPr>
                    <w:t>象山中间段建设排洪渠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4"/>
                      <w:sz w:val="21"/>
                      <w:szCs w:val="21"/>
                      <w:highlight w:val="none"/>
                    </w:rPr>
                    <w:t>1.0/1.5</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1/500</w:t>
                  </w:r>
                  <w:r>
                    <w:rPr>
                      <w:rFonts w:hint="default" w:ascii="Times New Roman" w:hAnsi="Times New Roman" w:cs="Times New Roman"/>
                      <w:spacing w:val="-3"/>
                      <w:sz w:val="21"/>
                      <w:szCs w:val="21"/>
                      <w:highlight w:val="none"/>
                    </w:rPr>
                    <w:t>～</w:t>
                  </w:r>
                  <w:r>
                    <w:rPr>
                      <w:rFonts w:hint="default" w:ascii="Times New Roman" w:hAnsi="Times New Roman" w:eastAsia="Times New Roman" w:cs="Times New Roman"/>
                      <w:spacing w:val="-3"/>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1.32</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0.89</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0.94</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78" w:hRule="atLeast"/>
                <w:jc w:val="center"/>
              </w:trPr>
              <w:tc>
                <w:tcPr>
                  <w:tcW w:w="151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pacing w:val="-1"/>
                      <w:sz w:val="21"/>
                      <w:szCs w:val="21"/>
                      <w:highlight w:val="none"/>
                    </w:rPr>
                    <w:t>县城东侧建筑垃圾填埋厂</w:t>
                  </w:r>
                  <w:r>
                    <w:rPr>
                      <w:rFonts w:hint="default" w:ascii="Times New Roman" w:hAnsi="Times New Roman" w:cs="Times New Roman"/>
                      <w:b/>
                      <w:bCs/>
                      <w:spacing w:val="-3"/>
                      <w:sz w:val="21"/>
                      <w:szCs w:val="21"/>
                      <w:highlight w:val="none"/>
                    </w:rPr>
                    <w:t>建设排洪渠</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10"/>
                      <w:sz w:val="21"/>
                      <w:szCs w:val="21"/>
                      <w:highlight w:val="none"/>
                    </w:rPr>
                    <w:t>1.0</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0.015</w:t>
                  </w:r>
                </w:p>
              </w:tc>
              <w:tc>
                <w:tcPr>
                  <w:tcW w:w="10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5"/>
                      <w:sz w:val="21"/>
                      <w:szCs w:val="21"/>
                      <w:highlight w:val="none"/>
                    </w:rPr>
                    <w:t>1/2000</w:t>
                  </w:r>
                </w:p>
              </w:tc>
              <w:tc>
                <w:tcPr>
                  <w:tcW w:w="7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1.25</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1.14</w:t>
                  </w:r>
                </w:p>
              </w:tc>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3"/>
                      <w:sz w:val="21"/>
                      <w:szCs w:val="21"/>
                      <w:highlight w:val="none"/>
                    </w:rPr>
                    <w:t>0.85</w:t>
                  </w:r>
                </w:p>
              </w:tc>
              <w:tc>
                <w:tcPr>
                  <w:tcW w:w="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8"/>
                      <w:sz w:val="21"/>
                      <w:szCs w:val="21"/>
                      <w:highlight w:val="none"/>
                    </w:rPr>
                    <w:t>1.50</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排洪渠道横断面设计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rPr>
              <w:t>北象山东侧建设排洪渠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设计长度919m，设计渠道比降1/500～1/2000。根据分流计算渠道采用1.5m×1.5m、1.0m×1.5m两种矩形排洪渠断面，设计水深1.0m，设计渠深1.5m，采用预制C30混凝土渠道对排洪渠进行防护。</w:t>
            </w:r>
          </w:p>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highlight w:val="none"/>
              </w:rPr>
            </w:pPr>
            <w:r>
              <w:rPr>
                <w:sz w:val="28"/>
                <w:highlight w:val="none"/>
              </w:rPr>
              <w:drawing>
                <wp:inline distT="0" distB="0" distL="114300" distR="114300">
                  <wp:extent cx="3568065" cy="1983740"/>
                  <wp:effectExtent l="9525" t="9525" r="22860" b="260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rcRect l="19701" r="18890"/>
                          <a:stretch>
                            <a:fillRect/>
                          </a:stretch>
                        </pic:blipFill>
                        <pic:spPr>
                          <a:xfrm>
                            <a:off x="1697990" y="5184775"/>
                            <a:ext cx="3568065" cy="19837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1 </w:t>
            </w:r>
            <w:r>
              <w:rPr>
                <w:rFonts w:hint="default" w:ascii="Times New Roman" w:hAnsi="Times New Roman" w:eastAsia="宋体" w:cs="Times New Roman"/>
                <w:b/>
                <w:bCs/>
                <w:spacing w:val="-5"/>
                <w:sz w:val="24"/>
                <w:szCs w:val="24"/>
                <w:highlight w:val="none"/>
                <w:lang w:val="en-US" w:eastAsia="zh-CN"/>
              </w:rPr>
              <w:t xml:space="preserve"> </w:t>
            </w:r>
            <w:r>
              <w:rPr>
                <w:rFonts w:hint="default" w:ascii="Times New Roman" w:hAnsi="Times New Roman" w:eastAsia="宋体" w:cs="Times New Roman"/>
                <w:b/>
                <w:bCs/>
                <w:spacing w:val="-5"/>
                <w:sz w:val="24"/>
                <w:szCs w:val="24"/>
                <w:highlight w:val="none"/>
              </w:rPr>
              <w:t>1.5m×1.5m</w:t>
            </w:r>
            <w:r>
              <w:rPr>
                <w:rFonts w:hint="default" w:ascii="Times New Roman" w:hAnsi="Times New Roman" w:eastAsia="宋体" w:cs="Times New Roman"/>
                <w:spacing w:val="-53"/>
                <w:sz w:val="24"/>
                <w:szCs w:val="24"/>
                <w:highlight w:val="none"/>
              </w:rPr>
              <w:t xml:space="preserve"> </w:t>
            </w:r>
            <w:r>
              <w:rPr>
                <w:rFonts w:hint="default" w:ascii="Times New Roman" w:hAnsi="Times New Roman" w:eastAsia="宋体" w:cs="Times New Roman"/>
                <w:b/>
                <w:bCs/>
                <w:spacing w:val="-5"/>
                <w:sz w:val="24"/>
                <w:szCs w:val="24"/>
                <w:highlight w:val="none"/>
              </w:rPr>
              <w:t>排洪渠横断面图</w:t>
            </w:r>
          </w:p>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highlight w:val="none"/>
              </w:rPr>
            </w:pPr>
            <w:r>
              <w:rPr>
                <w:sz w:val="18"/>
                <w:highlight w:val="none"/>
              </w:rPr>
              <w:drawing>
                <wp:inline distT="0" distB="0" distL="114300" distR="114300">
                  <wp:extent cx="3575685" cy="1971040"/>
                  <wp:effectExtent l="9525" t="9525" r="15240" b="196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7"/>
                          <a:srcRect l="17628" r="18164"/>
                          <a:stretch>
                            <a:fillRect/>
                          </a:stretch>
                        </pic:blipFill>
                        <pic:spPr>
                          <a:xfrm>
                            <a:off x="1705610" y="156210"/>
                            <a:ext cx="3575685" cy="19710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pacing w:val="-5"/>
                <w:sz w:val="24"/>
                <w:szCs w:val="24"/>
                <w:highlight w:val="none"/>
                <w:lang w:eastAsia="zh-CN"/>
              </w:rPr>
            </w:pPr>
            <w:r>
              <w:rPr>
                <w:rFonts w:hint="eastAsia"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2  </w:t>
            </w:r>
            <w:r>
              <w:rPr>
                <w:rFonts w:hint="default" w:ascii="Times New Roman" w:hAnsi="Times New Roman" w:eastAsia="宋体" w:cs="Times New Roman"/>
                <w:b/>
                <w:bCs/>
                <w:spacing w:val="-5"/>
                <w:sz w:val="24"/>
                <w:szCs w:val="24"/>
                <w:highlight w:val="none"/>
                <w:lang w:eastAsia="zh-CN"/>
              </w:rPr>
              <w:t>1.0m×1.5m 排洪渠横断面图</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rPr>
              <w:t>北象山中间段建设排洪渠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设计长度217m，设计渠道比降1/500～1/2000。根据分流计算渠道采用1.0m×1.5m两种矩形排洪渠断面，设计水深1.0m，设计渠深1.5m，采用预制C30混凝土渠道对排洪渠进行防护。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③</w:t>
            </w:r>
            <w:r>
              <w:rPr>
                <w:rFonts w:hint="default" w:ascii="Times New Roman" w:hAnsi="Times New Roman" w:eastAsia="宋体" w:cs="Times New Roman"/>
                <w:color w:val="auto"/>
                <w:kern w:val="0"/>
                <w:sz w:val="24"/>
                <w:highlight w:val="none"/>
                <w:lang w:val="en-US"/>
              </w:rPr>
              <w:t>县城东侧建筑垃圾填埋厂建设排洪渠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设计长度721m，设计渠道比降1/2000。根据分流计算渠道采用1.0m×1.5m矩形排洪渠断面，设计水深1.0m，设计渠深1.5m，采用预制C30混凝土渠道对排洪渠进行防护。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④</w:t>
            </w:r>
            <w:r>
              <w:rPr>
                <w:rFonts w:hint="default" w:ascii="Times New Roman" w:hAnsi="Times New Roman" w:eastAsia="宋体" w:cs="Times New Roman"/>
                <w:color w:val="auto"/>
                <w:kern w:val="0"/>
                <w:sz w:val="24"/>
                <w:highlight w:val="none"/>
                <w:lang w:val="en-US"/>
              </w:rPr>
              <w:t>县城</w:t>
            </w:r>
            <w:r>
              <w:rPr>
                <w:rFonts w:hint="eastAsia" w:cs="Times New Roman"/>
                <w:color w:val="auto"/>
                <w:kern w:val="0"/>
                <w:sz w:val="24"/>
                <w:highlight w:val="none"/>
                <w:lang w:val="en-US" w:eastAsia="zh-CN"/>
              </w:rPr>
              <w:t>生活</w:t>
            </w:r>
            <w:r>
              <w:rPr>
                <w:rFonts w:hint="default" w:ascii="Times New Roman" w:hAnsi="Times New Roman" w:eastAsia="宋体" w:cs="Times New Roman"/>
                <w:color w:val="auto"/>
                <w:kern w:val="0"/>
                <w:sz w:val="24"/>
                <w:highlight w:val="none"/>
                <w:lang w:val="en-US"/>
              </w:rPr>
              <w:t>垃圾填埋厂建设排洪渠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设计长度380m，设计渠道比降1/2000。根据分流计算渠道采用1.0m×1.5m矩形排洪渠断面，设计水深1.0m，设计渠深1.5m，采用预制C30混凝土渠道对排洪渠进行防护。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护岸工程顶部高程的确定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根据排洪渠工程布置原则，排水渠道与规划道路基本保持一致为平顺渠道工程，工程顶部高程按设计洪水整治流量相应水位加超高确定，即：</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H=H 设+ΔH</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式中：H——工程顶部高程（m）；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H设——设计整治流量相应水位（m）；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ΔH——超高（m），根据《河道整治设计规范》（GB50707-2011）规定，渠道工程顶部高程为设计洪水位+0.5m安全超高确定。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抗滑稳定计算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基础宽度根据冲刷深度确定，一般采用1.5～2倍冲深，本设计采用2倍。基础尺寸大小直接关系到护坡的滑动稳定，因此，计算初步拟定几种厚度进行计算，直至稳定满足要求。具体计算时，考虑到护脚为被塌体，受冲下倾变形后仍有50%参与抵抗护坡滑动。</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rPr>
              <w:t>土堤抗滑稳定计算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根据《堤防工程设计规范》（GB 50286-2013）对于土堤的抗滑稳定计算可采用瑞典圆弧滑动法，对于4级土堤正常运用条件抗滑稳定安全系数为1.15，经计算，在枯水期、水位骤降期稳定安全系数均满足《堤防工程设计规范》要求。</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rPr>
              <w:t>渠道工程抗滑稳定计算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护岸工程抗滑稳定安全系数：</w:t>
            </w:r>
            <w:r>
              <w:rPr>
                <w:rFonts w:hint="default" w:ascii="Times New Roman" w:hAnsi="Times New Roman" w:eastAsia="宋体" w:cs="Times New Roman"/>
                <w:i/>
                <w:iCs/>
                <w:color w:val="auto"/>
                <w:kern w:val="0"/>
                <w:sz w:val="24"/>
                <w:highlight w:val="none"/>
                <w:lang w:val="en-US"/>
              </w:rPr>
              <w:t>Kc =fΣ</w:t>
            </w:r>
            <w:r>
              <w:rPr>
                <w:rFonts w:hint="default" w:ascii="Times New Roman" w:hAnsi="Times New Roman" w:eastAsia="宋体" w:cs="Times New Roman"/>
                <w:i/>
                <w:iCs/>
                <w:color w:val="auto"/>
                <w:kern w:val="0"/>
                <w:sz w:val="24"/>
                <w:highlight w:val="none"/>
                <w:vertAlign w:val="superscript"/>
                <w:lang w:val="en-US"/>
              </w:rPr>
              <w:t>G</w:t>
            </w:r>
            <w:r>
              <w:rPr>
                <w:rFonts w:hint="default" w:ascii="Times New Roman" w:hAnsi="Times New Roman" w:eastAsia="宋体" w:cs="Times New Roman"/>
                <w:i/>
                <w:iCs/>
                <w:color w:val="auto"/>
                <w:kern w:val="0"/>
                <w:sz w:val="24"/>
                <w:highlight w:val="none"/>
                <w:lang w:val="en-US"/>
              </w:rPr>
              <w:t>/Σ</w:t>
            </w:r>
            <w:r>
              <w:rPr>
                <w:rFonts w:hint="default" w:ascii="Times New Roman" w:hAnsi="Times New Roman" w:eastAsia="宋体" w:cs="Times New Roman"/>
                <w:i/>
                <w:iCs/>
                <w:color w:val="auto"/>
                <w:kern w:val="0"/>
                <w:sz w:val="24"/>
                <w:highlight w:val="none"/>
                <w:vertAlign w:val="superscript"/>
                <w:lang w:val="en-US"/>
              </w:rPr>
              <w:t>H</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其中：∑G—作用在基础上全部垂直于水平面的荷载，kN，护坡、基础采用现浇 混凝土重度γ=23.5KN/m³。</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∑H—作用在基础上全部平行于基底面的荷载，kN；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f—基底与地基之间摩擦系数，格宾与壤土间的摩擦系数μ=0.31。</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经计算，治理段基础厚0.3m，Kc=1.42&gt;[Kc]=1.15，满足抗滑稳定要求。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eastAsia="宋体" w:cs="Times New Roman"/>
                <w:b/>
                <w:color w:val="auto"/>
                <w:kern w:val="0"/>
                <w:sz w:val="24"/>
                <w:szCs w:val="24"/>
                <w:lang w:val="en-US" w:eastAsia="zh-CN" w:bidi="ar-SA"/>
              </w:rPr>
              <w:t>3、</w:t>
            </w:r>
            <w:r>
              <w:rPr>
                <w:rFonts w:hint="default" w:ascii="Times New Roman" w:hAnsi="Times New Roman" w:eastAsia="宋体" w:cs="Times New Roman"/>
                <w:b/>
                <w:color w:val="auto"/>
                <w:kern w:val="0"/>
                <w:sz w:val="24"/>
                <w:highlight w:val="none"/>
              </w:rPr>
              <w:t>排洪管涵工程设计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雨水管网工程设计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雨水量参数确定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雨水管道的管段设计流量与管段的汇水面积、地面覆盖情况和降雨情况有关，按下式计算：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Q＝qψF；</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其中：Q—雨水管道设计流量(L/s)；</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q—设计暴雨强度(L/s·ha)；ψ—径流系数；</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F—设计雨水管道所服务的汇水面积(ha)</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隆德无暴雨强度公式，采用平凉暴雨强度公式。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暴雨强度公式如下：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q=</w:t>
            </w:r>
            <w:r>
              <w:rPr>
                <w:rFonts w:hint="default" w:ascii="Times New Roman" w:hAnsi="Times New Roman" w:eastAsia="宋体" w:cs="Times New Roman"/>
                <w:color w:val="auto"/>
                <w:kern w:val="0"/>
                <w:sz w:val="24"/>
                <w:highlight w:val="none"/>
                <w:lang w:val="en-US"/>
              </w:rPr>
              <w:drawing>
                <wp:inline distT="0" distB="0" distL="0" distR="0">
                  <wp:extent cx="995680" cy="309880"/>
                  <wp:effectExtent l="0" t="0" r="13970" b="1397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8"/>
                          <a:stretch>
                            <a:fillRect/>
                          </a:stretch>
                        </pic:blipFill>
                        <pic:spPr>
                          <a:xfrm>
                            <a:off x="0" y="0"/>
                            <a:ext cx="996238" cy="310428"/>
                          </a:xfrm>
                          <a:prstGeom prst="rect">
                            <a:avLst/>
                          </a:prstGeom>
                        </pic:spPr>
                      </pic:pic>
                    </a:graphicData>
                  </a:graphic>
                </wp:inline>
              </w:drawing>
            </w:r>
            <w:r>
              <w:rPr>
                <w:rFonts w:hint="default" w:ascii="Times New Roman" w:hAnsi="Times New Roman" w:eastAsia="宋体" w:cs="Times New Roman"/>
                <w:color w:val="auto"/>
                <w:kern w:val="0"/>
                <w:sz w:val="24"/>
                <w:highlight w:val="none"/>
                <w:lang w:val="en-US"/>
              </w:rPr>
              <w:t>(mm/min)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其中：q—设计暴雨强度</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P—设计重现期；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t—设计降雨历时(min)，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）重现期确定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设计降雨的重现期应根据汇水面积的用地性质(广场、干道、厂区、居住区)，地形特点等因素来确定，在同一排水系统中可采用同一重现期或不同重现期。重现期</w:t>
            </w:r>
            <w:r>
              <w:rPr>
                <w:rFonts w:hint="eastAsia" w:cs="Times New Roman"/>
                <w:color w:val="auto"/>
                <w:kern w:val="0"/>
                <w:sz w:val="24"/>
                <w:highlight w:val="none"/>
                <w:lang w:val="en-US" w:eastAsia="zh-CN"/>
              </w:rPr>
              <w:t>一</w:t>
            </w:r>
            <w:r>
              <w:rPr>
                <w:rFonts w:hint="default" w:ascii="Times New Roman" w:hAnsi="Times New Roman" w:eastAsia="宋体" w:cs="Times New Roman"/>
                <w:color w:val="auto"/>
                <w:kern w:val="0"/>
                <w:sz w:val="24"/>
                <w:highlight w:val="none"/>
                <w:lang w:val="en-US"/>
              </w:rPr>
              <w:t>般选用0.5-3年，按照城市规模重现期取2年。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A.重现期P</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重现期选择的大小对雨水量计算的有一定影响，重现期（P）与暴雨量（q）关系如下图所示。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position w:val="-57"/>
                <w:highlight w:val="none"/>
              </w:rPr>
              <w:drawing>
                <wp:inline distT="0" distB="0" distL="0" distR="0">
                  <wp:extent cx="5132070" cy="1802130"/>
                  <wp:effectExtent l="0" t="0" r="11430" b="762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
                          <a:stretch>
                            <a:fillRect/>
                          </a:stretch>
                        </pic:blipFill>
                        <pic:spPr>
                          <a:xfrm>
                            <a:off x="0" y="0"/>
                            <a:ext cx="5132070" cy="180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lef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eastAsia" w:cs="Times New Roman"/>
                <w:b/>
                <w:bCs/>
                <w:spacing w:val="-5"/>
                <w:sz w:val="24"/>
                <w:szCs w:val="24"/>
                <w:highlight w:val="none"/>
                <w:lang w:val="en-US" w:eastAsia="zh-CN"/>
              </w:rPr>
              <w:t xml:space="preserve">图3  </w:t>
            </w:r>
            <w:r>
              <w:rPr>
                <w:rFonts w:hint="default" w:ascii="Times New Roman" w:hAnsi="Times New Roman" w:eastAsia="宋体" w:cs="Times New Roman"/>
                <w:b/>
                <w:bCs/>
                <w:spacing w:val="-5"/>
                <w:sz w:val="24"/>
                <w:szCs w:val="24"/>
                <w:highlight w:val="none"/>
                <w:lang w:val="en-US" w:eastAsia="zh-CN"/>
              </w:rPr>
              <w:t>重现期（P）与暴雨量（q）关系图</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对于西北干旱地区，年降雨量较少，往往将重现期取为0.5年。另外，设计降雨的重现期还应当根据地形特点以及地区建设性质等综合确定，可以参考下表：</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表2-3  设计降雨重新期</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8"/>
              <w:gridCol w:w="3675"/>
              <w:gridCol w:w="36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66" w:hRule="atLeast"/>
                <w:jc w:val="center"/>
              </w:trPr>
              <w:tc>
                <w:tcPr>
                  <w:tcW w:w="4543" w:type="dxa"/>
                  <w:gridSpan w:val="2"/>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3"/>
                      <w:sz w:val="21"/>
                      <w:szCs w:val="21"/>
                      <w:highlight w:val="none"/>
                    </w:rPr>
                    <w:t>地形分级</w:t>
                  </w:r>
                </w:p>
              </w:tc>
              <w:tc>
                <w:tcPr>
                  <w:tcW w:w="36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
                      <w:sz w:val="21"/>
                      <w:szCs w:val="21"/>
                      <w:highlight w:val="none"/>
                    </w:rPr>
                    <w:t>重新期（P）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jc w:val="center"/>
              </w:trPr>
              <w:tc>
                <w:tcPr>
                  <w:tcW w:w="86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Ⅰ</w:t>
                  </w:r>
                </w:p>
              </w:tc>
              <w:tc>
                <w:tcPr>
                  <w:tcW w:w="36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平缓地区</w:t>
                  </w:r>
                </w:p>
              </w:tc>
              <w:tc>
                <w:tcPr>
                  <w:tcW w:w="36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0.5、1、2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49" w:hRule="atLeast"/>
                <w:jc w:val="center"/>
              </w:trPr>
              <w:tc>
                <w:tcPr>
                  <w:tcW w:w="86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Ⅱ</w:t>
                  </w:r>
                </w:p>
              </w:tc>
              <w:tc>
                <w:tcPr>
                  <w:tcW w:w="36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谿谷地区</w:t>
                  </w:r>
                </w:p>
              </w:tc>
              <w:tc>
                <w:tcPr>
                  <w:tcW w:w="36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9" w:hRule="atLeast"/>
                <w:jc w:val="center"/>
              </w:trPr>
              <w:tc>
                <w:tcPr>
                  <w:tcW w:w="86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Ⅲ</w:t>
                  </w:r>
                </w:p>
              </w:tc>
              <w:tc>
                <w:tcPr>
                  <w:tcW w:w="36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重要地区、封闭洼地</w:t>
                  </w:r>
                </w:p>
              </w:tc>
              <w:tc>
                <w:tcPr>
                  <w:tcW w:w="36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2、3、5、个别10、20</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当重现期采用较大时，管径势必很大，重现期（P）每增加一个单位，暴雨量（q）增加约20%。</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表2-4  国内各城市采用的重现期</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3277"/>
              <w:gridCol w:w="1310"/>
              <w:gridCol w:w="24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城市</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重现期（a）</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城市</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重现期（a）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5"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7"/>
                      <w:sz w:val="21"/>
                      <w:szCs w:val="21"/>
                      <w:highlight w:val="none"/>
                    </w:rPr>
                    <w:t>北京</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一般地形的居住区或城市</w:t>
                  </w:r>
                  <w:r>
                    <w:rPr>
                      <w:rFonts w:ascii="Times New Roman" w:hAnsi="Times New Roman" w:eastAsia="宋体"/>
                      <w:spacing w:val="-11"/>
                      <w:sz w:val="21"/>
                      <w:szCs w:val="21"/>
                      <w:highlight w:val="none"/>
                    </w:rPr>
                    <w:t>区间道路0.33～0.5，不利</w:t>
                  </w:r>
                  <w:r>
                    <w:rPr>
                      <w:rFonts w:ascii="Times New Roman" w:hAnsi="Times New Roman" w:eastAsia="宋体"/>
                      <w:spacing w:val="2"/>
                      <w:sz w:val="21"/>
                      <w:szCs w:val="21"/>
                      <w:highlight w:val="none"/>
                    </w:rPr>
                    <w:t>地形的居住区或一般城市</w:t>
                  </w:r>
                  <w:r>
                    <w:rPr>
                      <w:rFonts w:ascii="Times New Roman" w:hAnsi="Times New Roman" w:eastAsia="宋体"/>
                      <w:spacing w:val="-2"/>
                      <w:sz w:val="21"/>
                      <w:szCs w:val="21"/>
                      <w:highlight w:val="none"/>
                    </w:rPr>
                    <w:t>道路</w:t>
                  </w:r>
                  <w:r>
                    <w:rPr>
                      <w:rFonts w:ascii="Times New Roman" w:hAnsi="Times New Roman" w:eastAsia="宋体"/>
                      <w:spacing w:val="-54"/>
                      <w:sz w:val="21"/>
                      <w:szCs w:val="21"/>
                      <w:highlight w:val="none"/>
                    </w:rPr>
                    <w:t xml:space="preserve"> </w:t>
                  </w:r>
                  <w:r>
                    <w:rPr>
                      <w:rFonts w:ascii="Times New Roman" w:hAnsi="Times New Roman" w:eastAsia="宋体"/>
                      <w:spacing w:val="-2"/>
                      <w:sz w:val="21"/>
                      <w:szCs w:val="21"/>
                      <w:highlight w:val="none"/>
                    </w:rPr>
                    <w:t>0.5～1，城市干道、</w:t>
                  </w:r>
                  <w:r>
                    <w:rPr>
                      <w:rFonts w:ascii="Times New Roman" w:hAnsi="Times New Roman" w:eastAsia="宋体"/>
                      <w:spacing w:val="-3"/>
                      <w:sz w:val="21"/>
                      <w:szCs w:val="21"/>
                      <w:highlight w:val="none"/>
                    </w:rPr>
                    <w:t>中心区1～2，立交路口</w:t>
                  </w:r>
                  <w:r>
                    <w:rPr>
                      <w:rFonts w:ascii="Times New Roman" w:hAnsi="Times New Roman" w:eastAsia="宋体"/>
                      <w:spacing w:val="-64"/>
                      <w:sz w:val="21"/>
                      <w:szCs w:val="21"/>
                      <w:highlight w:val="none"/>
                    </w:rPr>
                    <w:t xml:space="preserve"> </w:t>
                  </w:r>
                  <w:r>
                    <w:rPr>
                      <w:rFonts w:ascii="Times New Roman" w:hAnsi="Times New Roman" w:eastAsia="宋体"/>
                      <w:spacing w:val="-3"/>
                      <w:sz w:val="21"/>
                      <w:szCs w:val="21"/>
                      <w:highlight w:val="none"/>
                    </w:rPr>
                    <w:t>1~</w:t>
                  </w:r>
                  <w:r>
                    <w:rPr>
                      <w:rFonts w:ascii="Times New Roman" w:hAnsi="Times New Roman" w:eastAsia="宋体"/>
                      <w:sz w:val="21"/>
                      <w:szCs w:val="21"/>
                      <w:highlight w:val="none"/>
                    </w:rPr>
                    <w:t>3</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上海</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9"/>
                      <w:sz w:val="21"/>
                      <w:szCs w:val="21"/>
                      <w:highlight w:val="none"/>
                    </w:rPr>
                    <w:t>市区</w:t>
                  </w:r>
                  <w:r>
                    <w:rPr>
                      <w:rFonts w:ascii="Times New Roman" w:hAnsi="Times New Roman" w:eastAsia="宋体"/>
                      <w:spacing w:val="-54"/>
                      <w:sz w:val="21"/>
                      <w:szCs w:val="21"/>
                      <w:highlight w:val="none"/>
                    </w:rPr>
                    <w:t xml:space="preserve"> </w:t>
                  </w:r>
                  <w:r>
                    <w:rPr>
                      <w:rFonts w:ascii="Times New Roman" w:hAnsi="Times New Roman" w:eastAsia="宋体"/>
                      <w:spacing w:val="-9"/>
                      <w:sz w:val="21"/>
                      <w:szCs w:val="21"/>
                      <w:highlight w:val="none"/>
                    </w:rPr>
                    <w:t>0.5～1，某工</w:t>
                  </w:r>
                  <w:r>
                    <w:rPr>
                      <w:rFonts w:ascii="Times New Roman" w:hAnsi="Times New Roman" w:eastAsia="宋体"/>
                      <w:spacing w:val="-6"/>
                      <w:sz w:val="21"/>
                      <w:szCs w:val="21"/>
                      <w:highlight w:val="none"/>
                    </w:rPr>
                    <w:t>业区的生活区1，</w:t>
                  </w:r>
                  <w:r>
                    <w:rPr>
                      <w:rFonts w:ascii="Times New Roman" w:hAnsi="Times New Roman" w:eastAsia="宋体"/>
                      <w:spacing w:val="-12"/>
                      <w:sz w:val="21"/>
                      <w:szCs w:val="21"/>
                      <w:highlight w:val="none"/>
                    </w:rPr>
                    <w:t>厂区一般车间</w:t>
                  </w:r>
                  <w:r>
                    <w:rPr>
                      <w:rFonts w:ascii="Times New Roman" w:hAnsi="Times New Roman" w:eastAsia="宋体"/>
                      <w:spacing w:val="-51"/>
                      <w:sz w:val="21"/>
                      <w:szCs w:val="21"/>
                      <w:highlight w:val="none"/>
                    </w:rPr>
                    <w:t xml:space="preserve"> </w:t>
                  </w:r>
                  <w:r>
                    <w:rPr>
                      <w:rFonts w:ascii="Times New Roman" w:hAnsi="Times New Roman" w:eastAsia="宋体"/>
                      <w:spacing w:val="-12"/>
                      <w:sz w:val="21"/>
                      <w:szCs w:val="21"/>
                      <w:highlight w:val="none"/>
                    </w:rPr>
                    <w:t>2，</w:t>
                  </w:r>
                  <w:r>
                    <w:rPr>
                      <w:rFonts w:ascii="Times New Roman" w:hAnsi="Times New Roman" w:eastAsia="宋体"/>
                      <w:spacing w:val="-3"/>
                      <w:sz w:val="21"/>
                      <w:szCs w:val="21"/>
                      <w:highlight w:val="none"/>
                    </w:rPr>
                    <w:t>大型重要车间</w:t>
                  </w:r>
                  <w:r>
                    <w:rPr>
                      <w:rFonts w:ascii="Times New Roman" w:hAnsi="Times New Roman" w:eastAsia="宋体"/>
                      <w:spacing w:val="-49"/>
                      <w:sz w:val="21"/>
                      <w:szCs w:val="21"/>
                      <w:highlight w:val="none"/>
                    </w:rPr>
                    <w:t xml:space="preserve"> </w:t>
                  </w:r>
                  <w:r>
                    <w:rPr>
                      <w:rFonts w:ascii="Times New Roman" w:hAnsi="Times New Roman" w:eastAsia="宋体"/>
                      <w:spacing w:val="-3"/>
                      <w:sz w:val="21"/>
                      <w:szCs w:val="21"/>
                      <w:highlight w:val="none"/>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重庆</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5"/>
                      <w:sz w:val="21"/>
                      <w:szCs w:val="21"/>
                      <w:highlight w:val="none"/>
                    </w:rPr>
                    <w:t>小面积小区1～2，大面积5～10</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8"/>
                      <w:sz w:val="21"/>
                      <w:szCs w:val="21"/>
                      <w:highlight w:val="none"/>
                    </w:rPr>
                    <w:t>西安</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7"/>
                      <w:sz w:val="21"/>
                      <w:szCs w:val="21"/>
                      <w:highlight w:val="none"/>
                    </w:rPr>
                    <w:t>南京</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唐山</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长沙</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保定</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4"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成都</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2"/>
                      <w:sz w:val="21"/>
                      <w:szCs w:val="21"/>
                      <w:highlight w:val="none"/>
                    </w:rPr>
                    <w:t>昆明</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38"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9"/>
                      <w:sz w:val="21"/>
                      <w:szCs w:val="21"/>
                      <w:highlight w:val="none"/>
                    </w:rPr>
                    <w:t>营口</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郊区</w:t>
                  </w:r>
                  <w:r>
                    <w:rPr>
                      <w:rFonts w:ascii="Times New Roman" w:hAnsi="Times New Roman" w:eastAsia="宋体"/>
                      <w:spacing w:val="-53"/>
                      <w:sz w:val="21"/>
                      <w:szCs w:val="21"/>
                      <w:highlight w:val="none"/>
                    </w:rPr>
                    <w:t xml:space="preserve"> </w:t>
                  </w:r>
                  <w:r>
                    <w:rPr>
                      <w:rFonts w:ascii="Times New Roman" w:hAnsi="Times New Roman" w:eastAsia="宋体"/>
                      <w:spacing w:val="-3"/>
                      <w:sz w:val="21"/>
                      <w:szCs w:val="21"/>
                      <w:highlight w:val="none"/>
                    </w:rPr>
                    <w:t>0.5，市区</w:t>
                  </w:r>
                  <w:r>
                    <w:rPr>
                      <w:rFonts w:ascii="Times New Roman" w:hAnsi="Times New Roman" w:eastAsia="宋体"/>
                      <w:spacing w:val="-39"/>
                      <w:sz w:val="21"/>
                      <w:szCs w:val="21"/>
                      <w:highlight w:val="none"/>
                    </w:rPr>
                    <w:t xml:space="preserve"> </w:t>
                  </w:r>
                  <w:r>
                    <w:rPr>
                      <w:rFonts w:ascii="Times New Roman" w:hAnsi="Times New Roman" w:eastAsia="宋体"/>
                      <w:spacing w:val="-3"/>
                      <w:sz w:val="21"/>
                      <w:szCs w:val="21"/>
                      <w:highlight w:val="none"/>
                    </w:rPr>
                    <w:t>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鞍山</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10"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8"/>
                      <w:sz w:val="21"/>
                      <w:szCs w:val="21"/>
                      <w:highlight w:val="none"/>
                    </w:rPr>
                    <w:t>四平</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z w:val="21"/>
                      <w:szCs w:val="21"/>
                      <w:highlight w:val="none"/>
                    </w:rPr>
                    <w:t>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8"/>
                      <w:sz w:val="21"/>
                      <w:szCs w:val="21"/>
                      <w:highlight w:val="none"/>
                    </w:rPr>
                    <w:t>西宁</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0.33～0.5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76" w:hRule="atLeast"/>
                <w:jc w:val="center"/>
              </w:trPr>
              <w:tc>
                <w:tcPr>
                  <w:tcW w:w="122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5"/>
                      <w:sz w:val="21"/>
                      <w:szCs w:val="21"/>
                      <w:highlight w:val="none"/>
                    </w:rPr>
                    <w:t>兰州</w:t>
                  </w:r>
                </w:p>
              </w:tc>
              <w:tc>
                <w:tcPr>
                  <w:tcW w:w="327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0.5～1</w:t>
                  </w:r>
                </w:p>
              </w:tc>
              <w:tc>
                <w:tcPr>
                  <w:tcW w:w="131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保定</w:t>
                  </w:r>
                </w:p>
              </w:tc>
              <w:tc>
                <w:tcPr>
                  <w:tcW w:w="24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1"/>
                      <w:sz w:val="21"/>
                      <w:szCs w:val="21"/>
                      <w:highlight w:val="none"/>
                    </w:rPr>
                    <w:t>1～2</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针对实际情况，并结合《室外排水设计规范要求》：综合考虑，最终确定重现期（P）采用2年。重要路段、区域短期积水能引起严重后果地段雨水降雨量计算的设计重现期按3年计。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B.设计降雨历时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根据雨水管道的极限强度理论，设计降雨历时按设计汇流时间计算，其包括地面集水时间t1和管渠内雨水流行时间t2两部分，计算公式如下：</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t=t1+t2</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其中：t——设计降雨历时(min)；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1200" w:firstLineChars="5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t1——地面集水时间(min)；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1200" w:firstLineChars="5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t2——管渠内流行时间(min)；</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地面集水时间主要取决于水流距离的长短和地面坡度，t2随道管道长度和管内水流速度的不同而不同。集水时间如果定的过长，将造成上游地区的地面积水，定的过短则增加不必要的投资。</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式中地面集水时间t1取5分钟。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C.径流系数</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径流量与雨水量的比称为径流系数。影响径流系数的因素很多，最主要的是流域的地面性质。地面的种植情况对径流有很大的影响。地面上如种有植物或覆有草皮，就能截流很多雨水。土壤的渗水能力也是影响径流系数的一个因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目前在雨水管道的设计中，径流系数通常采用按地面覆盖各类确定的经验数值。</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表2-5  单一覆盖径流系数</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04"/>
              <w:gridCol w:w="27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8"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覆盖种类</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2"/>
                      <w:sz w:val="21"/>
                      <w:szCs w:val="21"/>
                      <w:highlight w:val="none"/>
                    </w:rPr>
                    <w:t>径流系数ψ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6"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各种房屋面、混凝土或沥青路面</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0.85~0.95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0"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大块石铺砌路面或沥青表面处理的碎石</w:t>
                  </w:r>
                  <w:r>
                    <w:rPr>
                      <w:rFonts w:ascii="Times New Roman" w:hAnsi="Times New Roman" w:eastAsia="宋体"/>
                      <w:spacing w:val="-6"/>
                      <w:sz w:val="21"/>
                      <w:szCs w:val="21"/>
                      <w:highlight w:val="none"/>
                    </w:rPr>
                    <w:t>路面</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0.55~0.65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6"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级配碎石路面</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0.40~0.50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6"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1"/>
                      <w:sz w:val="21"/>
                      <w:szCs w:val="21"/>
                      <w:highlight w:val="none"/>
                    </w:rPr>
                    <w:t>干砌砖石或碎石路面</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0.35~0.40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非铺砌土路面</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0.25~0.35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jc w:val="center"/>
              </w:trPr>
              <w:tc>
                <w:tcPr>
                  <w:tcW w:w="550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4"/>
                      <w:sz w:val="21"/>
                      <w:szCs w:val="21"/>
                      <w:highlight w:val="none"/>
                    </w:rPr>
                    <w:t>公园或绿地</w:t>
                  </w:r>
                </w:p>
              </w:tc>
              <w:tc>
                <w:tcPr>
                  <w:tcW w:w="271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0.10~0.20</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各城市应参照降雨因素、地面因素等各种具体条件，根据单一覆盖径流系数用加权平均法计算综合径流系数，也可参照下表选用。</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表2-6  综合径流系数</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5"/>
              <w:gridCol w:w="4239"/>
              <w:gridCol w:w="31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7" w:hRule="atLeast"/>
                <w:jc w:val="center"/>
              </w:trPr>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b/>
                      <w:bCs/>
                      <w:sz w:val="21"/>
                      <w:szCs w:val="21"/>
                      <w:highlight w:val="none"/>
                      <w:lang w:eastAsia="zh-CN"/>
                    </w:rPr>
                  </w:pPr>
                  <w:r>
                    <w:rPr>
                      <w:rFonts w:hint="eastAsia" w:ascii="Times New Roman" w:hAnsi="Times New Roman" w:eastAsia="宋体"/>
                      <w:b/>
                      <w:bCs/>
                      <w:sz w:val="21"/>
                      <w:szCs w:val="21"/>
                      <w:highlight w:val="none"/>
                      <w:lang w:eastAsia="zh-CN"/>
                    </w:rPr>
                    <w:t>序号</w:t>
                  </w:r>
                </w:p>
              </w:tc>
              <w:tc>
                <w:tcPr>
                  <w:tcW w:w="423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8"/>
                      <w:sz w:val="21"/>
                      <w:szCs w:val="21"/>
                      <w:highlight w:val="none"/>
                    </w:rPr>
                    <w:t>区域情况</w:t>
                  </w:r>
                </w:p>
              </w:tc>
              <w:tc>
                <w:tcPr>
                  <w:tcW w:w="310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2"/>
                      <w:sz w:val="21"/>
                      <w:szCs w:val="21"/>
                      <w:highlight w:val="none"/>
                    </w:rPr>
                    <w:t>综合径流系数ψ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8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1</w:t>
                  </w:r>
                </w:p>
              </w:tc>
              <w:tc>
                <w:tcPr>
                  <w:tcW w:w="423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城镇建筑密集区</w:t>
                  </w:r>
                </w:p>
              </w:tc>
              <w:tc>
                <w:tcPr>
                  <w:tcW w:w="310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0.60~0.70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8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2</w:t>
                  </w:r>
                </w:p>
              </w:tc>
              <w:tc>
                <w:tcPr>
                  <w:tcW w:w="423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城镇建筑较密集区</w:t>
                  </w:r>
                </w:p>
              </w:tc>
              <w:tc>
                <w:tcPr>
                  <w:tcW w:w="310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0.40~0.60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jc w:val="center"/>
              </w:trPr>
              <w:tc>
                <w:tcPr>
                  <w:tcW w:w="875"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3</w:t>
                  </w:r>
                </w:p>
              </w:tc>
              <w:tc>
                <w:tcPr>
                  <w:tcW w:w="423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城镇建筑稀疏区</w:t>
                  </w:r>
                </w:p>
              </w:tc>
              <w:tc>
                <w:tcPr>
                  <w:tcW w:w="310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2"/>
                      <w:sz w:val="21"/>
                      <w:szCs w:val="21"/>
                      <w:highlight w:val="none"/>
                    </w:rPr>
                    <w:t>0.20~0.45</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根据隆德县实际情况及远期规划，综合径流系数取0.20~0.45。本项目计算雨水量时，道路所在位置为老城区改造区域，该片区综合径流系数取0.4。</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排水管道埋深</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影响排水干管起点埋深的因素很多，街坊内支管长度及排水坡度、街坊及小区的地形地貌、现有地下管(道)沟及其它隐蔽构筑物的埋深，将是主要因素，准确的排水干管起点埋深将根据每条街道的实际情况确定。本工程中根据实际地形和道路现状，雨水管道起端覆土定为1.2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（3）管道水力计算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在管道中是依靠重力作用，从高处流向低处，按照排水设计规范规定：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排水管道在设计充满度下流速不超过5m/s。</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依据排水区域的划分，计算每一管段的设计流量，由上述控制数据进行管道水力计算。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根据地形特点，在满足流速要求的情况下，可以充分利用地形对管道坡度进行调整。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（4）雨水排向</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雨水排至清流河。</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（5）雨水口的设置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采用单箅雨水口，做法详见16S518-36。</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道路上每隔一定距离的地方。</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沿街各单位出入路口上游及人行横道线上游。</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十字路口处。</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雨水口间距一般为25-50m，本工程按照35m。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雨水口连接管采用d300Ⅱ级钢筋混凝土排水管。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（6）检查井的设置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检查井的设置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管道方向转折处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管道坡度改变处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管道断面(尺寸、形状、材质)、基础、接口变更处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管道交汇处</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直线管道上每隔35～50m处，本工程按照50m布置。特种用途处(跌水、截流、溢流、连通、设闸、计量</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等</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检查井井筒上部采用预制钢筋混凝土检查井井筒。</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检查井井盖采用Φ800mm球墨铸铁重型检查井盖，承载能力&gt;40T，检查井盖必须有清晰且永久性的标志，标志内容由甲方与管理单位统一确定。</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二、管道基础</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本次工程管道基础作法参照04S531-1-16，基础下3：7灰土垫层厚度为300mm。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三、检查井的设置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检查井应采用参照图集04S531-5（图集号04S531-5/15、16、17），所有检查井井壁50cm宽范围内回填30cm高3：7灰土至道路结构层，井壁和井筒周围回填土需同时回填，回填压实度不低于95%。</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szCs w:val="24"/>
                <w:lang w:val="en-US" w:eastAsia="zh-CN" w:bidi="ar-SA"/>
              </w:rPr>
              <w:t>4</w:t>
            </w:r>
            <w:r>
              <w:rPr>
                <w:rFonts w:hint="default" w:ascii="Times New Roman" w:hAnsi="Times New Roman" w:eastAsia="宋体" w:cs="Times New Roman"/>
                <w:b/>
                <w:color w:val="auto"/>
                <w:kern w:val="0"/>
                <w:sz w:val="24"/>
                <w:szCs w:val="24"/>
                <w:lang w:val="en-US" w:eastAsia="zh-CN" w:bidi="ar-SA"/>
              </w:rPr>
              <w:t>、</w:t>
            </w:r>
            <w:r>
              <w:rPr>
                <w:rFonts w:hint="default" w:ascii="Times New Roman" w:hAnsi="Times New Roman" w:eastAsia="宋体" w:cs="Times New Roman"/>
                <w:b/>
                <w:color w:val="auto"/>
                <w:kern w:val="0"/>
                <w:sz w:val="24"/>
                <w:highlight w:val="none"/>
              </w:rPr>
              <w:t>山洪沟砌护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石笼护坡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南河社区两侧建设沟道砌护单侧长度3.315km；其中：南河社区西侧建设沟道砌护单侧长度1.564km，南河社区东侧建设沟道砌护单侧长度1.081km，入河口建设沟道砌护0.49km。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（1）护坡+基础采用格宾网垫+格宾网箱砌护，格宾网丝采用锌-5%铝-稀土合金镀层低碳钢丝。为防止洪水将坝体内壤土带出，在护坡石笼与土体之间设针刺短丝无纺土工布反滤层，土工布规格为250g/m²</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断裂强力≥8.0kn/m，顶破强力≥1.2KN，撕破强力≥0.2KN，厚度≥2.1mm。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（2）基础采用格宾网箱基础。铺设宽度参考国内同类工程及相关试验数据，基础厚度多为1.5m，基础铺设宽度一般为冲刷深度（河床至设计洪水冲刷线的深度）+0.5米，设计基础厚度取1.0m。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格宾护坡：护坡采用格宾护垫进行砌护，格宾护垫采用网格尺寸:长×宽×高=2×1.0×0.3(m)。格宾护垫沿长度方向设一个或两个隔板，分为两个或三个独立的单元，两头为1.0m；基础为1.0×1.0(m)；格宾护垫下铺设250g/m²土工布。</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宁夏水利工程格宾应用技术导则》本次护脚格宾采用II类格宾(低碳钢丝+锌-5%铝-稀土合金镀层）。网丝直径选用2.7mm，边丝直径选用3.2mm，绑扎钢丝直径选用3.2mm，绞合长度不得小于50mm，所有钢丝镀层必须大于265g/㎡，格宾网片的网目尺寸采用80×100mm，网片沿纵向的抗拉强度大于30KN/m，网片应具有无断丝、破损、锈蚀，色泽均匀，镀层、覆塑层无裂痕等良好外观。网箱长为1m，网箱的填充材料粒径应满足有90%以上的粒径不小于250mm。填充材料选用块石，最小粒径大于250m、最大粒径不得超过500mm。</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position w:val="-74"/>
                <w:highlight w:val="none"/>
              </w:rPr>
            </w:pPr>
            <w:r>
              <w:rPr>
                <w:position w:val="-74"/>
                <w:highlight w:val="none"/>
              </w:rPr>
              <w:drawing>
                <wp:inline distT="0" distB="0" distL="0" distR="0">
                  <wp:extent cx="5082540" cy="1805940"/>
                  <wp:effectExtent l="0" t="0" r="7620" b="7620"/>
                  <wp:docPr id="4" name="IM 142"/>
                  <wp:cNvGraphicFramePr/>
                  <a:graphic xmlns:a="http://schemas.openxmlformats.org/drawingml/2006/main">
                    <a:graphicData uri="http://schemas.openxmlformats.org/drawingml/2006/picture">
                      <pic:pic xmlns:pic="http://schemas.openxmlformats.org/drawingml/2006/picture">
                        <pic:nvPicPr>
                          <pic:cNvPr id="4" name="IM 142"/>
                          <pic:cNvPicPr/>
                        </pic:nvPicPr>
                        <pic:blipFill>
                          <a:blip r:embed="rId10"/>
                          <a:srcRect l="1791" r="3285"/>
                          <a:stretch>
                            <a:fillRect/>
                          </a:stretch>
                        </pic:blipFill>
                        <pic:spPr>
                          <a:xfrm>
                            <a:off x="0" y="0"/>
                            <a:ext cx="5082540" cy="1805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position w:val="-74"/>
                <w:highlight w:val="none"/>
                <w:lang w:val="en-US" w:eastAsia="zh-CN"/>
              </w:rPr>
            </w:pPr>
            <w:r>
              <w:rPr>
                <w:rFonts w:hint="eastAsia" w:cs="Times New Roman"/>
                <w:b/>
                <w:bCs/>
                <w:spacing w:val="-5"/>
                <w:sz w:val="24"/>
                <w:szCs w:val="24"/>
                <w:highlight w:val="none"/>
                <w:lang w:eastAsia="zh-CN"/>
              </w:rPr>
              <w:t>图</w:t>
            </w:r>
            <w:r>
              <w:rPr>
                <w:rFonts w:hint="eastAsia" w:cs="Times New Roman"/>
                <w:b/>
                <w:bCs/>
                <w:spacing w:val="-5"/>
                <w:sz w:val="24"/>
                <w:szCs w:val="24"/>
                <w:highlight w:val="none"/>
                <w:lang w:val="en-US" w:eastAsia="zh-CN"/>
              </w:rPr>
              <w:t xml:space="preserve">4  </w:t>
            </w:r>
            <w:r>
              <w:rPr>
                <w:rFonts w:hint="default" w:ascii="Times New Roman" w:hAnsi="Times New Roman" w:eastAsia="宋体" w:cs="Times New Roman"/>
                <w:b/>
                <w:bCs/>
                <w:spacing w:val="-5"/>
                <w:sz w:val="24"/>
                <w:szCs w:val="24"/>
                <w:highlight w:val="none"/>
                <w:lang w:eastAsia="zh-CN"/>
              </w:rPr>
              <w:t>石笼护岸标准横断面图</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firstLine="0" w:firstLineChars="0"/>
              <w:textAlignment w:val="auto"/>
              <w:rPr>
                <w:rFonts w:hint="eastAsia" w:ascii="Times New Roman" w:hAnsi="Times New Roman" w:eastAsia="宋体" w:cs="Times New Roman"/>
                <w:b/>
                <w:color w:val="auto"/>
                <w:kern w:val="0"/>
                <w:sz w:val="24"/>
                <w:highlight w:val="none"/>
                <w:lang w:eastAsia="zh-CN"/>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、洪水标准及</w:t>
            </w:r>
            <w:r>
              <w:rPr>
                <w:rFonts w:hint="eastAsia" w:cs="Times New Roman"/>
                <w:b/>
                <w:color w:val="auto"/>
                <w:kern w:val="0"/>
                <w:sz w:val="24"/>
                <w:highlight w:val="none"/>
                <w:lang w:eastAsia="zh-CN"/>
              </w:rPr>
              <w:t>设计级别</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⑴洪水标准和设计级别</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工程主要保护对象是位于象山周边的居民区及农田。依据《防洪标准》（GB50201-2014）、《城市防洪工程设计规范》（GB/T50825-2012）规定，采纳《隆德县中心城区控制性规划》防洪排涝规划，结合隆德县城社会、经济、区位条件等因素，经综合分析确定，防山洪采用二十年一遇洪水标准设防。本次隆德县县城排水防 涝设计防洪标准为20年一遇，工程等别及工程规模分为小Ⅱ型工程，主要配套建筑物级别4级，次要建筑物5级。</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⑵地震设防烈度</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根据水工建筑物工程抗震设防分类和建筑物级别确定抗震设防类别属于丁类。按《中国地震动参数区划图》（GB18306-2015），确定工程区域地震基本烈度为Ⅷ度，因此，建筑物地震设防烈度为Ⅷ度，地震动峰值加速度0.20g，特征周期为0.4s。</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⑶排洪渠流量分析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排洪渠设计依据象山暴雨形成的洪水流量确定设计排洪渠断面尺寸，采用暴雨资料推求设计洪水。其中根据水文资料从地形图上量得各沟道计算断面以上的集水面积、概化长度，分区域确定汇流面积、计算断面的洪峰流量数值。根据汇流面域及洪峰流量计算断面位置，本次排洪渠可分为三段设计，即西侧排洪渠设计排洪流量为3.79m³/s（4#计算断面+5#计算断面）、中间段排洪渠设计排洪流量为1.60m³/s（3#计算断面）、东侧排洪渠设计排洪流量为3.28m³/s（1#计算断面+2#计算断面）。</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szCs w:val="24"/>
                <w:lang w:val="en-US" w:eastAsia="zh-CN" w:bidi="ar-SA"/>
              </w:rPr>
              <w:t>6</w:t>
            </w:r>
            <w:r>
              <w:rPr>
                <w:rFonts w:hint="default" w:ascii="Times New Roman" w:hAnsi="Times New Roman" w:eastAsia="宋体" w:cs="Times New Roman"/>
                <w:b/>
                <w:color w:val="auto"/>
                <w:kern w:val="0"/>
                <w:sz w:val="24"/>
                <w:szCs w:val="24"/>
                <w:lang w:val="en-US" w:eastAsia="zh-CN" w:bidi="ar-SA"/>
              </w:rPr>
              <w:t>、</w:t>
            </w:r>
            <w:r>
              <w:rPr>
                <w:rFonts w:hint="eastAsia" w:cs="Times New Roman"/>
                <w:b/>
                <w:color w:val="auto"/>
                <w:kern w:val="0"/>
                <w:sz w:val="24"/>
                <w:highlight w:val="none"/>
                <w:lang w:eastAsia="zh-CN"/>
              </w:rPr>
              <w:t>施工便道</w:t>
            </w:r>
            <w:r>
              <w:rPr>
                <w:rFonts w:hint="default" w:ascii="Times New Roman" w:hAnsi="Times New Roman" w:eastAsia="宋体" w:cs="Times New Roman"/>
                <w:b/>
                <w:color w:val="auto"/>
                <w:kern w:val="0"/>
                <w:sz w:val="24"/>
                <w:highlight w:val="none"/>
              </w:rPr>
              <w:t>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北象山中段排洪渠1、2及北象山东段排洪渠2，只考虑</w:t>
            </w:r>
            <w:r>
              <w:rPr>
                <w:rFonts w:hint="eastAsia" w:cs="Times New Roman"/>
                <w:color w:val="auto"/>
                <w:kern w:val="0"/>
                <w:sz w:val="24"/>
                <w:highlight w:val="none"/>
                <w:lang w:val="en-US" w:eastAsia="zh-CN"/>
              </w:rPr>
              <w:t>施工</w:t>
            </w:r>
            <w:r>
              <w:rPr>
                <w:rFonts w:hint="default" w:ascii="Times New Roman" w:hAnsi="Times New Roman" w:eastAsia="宋体" w:cs="Times New Roman"/>
                <w:color w:val="auto"/>
                <w:kern w:val="0"/>
                <w:sz w:val="24"/>
                <w:highlight w:val="none"/>
                <w:lang w:val="en-US"/>
              </w:rPr>
              <w:t>使用，设计步道2.5米，路面采用20cm厚碎石路面；</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北象山东段排洪渠1，位于北象山公园内，设计按公园游步道恢复1.5米宽，路面采用彩色沥青步道，4cm彩色沥青混凝土面层+20cm水稳碎石+18cm级配碎石。</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路基设计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1.道路沿线有部分临建，施工时应将拆除后的建筑垃圾全部清除。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2.路基边坡及防护：填方路段路堤边坡按1:1.5自然放坡，挖方路段边坡按1:1自然放坡。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3.路基填料要求：路基填料均采用天然砂砾，为了使填料能达到规定要求、应严格控制最大粒径，槽底面以下0～80cm范围内，Dmax=10cm，80cm以下，Dmax=15cm。如遇弹簧土，根据实际情况另定加固措施。</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4.路基压实度：路基压实按《城市道路工程设计规范》相应标准进行，采用重型击实标准，压实度不低于下表数值。路基压实度按下表支路要求执行。</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表2-7  路基填筑材料及压实度要求</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0"/>
              <w:gridCol w:w="1272"/>
              <w:gridCol w:w="1076"/>
              <w:gridCol w:w="946"/>
              <w:gridCol w:w="1418"/>
              <w:gridCol w:w="898"/>
              <w:gridCol w:w="900"/>
              <w:gridCol w:w="7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jc w:val="center"/>
              </w:trPr>
              <w:tc>
                <w:tcPr>
                  <w:tcW w:w="980"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填挖</w:t>
                  </w:r>
                  <w:r>
                    <w:rPr>
                      <w:rFonts w:hint="default" w:ascii="Times New Roman" w:hAnsi="Times New Roman" w:eastAsia="宋体" w:cs="Times New Roman"/>
                      <w:b/>
                      <w:bCs/>
                      <w:spacing w:val="-5"/>
                      <w:sz w:val="21"/>
                      <w:szCs w:val="21"/>
                      <w:highlight w:val="none"/>
                    </w:rPr>
                    <w:t>类型</w:t>
                  </w:r>
                </w:p>
              </w:tc>
              <w:tc>
                <w:tcPr>
                  <w:tcW w:w="1272"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路床顶面以下</w:t>
                  </w:r>
                  <w:r>
                    <w:rPr>
                      <w:rFonts w:hint="default" w:ascii="Times New Roman" w:hAnsi="Times New Roman" w:eastAsia="宋体" w:cs="Times New Roman"/>
                      <w:b/>
                      <w:bCs/>
                      <w:spacing w:val="-5"/>
                      <w:sz w:val="21"/>
                      <w:szCs w:val="21"/>
                      <w:highlight w:val="none"/>
                    </w:rPr>
                    <w:t>深度</w:t>
                  </w:r>
                </w:p>
              </w:tc>
              <w:tc>
                <w:tcPr>
                  <w:tcW w:w="2022" w:type="dxa"/>
                  <w:gridSpan w:val="2"/>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
                      <w:sz w:val="21"/>
                      <w:szCs w:val="21"/>
                      <w:highlight w:val="none"/>
                    </w:rPr>
                    <w:t>填料最小强度CBR(%)</w:t>
                  </w:r>
                </w:p>
              </w:tc>
              <w:tc>
                <w:tcPr>
                  <w:tcW w:w="1418"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填料最大</w:t>
                  </w:r>
                  <w:r>
                    <w:rPr>
                      <w:rFonts w:hint="default" w:ascii="Times New Roman" w:hAnsi="Times New Roman" w:eastAsia="宋体" w:cs="Times New Roman"/>
                      <w:b/>
                      <w:bCs/>
                      <w:spacing w:val="-5"/>
                      <w:sz w:val="21"/>
                      <w:szCs w:val="21"/>
                      <w:highlight w:val="none"/>
                    </w:rPr>
                    <w:t>粒径</w:t>
                  </w:r>
                  <w:r>
                    <w:rPr>
                      <w:rFonts w:hint="default" w:ascii="Times New Roman" w:hAnsi="Times New Roman" w:eastAsia="宋体" w:cs="Times New Roman"/>
                      <w:b/>
                      <w:bCs/>
                      <w:spacing w:val="-15"/>
                      <w:sz w:val="21"/>
                      <w:szCs w:val="21"/>
                      <w:highlight w:val="none"/>
                    </w:rPr>
                    <w:t>(cm)</w:t>
                  </w:r>
                </w:p>
              </w:tc>
              <w:tc>
                <w:tcPr>
                  <w:tcW w:w="2528"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3"/>
                      <w:sz w:val="21"/>
                      <w:szCs w:val="21"/>
                      <w:highlight w:val="none"/>
                    </w:rPr>
                    <w:t>压实度（%）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2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主干路</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9"/>
                      <w:sz w:val="21"/>
                      <w:szCs w:val="21"/>
                      <w:highlight w:val="none"/>
                    </w:rPr>
                    <w:t>次干</w:t>
                  </w:r>
                </w:p>
              </w:tc>
              <w:tc>
                <w:tcPr>
                  <w:tcW w:w="14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主干</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9"/>
                      <w:sz w:val="21"/>
                      <w:szCs w:val="21"/>
                      <w:highlight w:val="none"/>
                    </w:rPr>
                    <w:t>次干</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零填</w:t>
                  </w:r>
                  <w:r>
                    <w:rPr>
                      <w:rFonts w:hint="default" w:ascii="Times New Roman" w:hAnsi="Times New Roman" w:eastAsia="宋体" w:cs="Times New Roman"/>
                      <w:b/>
                      <w:bCs/>
                      <w:spacing w:val="-5"/>
                      <w:sz w:val="21"/>
                      <w:szCs w:val="21"/>
                      <w:highlight w:val="none"/>
                    </w:rPr>
                    <w:t>及挖</w:t>
                  </w:r>
                  <w:r>
                    <w:rPr>
                      <w:rFonts w:hint="default" w:ascii="Times New Roman" w:hAnsi="Times New Roman" w:eastAsia="宋体" w:cs="Times New Roman"/>
                      <w:b/>
                      <w:bCs/>
                      <w:sz w:val="21"/>
                      <w:szCs w:val="21"/>
                      <w:highlight w:val="none"/>
                    </w:rPr>
                    <w:t>方</w:t>
                  </w: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0～30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8.0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6.0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30～80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5.0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≥93</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5"/>
                      <w:sz w:val="21"/>
                      <w:szCs w:val="21"/>
                      <w:highlight w:val="none"/>
                    </w:rPr>
                    <w:t>-</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5"/>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填方</w:t>
                  </w: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0～30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8.0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6.0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30～80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5.0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10</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≥95</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≥94</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12"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80～150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3.0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15</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≥93</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≥92</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272"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&gt;150</w:t>
                  </w:r>
                </w:p>
              </w:tc>
              <w:tc>
                <w:tcPr>
                  <w:tcW w:w="107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3.0</w:t>
                  </w:r>
                </w:p>
              </w:tc>
              <w:tc>
                <w:tcPr>
                  <w:tcW w:w="946"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2.0</w:t>
                  </w:r>
                </w:p>
              </w:tc>
              <w:tc>
                <w:tcPr>
                  <w:tcW w:w="141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5"/>
                      <w:sz w:val="21"/>
                      <w:szCs w:val="21"/>
                      <w:highlight w:val="none"/>
                    </w:rPr>
                    <w:t>15</w:t>
                  </w:r>
                </w:p>
              </w:tc>
              <w:tc>
                <w:tcPr>
                  <w:tcW w:w="898"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≥92</w:t>
                  </w:r>
                </w:p>
              </w:tc>
              <w:tc>
                <w:tcPr>
                  <w:tcW w:w="90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3"/>
                      <w:sz w:val="21"/>
                      <w:szCs w:val="21"/>
                      <w:highlight w:val="none"/>
                    </w:rPr>
                    <w:t>≥91</w:t>
                  </w:r>
                </w:p>
              </w:tc>
              <w:tc>
                <w:tcPr>
                  <w:tcW w:w="73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64" w:hRule="atLeast"/>
                <w:jc w:val="center"/>
              </w:trPr>
              <w:tc>
                <w:tcPr>
                  <w:tcW w:w="8220" w:type="dxa"/>
                  <w:gridSpan w:val="8"/>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424" w:firstLineChars="20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注：填方高度小于</w:t>
                  </w:r>
                  <w:r>
                    <w:rPr>
                      <w:rFonts w:hint="default" w:ascii="Times New Roman" w:hAnsi="Times New Roman" w:eastAsia="宋体" w:cs="Times New Roman"/>
                      <w:spacing w:val="-58"/>
                      <w:sz w:val="21"/>
                      <w:szCs w:val="21"/>
                      <w:highlight w:val="none"/>
                    </w:rPr>
                    <w:t xml:space="preserve"> </w:t>
                  </w:r>
                  <w:r>
                    <w:rPr>
                      <w:rFonts w:hint="default" w:ascii="Times New Roman" w:hAnsi="Times New Roman" w:eastAsia="宋体" w:cs="Times New Roman"/>
                      <w:spacing w:val="1"/>
                      <w:sz w:val="21"/>
                      <w:szCs w:val="21"/>
                      <w:highlight w:val="none"/>
                    </w:rPr>
                    <w:t>80</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62"/>
                      <w:sz w:val="21"/>
                      <w:szCs w:val="21"/>
                      <w:highlight w:val="none"/>
                    </w:rPr>
                    <w:t xml:space="preserve"> </w:t>
                  </w:r>
                  <w:r>
                    <w:rPr>
                      <w:rFonts w:hint="default" w:ascii="Times New Roman" w:hAnsi="Times New Roman" w:eastAsia="宋体" w:cs="Times New Roman"/>
                      <w:spacing w:val="1"/>
                      <w:sz w:val="21"/>
                      <w:szCs w:val="21"/>
                      <w:highlight w:val="none"/>
                    </w:rPr>
                    <w:t>及不填不挖地段，原地面以</w:t>
                  </w:r>
                  <w:r>
                    <w:rPr>
                      <w:rFonts w:hint="default" w:ascii="Times New Roman" w:hAnsi="Times New Roman" w:eastAsia="宋体" w:cs="Times New Roman"/>
                      <w:sz w:val="21"/>
                      <w:szCs w:val="21"/>
                      <w:highlight w:val="none"/>
                    </w:rPr>
                    <w:t>下0～30cm</w:t>
                  </w:r>
                  <w:r>
                    <w:rPr>
                      <w:rFonts w:hint="default" w:ascii="Times New Roman" w:hAnsi="Times New Roman" w:eastAsia="宋体" w:cs="Times New Roman"/>
                      <w:spacing w:val="-52"/>
                      <w:sz w:val="21"/>
                      <w:szCs w:val="21"/>
                      <w:highlight w:val="none"/>
                    </w:rPr>
                    <w:t xml:space="preserve"> </w:t>
                  </w:r>
                  <w:r>
                    <w:rPr>
                      <w:rFonts w:hint="default" w:ascii="Times New Roman" w:hAnsi="Times New Roman" w:eastAsia="宋体" w:cs="Times New Roman"/>
                      <w:sz w:val="21"/>
                      <w:szCs w:val="21"/>
                      <w:highlight w:val="none"/>
                    </w:rPr>
                    <w:t>范</w:t>
                  </w:r>
                  <w:r>
                    <w:rPr>
                      <w:rFonts w:hint="default" w:ascii="Times New Roman" w:hAnsi="Times New Roman" w:eastAsia="宋体" w:cs="Times New Roman"/>
                      <w:spacing w:val="-2"/>
                      <w:sz w:val="21"/>
                      <w:szCs w:val="21"/>
                      <w:highlight w:val="none"/>
                    </w:rPr>
                    <w:t>围内土的压实度不应低于表列挖方要求。</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rPr>
              <w:t>路面设计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道路路面结构根据现状道路路面结构确定，路面面层采用4cm细粒式彩色沥青混凝土，级配类型采用细型密级配（CAC-10）。为保证沥青路面质量，设计要求面层用沥青采用90号A级沥青，要求沥青面层混合料压实度不小于95%。设计要求基层混合料集中厂拌，稳定土摊铺机摊铺施工。水泥稳定碎石基层设计配合比为水泥：碎石=5:100（重量比），施工时按规范要求增加0.5%的水泥剂量；工地实际采用的水泥剂量应比室内试验确定的剂量多0.5%-1.0%，施工时按规划要求增加0.5%的水泥剂量。考虑到本段交通量和当地的实际情况，基层7d无侧限抗压强度介于2.5-3.0MPa，压实度≥97%。</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表2-8  道路结构层组合表  单位：厘米</w:t>
            </w:r>
          </w:p>
          <w:tbl>
            <w:tblPr>
              <w:tblStyle w:val="32"/>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311"/>
              <w:gridCol w:w="49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331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等级</w:t>
                  </w:r>
                  <w:r>
                    <w:rPr>
                      <w:rFonts w:ascii="Times New Roman" w:hAnsi="Times New Roman" w:eastAsia="宋体"/>
                      <w:b/>
                      <w:bCs/>
                      <w:sz w:val="21"/>
                      <w:szCs w:val="21"/>
                      <w:highlight w:val="none"/>
                    </w:rPr>
                    <w:t xml:space="preserve"> </w:t>
                  </w:r>
                  <w:r>
                    <w:rPr>
                      <w:rFonts w:ascii="Times New Roman" w:hAnsi="Times New Roman" w:eastAsia="宋体"/>
                      <w:b/>
                      <w:bCs/>
                      <w:spacing w:val="-5"/>
                      <w:sz w:val="21"/>
                      <w:szCs w:val="21"/>
                      <w:highlight w:val="none"/>
                    </w:rPr>
                    <w:t>序号</w:t>
                  </w:r>
                </w:p>
              </w:tc>
              <w:tc>
                <w:tcPr>
                  <w:tcW w:w="490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7"/>
                      <w:sz w:val="21"/>
                      <w:szCs w:val="21"/>
                      <w:highlight w:val="none"/>
                    </w:rPr>
                    <w:t>步道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31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面层</w:t>
                  </w:r>
                </w:p>
              </w:tc>
              <w:tc>
                <w:tcPr>
                  <w:tcW w:w="490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（细）沥青砼</w:t>
                  </w:r>
                  <w:r>
                    <w:rPr>
                      <w:rFonts w:hint="eastAsia" w:ascii="Times New Roman" w:hAnsi="Times New Roman" w:eastAsia="宋体"/>
                      <w:spacing w:val="-3"/>
                      <w:sz w:val="21"/>
                      <w:szCs w:val="21"/>
                      <w:highlight w:val="none"/>
                      <w:lang w:val="en-US" w:eastAsia="zh-CN"/>
                    </w:rPr>
                    <w:t>4</w:t>
                  </w:r>
                  <w:r>
                    <w:rPr>
                      <w:rFonts w:ascii="Times New Roman" w:hAnsi="Times New Roman" w:eastAsia="宋体"/>
                      <w:spacing w:val="-3"/>
                      <w:sz w:val="21"/>
                      <w:szCs w:val="21"/>
                      <w:highlight w:val="none"/>
                    </w:rPr>
                    <w:t>.0沥青改色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331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5"/>
                      <w:sz w:val="21"/>
                      <w:szCs w:val="21"/>
                      <w:highlight w:val="none"/>
                    </w:rPr>
                    <w:t>基层</w:t>
                  </w:r>
                </w:p>
              </w:tc>
              <w:tc>
                <w:tcPr>
                  <w:tcW w:w="490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水泥稳定碎石</w:t>
                  </w:r>
                  <w:r>
                    <w:rPr>
                      <w:rFonts w:hint="eastAsia" w:ascii="Times New Roman" w:hAnsi="Times New Roman" w:eastAsia="宋体"/>
                      <w:spacing w:val="-3"/>
                      <w:sz w:val="21"/>
                      <w:szCs w:val="21"/>
                      <w:highlight w:val="none"/>
                      <w:lang w:val="en-US" w:eastAsia="zh-CN"/>
                    </w:rPr>
                    <w:t>2</w:t>
                  </w:r>
                  <w:r>
                    <w:rPr>
                      <w:rFonts w:ascii="Times New Roman" w:hAnsi="Times New Roman" w:eastAsia="宋体"/>
                      <w:spacing w:val="-3"/>
                      <w:sz w:val="21"/>
                      <w:szCs w:val="21"/>
                      <w:highlight w:val="none"/>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331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3"/>
                      <w:sz w:val="21"/>
                      <w:szCs w:val="21"/>
                      <w:highlight w:val="none"/>
                    </w:rPr>
                    <w:t>底基层</w:t>
                  </w:r>
                </w:p>
              </w:tc>
              <w:tc>
                <w:tcPr>
                  <w:tcW w:w="490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6"/>
                      <w:sz w:val="21"/>
                      <w:szCs w:val="21"/>
                      <w:highlight w:val="none"/>
                    </w:rPr>
                    <w:t>级配碎石</w:t>
                  </w:r>
                  <w:r>
                    <w:rPr>
                      <w:rFonts w:hint="eastAsia" w:ascii="Times New Roman" w:hAnsi="Times New Roman" w:eastAsia="宋体"/>
                      <w:spacing w:val="-6"/>
                      <w:sz w:val="21"/>
                      <w:szCs w:val="21"/>
                      <w:highlight w:val="none"/>
                      <w:lang w:val="en-US" w:eastAsia="zh-CN"/>
                    </w:rPr>
                    <w:t>1</w:t>
                  </w:r>
                  <w:r>
                    <w:rPr>
                      <w:rFonts w:ascii="Times New Roman" w:hAnsi="Times New Roman" w:eastAsia="宋体"/>
                      <w:spacing w:val="-6"/>
                      <w:sz w:val="21"/>
                      <w:szCs w:val="21"/>
                      <w:highlight w:val="none"/>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331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b/>
                      <w:bCs/>
                      <w:sz w:val="21"/>
                      <w:szCs w:val="21"/>
                      <w:highlight w:val="none"/>
                    </w:rPr>
                  </w:pPr>
                  <w:r>
                    <w:rPr>
                      <w:rFonts w:ascii="Times New Roman" w:hAnsi="Times New Roman" w:eastAsia="宋体"/>
                      <w:b/>
                      <w:bCs/>
                      <w:spacing w:val="-6"/>
                      <w:sz w:val="21"/>
                      <w:szCs w:val="21"/>
                      <w:highlight w:val="none"/>
                    </w:rPr>
                    <w:t>总厚度</w:t>
                  </w:r>
                </w:p>
              </w:tc>
              <w:tc>
                <w:tcPr>
                  <w:tcW w:w="490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sz w:val="21"/>
                      <w:szCs w:val="21"/>
                      <w:highlight w:val="none"/>
                    </w:rPr>
                  </w:pPr>
                  <w:r>
                    <w:rPr>
                      <w:rFonts w:ascii="Times New Roman" w:hAnsi="Times New Roman" w:eastAsia="宋体"/>
                      <w:spacing w:val="-3"/>
                      <w:sz w:val="21"/>
                      <w:szCs w:val="21"/>
                      <w:highlight w:val="none"/>
                    </w:rPr>
                    <w:t>42.0</w:t>
                  </w: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道牙、树框等附属物混凝土梯形路缘石，50x46x20cm（长x宽x高）；花岗岩平道牙，50x10x20cm（长x宽x高）</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leftChars="0" w:firstLine="0" w:firstLineChars="0"/>
              <w:textAlignment w:val="auto"/>
              <w:rPr>
                <w:rFonts w:hint="default" w:cs="Times New Roman"/>
                <w:b/>
                <w:color w:val="auto"/>
                <w:kern w:val="0"/>
                <w:sz w:val="24"/>
                <w:highlight w:val="none"/>
                <w:lang w:val="en-US" w:eastAsia="zh-CN"/>
              </w:rPr>
            </w:pPr>
            <w:r>
              <w:rPr>
                <w:rFonts w:hint="eastAsia" w:cs="Times New Roman"/>
                <w:b/>
                <w:color w:val="auto"/>
                <w:kern w:val="0"/>
                <w:sz w:val="24"/>
                <w:highlight w:val="none"/>
                <w:lang w:val="en-US" w:eastAsia="zh-CN"/>
              </w:rPr>
              <w:t>7</w:t>
            </w:r>
            <w:r>
              <w:rPr>
                <w:rFonts w:hint="default" w:cs="Times New Roman"/>
                <w:b/>
                <w:color w:val="auto"/>
                <w:kern w:val="0"/>
                <w:sz w:val="24"/>
                <w:highlight w:val="none"/>
                <w:lang w:val="en-US" w:eastAsia="zh-CN"/>
              </w:rPr>
              <w:t>、主要原辅材料来源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kern w:val="0"/>
                <w:sz w:val="24"/>
                <w:highlight w:val="none"/>
                <w:lang w:eastAsia="zh-CN"/>
              </w:rPr>
            </w:pPr>
            <w:r>
              <w:rPr>
                <w:rFonts w:hint="default" w:ascii="Times New Roman" w:hAnsi="Times New Roman" w:eastAsia="宋体" w:cs="Times New Roman"/>
                <w:color w:val="auto"/>
                <w:kern w:val="0"/>
                <w:sz w:val="24"/>
                <w:highlight w:val="none"/>
                <w:lang w:val="en-US"/>
              </w:rPr>
              <w:t>项目使用块石料、细石料均来源于</w:t>
            </w:r>
            <w:r>
              <w:rPr>
                <w:rFonts w:hint="eastAsia" w:ascii="Times New Roman" w:hAnsi="Times New Roman" w:eastAsia="宋体" w:cs="Times New Roman"/>
                <w:color w:val="auto"/>
                <w:kern w:val="0"/>
                <w:sz w:val="24"/>
                <w:highlight w:val="none"/>
                <w:lang w:val="en-US" w:eastAsia="zh-CN"/>
              </w:rPr>
              <w:t>隆德县</w:t>
            </w:r>
            <w:r>
              <w:rPr>
                <w:rFonts w:hint="default" w:ascii="Times New Roman" w:hAnsi="Times New Roman" w:eastAsia="宋体" w:cs="Times New Roman"/>
                <w:color w:val="auto"/>
                <w:kern w:val="0"/>
                <w:sz w:val="24"/>
                <w:highlight w:val="none"/>
                <w:lang w:val="en-US" w:eastAsia="zh-CN"/>
              </w:rPr>
              <w:t>石</w:t>
            </w:r>
            <w:r>
              <w:rPr>
                <w:rFonts w:hint="default" w:ascii="Times New Roman" w:hAnsi="Times New Roman" w:eastAsia="宋体" w:cs="Times New Roman"/>
                <w:color w:val="auto"/>
                <w:kern w:val="0"/>
                <w:sz w:val="24"/>
                <w:highlight w:val="none"/>
                <w:lang w:val="en-US"/>
              </w:rPr>
              <w:t>料场，交通方便，来源可靠。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jc w:val="center"/>
        </w:trPr>
        <w:tc>
          <w:tcPr>
            <w:tcW w:w="70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bookmarkStart w:id="8" w:name="OLE_LINK15"/>
            <w:bookmarkStart w:id="9" w:name="OLE_LINK11"/>
            <w:r>
              <w:rPr>
                <w:rFonts w:hint="default" w:ascii="Times New Roman" w:hAnsi="Times New Roman" w:eastAsia="宋体" w:cs="Times New Roman"/>
                <w:b/>
                <w:bCs/>
                <w:color w:val="auto"/>
                <w:kern w:val="0"/>
                <w:sz w:val="24"/>
                <w:highlight w:val="none"/>
              </w:rPr>
              <w:t>总平面及现场布置</w:t>
            </w:r>
            <w:bookmarkEnd w:id="8"/>
            <w:bookmarkEnd w:id="9"/>
          </w:p>
        </w:tc>
        <w:tc>
          <w:tcPr>
            <w:tcW w:w="829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1、工程布局情况</w:t>
            </w:r>
          </w:p>
          <w:p>
            <w:pPr>
              <w:keepNext/>
              <w:keepLines/>
              <w:pageBreakBefore w:val="0"/>
              <w:widowControl w:val="0"/>
              <w:kinsoku/>
              <w:wordWrap/>
              <w:overflowPunct/>
              <w:topLinePunct w:val="0"/>
              <w:bidi w:val="0"/>
              <w:adjustRightInd w:val="0"/>
              <w:snapToGrid w:val="0"/>
              <w:spacing w:line="540" w:lineRule="exact"/>
              <w:ind w:left="0" w:right="0" w:firstLine="480" w:firstLineChars="200"/>
              <w:jc w:val="both"/>
              <w:textAlignment w:val="auto"/>
              <w:outlineLvl w:val="3"/>
              <w:rPr>
                <w:rFonts w:hint="default" w:ascii="Times New Roman" w:hAnsi="Times New Roman"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val="en-US" w:eastAsia="zh-CN" w:bidi="ar"/>
              </w:rPr>
              <w:t>（1）</w:t>
            </w:r>
            <w:r>
              <w:rPr>
                <w:rFonts w:ascii="宋体" w:hAnsi="宋体" w:eastAsia="宋体" w:cs="宋体"/>
                <w:b w:val="0"/>
                <w:bCs w:val="0"/>
                <w:spacing w:val="-2"/>
                <w:sz w:val="24"/>
                <w:szCs w:val="24"/>
                <w:highlight w:val="none"/>
              </w:rPr>
              <w:t>排洪渠工程布置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本次排洪渠设计在隆德县城北侧沿北象山建设排洪渠、排洪管涵，山洪导流后汇入渝河，对县城东侧建筑垃圾填埋厂建设排洪渠，洪水导流后汇入现状沟道，对县城西侧行政中心北侧现状排洪渠及排洪管涵进行清淤</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雨水管道设置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排水管道一般和电缆沟布于同侧，以便于电缆沟排水井可以就近接入排水检查井中。布置非机动车道或机动车道下，有利于管道疏通机械或疏通车的运行和维护。</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对于新建道路，当道路红线宽度在50米以下时，采用单侧布管，当道路红线宽度大于50米时，采用双侧布管。如管位冲突，根据具体道路情况作必要调整。对已有部分工程管线的现状道路进行改、扩建工程，应根据具体情况进行安排。</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rPr>
              <w:t>竖向布置</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竖向布置遵照《城市工程管线综合规划规范》规定的各种管线要求进行布设。如不能满足要求必须进行防护处理。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种管线的平面位置参照“综合管网道路标准横断面图”和综合管网方案图布置。为满足道路建成后两侧地块开发建设及使用上可预见的需要，本次设计对于区域内某些路段单侧布置的管线按一定间距集中布置过街支管，过街支管应随道路一同建成，避免道路建成后再行开挖。</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竖向布置遵照《城市工程管线综合规划规范》（GB50282-98）规定的各种管线要求进行布设。如不能满足要求必须进行防护处理，管道在竖向布局上从上到下一般应为：</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1</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电力电缆沟；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电信、给水、燃气管道；</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雨水管渠；</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污水管道。</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雨水管线布置在各类管线倒数第二层。当管线综合在竖向上发生冲突时，宜按照下列原则进行协调：</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压力管线让重力自流管线；</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2</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分支管线让主干管线；</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3</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小管径管线让大管径管线；</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4</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rPr>
              <w:t>可弯曲管线让不易弯曲管线。</w:t>
            </w:r>
            <w:r>
              <w:rPr>
                <w:rFonts w:hint="default" w:ascii="Times New Roman" w:hAnsi="Times New Roman" w:eastAsia="宋体" w:cs="Times New Roman"/>
                <w:color w:val="auto"/>
                <w:kern w:val="0"/>
                <w:sz w:val="24"/>
                <w:highlight w:val="none"/>
                <w:lang w:val="en-US"/>
              </w:rPr>
              <w:br w:type="column"/>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竖向设计：</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各类管线过街时应尽量采用净厚度较小的管材，并采取技术措施，减小总构造厚度。其中：电力过街管：净厚不大于400mm，通信过街管（包括电信、联信等）：净厚不大于400mm。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highlight w:val="none"/>
                <w:lang w:val="en-US"/>
              </w:rPr>
            </w:pPr>
            <w:r>
              <w:rPr>
                <w:rFonts w:hint="default" w:ascii="Times New Roman" w:hAnsi="Times New Roman" w:eastAsia="宋体" w:cs="Times New Roman"/>
                <w:b/>
                <w:color w:val="auto"/>
                <w:kern w:val="0"/>
                <w:sz w:val="24"/>
                <w:highlight w:val="none"/>
                <w:lang w:val="en-US"/>
              </w:rPr>
              <w:t>2、施工布置情况</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本项目</w:t>
            </w:r>
            <w:r>
              <w:rPr>
                <w:rFonts w:hint="eastAsia" w:ascii="Times New Roman" w:hAnsi="Times New Roman" w:eastAsia="宋体" w:cs="Times New Roman"/>
                <w:color w:val="auto"/>
                <w:kern w:val="0"/>
                <w:sz w:val="24"/>
                <w:highlight w:val="none"/>
                <w:lang w:val="en-US" w:eastAsia="zh-CN"/>
              </w:rPr>
              <w:t>不设置</w:t>
            </w:r>
            <w:r>
              <w:rPr>
                <w:rFonts w:hint="default" w:ascii="Times New Roman" w:hAnsi="Times New Roman" w:eastAsia="宋体" w:cs="Times New Roman"/>
                <w:color w:val="auto"/>
                <w:kern w:val="0"/>
                <w:sz w:val="24"/>
                <w:highlight w:val="none"/>
                <w:lang w:val="en-US"/>
              </w:rPr>
              <w:t>施工营地，</w:t>
            </w:r>
            <w:r>
              <w:rPr>
                <w:rFonts w:hint="eastAsia" w:ascii="Times New Roman" w:hAnsi="Times New Roman" w:eastAsia="宋体" w:cs="Times New Roman"/>
                <w:color w:val="auto"/>
                <w:kern w:val="0"/>
                <w:sz w:val="24"/>
                <w:highlight w:val="none"/>
                <w:lang w:val="en-US" w:eastAsia="zh-CN"/>
              </w:rPr>
              <w:t>建设排洪渠及现状清淤工程设置临时施工堆料场4处</w:t>
            </w:r>
            <w:r>
              <w:rPr>
                <w:rFonts w:hint="default" w:ascii="Times New Roman" w:hAnsi="Times New Roman" w:eastAsia="宋体" w:cs="Times New Roman"/>
                <w:color w:val="auto"/>
                <w:kern w:val="0"/>
                <w:sz w:val="24"/>
                <w:highlight w:val="none"/>
                <w:lang w:val="en-US"/>
              </w:rPr>
              <w:t>；项目施工期较短，施工期施工人员依托周边村庄居住；施工结束后对临时施工生产生活区进行土地平整、播撒草籽，施工过程中采取洒水降尘、彩钢板拦挡等措施。</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rPr>
              <w:t>项</w:t>
            </w:r>
            <w:r>
              <w:rPr>
                <w:rFonts w:hint="default" w:ascii="Times New Roman" w:hAnsi="Times New Roman" w:eastAsia="宋体" w:cs="Times New Roman"/>
                <w:color w:val="auto"/>
                <w:kern w:val="0"/>
                <w:sz w:val="24"/>
                <w:highlight w:val="none"/>
                <w:lang w:val="en-US" w:eastAsia="zh-CN"/>
              </w:rPr>
              <w:t>目总平面布局依据沟道走向，严格规范施工红线，</w:t>
            </w:r>
            <w:r>
              <w:rPr>
                <w:rFonts w:hint="default" w:ascii="Times New Roman" w:hAnsi="Times New Roman" w:eastAsia="宋体" w:cs="Times New Roman"/>
                <w:color w:val="auto"/>
                <w:kern w:val="0"/>
                <w:sz w:val="24"/>
                <w:highlight w:val="none"/>
                <w:lang w:val="en-US"/>
              </w:rPr>
              <w:t>项目分段施工，布局紧凑，施工临时占地面积小，有利于缩短施工时间，做到各段施工互不干扰，</w:t>
            </w:r>
            <w:r>
              <w:rPr>
                <w:rFonts w:hint="eastAsia" w:ascii="Times New Roman" w:hAnsi="Times New Roman" w:eastAsia="宋体" w:cs="Times New Roman"/>
                <w:color w:val="auto"/>
                <w:kern w:val="0"/>
                <w:sz w:val="24"/>
                <w:highlight w:val="none"/>
                <w:lang w:val="en-US" w:eastAsia="zh-CN"/>
              </w:rPr>
              <w:t>施工场地</w:t>
            </w:r>
            <w:r>
              <w:rPr>
                <w:rFonts w:hint="default" w:ascii="Times New Roman" w:hAnsi="Times New Roman" w:eastAsia="宋体" w:cs="Times New Roman"/>
                <w:color w:val="auto"/>
                <w:kern w:val="0"/>
                <w:sz w:val="24"/>
                <w:highlight w:val="none"/>
                <w:lang w:val="en-US"/>
              </w:rPr>
              <w:t>配套的环保设施齐全，有利于进一步</w:t>
            </w:r>
            <w:r>
              <w:rPr>
                <w:rFonts w:hint="default" w:ascii="Times New Roman" w:hAnsi="Times New Roman" w:eastAsia="宋体" w:cs="Times New Roman"/>
                <w:color w:val="auto"/>
                <w:kern w:val="0"/>
                <w:sz w:val="24"/>
                <w:highlight w:val="none"/>
                <w:lang w:val="en-US" w:eastAsia="zh-CN"/>
              </w:rPr>
              <w:t>地</w:t>
            </w:r>
            <w:r>
              <w:rPr>
                <w:rFonts w:hint="default" w:ascii="Times New Roman" w:hAnsi="Times New Roman" w:eastAsia="宋体" w:cs="Times New Roman"/>
                <w:color w:val="auto"/>
                <w:kern w:val="0"/>
                <w:sz w:val="24"/>
                <w:highlight w:val="none"/>
                <w:lang w:val="en-US"/>
              </w:rPr>
              <w:t>控制施工扬尘、废水、固废对环境的影响。施工段沿线分布</w:t>
            </w:r>
            <w:r>
              <w:rPr>
                <w:rFonts w:hint="eastAsia" w:cs="Times New Roman"/>
                <w:color w:val="auto"/>
                <w:kern w:val="0"/>
                <w:sz w:val="24"/>
                <w:highlight w:val="none"/>
                <w:lang w:val="en-US" w:eastAsia="zh-CN"/>
              </w:rPr>
              <w:t>居住区</w:t>
            </w:r>
            <w:r>
              <w:rPr>
                <w:rFonts w:hint="default" w:ascii="Times New Roman" w:hAnsi="Times New Roman" w:eastAsia="宋体" w:cs="Times New Roman"/>
                <w:color w:val="auto"/>
                <w:kern w:val="0"/>
                <w:sz w:val="24"/>
                <w:highlight w:val="none"/>
                <w:lang w:val="en-US"/>
              </w:rPr>
              <w:t>，可满足施工用水用电需求，因此，从环保角度考虑，项目施工平面布置合理。</w:t>
            </w:r>
            <w:r>
              <w:rPr>
                <w:rFonts w:hint="eastAsia" w:cs="Times New Roman"/>
                <w:color w:val="auto"/>
                <w:kern w:val="0"/>
                <w:sz w:val="24"/>
                <w:highlight w:val="none"/>
                <w:lang w:val="en-US" w:eastAsia="zh-CN"/>
              </w:rPr>
              <w:t>本项目总平面布置图见附图8。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0" w:hRule="atLeast"/>
          <w:jc w:val="center"/>
        </w:trPr>
        <w:tc>
          <w:tcPr>
            <w:tcW w:w="70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施工方案</w:t>
            </w:r>
          </w:p>
        </w:tc>
        <w:tc>
          <w:tcPr>
            <w:tcW w:w="8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1.主体工程施工</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本工程由建设排洪渠及现状清淤工程</w:t>
            </w:r>
            <w:r>
              <w:rPr>
                <w:rFonts w:hint="eastAsia" w:cs="Times New Roman"/>
                <w:color w:val="auto"/>
                <w:kern w:val="2"/>
                <w:sz w:val="24"/>
                <w:szCs w:val="24"/>
                <w:highlight w:val="none"/>
                <w:lang w:val="en-US" w:eastAsia="zh-CN" w:bidi="ar-SA"/>
              </w:rPr>
              <w:t>、建设山洪沟砌护工程和排洪管涵建设工程</w:t>
            </w:r>
            <w:r>
              <w:rPr>
                <w:rFonts w:hint="default" w:ascii="Times New Roman" w:hAnsi="Times New Roman" w:eastAsia="宋体" w:cs="Times New Roman"/>
                <w:color w:val="auto"/>
                <w:kern w:val="2"/>
                <w:sz w:val="24"/>
                <w:szCs w:val="24"/>
                <w:highlight w:val="none"/>
                <w:lang w:val="en-US" w:eastAsia="zh-CN" w:bidi="ar-SA"/>
              </w:rPr>
              <w:t>组成</w:t>
            </w:r>
            <w:r>
              <w:rPr>
                <w:rFonts w:hint="eastAsia" w:cs="Times New Roman"/>
                <w:color w:val="auto"/>
                <w:kern w:val="2"/>
                <w:sz w:val="24"/>
                <w:szCs w:val="24"/>
                <w:highlight w:val="none"/>
                <w:lang w:val="en-US" w:eastAsia="zh-CN" w:bidi="ar-SA"/>
              </w:rPr>
              <w:t>，涉及多条山洪沟</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以土方开挖与填筑为主，施工线路较长，适合分段同时施工，施工时以机械化施工为主、人工为辅。</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⑴土方开挖</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本项目土方开挖主要是：</w:t>
            </w:r>
            <w:r>
              <w:rPr>
                <w:rFonts w:hint="eastAsia" w:cs="Times New Roman"/>
                <w:color w:val="auto"/>
                <w:kern w:val="2"/>
                <w:sz w:val="24"/>
                <w:szCs w:val="24"/>
                <w:highlight w:val="none"/>
                <w:lang w:val="en-US" w:eastAsia="zh-CN" w:bidi="ar-SA"/>
              </w:rPr>
              <w:t>排洪沟道工程、洪管涵建设、山洪沟砌护工程</w:t>
            </w:r>
            <w:r>
              <w:rPr>
                <w:rFonts w:hint="default" w:ascii="Times New Roman" w:hAnsi="Times New Roman" w:eastAsia="宋体" w:cs="Times New Roman"/>
                <w:color w:val="auto"/>
                <w:kern w:val="2"/>
                <w:sz w:val="24"/>
                <w:szCs w:val="24"/>
                <w:highlight w:val="none"/>
                <w:lang w:val="en-US" w:eastAsia="zh-CN" w:bidi="ar-SA"/>
              </w:rPr>
              <w:t>。采用机械开挖为主，人工开挖为辅，推土机推运和自卸车转运的方法。人工开挖主要是边坡整修，基础开挖等。建筑物基础开挖至设计高程后，应由甲方代表、设计代表和工程监理人员共同检查，核实地质状况与图纸是否相符，由设计代表提出补充整改意见。回填土采用人工和蛙式打夯机相结合的施工方式。</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土方开挖采用2m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挖掘机挖土，15t自卸汽车运输，利用料就近堆放，直接用于土方回填。</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⑵土方填筑</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回填、夯填土方前，应彻底清除基地表面草皮、垃圾、树根、表面浮土、孔洞、裂隙、井等，应对填方基地和已完成隐蔽工程进行检查和中间验收。</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土方回填采用2m³挖掘机挖装，15t自卸汽车运输至工作面，74kw推土机铺土，14t振动碾碾压，对于面积窄小的边角部位，机械碾压困难时，可采用机械铺料2.8kw蛙夯夯实。</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⑶混凝土施工</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素混凝土垫层主要是建筑物基础垫层，采用商品混凝土，6m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混凝土搅拌运输车运输。主体混凝土浇筑采用6m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混凝土搅拌运输车送至工作面，人工立模，电动插入式振捣器振捣。</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⑷格宾网垫施工</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①施工工序</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格宾网垫、网箱应在坡面整修和基槽开挖验收合格后进行铺设安装，其工序流程详见下图。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912110" cy="743585"/>
                  <wp:effectExtent l="0" t="0" r="2540" b="18415"/>
                  <wp:docPr id="144" name="图片 147" descr="QQ截图2018061013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7" descr="QQ截图20180610134449"/>
                          <pic:cNvPicPr>
                            <a:picLocks noChangeAspect="1"/>
                          </pic:cNvPicPr>
                        </pic:nvPicPr>
                        <pic:blipFill>
                          <a:blip r:embed="rId11"/>
                          <a:stretch>
                            <a:fillRect/>
                          </a:stretch>
                        </pic:blipFill>
                        <pic:spPr>
                          <a:xfrm>
                            <a:off x="0" y="0"/>
                            <a:ext cx="2912110" cy="743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s="Times New Roman"/>
                <w:b/>
                <w:bCs/>
                <w:spacing w:val="-5"/>
                <w:sz w:val="24"/>
                <w:szCs w:val="24"/>
                <w:highlight w:val="none"/>
                <w:lang w:val="en-US" w:eastAsia="zh-CN"/>
              </w:rPr>
            </w:pPr>
            <w:r>
              <w:rPr>
                <w:rFonts w:hint="default"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5</w:t>
            </w:r>
            <w:r>
              <w:rPr>
                <w:rFonts w:hint="default" w:cs="Times New Roman"/>
                <w:b/>
                <w:bCs/>
                <w:spacing w:val="-5"/>
                <w:sz w:val="24"/>
                <w:szCs w:val="24"/>
                <w:highlight w:val="none"/>
                <w:lang w:val="en-US" w:eastAsia="zh-CN"/>
              </w:rPr>
              <w:t xml:space="preserve">  格宾网垫（网箱）安装流程图</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②网垫施工</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网垫组装：首先在河道工程的坡面地基上，或坡面附近的场地上，将网垫半成品的隔片与网身调整成90°，其次按规定的绑扎间距要求用绑扎丝绑扎，在设计坡面位置上组装成单个网垫，详见下图。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3"/>
                <w:szCs w:val="23"/>
                <w:highlight w:val="none"/>
                <w:lang w:val="en-US" w:eastAsia="zh-CN" w:bidi="ar-SA"/>
              </w:rPr>
              <w:drawing>
                <wp:inline distT="0" distB="0" distL="114300" distR="114300">
                  <wp:extent cx="3594100" cy="1717040"/>
                  <wp:effectExtent l="0" t="0" r="6350" b="16510"/>
                  <wp:docPr id="14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8"/>
                          <pic:cNvPicPr>
                            <a:picLocks noChangeAspect="1"/>
                          </pic:cNvPicPr>
                        </pic:nvPicPr>
                        <pic:blipFill>
                          <a:blip r:embed="rId12"/>
                          <a:srcRect l="16345" t="8318" r="14996" b="20747"/>
                          <a:stretch>
                            <a:fillRect/>
                          </a:stretch>
                        </pic:blipFill>
                        <pic:spPr>
                          <a:xfrm>
                            <a:off x="0" y="0"/>
                            <a:ext cx="3594100" cy="1717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default" w:ascii="Times New Roman" w:hAnsi="Times New Roman" w:eastAsia="宋体"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6</w:t>
            </w:r>
            <w:r>
              <w:rPr>
                <w:rFonts w:hint="default" w:ascii="Times New Roman" w:hAnsi="Times New Roman" w:eastAsia="宋体" w:cs="Times New Roman"/>
                <w:b/>
                <w:bCs/>
                <w:spacing w:val="-5"/>
                <w:sz w:val="24"/>
                <w:szCs w:val="24"/>
                <w:highlight w:val="none"/>
                <w:lang w:val="en-US" w:eastAsia="zh-CN"/>
              </w:rPr>
              <w:t xml:space="preserve">  格宾网垫展开图</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绑扎要求：</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在隔网与网身的四处交角各绑扎一道；</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在隔网与网身交接处，每间隔15cm绑扎一道。</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网垫集成：宁夏水利工程格宾在顺水流方向（B向）的单个网垫宽度一般为200cm，在其按设计要求摆放到位后，要将相邻（左、右）网垫的边丝按规定的间距用绑扎丝绑扎，组成坡面的连续网垫。</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网垫填料：</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由于网垫厚度一般为30cm，为了保证施工质量，坡面网垫宜采用人工方式摆放填料。若格宾网垫质量能够达到设计要求，在周密的施工质量有效控制下，可以采用人工与机械相结合的方式摆放填料。</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网垫填料时，应由网垫下部向上部逐一向各网格内填料。</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填料粒径大小要均匀摆放，相互搭接平稳，以满足填充料密度要求。填料预留压缩变形高度一般取3cm（高出网垫）。</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ⅳ 网垫填料施工中的要点是网垫填料密度与网垫变形的控制。</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网垫封盖：当单个网垫填料完成后，要即刻将网盖与网垫边丝、相邻（左、右）网垫之间的边丝按要求相互绑扎在一起，绑扎间距15～20cm，详见下图。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drawing>
                <wp:inline distT="0" distB="0" distL="114300" distR="114300">
                  <wp:extent cx="2889885" cy="1674495"/>
                  <wp:effectExtent l="0" t="0" r="5715" b="1905"/>
                  <wp:docPr id="1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9"/>
                          <pic:cNvPicPr>
                            <a:picLocks noChangeAspect="1"/>
                          </pic:cNvPicPr>
                        </pic:nvPicPr>
                        <pic:blipFill>
                          <a:blip r:embed="rId13"/>
                          <a:srcRect l="604" t="-4564" r="4063"/>
                          <a:stretch>
                            <a:fillRect/>
                          </a:stretch>
                        </pic:blipFill>
                        <pic:spPr>
                          <a:xfrm>
                            <a:off x="0" y="0"/>
                            <a:ext cx="2889885" cy="1674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pacing w:val="-5"/>
                <w:sz w:val="24"/>
                <w:szCs w:val="24"/>
                <w:highlight w:val="none"/>
                <w:lang w:val="en-US" w:eastAsia="zh-CN"/>
              </w:rPr>
            </w:pPr>
            <w:r>
              <w:rPr>
                <w:rFonts w:hint="default" w:ascii="Times New Roman" w:hAnsi="Times New Roman" w:eastAsia="宋体" w:cs="Times New Roman"/>
                <w:b/>
                <w:bCs/>
                <w:spacing w:val="-5"/>
                <w:sz w:val="24"/>
                <w:szCs w:val="24"/>
                <w:highlight w:val="none"/>
                <w:lang w:val="en-US" w:eastAsia="zh-CN"/>
              </w:rPr>
              <w:t>图</w:t>
            </w:r>
            <w:r>
              <w:rPr>
                <w:rFonts w:hint="eastAsia" w:cs="Times New Roman"/>
                <w:b/>
                <w:bCs/>
                <w:spacing w:val="-5"/>
                <w:sz w:val="24"/>
                <w:szCs w:val="24"/>
                <w:highlight w:val="none"/>
                <w:lang w:val="en-US" w:eastAsia="zh-CN"/>
              </w:rPr>
              <w:t>7</w:t>
            </w:r>
            <w:r>
              <w:rPr>
                <w:rFonts w:hint="default" w:ascii="Times New Roman" w:hAnsi="Times New Roman" w:eastAsia="宋体" w:cs="Times New Roman"/>
                <w:b/>
                <w:bCs/>
                <w:spacing w:val="-5"/>
                <w:sz w:val="24"/>
                <w:szCs w:val="24"/>
                <w:highlight w:val="none"/>
                <w:lang w:val="en-US" w:eastAsia="zh-CN"/>
              </w:rPr>
              <w:t xml:space="preserve">  格宾网垫铺设示意图</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③网箱施工</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基槽开挖：</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网箱施工的重点之一是针对不同水环境特点的河道、沟道、湖泊景观水道的水特点，提出网箱基槽施工期排水的专项设计，并围绕排水控制能力，制定相适应的施工组织设计方案。</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若施工期基础开挖槽内积水深度小于30cm时，宜用挖掘机进行“长槽”预挖20～50m，即开挖基槽→安装网箱→填装块石或卵石，由此不断往复。此状况下，施工相对方便；</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若施工期场地排水困难，基础开挖槽内积水深度较深时，宜用挖掘机进行“短槽”预挖2m，即快速开挖基槽→吊车下一层或两层制作好的格宾石笼，由此不断往复。此状况下，施工相对困难。若有特殊要求，施工方案经论证后确定。</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组成：在前述网垫施工前，先要完成网垫基础网箱的施工。一般先在河道、沟道、渠道、水库、湖泊等网垫的基础槽内，或附近的场地上，将网箱半成品的隔片与网身调整成90°，之后按规定的绑扎间距用绑扎丝绑扎，组装成网箱。</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绑扎要求：</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隔网与网身的四处交角各绑扎一道。</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隔网与网身交接处，每间隔15cm绑扎一道。</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网箱水平拉丝按照本《导则》前述规定设置。</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集成：宁夏水利工程格宾在顺水流方向的单个网箱长度一般为100～200cm、埋深100～150cm，在其按设计要求摆放到位后，要将相邻（上、下，左、右）网箱的边丝按规定的间距用绑扎丝绑扎，拼装成基础的连续网箱。</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网箱填料：网箱填料除满足前述网垫填料的基本要求外，还应符合以下要求：</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ⅰ 应依次、均匀、分批向各网箱内填料，严禁将单个网箱一次性填满。</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ⅱ 对于高度≥100cm的网箱，要结合设置的水平拉丝，采用分层填料的方式填筑，避免网箱产生超规定的变形。</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ⅲ 为了使外露格宾网箱工程的外观平顺、美观，对有特殊要求的网箱，施工时应在有防变形支撑措施下对网箱填充石料。</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网箱封盖：当单个网箱按照要求完成填料后，要即刻将网盖与网箱边丝、相邻（上、下，左、右）网箱之间的边丝按要求相互绑扎在一起，绑扎间距15-20cm。</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施工总体布置</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本工程是线性布置，</w:t>
            </w:r>
            <w:r>
              <w:rPr>
                <w:rFonts w:hint="eastAsia" w:cs="Times New Roman"/>
                <w:color w:val="auto"/>
                <w:kern w:val="2"/>
                <w:sz w:val="24"/>
                <w:szCs w:val="24"/>
                <w:highlight w:val="none"/>
                <w:lang w:val="en-US" w:eastAsia="zh-CN" w:bidi="ar-SA"/>
              </w:rPr>
              <w:t>项目不设置</w:t>
            </w:r>
            <w:r>
              <w:rPr>
                <w:rFonts w:hint="default" w:ascii="Times New Roman" w:hAnsi="Times New Roman" w:eastAsia="宋体" w:cs="Times New Roman"/>
                <w:color w:val="auto"/>
                <w:kern w:val="2"/>
                <w:sz w:val="24"/>
                <w:szCs w:val="24"/>
                <w:highlight w:val="none"/>
                <w:lang w:val="en-US" w:eastAsia="zh-CN" w:bidi="ar-SA"/>
              </w:rPr>
              <w:t>施工营地，结合工程区地形和交通条件等方面分析，本项目施工</w:t>
            </w:r>
            <w:r>
              <w:rPr>
                <w:rFonts w:hint="eastAsia" w:cs="Times New Roman"/>
                <w:color w:val="auto"/>
                <w:kern w:val="2"/>
                <w:sz w:val="24"/>
                <w:szCs w:val="24"/>
                <w:highlight w:val="none"/>
                <w:lang w:val="en-US" w:eastAsia="zh-CN" w:bidi="ar-SA"/>
              </w:rPr>
              <w:t>设施</w:t>
            </w:r>
            <w:r>
              <w:rPr>
                <w:rFonts w:hint="default" w:ascii="Times New Roman" w:hAnsi="Times New Roman" w:eastAsia="宋体" w:cs="Times New Roman"/>
                <w:color w:val="auto"/>
                <w:kern w:val="2"/>
                <w:sz w:val="24"/>
                <w:szCs w:val="24"/>
                <w:highlight w:val="none"/>
                <w:lang w:val="en-US" w:eastAsia="zh-CN" w:bidi="ar-SA"/>
              </w:rPr>
              <w:t>通过租用施工现场周边闲置房屋，包括机械停放区、仓库、沉淀池等；项目施工期较短，施工期施工人员依托周边村庄居住；施工结束后对</w:t>
            </w:r>
            <w:r>
              <w:rPr>
                <w:rFonts w:hint="eastAsia" w:cs="Times New Roman"/>
                <w:color w:val="auto"/>
                <w:kern w:val="2"/>
                <w:sz w:val="24"/>
                <w:szCs w:val="24"/>
                <w:highlight w:val="none"/>
                <w:lang w:val="en-US" w:eastAsia="zh-CN" w:bidi="ar-SA"/>
              </w:rPr>
              <w:t>施工场地</w:t>
            </w:r>
            <w:r>
              <w:rPr>
                <w:rFonts w:hint="default" w:ascii="Times New Roman" w:hAnsi="Times New Roman" w:eastAsia="宋体" w:cs="Times New Roman"/>
                <w:color w:val="auto"/>
                <w:kern w:val="2"/>
                <w:sz w:val="24"/>
                <w:szCs w:val="24"/>
                <w:highlight w:val="none"/>
                <w:lang w:val="en-US" w:eastAsia="zh-CN" w:bidi="ar-SA"/>
              </w:rPr>
              <w:t>进行土地平整、播撒草籽，施工过程中采取洒水降尘、彩钢板拦挡等措施</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施工时序及周期</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本项目计划于2024年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月开工，2025年1</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月竣工，总工期</w:t>
            </w:r>
            <w:r>
              <w:rPr>
                <w:rFonts w:hint="eastAsia"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个月。</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 xml:space="preserve"> 建筑材料来源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根据项目水土保持方案，</w:t>
            </w:r>
            <w:r>
              <w:rPr>
                <w:rFonts w:hint="default" w:ascii="Times New Roman" w:hAnsi="Times New Roman" w:eastAsia="宋体" w:cs="Times New Roman"/>
                <w:color w:val="auto"/>
                <w:kern w:val="0"/>
                <w:sz w:val="24"/>
                <w:szCs w:val="24"/>
                <w:highlight w:val="none"/>
                <w:lang w:val="en-US" w:eastAsia="zh-CN" w:bidi="ar"/>
              </w:rPr>
              <w:t>本项目建设期土石方开挖、填筑工程量大，土石方开挖运输距离对机械能耗的影响较大，施工中应根据开挖料的性质合理安排存、弃渣部位，</w:t>
            </w:r>
            <w:r>
              <w:rPr>
                <w:rFonts w:hint="eastAsia" w:cs="Times New Roman"/>
                <w:color w:val="auto"/>
                <w:kern w:val="0"/>
                <w:sz w:val="24"/>
                <w:szCs w:val="24"/>
                <w:highlight w:val="none"/>
                <w:lang w:val="en-US" w:eastAsia="zh-CN" w:bidi="ar"/>
              </w:rPr>
              <w:t>尽</w:t>
            </w:r>
            <w:r>
              <w:rPr>
                <w:rFonts w:hint="default" w:ascii="Times New Roman" w:hAnsi="Times New Roman" w:eastAsia="宋体" w:cs="Times New Roman"/>
                <w:color w:val="auto"/>
                <w:kern w:val="0"/>
                <w:sz w:val="24"/>
                <w:szCs w:val="24"/>
                <w:highlight w:val="none"/>
                <w:lang w:val="en-US" w:eastAsia="zh-CN" w:bidi="ar"/>
              </w:rPr>
              <w:t>可能缩短运距，无弃方，无借方。</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kern w:val="0"/>
                <w:sz w:val="24"/>
                <w:highlight w:val="none"/>
                <w:lang w:eastAsia="zh-CN"/>
              </w:rPr>
            </w:pPr>
            <w:r>
              <w:rPr>
                <w:rFonts w:hint="eastAsia" w:cs="Times New Roman"/>
                <w:color w:val="auto"/>
                <w:sz w:val="24"/>
                <w:szCs w:val="24"/>
                <w:highlight w:val="none"/>
                <w:lang w:val="en-US" w:eastAsia="zh-CN"/>
              </w:rPr>
              <w:t>本项目不设置混凝土拌合站，</w:t>
            </w:r>
            <w:r>
              <w:rPr>
                <w:rFonts w:hint="default" w:ascii="Times New Roman" w:hAnsi="Times New Roman" w:eastAsia="宋体" w:cs="Times New Roman"/>
                <w:color w:val="auto"/>
                <w:sz w:val="24"/>
                <w:szCs w:val="24"/>
                <w:highlight w:val="none"/>
                <w:lang w:val="en-US" w:eastAsia="zh-CN"/>
              </w:rPr>
              <w:t>所需</w:t>
            </w:r>
            <w:r>
              <w:rPr>
                <w:rFonts w:hint="eastAsia" w:cs="Times New Roman"/>
                <w:color w:val="auto"/>
                <w:sz w:val="24"/>
                <w:szCs w:val="24"/>
                <w:highlight w:val="none"/>
                <w:lang w:val="en-US" w:eastAsia="zh-CN"/>
              </w:rPr>
              <w:t>混凝土为外购商品混凝土，</w:t>
            </w:r>
            <w:r>
              <w:rPr>
                <w:rFonts w:hint="default" w:ascii="Times New Roman" w:hAnsi="Times New Roman" w:eastAsia="宋体" w:cs="Times New Roman"/>
                <w:color w:val="auto"/>
                <w:sz w:val="24"/>
                <w:szCs w:val="24"/>
                <w:highlight w:val="none"/>
                <w:lang w:val="en-US" w:eastAsia="zh-CN"/>
              </w:rPr>
              <w:t>砂石等原料</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外购</w:t>
            </w:r>
            <w:r>
              <w:rPr>
                <w:rFonts w:hint="default"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6" w:hRule="atLeast"/>
          <w:jc w:val="center"/>
        </w:trPr>
        <w:tc>
          <w:tcPr>
            <w:tcW w:w="70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298" w:type="dxa"/>
            <w:tcBorders>
              <w:tl2br w:val="nil"/>
              <w:tr2bl w:val="nil"/>
            </w:tcBorders>
            <w:vAlign w:val="center"/>
          </w:tcPr>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eastAsia="zh-CN"/>
              </w:rPr>
              <w:t>无</w:t>
            </w: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center"/>
              <w:rPr>
                <w:rFonts w:hint="default" w:ascii="Times New Roman" w:hAnsi="Times New Roman" w:eastAsia="宋体" w:cs="Times New Roman"/>
                <w:color w:val="auto"/>
                <w:kern w:val="0"/>
                <w:sz w:val="24"/>
                <w:highlight w:val="none"/>
              </w:rPr>
            </w:pPr>
          </w:p>
          <w:p>
            <w:pPr>
              <w:adjustRightInd w:val="0"/>
              <w:snapToGrid w:val="0"/>
              <w:spacing w:line="360" w:lineRule="auto"/>
              <w:ind w:firstLine="0" w:firstLineChars="0"/>
              <w:jc w:val="both"/>
              <w:rPr>
                <w:rFonts w:hint="default" w:ascii="Times New Roman" w:hAnsi="Times New Roman" w:eastAsia="宋体" w:cs="Times New Roman"/>
                <w:color w:val="auto"/>
                <w:kern w:val="0"/>
                <w:sz w:val="24"/>
                <w:highlight w:val="none"/>
              </w:rPr>
            </w:pP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仿宋_GB2312" w:cs="Times New Roman"/>
          <w:b/>
          <w:bCs/>
          <w:color w:val="0000FF"/>
          <w:kern w:val="0"/>
          <w:sz w:val="24"/>
          <w:szCs w:val="24"/>
          <w:lang w:val="en-US" w:eastAsia="zh-CN" w:bidi="ar-SA"/>
        </w:rPr>
        <w:br w:type="page"/>
      </w:r>
      <w:r>
        <w:rPr>
          <w:rFonts w:hint="default" w:ascii="Times New Roman" w:hAnsi="Times New Roman" w:eastAsia="黑体" w:cs="Times New Roman"/>
          <w:snapToGrid w:val="0"/>
          <w:color w:val="auto"/>
          <w:kern w:val="0"/>
          <w:sz w:val="30"/>
          <w:szCs w:val="30"/>
          <w:lang w:val="en-US" w:eastAsia="zh-CN" w:bidi="ar-SA"/>
        </w:rPr>
        <w:t>三、</w:t>
      </w:r>
      <w:bookmarkStart w:id="10" w:name="OLE_LINK20"/>
      <w:bookmarkStart w:id="11" w:name="OLE_LINK21"/>
      <w:r>
        <w:rPr>
          <w:rFonts w:hint="default" w:ascii="Times New Roman" w:hAnsi="Times New Roman" w:eastAsia="黑体" w:cs="Times New Roman"/>
          <w:snapToGrid w:val="0"/>
          <w:color w:val="auto"/>
          <w:kern w:val="0"/>
          <w:sz w:val="30"/>
          <w:szCs w:val="30"/>
          <w:lang w:val="en-US" w:eastAsia="zh-CN" w:bidi="ar-SA"/>
        </w:rPr>
        <w:t>生态环境现状、保护目标及评价标准</w:t>
      </w:r>
      <w:bookmarkEnd w:id="10"/>
      <w:bookmarkEnd w:id="11"/>
    </w:p>
    <w:tbl>
      <w:tblPr>
        <w:tblStyle w:val="20"/>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生态环境现状</w:t>
            </w:r>
          </w:p>
        </w:tc>
        <w:tc>
          <w:tcPr>
            <w:tcW w:w="80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1、生态环境现状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⑴主体功能区规划</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根据《宁夏回族自治区主体功能区规划》，本项目治理段属于国家</w:t>
            </w:r>
            <w:r>
              <w:rPr>
                <w:rFonts w:hint="eastAsia" w:cs="Times New Roman"/>
                <w:color w:val="auto"/>
                <w:kern w:val="0"/>
                <w:sz w:val="24"/>
                <w:highlight w:val="none"/>
                <w:lang w:eastAsia="zh-CN"/>
              </w:rPr>
              <w:t>重点生态功能区</w:t>
            </w:r>
            <w:r>
              <w:rPr>
                <w:rFonts w:hint="default" w:ascii="Times New Roman" w:hAnsi="Times New Roman" w:eastAsia="宋体" w:cs="Times New Roman"/>
                <w:color w:val="auto"/>
                <w:kern w:val="0"/>
                <w:sz w:val="24"/>
                <w:highlight w:val="none"/>
              </w:rPr>
              <w:t>，该区域要求：“生态服务功能增强生态环境质量改善。地表水水质明显改善主要河流径流量基本稳定并有所增加。水土流失和荒漠化得到有效控制沙化土地面积持续减少，草原面积保持稳定，草原植被得到恢复。天然林面积扩大，森林覆盖率提高，森林蓄积量增加。野生动植物物种得到恢复和增加”</w:t>
            </w:r>
            <w:r>
              <w:rPr>
                <w:rFonts w:hint="eastAsia" w:cs="Times New Roman"/>
                <w:color w:val="auto"/>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0"/>
                <w:sz w:val="24"/>
                <w:highlight w:val="none"/>
              </w:rPr>
              <w:t>本项目为县城排水防涝能力提升项目建设排洪渠</w:t>
            </w:r>
            <w:r>
              <w:rPr>
                <w:rFonts w:hint="eastAsia" w:cs="Times New Roman"/>
                <w:color w:val="auto"/>
                <w:kern w:val="0"/>
                <w:sz w:val="24"/>
                <w:highlight w:val="none"/>
                <w:lang w:eastAsia="zh-CN"/>
              </w:rPr>
              <w:t>2.747</w:t>
            </w:r>
            <w:r>
              <w:rPr>
                <w:rFonts w:hint="default" w:ascii="Times New Roman" w:hAnsi="Times New Roman" w:eastAsia="宋体" w:cs="Times New Roman"/>
                <w:color w:val="auto"/>
                <w:kern w:val="0"/>
                <w:sz w:val="24"/>
                <w:highlight w:val="none"/>
              </w:rPr>
              <w:t>km，其中北象山东侧建设排洪渠919m、北象山中间段建设排洪渠217m、县城东侧建筑垃圾填埋场建设排洪渠721m、县城城市垃圾填埋厂建设排洪渠</w:t>
            </w:r>
            <w:r>
              <w:rPr>
                <w:rFonts w:hint="eastAsia" w:cs="Times New Roman"/>
                <w:color w:val="auto"/>
                <w:kern w:val="0"/>
                <w:sz w:val="24"/>
                <w:highlight w:val="none"/>
                <w:lang w:val="en-US" w:eastAsia="zh-CN"/>
              </w:rPr>
              <w:t>770</w:t>
            </w:r>
            <w:r>
              <w:rPr>
                <w:rFonts w:hint="default" w:ascii="Times New Roman" w:hAnsi="Times New Roman" w:eastAsia="宋体" w:cs="Times New Roman"/>
                <w:color w:val="auto"/>
                <w:kern w:val="0"/>
                <w:sz w:val="24"/>
                <w:highlight w:val="none"/>
              </w:rPr>
              <w:t>m。为防止因建设排洪渠造成的山体滑坡，沿排洪渠山体一侧建设浆砌石挡土墙1.857km。</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kern w:val="0"/>
                <w:sz w:val="24"/>
                <w:highlight w:val="none"/>
              </w:rPr>
            </w:pPr>
            <w:r>
              <w:rPr>
                <w:rFonts w:hint="default" w:ascii="Times New Roman" w:hAnsi="Times New Roman" w:eastAsia="宋体" w:cs="Times New Roman"/>
                <w:color w:val="auto"/>
                <w:kern w:val="0"/>
                <w:sz w:val="24"/>
                <w:highlight w:val="none"/>
                <w:lang w:val="en-US" w:eastAsia="zh-CN"/>
              </w:rPr>
              <w:t>施工结束后在工程</w:t>
            </w:r>
            <w:r>
              <w:rPr>
                <w:rFonts w:hint="eastAsia" w:cs="Times New Roman"/>
                <w:color w:val="auto"/>
                <w:kern w:val="0"/>
                <w:sz w:val="24"/>
                <w:highlight w:val="none"/>
                <w:lang w:val="en-US" w:eastAsia="zh-CN"/>
              </w:rPr>
              <w:t>边</w:t>
            </w:r>
            <w:r>
              <w:rPr>
                <w:rFonts w:hint="default" w:ascii="Times New Roman" w:hAnsi="Times New Roman" w:eastAsia="宋体" w:cs="Times New Roman"/>
                <w:color w:val="auto"/>
                <w:kern w:val="0"/>
                <w:sz w:val="24"/>
                <w:highlight w:val="none"/>
                <w:lang w:val="en-US" w:eastAsia="zh-CN"/>
              </w:rPr>
              <w:t>坡处</w:t>
            </w:r>
            <w:r>
              <w:rPr>
                <w:rFonts w:hint="default" w:ascii="Times New Roman" w:hAnsi="Times New Roman" w:eastAsia="宋体" w:cs="Times New Roman"/>
                <w:color w:val="auto"/>
                <w:kern w:val="0"/>
                <w:sz w:val="24"/>
                <w:highlight w:val="none"/>
              </w:rPr>
              <w:t>种植</w:t>
            </w:r>
            <w:r>
              <w:rPr>
                <w:rFonts w:hint="default" w:ascii="Times New Roman" w:hAnsi="Times New Roman" w:eastAsia="宋体" w:cs="Times New Roman"/>
                <w:color w:val="auto"/>
                <w:kern w:val="0"/>
                <w:sz w:val="24"/>
                <w:highlight w:val="none"/>
                <w:lang w:val="en-US" w:eastAsia="zh-CN"/>
              </w:rPr>
              <w:t>绿化</w:t>
            </w:r>
            <w:r>
              <w:rPr>
                <w:rFonts w:hint="default" w:ascii="Times New Roman" w:hAnsi="Times New Roman" w:eastAsia="宋体" w:cs="Times New Roman"/>
                <w:color w:val="auto"/>
                <w:kern w:val="0"/>
                <w:sz w:val="24"/>
                <w:highlight w:val="none"/>
              </w:rPr>
              <w:t>，提高区域植被面积，恢复</w:t>
            </w:r>
            <w:r>
              <w:rPr>
                <w:rFonts w:hint="eastAsia" w:cs="Times New Roman"/>
                <w:color w:val="auto"/>
                <w:kern w:val="0"/>
                <w:sz w:val="24"/>
                <w:highlight w:val="none"/>
                <w:lang w:eastAsia="zh-CN"/>
              </w:rPr>
              <w:t>排洪渠和砌护</w:t>
            </w:r>
            <w:r>
              <w:rPr>
                <w:rFonts w:hint="default" w:ascii="Times New Roman" w:hAnsi="Times New Roman" w:eastAsia="宋体" w:cs="Times New Roman"/>
                <w:color w:val="auto"/>
                <w:kern w:val="0"/>
                <w:sz w:val="24"/>
                <w:highlight w:val="none"/>
              </w:rPr>
              <w:t>两侧的土地利用类型，提高绿化植被的覆盖率，具有加强水土保持的作用，符合《宁夏回族自治区主体功能区规划》要求。项目与宁夏主体功能区划分的位置关系图见</w:t>
            </w:r>
            <w:r>
              <w:rPr>
                <w:rFonts w:hint="eastAsia" w:cs="Times New Roman"/>
                <w:color w:val="auto"/>
                <w:kern w:val="0"/>
                <w:sz w:val="24"/>
                <w:highlight w:val="none"/>
                <w:lang w:eastAsia="zh-CN"/>
              </w:rPr>
              <w:t>附图</w:t>
            </w:r>
            <w:r>
              <w:rPr>
                <w:rFonts w:hint="eastAsia"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⑵生态功能区划</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黑体" w:hAnsi="黑体" w:eastAsia="黑体" w:cs="黑体"/>
                <w:b/>
                <w:bCs/>
                <w:spacing w:val="-5"/>
                <w:sz w:val="24"/>
                <w:szCs w:val="24"/>
                <w:highlight w:val="none"/>
                <w:lang w:val="en-US" w:eastAsia="zh-CN"/>
              </w:rPr>
            </w:pPr>
            <w:r>
              <w:rPr>
                <w:rFonts w:hint="default" w:ascii="Times New Roman" w:hAnsi="Times New Roman" w:eastAsia="宋体" w:cs="Times New Roman"/>
                <w:color w:val="auto"/>
                <w:kern w:val="0"/>
                <w:sz w:val="24"/>
                <w:highlight w:val="none"/>
              </w:rPr>
              <w:t>根据《宁夏生态功能区划》（2003.10），宁夏生态功能区划共划分为3个一级区，10个二级区，37个三级区。本项目位于Ⅰ1-1六盘山南段水源涵养林生态功能区，该区域的主要问题为水土流失，主要环境问题的治理措施：“除了河谷川地及缓坡地外，应大力采取工程措施和生物措施，搞好山水、田、林、路、小流域综合治理建立坡改梯的隔坡返坡梯田，乔灌、草合理配置，建立健全森林生态系统、草原生态系统。切实搞好水土保持工作。对于河谷川地和沟台地，要充分利用雨量比较充沛的优势，大搞基本农田建设。提高保灌能力，建立功能完善的农田生态系统，提高本区的生态服务功能。具体见表</w:t>
            </w:r>
            <w:r>
              <w:rPr>
                <w:rFonts w:hint="eastAsia" w:cs="Times New Roman"/>
                <w:color w:val="auto"/>
                <w:kern w:val="0"/>
                <w:sz w:val="24"/>
                <w:highlight w:val="none"/>
                <w:lang w:val="en-US" w:eastAsia="zh-CN"/>
              </w:rPr>
              <w:t>3-1</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firstLine="0" w:firstLineChars="0"/>
              <w:jc w:val="center"/>
              <w:textAlignment w:val="auto"/>
              <w:rPr>
                <w:rFonts w:hint="default" w:cs="Times New Roman"/>
                <w:b/>
                <w:bCs/>
                <w:spacing w:val="-5"/>
                <w:sz w:val="24"/>
                <w:szCs w:val="24"/>
                <w:highlight w:val="none"/>
                <w:lang w:val="en-US" w:eastAsia="zh-CN"/>
              </w:rPr>
            </w:pPr>
            <w:r>
              <w:rPr>
                <w:rFonts w:hint="eastAsia" w:ascii="宋体" w:hAnsi="宋体" w:eastAsia="宋体" w:cs="宋体"/>
                <w:b/>
                <w:bCs/>
                <w:spacing w:val="-5"/>
                <w:sz w:val="24"/>
                <w:szCs w:val="24"/>
                <w:highlight w:val="none"/>
                <w:lang w:val="en-US" w:eastAsia="zh-CN"/>
              </w:rPr>
              <w:t>表</w:t>
            </w:r>
            <w:r>
              <w:rPr>
                <w:rFonts w:hint="default" w:ascii="Times New Roman" w:hAnsi="Times New Roman" w:eastAsia="宋体" w:cs="Times New Roman"/>
                <w:b/>
                <w:bCs/>
                <w:spacing w:val="-5"/>
                <w:sz w:val="24"/>
                <w:szCs w:val="24"/>
                <w:highlight w:val="none"/>
                <w:lang w:val="en-US" w:eastAsia="zh-CN"/>
              </w:rPr>
              <w:t>3-1</w:t>
            </w:r>
            <w:r>
              <w:rPr>
                <w:rFonts w:hint="eastAsia" w:ascii="宋体" w:hAnsi="宋体" w:eastAsia="宋体" w:cs="宋体"/>
                <w:b/>
                <w:bCs/>
                <w:spacing w:val="-5"/>
                <w:sz w:val="24"/>
                <w:szCs w:val="24"/>
                <w:highlight w:val="none"/>
                <w:lang w:val="en-US" w:eastAsia="zh-CN"/>
              </w:rPr>
              <w:t xml:space="preserve">  生态功能区分区特征表</w:t>
            </w:r>
          </w:p>
          <w:tbl>
            <w:tblPr>
              <w:tblStyle w:val="2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965"/>
              <w:gridCol w:w="1332"/>
              <w:gridCol w:w="4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一级区</w:t>
                  </w:r>
                </w:p>
              </w:tc>
              <w:tc>
                <w:tcPr>
                  <w:tcW w:w="96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二级区</w:t>
                  </w:r>
                </w:p>
              </w:tc>
              <w:tc>
                <w:tcPr>
                  <w:tcW w:w="13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功能区代号及名称</w:t>
                  </w:r>
                </w:p>
              </w:tc>
              <w:tc>
                <w:tcPr>
                  <w:tcW w:w="491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主要生态特点、问题及措施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南部黄土丘陵水土流失生态区</w:t>
                  </w:r>
                </w:p>
              </w:tc>
              <w:tc>
                <w:tcPr>
                  <w:tcW w:w="96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六盘山南段水源涵养林生态功能区</w:t>
                  </w:r>
                </w:p>
              </w:tc>
              <w:tc>
                <w:tcPr>
                  <w:tcW w:w="13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-1六盘山南段水源涵养林生态功能区</w:t>
                  </w:r>
                </w:p>
              </w:tc>
              <w:tc>
                <w:tcPr>
                  <w:tcW w:w="491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本生态功能区位于六盘山南段，大部分是国家级自然保护区，林地面积约占50%，主要林种有天然次生阔叶林、人工林和天然木组成。林下还分布有中旱生或旱生草甸植被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在山顶部位分布有苔草、紫色</w:t>
                  </w:r>
                  <w:r>
                    <w:rPr>
                      <w:rFonts w:hint="default" w:ascii="Times New Roman" w:hAnsi="Times New Roman" w:eastAsia="宋体" w:cs="Times New Roman"/>
                      <w:color w:val="auto"/>
                      <w:sz w:val="21"/>
                      <w:szCs w:val="21"/>
                      <w:highlight w:val="none"/>
                      <w:lang w:eastAsia="zh-CN"/>
                    </w:rPr>
                    <w:t>凤毛菊</w:t>
                  </w:r>
                  <w:r>
                    <w:rPr>
                      <w:rFonts w:hint="default" w:ascii="Times New Roman" w:hAnsi="Times New Roman" w:eastAsia="宋体" w:cs="Times New Roman"/>
                      <w:color w:val="auto"/>
                      <w:sz w:val="21"/>
                      <w:szCs w:val="21"/>
                      <w:highlight w:val="none"/>
                    </w:rPr>
                    <w:t>、紫羊茅、鬼箭锦鸡儿</w:t>
                  </w:r>
                  <w:r>
                    <w:rPr>
                      <w:rFonts w:hint="default" w:ascii="Times New Roman" w:hAnsi="Times New Roman" w:eastAsia="宋体" w:cs="Times New Roman"/>
                      <w:color w:val="auto"/>
                      <w:sz w:val="21"/>
                      <w:szCs w:val="21"/>
                      <w:highlight w:val="none"/>
                      <w:lang w:eastAsia="zh-CN"/>
                    </w:rPr>
                    <w:t>和其他</w:t>
                  </w:r>
                  <w:r>
                    <w:rPr>
                      <w:rFonts w:hint="default" w:ascii="Times New Roman" w:hAnsi="Times New Roman" w:eastAsia="宋体" w:cs="Times New Roman"/>
                      <w:color w:val="auto"/>
                      <w:sz w:val="21"/>
                      <w:szCs w:val="21"/>
                      <w:highlight w:val="none"/>
                    </w:rPr>
                    <w:t>亚高山草甸植被。</w:t>
                  </w:r>
                </w:p>
              </w:tc>
            </w:tr>
          </w:tbl>
          <w:p>
            <w:pPr>
              <w:keepNext w:val="0"/>
              <w:keepLines w:val="0"/>
              <w:pageBreakBefore w:val="0"/>
              <w:widowControl w:val="0"/>
              <w:kinsoku/>
              <w:wordWrap w:val="0"/>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kern w:val="0"/>
                <w:sz w:val="24"/>
                <w:highlight w:val="none"/>
              </w:rPr>
            </w:pPr>
            <w:r>
              <w:rPr>
                <w:rFonts w:cs="Times New Roman"/>
                <w:kern w:val="0"/>
                <w:highlight w:val="none"/>
              </w:rPr>
              <w:t>本项目严格控制项目施工用地范围，避免越界施工，避免对原有植被的破坏；建筑垃圾应及时清理，同时做好水土流失防护工作，同时做好水土流失防护工作，符合《宁夏生态功能区划》功能区生态保护措施要求</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2、生态环境现状调查</w:t>
            </w:r>
          </w:p>
          <w:p>
            <w:pPr>
              <w:keepNext w:val="0"/>
              <w:keepLines w:val="0"/>
              <w:pageBreakBefore w:val="0"/>
              <w:widowControl w:val="0"/>
              <w:kinsoku/>
              <w:overflowPunct/>
              <w:topLinePunct w:val="0"/>
              <w:bidi w:val="0"/>
              <w:adjustRightInd w:val="0"/>
              <w:snapToGrid w:val="0"/>
              <w:spacing w:before="120" w:beforeLines="50" w:line="540" w:lineRule="exact"/>
              <w:ind w:firstLine="480"/>
              <w:textAlignment w:val="auto"/>
              <w:rPr>
                <w:rFonts w:cs="Times New Roman"/>
                <w:bCs/>
                <w:highlight w:val="none"/>
              </w:rPr>
            </w:pPr>
            <w:r>
              <w:rPr>
                <w:rFonts w:hint="eastAsia" w:cs="Times New Roman"/>
                <w:bCs/>
                <w:highlight w:val="none"/>
                <w:lang w:eastAsia="zh-CN"/>
              </w:rPr>
              <w:t>（</w:t>
            </w:r>
            <w:r>
              <w:rPr>
                <w:rFonts w:hint="eastAsia" w:cs="Times New Roman"/>
                <w:bCs/>
                <w:highlight w:val="none"/>
                <w:lang w:val="en-US" w:eastAsia="zh-CN"/>
              </w:rPr>
              <w:t>1</w:t>
            </w:r>
            <w:r>
              <w:rPr>
                <w:rFonts w:hint="eastAsia" w:cs="Times New Roman"/>
                <w:bCs/>
                <w:highlight w:val="none"/>
                <w:lang w:eastAsia="zh-CN"/>
              </w:rPr>
              <w:t>）</w:t>
            </w:r>
            <w:r>
              <w:rPr>
                <w:rFonts w:cs="Times New Roman"/>
                <w:bCs/>
                <w:highlight w:val="none"/>
              </w:rPr>
              <w:t>土壤现状</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color w:val="auto"/>
                <w:highlight w:val="none"/>
              </w:rPr>
            </w:pPr>
            <w:r>
              <w:rPr>
                <w:rFonts w:cs="Times New Roman"/>
                <w:bCs/>
                <w:color w:val="auto"/>
                <w:highlight w:val="none"/>
              </w:rPr>
              <w:t>本项目区域</w:t>
            </w:r>
            <w:bookmarkStart w:id="12" w:name="OLE_LINK10"/>
            <w:r>
              <w:rPr>
                <w:rFonts w:cs="Times New Roman"/>
                <w:bCs/>
                <w:color w:val="auto"/>
                <w:highlight w:val="none"/>
              </w:rPr>
              <w:t>土壤类型</w:t>
            </w:r>
            <w:bookmarkEnd w:id="12"/>
            <w:r>
              <w:rPr>
                <w:rFonts w:cs="Times New Roman"/>
                <w:bCs/>
                <w:color w:val="auto"/>
                <w:highlight w:val="none"/>
              </w:rPr>
              <w:t>主要为</w:t>
            </w:r>
            <w:bookmarkStart w:id="13" w:name="OLE_LINK12"/>
            <w:r>
              <w:rPr>
                <w:rFonts w:hint="eastAsia" w:cs="Times New Roman"/>
                <w:bCs/>
                <w:color w:val="auto"/>
                <w:highlight w:val="none"/>
              </w:rPr>
              <w:t>灰褐土</w:t>
            </w:r>
            <w:r>
              <w:rPr>
                <w:rFonts w:cs="Times New Roman"/>
                <w:bCs/>
                <w:color w:val="auto"/>
                <w:highlight w:val="none"/>
              </w:rPr>
              <w:t>和</w:t>
            </w:r>
            <w:r>
              <w:rPr>
                <w:rFonts w:hint="eastAsia" w:cs="Times New Roman"/>
                <w:bCs/>
                <w:color w:val="auto"/>
                <w:highlight w:val="none"/>
              </w:rPr>
              <w:t>暗黑垆土</w:t>
            </w:r>
            <w:bookmarkEnd w:id="13"/>
            <w:r>
              <w:rPr>
                <w:rFonts w:cs="Times New Roman"/>
                <w:bCs/>
                <w:color w:val="auto"/>
                <w:highlight w:val="none"/>
              </w:rPr>
              <w:t>，土层较深厚，土体干燥。由于受洪积和冲积的影响，土壤剖面有明显的层性，土壤有机质含量低，盐碱含量</w:t>
            </w:r>
            <w:r>
              <w:rPr>
                <w:rFonts w:hint="eastAsia" w:cs="Times New Roman"/>
                <w:bCs/>
                <w:color w:val="auto"/>
                <w:highlight w:val="none"/>
                <w:lang w:eastAsia="zh-CN"/>
              </w:rPr>
              <w:t>低</w:t>
            </w:r>
            <w:r>
              <w:rPr>
                <w:rFonts w:cs="Times New Roman"/>
                <w:bCs/>
                <w:color w:val="auto"/>
                <w:highlight w:val="none"/>
              </w:rPr>
              <w:t>。项目区风沙土厚度在50cm~300cm之间，土层较厚，下部为钙积层，呈暗灰褐色至黑褐色。</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w:t>
            </w:r>
            <w:r>
              <w:rPr>
                <w:rFonts w:hint="eastAsia" w:cs="Times New Roman"/>
                <w:bCs/>
                <w:highlight w:val="none"/>
                <w:lang w:val="en-US" w:eastAsia="zh-CN"/>
              </w:rPr>
              <w:t>2</w:t>
            </w:r>
            <w:r>
              <w:rPr>
                <w:rFonts w:cs="Times New Roman"/>
                <w:bCs/>
                <w:highlight w:val="none"/>
              </w:rPr>
              <w:t>）植被现状</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根据《隆德县志》记载，隆德县境内植物共113科788种，其中药用90科618种。列名苔植物41种，藤类植物18种，藤类植物18种，裸子、被子植物729种。被子植物为优势种群，分86科，337属，占全国被子植物总科数的28.5%，占总属数的11.3%，占总种数的2.9%。788种植物中，资源植物322种11类。国家重点保护的稀有植物桃儿七、黄芹2种，造林树种及经济植物45种，油料植物50种，淀粉植物14种，纤维植物20种，单宁植物36种，牧草24种，花卉观赏植物18种，食用菌、藻类21种，食用菌、藻类21种，野生果菜类29种。渝河水生植物有香蒲、鸢尾、菖蒲、水葱、芦苇等</w:t>
            </w:r>
            <w:r>
              <w:rPr>
                <w:rFonts w:hint="eastAsia" w:cs="Times New Roman"/>
                <w:bCs/>
                <w:highlight w:val="none"/>
              </w:rPr>
              <w:t>。</w:t>
            </w:r>
            <w:r>
              <w:rPr>
                <w:rFonts w:cs="Times New Roman"/>
                <w:bCs/>
                <w:highlight w:val="none"/>
              </w:rPr>
              <w:t>本项目在宁夏回族自治区植被分布图中位置见附图</w:t>
            </w:r>
            <w:r>
              <w:rPr>
                <w:rFonts w:hint="eastAsia" w:cs="Times New Roman"/>
                <w:bCs/>
                <w:highlight w:val="none"/>
                <w:lang w:val="en-US" w:eastAsia="zh-CN"/>
              </w:rPr>
              <w:t>10</w:t>
            </w:r>
            <w:r>
              <w:rPr>
                <w:rFonts w:cs="Times New Roman"/>
                <w:bCs/>
                <w:highlight w:val="none"/>
              </w:rPr>
              <w:t>。</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w:t>
            </w:r>
            <w:r>
              <w:rPr>
                <w:rFonts w:hint="eastAsia" w:cs="Times New Roman"/>
                <w:bCs/>
                <w:highlight w:val="none"/>
                <w:lang w:val="en-US" w:eastAsia="zh-CN"/>
              </w:rPr>
              <w:t>3</w:t>
            </w:r>
            <w:r>
              <w:rPr>
                <w:rFonts w:cs="Times New Roman"/>
                <w:bCs/>
                <w:highlight w:val="none"/>
              </w:rPr>
              <w:t>）动物现状</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根据《隆德县志》记载，陆栖脊椎动物分森林动物群、灌丛草地动物群、河谷动物群和田舍动物群4类，隶属24目60科。载入名目207种，2个亚种。其中国家保护动物有金钱豹、麝、红腹锦鸡、勺鸡、金雕5种列为“濒危野生动植物国际贸易公约”保护的有狼豺和豹、猫3种，列为“中日候乌保护协定”的鸟有草警、鹤钨、燕隼、鹤剪、滨鹂、丘鹳、杜鹃、夜鹰、白腰雨燕、百灵、灰沙燕、家燕、毛脚燕、白鹤钨、田鹗、水鹗、树鹤、柏劳、黄鹂、寒鸦、够、石聘、地鹅、苇营、黄眉、寿带、山麻雀、朱雀、锡嘴雀、凫等36种。实齿蟾为六盘山独有动物，为中国特有珍稀动物品目之一。</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水生动物中鱼类6种，鲤科3种、链鱼1种、瞅科2种。水生无脊椎动物45科85属，109种。摇蚊科动虫5种，26种为国内新记录。浮游动物17种，其中原生2种，轮虫7种，梳足虫2种，枝角类6种。</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szCs w:val="20"/>
                <w:highlight w:val="none"/>
              </w:rPr>
              <w:t>本项目区域不涉及保护动物栖息地，根据现场勘探，项目区域多为人类活动区域，野生动物组成比较简单，种类较少，均为当地常见种，鸟类主要有麻雀、喜鹊等。</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w:t>
            </w:r>
            <w:r>
              <w:rPr>
                <w:rFonts w:hint="eastAsia" w:cs="Times New Roman"/>
                <w:bCs/>
                <w:highlight w:val="none"/>
                <w:lang w:val="en-US" w:eastAsia="zh-CN"/>
              </w:rPr>
              <w:t>4</w:t>
            </w:r>
            <w:r>
              <w:rPr>
                <w:rFonts w:cs="Times New Roman"/>
                <w:bCs/>
                <w:highlight w:val="none"/>
              </w:rPr>
              <w:t>）流域现状</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bCs/>
                <w:highlight w:val="none"/>
              </w:rPr>
            </w:pPr>
            <w:r>
              <w:rPr>
                <w:rFonts w:cs="Times New Roman"/>
                <w:bCs/>
                <w:highlight w:val="none"/>
              </w:rPr>
              <w:t>本项目涉及流域为渝河。黄河三级支流，葫芦河的一级支流，全长47.1km，自东向西流经隆德县城关、沙塘、神林、联财4个乡镇后，进入甘肃省静宁县，汇入葫芦河。流域总面积481km</w:t>
            </w:r>
            <w:r>
              <w:rPr>
                <w:rFonts w:cs="Times New Roman"/>
                <w:bCs/>
                <w:highlight w:val="none"/>
                <w:vertAlign w:val="superscript"/>
              </w:rPr>
              <w:t>2</w:t>
            </w:r>
            <w:r>
              <w:rPr>
                <w:rFonts w:cs="Times New Roman"/>
                <w:bCs/>
                <w:highlight w:val="none"/>
              </w:rPr>
              <w:t>，年均流量8.24m</w:t>
            </w:r>
            <w:r>
              <w:rPr>
                <w:rFonts w:cs="Times New Roman"/>
                <w:bCs/>
                <w:highlight w:val="none"/>
                <w:vertAlign w:val="superscript"/>
              </w:rPr>
              <w:t>3</w:t>
            </w:r>
            <w:r>
              <w:rPr>
                <w:rFonts w:cs="Times New Roman"/>
                <w:bCs/>
                <w:highlight w:val="none"/>
              </w:rPr>
              <w:t>/s，主要支流有朱庄河、甜水河、筛子河、清流河、清凉河等。本项目在宁夏回族自治区水系</w:t>
            </w:r>
            <w:r>
              <w:rPr>
                <w:rFonts w:hint="eastAsia" w:cs="Times New Roman"/>
                <w:bCs/>
                <w:highlight w:val="none"/>
                <w:lang w:eastAsia="zh-CN"/>
              </w:rPr>
              <w:t>分布</w:t>
            </w:r>
            <w:r>
              <w:rPr>
                <w:rFonts w:cs="Times New Roman"/>
                <w:bCs/>
                <w:highlight w:val="none"/>
              </w:rPr>
              <w:t>图中位置</w:t>
            </w:r>
            <w:r>
              <w:rPr>
                <w:rFonts w:hint="eastAsia" w:cs="Times New Roman"/>
                <w:bCs/>
                <w:highlight w:val="none"/>
                <w:lang w:eastAsia="zh-CN"/>
              </w:rPr>
              <w:t>关系</w:t>
            </w:r>
            <w:r>
              <w:rPr>
                <w:rFonts w:cs="Times New Roman"/>
                <w:bCs/>
                <w:highlight w:val="none"/>
              </w:rPr>
              <w:t>见附图</w:t>
            </w:r>
            <w:r>
              <w:rPr>
                <w:rFonts w:hint="eastAsia" w:cs="Times New Roman"/>
                <w:bCs/>
                <w:highlight w:val="none"/>
                <w:lang w:val="en-US" w:eastAsia="zh-CN"/>
              </w:rPr>
              <w:t>11</w:t>
            </w:r>
            <w:r>
              <w:rPr>
                <w:rFonts w:cs="Times New Roman"/>
                <w:bCs/>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3、环境空气质量现状</w:t>
            </w:r>
          </w:p>
          <w:p>
            <w:pPr>
              <w:keepNext w:val="0"/>
              <w:keepLines w:val="0"/>
              <w:pageBreakBefore w:val="0"/>
              <w:widowControl w:val="0"/>
              <w:kinsoku/>
              <w:overflowPunct/>
              <w:topLinePunct w:val="0"/>
              <w:bidi w:val="0"/>
              <w:adjustRightInd w:val="0"/>
              <w:snapToGrid w:val="0"/>
              <w:spacing w:line="540" w:lineRule="exact"/>
              <w:ind w:firstLine="480"/>
              <w:textAlignment w:val="auto"/>
              <w:rPr>
                <w:rFonts w:cs="Times New Roman"/>
                <w:highlight w:val="none"/>
              </w:rPr>
            </w:pPr>
            <w:r>
              <w:rPr>
                <w:rFonts w:cs="Times New Roman"/>
                <w:highlight w:val="none"/>
              </w:rPr>
              <w:t>本项目位于固原市隆德县，根据《</w:t>
            </w:r>
            <w:bookmarkStart w:id="14" w:name="OLE_LINK5"/>
            <w:r>
              <w:rPr>
                <w:rFonts w:cs="Times New Roman"/>
                <w:highlight w:val="none"/>
              </w:rPr>
              <w:t>202</w:t>
            </w:r>
            <w:r>
              <w:rPr>
                <w:rFonts w:hint="eastAsia" w:cs="Times New Roman"/>
                <w:highlight w:val="none"/>
                <w:lang w:val="en-US" w:eastAsia="zh-CN"/>
              </w:rPr>
              <w:t>3</w:t>
            </w:r>
            <w:r>
              <w:rPr>
                <w:rFonts w:cs="Times New Roman"/>
                <w:highlight w:val="none"/>
              </w:rPr>
              <w:t>年宁夏生态环境质量状况</w:t>
            </w:r>
            <w:bookmarkEnd w:id="14"/>
            <w:r>
              <w:rPr>
                <w:rFonts w:cs="Times New Roman"/>
                <w:highlight w:val="none"/>
              </w:rPr>
              <w:t>》公布的固原市隆德县202</w:t>
            </w:r>
            <w:r>
              <w:rPr>
                <w:rFonts w:hint="eastAsia" w:cs="Times New Roman"/>
                <w:highlight w:val="none"/>
              </w:rPr>
              <w:t>3</w:t>
            </w:r>
            <w:r>
              <w:rPr>
                <w:rFonts w:cs="Times New Roman"/>
                <w:highlight w:val="none"/>
              </w:rPr>
              <w:t>年剔除沙尘天气后的环境质量数据，固原市隆德县环境空气质量状况见表3-2。</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eastAsia="黑体" w:cs="Times New Roman"/>
                <w:highlight w:val="none"/>
              </w:rPr>
            </w:pPr>
            <w:r>
              <w:rPr>
                <w:rFonts w:hint="eastAsia" w:ascii="宋体" w:hAnsi="宋体" w:eastAsia="宋体" w:cs="宋体"/>
                <w:b/>
                <w:bCs/>
                <w:highlight w:val="none"/>
              </w:rPr>
              <w:t>表</w:t>
            </w:r>
            <w:r>
              <w:rPr>
                <w:rFonts w:hint="default" w:ascii="Times New Roman" w:hAnsi="Times New Roman" w:eastAsia="宋体" w:cs="Times New Roman"/>
                <w:b/>
                <w:bCs/>
                <w:highlight w:val="none"/>
              </w:rPr>
              <w:t>3-2</w:t>
            </w:r>
            <w:r>
              <w:rPr>
                <w:rFonts w:hint="eastAsia" w:ascii="宋体" w:hAnsi="宋体" w:eastAsia="宋体" w:cs="宋体"/>
                <w:b/>
                <w:bCs/>
                <w:highlight w:val="none"/>
              </w:rPr>
              <w:t xml:space="preserve">  区域空气质量现状评价表</w:t>
            </w:r>
          </w:p>
          <w:tbl>
            <w:tblPr>
              <w:tblStyle w:val="2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577"/>
              <w:gridCol w:w="1290"/>
              <w:gridCol w:w="1290"/>
              <w:gridCol w:w="1046"/>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污染物</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年评价指标</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现状值（μg/m</w:t>
                  </w:r>
                  <w:r>
                    <w:rPr>
                      <w:rFonts w:cs="Times New Roman"/>
                      <w:b/>
                      <w:sz w:val="21"/>
                      <w:szCs w:val="21"/>
                      <w:highlight w:val="none"/>
                      <w:vertAlign w:val="superscript"/>
                    </w:rPr>
                    <w:t>3</w:t>
                  </w:r>
                  <w:r>
                    <w:rPr>
                      <w:rFonts w:cs="Times New Roman"/>
                      <w:b/>
                      <w:sz w:val="21"/>
                      <w:szCs w:val="21"/>
                      <w:highlight w:val="none"/>
                    </w:rPr>
                    <w:t>）</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标准值（μg/m</w:t>
                  </w:r>
                  <w:r>
                    <w:rPr>
                      <w:rFonts w:cs="Times New Roman"/>
                      <w:b/>
                      <w:sz w:val="21"/>
                      <w:szCs w:val="21"/>
                      <w:highlight w:val="none"/>
                      <w:vertAlign w:val="superscript"/>
                    </w:rPr>
                    <w:t>3</w:t>
                  </w:r>
                  <w:r>
                    <w:rPr>
                      <w:rFonts w:cs="Times New Roman"/>
                      <w:b/>
                      <w:sz w:val="21"/>
                      <w:szCs w:val="21"/>
                      <w:highlight w:val="none"/>
                    </w:rPr>
                    <w:t>）</w:t>
                  </w:r>
                </w:p>
              </w:tc>
              <w:tc>
                <w:tcPr>
                  <w:tcW w:w="1046"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占标率（%）</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10</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年平均质量浓度</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31</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1046"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44.29</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2.5</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年平均质量浓度</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15</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35</w:t>
                  </w:r>
                </w:p>
              </w:tc>
              <w:tc>
                <w:tcPr>
                  <w:tcW w:w="1046"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42.86</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SO</w:t>
                  </w:r>
                  <w:r>
                    <w:rPr>
                      <w:rFonts w:cs="Times New Roman"/>
                      <w:sz w:val="21"/>
                      <w:szCs w:val="21"/>
                      <w:highlight w:val="none"/>
                      <w:vertAlign w:val="subscript"/>
                    </w:rPr>
                    <w:t>2</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年平均质量浓度</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6</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1046" w:type="dxa"/>
                  <w:tcBorders>
                    <w:tl2br w:val="nil"/>
                    <w:tr2bl w:val="nil"/>
                  </w:tcBorders>
                  <w:vAlign w:val="center"/>
                </w:tcPr>
                <w:p>
                  <w:pPr>
                    <w:adjustRightInd w:val="0"/>
                    <w:snapToGrid w:val="0"/>
                    <w:spacing w:line="240" w:lineRule="auto"/>
                    <w:ind w:firstLine="0" w:firstLineChars="0"/>
                    <w:jc w:val="center"/>
                    <w:rPr>
                      <w:rFonts w:hint="eastAsia" w:eastAsia="宋体" w:cs="Times New Roman"/>
                      <w:sz w:val="21"/>
                      <w:szCs w:val="21"/>
                      <w:highlight w:val="none"/>
                      <w:lang w:val="en-US" w:eastAsia="zh-CN"/>
                    </w:rPr>
                  </w:pPr>
                  <w:r>
                    <w:rPr>
                      <w:rFonts w:cs="Times New Roman"/>
                      <w:sz w:val="21"/>
                      <w:szCs w:val="21"/>
                      <w:highlight w:val="none"/>
                    </w:rPr>
                    <w:t>1</w:t>
                  </w:r>
                  <w:r>
                    <w:rPr>
                      <w:rFonts w:hint="eastAsia" w:cs="Times New Roman"/>
                      <w:sz w:val="21"/>
                      <w:szCs w:val="21"/>
                      <w:highlight w:val="none"/>
                      <w:lang w:val="en-US" w:eastAsia="zh-CN"/>
                    </w:rPr>
                    <w:t>0</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NO</w:t>
                  </w:r>
                  <w:r>
                    <w:rPr>
                      <w:rFonts w:cs="Times New Roman"/>
                      <w:sz w:val="21"/>
                      <w:szCs w:val="21"/>
                      <w:highlight w:val="none"/>
                      <w:vertAlign w:val="subscript"/>
                    </w:rPr>
                    <w:t>2</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年平均质量浓度</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40</w:t>
                  </w:r>
                </w:p>
              </w:tc>
              <w:tc>
                <w:tcPr>
                  <w:tcW w:w="1046"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25</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CO</w:t>
                  </w:r>
                </w:p>
              </w:tc>
              <w:tc>
                <w:tcPr>
                  <w:tcW w:w="257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日平均第95百分位数</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0.9mg/m</w:t>
                  </w:r>
                  <w:r>
                    <w:rPr>
                      <w:rFonts w:cs="Times New Roman"/>
                      <w:sz w:val="21"/>
                      <w:szCs w:val="21"/>
                      <w:highlight w:val="none"/>
                      <w:vertAlign w:val="superscript"/>
                    </w:rPr>
                    <w:t>3</w:t>
                  </w:r>
                </w:p>
              </w:tc>
              <w:tc>
                <w:tcPr>
                  <w:tcW w:w="12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4mg/m</w:t>
                  </w:r>
                  <w:r>
                    <w:rPr>
                      <w:rFonts w:cs="Times New Roman"/>
                      <w:sz w:val="21"/>
                      <w:szCs w:val="21"/>
                      <w:highlight w:val="none"/>
                      <w:vertAlign w:val="superscript"/>
                    </w:rPr>
                    <w:t>3</w:t>
                  </w:r>
                </w:p>
              </w:tc>
              <w:tc>
                <w:tcPr>
                  <w:tcW w:w="1046"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22.5</w:t>
                  </w:r>
                </w:p>
              </w:tc>
              <w:tc>
                <w:tcPr>
                  <w:tcW w:w="1127"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O</w:t>
                  </w:r>
                  <w:r>
                    <w:rPr>
                      <w:rFonts w:cs="Times New Roman"/>
                      <w:sz w:val="21"/>
                      <w:szCs w:val="21"/>
                      <w:highlight w:val="none"/>
                      <w:vertAlign w:val="subscript"/>
                    </w:rPr>
                    <w:t>3</w:t>
                  </w:r>
                </w:p>
              </w:tc>
              <w:tc>
                <w:tcPr>
                  <w:tcW w:w="2577" w:type="dxa"/>
                  <w:tcBorders>
                    <w:tl2br w:val="nil"/>
                    <w:tr2bl w:val="nil"/>
                  </w:tcBorders>
                  <w:vAlign w:val="center"/>
                </w:tcPr>
                <w:p>
                  <w:pPr>
                    <w:pStyle w:val="6"/>
                    <w:adjustRightInd w:val="0"/>
                    <w:spacing w:before="0" w:after="0" w:line="240" w:lineRule="auto"/>
                    <w:ind w:right="0" w:firstLine="0" w:firstLineChars="0"/>
                    <w:jc w:val="center"/>
                    <w:rPr>
                      <w:rFonts w:cs="Times New Roman"/>
                      <w:kern w:val="2"/>
                      <w:sz w:val="21"/>
                      <w:szCs w:val="21"/>
                      <w:highlight w:val="none"/>
                    </w:rPr>
                  </w:pPr>
                  <w:r>
                    <w:rPr>
                      <w:rFonts w:cs="Times New Roman"/>
                      <w:kern w:val="2"/>
                      <w:sz w:val="21"/>
                      <w:szCs w:val="21"/>
                      <w:highlight w:val="none"/>
                    </w:rPr>
                    <w:t>日最大8小时平均值</w:t>
                  </w:r>
                </w:p>
              </w:tc>
              <w:tc>
                <w:tcPr>
                  <w:tcW w:w="1290" w:type="dxa"/>
                  <w:tcBorders>
                    <w:tl2br w:val="nil"/>
                    <w:tr2bl w:val="nil"/>
                  </w:tcBorders>
                  <w:vAlign w:val="center"/>
                </w:tcPr>
                <w:p>
                  <w:pPr>
                    <w:pStyle w:val="6"/>
                    <w:adjustRightInd w:val="0"/>
                    <w:spacing w:before="0" w:after="0" w:line="240" w:lineRule="auto"/>
                    <w:ind w:right="0" w:firstLine="0" w:firstLineChars="0"/>
                    <w:jc w:val="center"/>
                    <w:rPr>
                      <w:rFonts w:cs="Times New Roman"/>
                      <w:kern w:val="2"/>
                      <w:sz w:val="21"/>
                      <w:szCs w:val="21"/>
                      <w:highlight w:val="none"/>
                    </w:rPr>
                  </w:pPr>
                  <w:r>
                    <w:rPr>
                      <w:rFonts w:cs="Times New Roman"/>
                      <w:kern w:val="2"/>
                      <w:sz w:val="21"/>
                      <w:szCs w:val="21"/>
                      <w:highlight w:val="none"/>
                    </w:rPr>
                    <w:t>134</w:t>
                  </w:r>
                </w:p>
              </w:tc>
              <w:tc>
                <w:tcPr>
                  <w:tcW w:w="1290" w:type="dxa"/>
                  <w:tcBorders>
                    <w:tl2br w:val="nil"/>
                    <w:tr2bl w:val="nil"/>
                  </w:tcBorders>
                  <w:vAlign w:val="center"/>
                </w:tcPr>
                <w:p>
                  <w:pPr>
                    <w:pStyle w:val="6"/>
                    <w:adjustRightInd w:val="0"/>
                    <w:spacing w:before="0" w:after="0" w:line="240" w:lineRule="auto"/>
                    <w:ind w:right="0" w:firstLine="0" w:firstLineChars="0"/>
                    <w:jc w:val="center"/>
                    <w:rPr>
                      <w:rFonts w:cs="Times New Roman"/>
                      <w:kern w:val="2"/>
                      <w:sz w:val="21"/>
                      <w:szCs w:val="21"/>
                      <w:highlight w:val="none"/>
                    </w:rPr>
                  </w:pPr>
                  <w:r>
                    <w:rPr>
                      <w:rFonts w:cs="Times New Roman"/>
                      <w:kern w:val="2"/>
                      <w:sz w:val="21"/>
                      <w:szCs w:val="21"/>
                      <w:highlight w:val="none"/>
                    </w:rPr>
                    <w:t>160</w:t>
                  </w:r>
                </w:p>
              </w:tc>
              <w:tc>
                <w:tcPr>
                  <w:tcW w:w="1046" w:type="dxa"/>
                  <w:tcBorders>
                    <w:tl2br w:val="nil"/>
                    <w:tr2bl w:val="nil"/>
                  </w:tcBorders>
                  <w:vAlign w:val="center"/>
                </w:tcPr>
                <w:p>
                  <w:pPr>
                    <w:pStyle w:val="6"/>
                    <w:adjustRightInd w:val="0"/>
                    <w:spacing w:before="0" w:after="0" w:line="240" w:lineRule="auto"/>
                    <w:ind w:right="0" w:firstLine="0" w:firstLineChars="0"/>
                    <w:jc w:val="center"/>
                    <w:rPr>
                      <w:rFonts w:cs="Times New Roman"/>
                      <w:kern w:val="2"/>
                      <w:sz w:val="21"/>
                      <w:szCs w:val="21"/>
                      <w:highlight w:val="none"/>
                    </w:rPr>
                  </w:pPr>
                  <w:r>
                    <w:rPr>
                      <w:rFonts w:cs="Times New Roman"/>
                      <w:kern w:val="2"/>
                      <w:sz w:val="21"/>
                      <w:szCs w:val="21"/>
                      <w:highlight w:val="none"/>
                    </w:rPr>
                    <w:t>83.75</w:t>
                  </w:r>
                </w:p>
              </w:tc>
              <w:tc>
                <w:tcPr>
                  <w:tcW w:w="1127" w:type="dxa"/>
                  <w:tcBorders>
                    <w:tl2br w:val="nil"/>
                    <w:tr2bl w:val="nil"/>
                  </w:tcBorders>
                  <w:vAlign w:val="center"/>
                </w:tcPr>
                <w:p>
                  <w:pPr>
                    <w:pStyle w:val="6"/>
                    <w:adjustRightInd w:val="0"/>
                    <w:spacing w:before="0" w:after="0" w:line="240" w:lineRule="auto"/>
                    <w:ind w:right="0" w:firstLine="0" w:firstLineChars="0"/>
                    <w:jc w:val="center"/>
                    <w:rPr>
                      <w:rFonts w:cs="Times New Roman"/>
                      <w:kern w:val="2"/>
                      <w:sz w:val="21"/>
                      <w:szCs w:val="21"/>
                      <w:highlight w:val="none"/>
                    </w:rPr>
                  </w:pPr>
                  <w:r>
                    <w:rPr>
                      <w:rFonts w:cs="Times New Roman"/>
                      <w:kern w:val="2"/>
                      <w:sz w:val="21"/>
                      <w:szCs w:val="21"/>
                      <w:highlight w:val="none"/>
                    </w:rPr>
                    <w:t>达标</w:t>
                  </w:r>
                </w:p>
              </w:tc>
            </w:tr>
          </w:tbl>
          <w:p>
            <w:pPr>
              <w:keepNext w:val="0"/>
              <w:keepLines w:val="0"/>
              <w:pageBreakBefore w:val="0"/>
              <w:widowControl w:val="0"/>
              <w:kinsoku/>
              <w:wordWrap/>
              <w:overflowPunct/>
              <w:topLinePunct w:val="0"/>
              <w:bidi w:val="0"/>
              <w:adjustRightInd w:val="0"/>
              <w:snapToGrid w:val="0"/>
              <w:spacing w:line="540" w:lineRule="exact"/>
              <w:ind w:firstLine="480"/>
              <w:textAlignment w:val="auto"/>
              <w:rPr>
                <w:rFonts w:cs="Times New Roman"/>
                <w:highlight w:val="none"/>
              </w:rPr>
            </w:pPr>
            <w:r>
              <w:rPr>
                <w:rFonts w:cs="Times New Roman"/>
                <w:kern w:val="0"/>
                <w:highlight w:val="none"/>
              </w:rPr>
              <w:t>固原市隆德县202</w:t>
            </w:r>
            <w:r>
              <w:rPr>
                <w:rFonts w:hint="eastAsia" w:cs="Times New Roman"/>
                <w:kern w:val="0"/>
                <w:highlight w:val="none"/>
              </w:rPr>
              <w:t>3</w:t>
            </w:r>
            <w:r>
              <w:rPr>
                <w:rFonts w:cs="Times New Roman"/>
                <w:kern w:val="0"/>
                <w:highlight w:val="none"/>
              </w:rPr>
              <w:t>年剔除沙尘天气后的监测数据均满足《环境空气质量标准》（GB3095-2012）及其2018年修改单中二级标准，属于达标区。</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4、地表水环境质量现状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rPr>
            </w:pPr>
            <w:r>
              <w:rPr>
                <w:rFonts w:cs="Times New Roman"/>
                <w:bCs/>
                <w:highlight w:val="none"/>
              </w:rPr>
              <w:t>本项目所在区域地表水为渝河，根据《202</w:t>
            </w:r>
            <w:r>
              <w:rPr>
                <w:rFonts w:hint="eastAsia" w:cs="Times New Roman"/>
                <w:bCs/>
                <w:highlight w:val="none"/>
                <w:lang w:val="en-US" w:eastAsia="zh-CN"/>
              </w:rPr>
              <w:t>3</w:t>
            </w:r>
            <w:r>
              <w:rPr>
                <w:rFonts w:cs="Times New Roman"/>
                <w:bCs/>
                <w:highlight w:val="none"/>
              </w:rPr>
              <w:t>年宁夏生态环境质量状况》公布的渝河峰台断面（上游源头）交界的监测结果，渝河监测的峰台（上游源头）为Ⅱ类水质、联财省界（宁夏－甘肃）为Ⅱ类水质。与上年相比，峰台断面水质有所下降，联财断面水质无明显变化。</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w:t>
            </w:r>
            <w:bookmarkStart w:id="15" w:name="OLE_LINK13"/>
            <w:r>
              <w:rPr>
                <w:rFonts w:hint="default" w:ascii="Times New Roman" w:hAnsi="Times New Roman" w:eastAsia="宋体" w:cs="Times New Roman"/>
                <w:b/>
                <w:color w:val="auto"/>
                <w:kern w:val="0"/>
                <w:sz w:val="24"/>
                <w:highlight w:val="none"/>
              </w:rPr>
              <w:t>声环境质量现状</w:t>
            </w:r>
            <w:bookmarkEnd w:id="15"/>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本项目不涉及噪声专项评价。项目为昼间施工，建成后无固定噪声源，由于工程建设地点分布于隆德县城市交通干道区域，属于固原市城市区域噪声监测范围，根</w:t>
            </w:r>
            <w:r>
              <w:rPr>
                <w:rFonts w:hint="default" w:ascii="Times New Roman" w:hAnsi="Times New Roman" w:eastAsia="宋体" w:cs="Times New Roman"/>
                <w:color w:val="auto"/>
                <w:sz w:val="24"/>
                <w:szCs w:val="24"/>
                <w:highlight w:val="none"/>
                <w:lang w:val="en-US"/>
              </w:rPr>
              <w:t>据《建设项目环境影响报告表编制技术指南》（</w:t>
            </w:r>
            <w:r>
              <w:rPr>
                <w:rFonts w:hint="eastAsia" w:cs="Times New Roman"/>
                <w:color w:val="auto"/>
                <w:sz w:val="24"/>
                <w:szCs w:val="24"/>
                <w:highlight w:val="none"/>
                <w:lang w:val="en-US" w:eastAsia="zh-CN"/>
              </w:rPr>
              <w:t>生态影响</w:t>
            </w:r>
            <w:r>
              <w:rPr>
                <w:rFonts w:hint="default" w:ascii="Times New Roman" w:hAnsi="Times New Roman" w:eastAsia="宋体" w:cs="Times New Roman"/>
                <w:color w:val="auto"/>
                <w:sz w:val="24"/>
                <w:szCs w:val="24"/>
                <w:highlight w:val="none"/>
                <w:lang w:val="en-US"/>
              </w:rPr>
              <w:t>类）（试行）</w:t>
            </w:r>
            <w:r>
              <w:rPr>
                <w:rFonts w:hint="eastAsia" w:cs="Times New Roman"/>
                <w:color w:val="auto"/>
                <w:sz w:val="24"/>
                <w:szCs w:val="24"/>
                <w:highlight w:val="none"/>
                <w:lang w:val="en-US" w:eastAsia="zh-CN"/>
              </w:rPr>
              <w:t>，本次评价不涉及噪声专项评价。</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color w:val="auto"/>
                <w:kern w:val="0"/>
                <w:sz w:val="24"/>
                <w:highlight w:val="none"/>
                <w:lang w:eastAsia="zh-CN"/>
              </w:rPr>
            </w:pPr>
            <w:bookmarkStart w:id="16" w:name="OLE_LINK4"/>
            <w:r>
              <w:rPr>
                <w:rFonts w:hint="eastAsia" w:cs="Times New Roman"/>
                <w:b/>
                <w:color w:val="auto"/>
                <w:kern w:val="0"/>
                <w:sz w:val="24"/>
                <w:highlight w:val="none"/>
                <w:lang w:val="en-US" w:eastAsia="zh-CN"/>
              </w:rPr>
              <w:t>6</w:t>
            </w:r>
            <w:r>
              <w:rPr>
                <w:rFonts w:hint="default" w:ascii="Times New Roman" w:hAnsi="Times New Roman" w:eastAsia="宋体" w:cs="Times New Roman"/>
                <w:b/>
                <w:color w:val="auto"/>
                <w:kern w:val="0"/>
                <w:sz w:val="24"/>
                <w:highlight w:val="none"/>
              </w:rPr>
              <w:t>、</w:t>
            </w:r>
            <w:r>
              <w:rPr>
                <w:rFonts w:hint="default" w:ascii="Times New Roman" w:hAnsi="Times New Roman" w:eastAsia="宋体" w:cs="Times New Roman"/>
                <w:b/>
                <w:color w:val="auto"/>
                <w:kern w:val="0"/>
                <w:sz w:val="24"/>
                <w:highlight w:val="none"/>
                <w:lang w:val="en-US" w:eastAsia="zh-CN"/>
              </w:rPr>
              <w:t>土壤</w:t>
            </w:r>
            <w:r>
              <w:rPr>
                <w:rFonts w:hint="default" w:ascii="Times New Roman" w:hAnsi="Times New Roman" w:eastAsia="宋体" w:cs="Times New Roman"/>
                <w:b/>
                <w:color w:val="auto"/>
                <w:kern w:val="0"/>
                <w:sz w:val="24"/>
                <w:highlight w:val="none"/>
              </w:rPr>
              <w:t>环境质量现状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kern w:val="0"/>
                <w:sz w:val="24"/>
                <w:highlight w:val="none"/>
              </w:rPr>
            </w:pPr>
            <w:r>
              <w:rPr>
                <w:rFonts w:hint="default" w:ascii="Times New Roman" w:hAnsi="Times New Roman" w:eastAsia="宋体" w:cs="Times New Roman"/>
                <w:color w:val="auto"/>
                <w:sz w:val="24"/>
                <w:szCs w:val="24"/>
                <w:highlight w:val="none"/>
                <w:lang w:val="en-US" w:eastAsia="zh-CN"/>
              </w:rPr>
              <w:t>根据《环境影响评价技术导则土壤环境（试行）》（HJ、964-2018）附录A土壤环境影响评价项目类别，本项目为“其他行业”，属于Ⅳ类项目，可不开展土壤环境影响评价工作。</w:t>
            </w:r>
            <w:bookmarkEnd w:id="1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6" w:hRule="atLeast"/>
          <w:jc w:val="center"/>
        </w:trPr>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sz w:val="24"/>
                <w:highlight w:val="none"/>
              </w:rPr>
              <w:t>与项目有关的原有环境污染和生态破坏问题</w:t>
            </w:r>
          </w:p>
        </w:tc>
        <w:tc>
          <w:tcPr>
            <w:tcW w:w="80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ascii="Times New Roman" w:hAnsi="Times New Roman" w:eastAsia="宋体" w:cs="宋体"/>
                <w:kern w:val="2"/>
                <w:sz w:val="24"/>
                <w:szCs w:val="24"/>
                <w:lang w:val="en-US" w:eastAsia="zh-CN" w:bidi="ar-SA"/>
              </w:rPr>
            </w:pPr>
            <w:r>
              <w:rPr>
                <w:rFonts w:hint="eastAsia" w:cs="Times New Roman"/>
                <w:color w:val="auto"/>
                <w:sz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生态环境保护目标</w:t>
            </w:r>
          </w:p>
        </w:tc>
        <w:tc>
          <w:tcPr>
            <w:tcW w:w="80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一、大气环境保护目标</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color w:val="auto"/>
                <w:kern w:val="0"/>
                <w:sz w:val="24"/>
                <w:highlight w:val="none"/>
              </w:rPr>
              <w:t>本项目周边500米范围内不存在自然保护区、风景名胜区和其他需要特殊保护的地区；主要环境保护目标为居民区，</w:t>
            </w:r>
            <w:r>
              <w:rPr>
                <w:rFonts w:hint="default" w:ascii="Times New Roman" w:hAnsi="Times New Roman" w:eastAsia="宋体" w:cs="Times New Roman"/>
                <w:color w:val="auto"/>
                <w:kern w:val="0"/>
                <w:sz w:val="24"/>
                <w:highlight w:val="none"/>
                <w:lang w:val="en-US" w:eastAsia="zh-CN"/>
              </w:rPr>
              <w:t>详见项目主要环境保护目标一览表</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二、声环境保护目标</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根据现场调查，本项目沿线</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0m范围内声环境保护目标</w:t>
            </w:r>
            <w:r>
              <w:rPr>
                <w:rFonts w:hint="eastAsia" w:cs="Times New Roman"/>
                <w:color w:val="auto"/>
                <w:kern w:val="0"/>
                <w:sz w:val="24"/>
                <w:highlight w:val="none"/>
                <w:lang w:eastAsia="zh-CN"/>
              </w:rPr>
              <w:t>主要为学校、行政办公场所、居民区，环境保护目标见环境保护目标一览表</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三、地表水环境保护目标</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cs="Times New Roman"/>
                <w:color w:val="auto"/>
                <w:kern w:val="0"/>
                <w:sz w:val="24"/>
                <w:highlight w:val="none"/>
                <w:lang w:eastAsia="zh-CN"/>
              </w:rPr>
            </w:pPr>
            <w:r>
              <w:rPr>
                <w:rFonts w:hint="eastAsia" w:cs="Times New Roman"/>
                <w:color w:val="auto"/>
                <w:kern w:val="0"/>
                <w:sz w:val="24"/>
                <w:highlight w:val="none"/>
                <w:lang w:eastAsia="zh-CN"/>
              </w:rPr>
              <w:t>根据现场调查，本项目地表水环境保护目标为清水河，详见主要环境保护目标一览表。</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四、地下水环境保护目标</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default" w:ascii="Times New Roman" w:hAnsi="Times New Roman" w:eastAsia="宋体" w:cs="Times New Roman"/>
                <w:color w:val="FF0000"/>
                <w:kern w:val="0"/>
                <w:sz w:val="24"/>
                <w:highlight w:val="none"/>
                <w:lang w:val="en-US" w:eastAsia="zh-CN"/>
              </w:rPr>
            </w:pPr>
            <w:r>
              <w:rPr>
                <w:rFonts w:hint="default" w:ascii="Times New Roman" w:hAnsi="Times New Roman" w:eastAsia="宋体" w:cs="Times New Roman"/>
                <w:color w:val="auto"/>
                <w:kern w:val="0"/>
                <w:sz w:val="24"/>
                <w:highlight w:val="none"/>
              </w:rPr>
              <w:t>根据现场调查，本项目不涉及地下水环境保护目标。</w:t>
            </w:r>
          </w:p>
          <w:p>
            <w:pPr>
              <w:keepNext w:val="0"/>
              <w:keepLines w:val="0"/>
              <w:pageBreakBefore w:val="0"/>
              <w:widowControl w:val="0"/>
              <w:kinsoku/>
              <w:wordWrap/>
              <w:overflowPunct/>
              <w:topLinePunct w:val="0"/>
              <w:autoSpaceDE/>
              <w:autoSpaceDN/>
              <w:bidi w:val="0"/>
              <w:adjustRightInd w:val="0"/>
              <w:snapToGrid w:val="0"/>
              <w:spacing w:line="540" w:lineRule="exact"/>
              <w:ind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五、生态环境保护目标</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default" w:ascii="Times New Roman" w:hAnsi="Times New Roman" w:eastAsia="宋体" w:cs="Times New Roman"/>
                <w:color w:val="FF0000"/>
                <w:kern w:val="0"/>
                <w:sz w:val="24"/>
                <w:highlight w:val="none"/>
              </w:rPr>
            </w:pPr>
            <w:r>
              <w:rPr>
                <w:rFonts w:hint="default" w:ascii="Times New Roman" w:hAnsi="Times New Roman" w:eastAsia="宋体" w:cs="Times New Roman"/>
                <w:color w:val="auto"/>
                <w:kern w:val="0"/>
                <w:sz w:val="24"/>
                <w:highlight w:val="none"/>
              </w:rPr>
              <w:t>本项目环境保护目标见表</w:t>
            </w:r>
            <w:r>
              <w:rPr>
                <w:rFonts w:hint="eastAsia" w:cs="Times New Roman"/>
                <w:color w:val="auto"/>
                <w:kern w:val="0"/>
                <w:sz w:val="24"/>
                <w:highlight w:val="none"/>
                <w:lang w:val="en-US" w:eastAsia="zh-CN"/>
              </w:rPr>
              <w:t>3-3</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3-3</w:t>
            </w:r>
            <w:r>
              <w:rPr>
                <w:rFonts w:hint="eastAsia" w:ascii="宋体" w:hAnsi="宋体" w:eastAsia="宋体" w:cs="宋体"/>
                <w:b/>
                <w:bCs w:val="0"/>
                <w:color w:val="auto"/>
                <w:sz w:val="24"/>
                <w:szCs w:val="24"/>
                <w:highlight w:val="none"/>
              </w:rPr>
              <w:t xml:space="preserve">  项目主要环境保护目标一览表</w:t>
            </w:r>
          </w:p>
          <w:tbl>
            <w:tblPr>
              <w:tblStyle w:val="20"/>
              <w:tblW w:w="7859"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189"/>
              <w:gridCol w:w="1170"/>
              <w:gridCol w:w="1179"/>
              <w:gridCol w:w="1081"/>
              <w:gridCol w:w="1050"/>
              <w:gridCol w:w="1060"/>
              <w:gridCol w:w="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环境</w:t>
                  </w:r>
                </w:p>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要素</w:t>
                  </w:r>
                </w:p>
              </w:tc>
              <w:tc>
                <w:tcPr>
                  <w:tcW w:w="1189"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名称</w:t>
                  </w:r>
                </w:p>
              </w:tc>
              <w:tc>
                <w:tcPr>
                  <w:tcW w:w="2349" w:type="dxa"/>
                  <w:gridSpan w:val="2"/>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坐标</w:t>
                  </w:r>
                </w:p>
              </w:tc>
              <w:tc>
                <w:tcPr>
                  <w:tcW w:w="1081"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保护对象</w:t>
                  </w:r>
                </w:p>
              </w:tc>
              <w:tc>
                <w:tcPr>
                  <w:tcW w:w="1050"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保护</w:t>
                  </w:r>
                </w:p>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内容</w:t>
                  </w:r>
                </w:p>
              </w:tc>
              <w:tc>
                <w:tcPr>
                  <w:tcW w:w="1060"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相对本项目方位及距离</w:t>
                  </w:r>
                </w:p>
              </w:tc>
              <w:tc>
                <w:tcPr>
                  <w:tcW w:w="642"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环境功能区保护要求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c>
                <w:tcPr>
                  <w:tcW w:w="1189"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c>
                <w:tcPr>
                  <w:tcW w:w="1170" w:type="dxa"/>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经度</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cs="Times New Roman"/>
                      <w:b/>
                      <w:color w:val="auto"/>
                      <w:kern w:val="0"/>
                      <w:sz w:val="21"/>
                      <w:szCs w:val="21"/>
                      <w:highlight w:val="none"/>
                    </w:rPr>
                    <w:t>纬度</w:t>
                  </w:r>
                </w:p>
              </w:tc>
              <w:tc>
                <w:tcPr>
                  <w:tcW w:w="1081"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c>
                <w:tcPr>
                  <w:tcW w:w="1050"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c>
                <w:tcPr>
                  <w:tcW w:w="1060"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c>
                <w:tcPr>
                  <w:tcW w:w="642"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b/>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bookmarkStart w:id="17" w:name="OLE_LINK25" w:colFirst="6" w:colLast="6"/>
                  <w:r>
                    <w:rPr>
                      <w:rFonts w:hint="eastAsia" w:cs="Times New Roman"/>
                      <w:b/>
                      <w:color w:val="auto"/>
                      <w:kern w:val="0"/>
                      <w:sz w:val="21"/>
                      <w:szCs w:val="21"/>
                      <w:highlight w:val="none"/>
                    </w:rPr>
                    <w:t>大气环境</w:t>
                  </w:r>
                </w:p>
              </w:tc>
              <w:tc>
                <w:tcPr>
                  <w:tcW w:w="1189"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隆德县档案局</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106.1106258</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35.6257089</w:t>
                  </w:r>
                </w:p>
              </w:tc>
              <w:tc>
                <w:tcPr>
                  <w:tcW w:w="1081" w:type="dxa"/>
                  <w:tcBorders>
                    <w:tl2br w:val="nil"/>
                    <w:tr2bl w:val="nil"/>
                  </w:tcBorders>
                  <w:vAlign w:val="center"/>
                </w:tcPr>
                <w:p>
                  <w:pPr>
                    <w:adjustRightInd w:val="0"/>
                    <w:snapToGrid w:val="0"/>
                    <w:spacing w:line="240" w:lineRule="auto"/>
                    <w:ind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工作人员20人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行政机关</w:t>
                  </w:r>
                </w:p>
              </w:tc>
              <w:tc>
                <w:tcPr>
                  <w:tcW w:w="106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val="en-US" w:eastAsia="zh-CN"/>
                    </w:rPr>
                    <w:t>S，30</w:t>
                  </w:r>
                  <w:r>
                    <w:rPr>
                      <w:rFonts w:cs="Times New Roman"/>
                      <w:color w:val="auto"/>
                      <w:kern w:val="0"/>
                      <w:sz w:val="21"/>
                      <w:szCs w:val="21"/>
                      <w:highlight w:val="none"/>
                    </w:rPr>
                    <w:t>m</w:t>
                  </w:r>
                </w:p>
              </w:tc>
              <w:tc>
                <w:tcPr>
                  <w:tcW w:w="642" w:type="dxa"/>
                  <w:vMerge w:val="restart"/>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rPr>
                  </w:pPr>
                  <w:r>
                    <w:rPr>
                      <w:rFonts w:hint="eastAsia" w:cs="Times New Roman"/>
                      <w:color w:val="auto"/>
                      <w:kern w:val="0"/>
                      <w:sz w:val="21"/>
                      <w:szCs w:val="21"/>
                      <w:highlight w:val="none"/>
                    </w:rPr>
                    <w:t>《环境空气质量标准》（GB3095-2012）及修改单</w:t>
                  </w:r>
                  <w:r>
                    <w:rPr>
                      <w:rFonts w:cs="Times New Roman"/>
                      <w:color w:val="auto"/>
                      <w:kern w:val="0"/>
                      <w:sz w:val="21"/>
                      <w:szCs w:val="21"/>
                      <w:highlight w:val="none"/>
                    </w:rPr>
                    <w:t>及修改单中二级标准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林业区家属院</w:t>
                  </w:r>
                </w:p>
              </w:tc>
              <w:tc>
                <w:tcPr>
                  <w:tcW w:w="1170"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106.6354078</w:t>
                  </w:r>
                </w:p>
              </w:tc>
              <w:tc>
                <w:tcPr>
                  <w:tcW w:w="1179" w:type="dxa"/>
                  <w:tcBorders>
                    <w:tl2br w:val="nil"/>
                    <w:tr2bl w:val="nil"/>
                  </w:tcBorders>
                  <w:vAlign w:val="center"/>
                </w:tcPr>
                <w:p>
                  <w:pPr>
                    <w:adjustRightInd w:val="0"/>
                    <w:snapToGrid w:val="0"/>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35.3657563</w:t>
                  </w:r>
                </w:p>
              </w:tc>
              <w:tc>
                <w:tcPr>
                  <w:tcW w:w="1081" w:type="dxa"/>
                  <w:tcBorders>
                    <w:tl2br w:val="nil"/>
                    <w:tr2bl w:val="nil"/>
                  </w:tcBorders>
                  <w:vAlign w:val="center"/>
                </w:tcPr>
                <w:p>
                  <w:pPr>
                    <w:adjustRightInd w:val="0"/>
                    <w:snapToGrid w:val="0"/>
                    <w:spacing w:line="240" w:lineRule="auto"/>
                    <w:ind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居民300人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隆德县职业技术学校</w:t>
                  </w:r>
                </w:p>
              </w:tc>
              <w:tc>
                <w:tcPr>
                  <w:tcW w:w="1170"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color w:val="auto"/>
                      <w:highlight w:val="none"/>
                    </w:rPr>
                    <w:t>106.113612</w:t>
                  </w:r>
                  <w:r>
                    <w:rPr>
                      <w:rFonts w:hint="eastAsia" w:ascii="Times New Roman" w:hAnsi="Times New Roman"/>
                      <w:color w:val="auto"/>
                      <w:highlight w:val="none"/>
                      <w:lang w:val="en-US" w:eastAsia="zh-CN"/>
                    </w:rPr>
                    <w:t>7</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35.6235132</w:t>
                  </w:r>
                </w:p>
              </w:tc>
              <w:tc>
                <w:tcPr>
                  <w:tcW w:w="1081"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师生</w:t>
                  </w:r>
                  <w:r>
                    <w:rPr>
                      <w:rFonts w:hint="eastAsia" w:cs="Times New Roman"/>
                      <w:color w:val="auto"/>
                      <w:kern w:val="0"/>
                      <w:sz w:val="21"/>
                      <w:szCs w:val="21"/>
                      <w:highlight w:val="none"/>
                      <w:lang w:val="en-US" w:eastAsia="zh-CN"/>
                    </w:rPr>
                    <w:t>1300</w:t>
                  </w:r>
                  <w:r>
                    <w:rPr>
                      <w:rFonts w:cs="Times New Roman"/>
                      <w:color w:val="auto"/>
                      <w:kern w:val="0"/>
                      <w:sz w:val="21"/>
                      <w:szCs w:val="21"/>
                      <w:highlight w:val="none"/>
                    </w:rPr>
                    <w:t>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学校</w:t>
                  </w:r>
                </w:p>
              </w:tc>
              <w:tc>
                <w:tcPr>
                  <w:tcW w:w="106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val="en-US" w:eastAsia="zh-CN"/>
                    </w:rPr>
                    <w:t>S，30</w:t>
                  </w:r>
                  <w:r>
                    <w:rPr>
                      <w:rFonts w:cs="Times New Roman"/>
                      <w:color w:val="auto"/>
                      <w:kern w:val="0"/>
                      <w:sz w:val="21"/>
                      <w:szCs w:val="21"/>
                      <w:highlight w:val="none"/>
                    </w:rPr>
                    <w:t>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隆德县人民医院</w:t>
                  </w:r>
                </w:p>
              </w:tc>
              <w:tc>
                <w:tcPr>
                  <w:tcW w:w="1170" w:type="dxa"/>
                  <w:tcBorders>
                    <w:tl2br w:val="nil"/>
                    <w:tr2bl w:val="nil"/>
                  </w:tcBorders>
                  <w:vAlign w:val="center"/>
                </w:tcPr>
                <w:p>
                  <w:pPr>
                    <w:pStyle w:val="30"/>
                    <w:rPr>
                      <w:rFonts w:ascii="Times New Roman" w:hAnsi="Times New Roman"/>
                      <w:color w:val="auto"/>
                      <w:highlight w:val="none"/>
                    </w:rPr>
                  </w:pPr>
                  <w:r>
                    <w:rPr>
                      <w:rFonts w:ascii="Times New Roman" w:hAnsi="Times New Roman"/>
                      <w:color w:val="auto"/>
                      <w:highlight w:val="none"/>
                    </w:rPr>
                    <w:t>106.</w:t>
                  </w:r>
                  <w:r>
                    <w:rPr>
                      <w:rFonts w:hint="eastAsia" w:ascii="Times New Roman" w:hAnsi="Times New Roman"/>
                      <w:color w:val="auto"/>
                      <w:highlight w:val="none"/>
                    </w:rPr>
                    <w:t>6523308</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35.3659438</w:t>
                  </w:r>
                </w:p>
              </w:tc>
              <w:tc>
                <w:tcPr>
                  <w:tcW w:w="1081"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工作人员及患者</w:t>
                  </w:r>
                  <w:r>
                    <w:rPr>
                      <w:rFonts w:hint="eastAsia" w:cs="Times New Roman"/>
                      <w:color w:val="auto"/>
                      <w:kern w:val="0"/>
                      <w:sz w:val="21"/>
                      <w:szCs w:val="21"/>
                      <w:highlight w:val="none"/>
                      <w:lang w:val="en-US" w:eastAsia="zh-CN"/>
                    </w:rPr>
                    <w:t>300</w:t>
                  </w:r>
                  <w:r>
                    <w:rPr>
                      <w:rFonts w:hint="eastAsia" w:cs="Times New Roman"/>
                      <w:color w:val="auto"/>
                      <w:kern w:val="0"/>
                      <w:sz w:val="21"/>
                      <w:szCs w:val="21"/>
                      <w:highlight w:val="none"/>
                      <w:lang w:eastAsia="zh-CN"/>
                    </w:rPr>
                    <w:t>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医院</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南河社区</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106.1185046</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35.6006829</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隆德县第二小学</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106.1150768</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35.6196354</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师生400人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学校</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S，50m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格兰美景</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106.1122712</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35.6184713</w:t>
                  </w:r>
                </w:p>
              </w:tc>
              <w:tc>
                <w:tcPr>
                  <w:tcW w:w="1081"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居民500人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S，60m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隆泉社区</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106.1193737</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35.6197480</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龙泉村</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106.1230429</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35.6193511</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六盘人家阳光城</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106.1256071</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35.6200699</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500人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S，75m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东关小区</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106.1298236</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35.6209389</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S，80m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御景鸿府</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106.1329886</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35.6191472</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S，150m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隆德县供电局</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106.1348983</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106.1348983</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工作人员</w:t>
                  </w:r>
                  <w:r>
                    <w:rPr>
                      <w:rFonts w:hint="eastAsia" w:cs="Times New Roman"/>
                      <w:color w:val="auto"/>
                      <w:kern w:val="0"/>
                      <w:sz w:val="21"/>
                      <w:szCs w:val="21"/>
                      <w:highlight w:val="none"/>
                      <w:lang w:val="en-US" w:eastAsia="zh-CN"/>
                    </w:rPr>
                    <w:t>200人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企业</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中央名都</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106.1157151</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35.6166474</w:t>
                  </w:r>
                </w:p>
              </w:tc>
              <w:tc>
                <w:tcPr>
                  <w:tcW w:w="1081"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300人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S，200m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连家湾居民区</w:t>
                  </w:r>
                </w:p>
              </w:tc>
              <w:tc>
                <w:tcPr>
                  <w:tcW w:w="1170" w:type="dxa"/>
                  <w:tcBorders>
                    <w:tl2br w:val="nil"/>
                    <w:tr2bl w:val="nil"/>
                  </w:tcBorders>
                  <w:vAlign w:val="center"/>
                </w:tcPr>
                <w:p>
                  <w:pPr>
                    <w:pStyle w:val="30"/>
                    <w:rPr>
                      <w:rFonts w:ascii="Times New Roman" w:hAnsi="Times New Roman"/>
                      <w:color w:val="auto"/>
                      <w:highlight w:val="none"/>
                    </w:rPr>
                  </w:pPr>
                  <w:r>
                    <w:rPr>
                      <w:rFonts w:hint="eastAsia" w:ascii="Times New Roman" w:hAnsi="Times New Roman"/>
                      <w:color w:val="auto"/>
                      <w:highlight w:val="none"/>
                    </w:rPr>
                    <w:t>106.1379882</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35.6168405</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S，342m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吴家山居民区</w:t>
                  </w:r>
                </w:p>
              </w:tc>
              <w:tc>
                <w:tcPr>
                  <w:tcW w:w="1170" w:type="dxa"/>
                  <w:tcBorders>
                    <w:tl2br w:val="nil"/>
                    <w:tr2bl w:val="nil"/>
                  </w:tcBorders>
                  <w:vAlign w:val="center"/>
                </w:tcPr>
                <w:p>
                  <w:pPr>
                    <w:pStyle w:val="30"/>
                    <w:rPr>
                      <w:rFonts w:hint="eastAsia" w:ascii="Times New Roman" w:hAnsi="Times New Roman"/>
                      <w:color w:val="auto"/>
                      <w:highlight w:val="none"/>
                    </w:rPr>
                  </w:pPr>
                  <w:r>
                    <w:rPr>
                      <w:rFonts w:hint="eastAsia" w:ascii="Times New Roman" w:hAnsi="Times New Roman"/>
                      <w:color w:val="auto"/>
                      <w:highlight w:val="none"/>
                    </w:rPr>
                    <w:t>106.1429235</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35.6134073</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S，355m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南河村</w:t>
                  </w:r>
                </w:p>
              </w:tc>
              <w:tc>
                <w:tcPr>
                  <w:tcW w:w="1170" w:type="dxa"/>
                  <w:tcBorders>
                    <w:tl2br w:val="nil"/>
                    <w:tr2bl w:val="nil"/>
                  </w:tcBorders>
                  <w:vAlign w:val="center"/>
                </w:tcPr>
                <w:p>
                  <w:pPr>
                    <w:pStyle w:val="30"/>
                    <w:rPr>
                      <w:rFonts w:hint="eastAsia" w:ascii="Times New Roman" w:hAnsi="Times New Roman"/>
                      <w:color w:val="auto"/>
                      <w:highlight w:val="none"/>
                    </w:rPr>
                  </w:pPr>
                  <w:r>
                    <w:rPr>
                      <w:rFonts w:hint="eastAsia" w:ascii="Times New Roman" w:hAnsi="Times New Roman"/>
                      <w:color w:val="auto"/>
                      <w:highlight w:val="none"/>
                    </w:rPr>
                    <w:t>106.1228391</w:t>
                  </w:r>
                </w:p>
              </w:tc>
              <w:tc>
                <w:tcPr>
                  <w:tcW w:w="117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35.6031934</w:t>
                  </w:r>
                </w:p>
              </w:tc>
              <w:tc>
                <w:tcPr>
                  <w:tcW w:w="1081"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100人</w:t>
                  </w:r>
                </w:p>
              </w:tc>
              <w:tc>
                <w:tcPr>
                  <w:tcW w:w="105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S，255m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bookmarkEnd w:id="17"/>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restart"/>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r>
                    <w:rPr>
                      <w:rFonts w:hint="eastAsia" w:cs="Times New Roman"/>
                      <w:b/>
                      <w:bCs/>
                      <w:color w:val="auto"/>
                      <w:sz w:val="21"/>
                      <w:szCs w:val="21"/>
                      <w:highlight w:val="none"/>
                    </w:rPr>
                    <w:t>声环境</w:t>
                  </w:r>
                </w:p>
              </w:tc>
              <w:tc>
                <w:tcPr>
                  <w:tcW w:w="118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隆德县档案局</w:t>
                  </w:r>
                </w:p>
              </w:tc>
              <w:tc>
                <w:tcPr>
                  <w:tcW w:w="1170" w:type="dxa"/>
                  <w:tcBorders>
                    <w:tl2br w:val="nil"/>
                    <w:tr2bl w:val="nil"/>
                  </w:tcBorders>
                  <w:vAlign w:val="center"/>
                </w:tcPr>
                <w:p>
                  <w:pPr>
                    <w:pStyle w:val="30"/>
                    <w:ind w:left="32" w:leftChars="0"/>
                    <w:rPr>
                      <w:rFonts w:ascii="Times New Roman" w:hAnsi="Times New Roman"/>
                      <w:color w:val="auto"/>
                      <w:highlight w:val="none"/>
                    </w:rPr>
                  </w:pPr>
                  <w:r>
                    <w:rPr>
                      <w:rFonts w:hint="eastAsia" w:ascii="Times New Roman" w:hAnsi="Times New Roman"/>
                      <w:color w:val="auto"/>
                      <w:highlight w:val="none"/>
                    </w:rPr>
                    <w:t>106.1106258</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35.6257089</w:t>
                  </w:r>
                </w:p>
              </w:tc>
              <w:tc>
                <w:tcPr>
                  <w:tcW w:w="1081"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val="en-US" w:eastAsia="zh-CN"/>
                    </w:rPr>
                    <w:t>工作人员20人</w:t>
                  </w:r>
                </w:p>
              </w:tc>
              <w:tc>
                <w:tcPr>
                  <w:tcW w:w="105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行政机关</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S，30</w:t>
                  </w:r>
                  <w:r>
                    <w:rPr>
                      <w:rFonts w:cs="Times New Roman"/>
                      <w:color w:val="auto"/>
                      <w:kern w:val="0"/>
                      <w:sz w:val="21"/>
                      <w:szCs w:val="21"/>
                      <w:highlight w:val="none"/>
                    </w:rPr>
                    <w:t>m</w:t>
                  </w:r>
                </w:p>
              </w:tc>
              <w:tc>
                <w:tcPr>
                  <w:tcW w:w="642" w:type="dxa"/>
                  <w:vMerge w:val="restart"/>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cs="Times New Roman"/>
                      <w:color w:val="auto"/>
                      <w:kern w:val="0"/>
                      <w:sz w:val="21"/>
                      <w:szCs w:val="21"/>
                      <w:highlight w:val="none"/>
                    </w:rPr>
                    <w:t>《声环境质量标准》（GB30192-2008）中的2类标准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rPr>
                  </w:pPr>
                  <w:r>
                    <w:rPr>
                      <w:rFonts w:hint="eastAsia" w:cs="Times New Roman"/>
                      <w:color w:val="auto"/>
                      <w:kern w:val="0"/>
                      <w:sz w:val="21"/>
                      <w:szCs w:val="21"/>
                      <w:highlight w:val="none"/>
                      <w:lang w:eastAsia="zh-CN"/>
                    </w:rPr>
                    <w:t>林业区家属院</w:t>
                  </w:r>
                </w:p>
              </w:tc>
              <w:tc>
                <w:tcPr>
                  <w:tcW w:w="1170" w:type="dxa"/>
                  <w:tcBorders>
                    <w:tl2br w:val="nil"/>
                    <w:tr2bl w:val="nil"/>
                  </w:tcBorders>
                  <w:vAlign w:val="center"/>
                </w:tcPr>
                <w:p>
                  <w:pPr>
                    <w:pStyle w:val="30"/>
                    <w:ind w:left="32" w:leftChars="0"/>
                    <w:rPr>
                      <w:rFonts w:ascii="Times New Roman" w:hAnsi="Times New Roman"/>
                      <w:color w:val="auto"/>
                      <w:highlight w:val="none"/>
                    </w:rPr>
                  </w:pPr>
                  <w:r>
                    <w:rPr>
                      <w:rFonts w:hint="eastAsia" w:ascii="Times New Roman" w:hAnsi="Times New Roman"/>
                      <w:color w:val="auto"/>
                      <w:highlight w:val="none"/>
                      <w:lang w:val="en-US" w:eastAsia="zh-CN"/>
                    </w:rPr>
                    <w:t>106.6354078</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35.3657563</w:t>
                  </w:r>
                </w:p>
              </w:tc>
              <w:tc>
                <w:tcPr>
                  <w:tcW w:w="1081"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val="en-US" w:eastAsia="zh-CN"/>
                    </w:rPr>
                    <w:t>居民300人</w:t>
                  </w:r>
                </w:p>
              </w:tc>
              <w:tc>
                <w:tcPr>
                  <w:tcW w:w="105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生活区</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S，25m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隆德县职业技术学校</w:t>
                  </w:r>
                </w:p>
              </w:tc>
              <w:tc>
                <w:tcPr>
                  <w:tcW w:w="1170" w:type="dxa"/>
                  <w:tcBorders>
                    <w:tl2br w:val="nil"/>
                    <w:tr2bl w:val="nil"/>
                  </w:tcBorders>
                  <w:vAlign w:val="center"/>
                </w:tcPr>
                <w:p>
                  <w:pPr>
                    <w:pStyle w:val="30"/>
                    <w:ind w:left="32" w:leftChars="0"/>
                    <w:rPr>
                      <w:rFonts w:ascii="Times New Roman" w:hAnsi="Times New Roman"/>
                      <w:color w:val="auto"/>
                      <w:highlight w:val="none"/>
                    </w:rPr>
                  </w:pPr>
                  <w:r>
                    <w:rPr>
                      <w:rFonts w:hint="eastAsia" w:ascii="Times New Roman" w:hAnsi="Times New Roman"/>
                      <w:color w:val="auto"/>
                      <w:highlight w:val="none"/>
                    </w:rPr>
                    <w:t>106.113612</w:t>
                  </w:r>
                  <w:r>
                    <w:rPr>
                      <w:rFonts w:hint="eastAsia" w:ascii="Times New Roman" w:hAnsi="Times New Roman"/>
                      <w:color w:val="auto"/>
                      <w:highlight w:val="none"/>
                      <w:lang w:val="en-US" w:eastAsia="zh-CN"/>
                    </w:rPr>
                    <w:t>7</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35.6235132</w:t>
                  </w:r>
                </w:p>
              </w:tc>
              <w:tc>
                <w:tcPr>
                  <w:tcW w:w="1081"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师生</w:t>
                  </w:r>
                  <w:r>
                    <w:rPr>
                      <w:rFonts w:hint="eastAsia" w:cs="Times New Roman"/>
                      <w:color w:val="auto"/>
                      <w:kern w:val="0"/>
                      <w:sz w:val="21"/>
                      <w:szCs w:val="21"/>
                      <w:highlight w:val="none"/>
                      <w:lang w:val="en-US" w:eastAsia="zh-CN"/>
                    </w:rPr>
                    <w:t>1300</w:t>
                  </w:r>
                  <w:r>
                    <w:rPr>
                      <w:rFonts w:cs="Times New Roman"/>
                      <w:color w:val="auto"/>
                      <w:kern w:val="0"/>
                      <w:sz w:val="21"/>
                      <w:szCs w:val="21"/>
                      <w:highlight w:val="none"/>
                    </w:rPr>
                    <w:t>人</w:t>
                  </w:r>
                </w:p>
              </w:tc>
              <w:tc>
                <w:tcPr>
                  <w:tcW w:w="105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学校</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S，30</w:t>
                  </w:r>
                  <w:r>
                    <w:rPr>
                      <w:rFonts w:cs="Times New Roman"/>
                      <w:color w:val="auto"/>
                      <w:kern w:val="0"/>
                      <w:sz w:val="21"/>
                      <w:szCs w:val="21"/>
                      <w:highlight w:val="none"/>
                    </w:rPr>
                    <w:t>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隆德县人民医院</w:t>
                  </w:r>
                </w:p>
              </w:tc>
              <w:tc>
                <w:tcPr>
                  <w:tcW w:w="1170" w:type="dxa"/>
                  <w:tcBorders>
                    <w:tl2br w:val="nil"/>
                    <w:tr2bl w:val="nil"/>
                  </w:tcBorders>
                  <w:vAlign w:val="center"/>
                </w:tcPr>
                <w:p>
                  <w:pPr>
                    <w:pStyle w:val="30"/>
                    <w:ind w:left="32" w:leftChars="0"/>
                    <w:rPr>
                      <w:rFonts w:ascii="Times New Roman" w:hAnsi="Times New Roman"/>
                      <w:color w:val="auto"/>
                      <w:highlight w:val="none"/>
                    </w:rPr>
                  </w:pPr>
                  <w:r>
                    <w:rPr>
                      <w:rFonts w:ascii="Times New Roman" w:hAnsi="Times New Roman"/>
                      <w:color w:val="auto"/>
                      <w:highlight w:val="none"/>
                    </w:rPr>
                    <w:t>106.</w:t>
                  </w:r>
                  <w:r>
                    <w:rPr>
                      <w:rFonts w:hint="eastAsia" w:ascii="Times New Roman" w:hAnsi="Times New Roman"/>
                      <w:color w:val="auto"/>
                      <w:highlight w:val="none"/>
                    </w:rPr>
                    <w:t>6523308</w:t>
                  </w:r>
                </w:p>
              </w:tc>
              <w:tc>
                <w:tcPr>
                  <w:tcW w:w="1179" w:type="dxa"/>
                  <w:tcBorders>
                    <w:tl2br w:val="nil"/>
                    <w:tr2bl w:val="nil"/>
                  </w:tcBorders>
                  <w:vAlign w:val="center"/>
                </w:tcPr>
                <w:p>
                  <w:pPr>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35.3659438</w:t>
                  </w:r>
                </w:p>
              </w:tc>
              <w:tc>
                <w:tcPr>
                  <w:tcW w:w="1081"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工作人员及患者</w:t>
                  </w:r>
                  <w:r>
                    <w:rPr>
                      <w:rFonts w:hint="eastAsia" w:cs="Times New Roman"/>
                      <w:color w:val="auto"/>
                      <w:kern w:val="0"/>
                      <w:sz w:val="21"/>
                      <w:szCs w:val="21"/>
                      <w:highlight w:val="none"/>
                      <w:lang w:val="en-US" w:eastAsia="zh-CN"/>
                    </w:rPr>
                    <w:t>300</w:t>
                  </w:r>
                  <w:r>
                    <w:rPr>
                      <w:rFonts w:hint="eastAsia" w:cs="Times New Roman"/>
                      <w:color w:val="auto"/>
                      <w:kern w:val="0"/>
                      <w:sz w:val="21"/>
                      <w:szCs w:val="21"/>
                      <w:highlight w:val="none"/>
                      <w:lang w:eastAsia="zh-CN"/>
                    </w:rPr>
                    <w:t>人</w:t>
                  </w:r>
                </w:p>
              </w:tc>
              <w:tc>
                <w:tcPr>
                  <w:tcW w:w="1050"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hint="eastAsia" w:cs="Times New Roman"/>
                      <w:color w:val="auto"/>
                      <w:kern w:val="0"/>
                      <w:sz w:val="21"/>
                      <w:szCs w:val="21"/>
                      <w:highlight w:val="none"/>
                      <w:lang w:eastAsia="zh-CN"/>
                    </w:rPr>
                    <w:t>医院</w:t>
                  </w:r>
                </w:p>
              </w:tc>
              <w:tc>
                <w:tcPr>
                  <w:tcW w:w="1060"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南河社区</w:t>
                  </w:r>
                </w:p>
              </w:tc>
              <w:tc>
                <w:tcPr>
                  <w:tcW w:w="1170" w:type="dxa"/>
                  <w:tcBorders>
                    <w:tl2br w:val="nil"/>
                    <w:tr2bl w:val="nil"/>
                  </w:tcBorders>
                  <w:shd w:val="clear" w:color="auto" w:fill="auto"/>
                  <w:vAlign w:val="center"/>
                </w:tcPr>
                <w:p>
                  <w:pPr>
                    <w:pStyle w:val="30"/>
                    <w:ind w:left="32" w:leftChars="0"/>
                    <w:rPr>
                      <w:rFonts w:ascii="Times New Roman" w:hAnsi="Times New Roman" w:eastAsia="宋体" w:cs="Times New Roman"/>
                      <w:bCs/>
                      <w:color w:val="auto"/>
                      <w:sz w:val="21"/>
                      <w:szCs w:val="21"/>
                      <w:highlight w:val="none"/>
                      <w:lang w:val="en-US" w:eastAsia="zh-CN" w:bidi="ar-SA"/>
                    </w:rPr>
                  </w:pPr>
                  <w:r>
                    <w:rPr>
                      <w:rFonts w:hint="eastAsia" w:ascii="Times New Roman" w:hAnsi="Times New Roman"/>
                      <w:color w:val="auto"/>
                      <w:highlight w:val="none"/>
                    </w:rPr>
                    <w:t>106.1185046</w:t>
                  </w:r>
                </w:p>
              </w:tc>
              <w:tc>
                <w:tcPr>
                  <w:tcW w:w="1179"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35.6006829</w:t>
                  </w:r>
                </w:p>
              </w:tc>
              <w:tc>
                <w:tcPr>
                  <w:tcW w:w="1081"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居民</w:t>
                  </w:r>
                  <w:r>
                    <w:rPr>
                      <w:rFonts w:hint="eastAsia" w:cs="Times New Roman"/>
                      <w:color w:val="auto"/>
                      <w:kern w:val="0"/>
                      <w:sz w:val="21"/>
                      <w:szCs w:val="21"/>
                      <w:highlight w:val="none"/>
                      <w:lang w:val="en-US" w:eastAsia="zh-CN"/>
                    </w:rPr>
                    <w:t>200人</w:t>
                  </w:r>
                </w:p>
              </w:tc>
              <w:tc>
                <w:tcPr>
                  <w:tcW w:w="1050"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生活区</w:t>
                  </w:r>
                </w:p>
              </w:tc>
              <w:tc>
                <w:tcPr>
                  <w:tcW w:w="1060"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S，40m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vMerge w:val="continue"/>
                  <w:tcBorders>
                    <w:tl2br w:val="nil"/>
                    <w:tr2bl w:val="nil"/>
                  </w:tcBorders>
                  <w:vAlign w:val="center"/>
                </w:tcPr>
                <w:p>
                  <w:pPr>
                    <w:adjustRightInd w:val="0"/>
                    <w:snapToGrid w:val="0"/>
                    <w:spacing w:line="240" w:lineRule="auto"/>
                    <w:ind w:firstLine="0" w:firstLineChars="0"/>
                    <w:jc w:val="center"/>
                    <w:rPr>
                      <w:rFonts w:cs="Times New Roman"/>
                      <w:b/>
                      <w:color w:val="auto"/>
                      <w:kern w:val="0"/>
                      <w:sz w:val="21"/>
                      <w:szCs w:val="21"/>
                      <w:highlight w:val="none"/>
                    </w:rPr>
                  </w:pPr>
                </w:p>
              </w:tc>
              <w:tc>
                <w:tcPr>
                  <w:tcW w:w="1189"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隆德县第二小学</w:t>
                  </w:r>
                </w:p>
              </w:tc>
              <w:tc>
                <w:tcPr>
                  <w:tcW w:w="1170" w:type="dxa"/>
                  <w:tcBorders>
                    <w:tl2br w:val="nil"/>
                    <w:tr2bl w:val="nil"/>
                  </w:tcBorders>
                  <w:shd w:val="clear" w:color="auto" w:fill="auto"/>
                  <w:vAlign w:val="center"/>
                </w:tcPr>
                <w:p>
                  <w:pPr>
                    <w:pStyle w:val="30"/>
                    <w:ind w:left="32" w:leftChars="0"/>
                    <w:rPr>
                      <w:rFonts w:ascii="Times New Roman" w:hAnsi="Times New Roman" w:eastAsia="宋体" w:cs="Times New Roman"/>
                      <w:bCs/>
                      <w:color w:val="auto"/>
                      <w:sz w:val="21"/>
                      <w:szCs w:val="21"/>
                      <w:highlight w:val="none"/>
                      <w:lang w:val="en-US" w:eastAsia="zh-CN" w:bidi="ar-SA"/>
                    </w:rPr>
                  </w:pPr>
                  <w:r>
                    <w:rPr>
                      <w:rFonts w:hint="eastAsia" w:ascii="Times New Roman" w:hAnsi="Times New Roman"/>
                      <w:color w:val="auto"/>
                      <w:highlight w:val="none"/>
                    </w:rPr>
                    <w:t>106.1150768</w:t>
                  </w:r>
                </w:p>
              </w:tc>
              <w:tc>
                <w:tcPr>
                  <w:tcW w:w="1179"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35.6196354</w:t>
                  </w:r>
                </w:p>
              </w:tc>
              <w:tc>
                <w:tcPr>
                  <w:tcW w:w="1081"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师生400人</w:t>
                  </w:r>
                </w:p>
              </w:tc>
              <w:tc>
                <w:tcPr>
                  <w:tcW w:w="1050"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eastAsia="zh-CN"/>
                    </w:rPr>
                    <w:t>学校</w:t>
                  </w:r>
                </w:p>
              </w:tc>
              <w:tc>
                <w:tcPr>
                  <w:tcW w:w="1060"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S，50m</w:t>
                  </w:r>
                </w:p>
              </w:tc>
              <w:tc>
                <w:tcPr>
                  <w:tcW w:w="642" w:type="dxa"/>
                  <w:vMerge w:val="continue"/>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88" w:type="dxa"/>
                  <w:tcBorders>
                    <w:tl2br w:val="nil"/>
                    <w:tr2bl w:val="nil"/>
                  </w:tcBorders>
                  <w:vAlign w:val="center"/>
                </w:tcPr>
                <w:p>
                  <w:pPr>
                    <w:adjustRightInd w:val="0"/>
                    <w:snapToGrid w:val="0"/>
                    <w:spacing w:line="240" w:lineRule="auto"/>
                    <w:ind w:firstLine="0" w:firstLineChars="0"/>
                    <w:jc w:val="center"/>
                    <w:rPr>
                      <w:rFonts w:hint="eastAsia" w:eastAsia="宋体" w:cs="Times New Roman"/>
                      <w:b/>
                      <w:color w:val="auto"/>
                      <w:kern w:val="0"/>
                      <w:sz w:val="21"/>
                      <w:szCs w:val="21"/>
                      <w:highlight w:val="none"/>
                      <w:lang w:eastAsia="zh-CN"/>
                    </w:rPr>
                  </w:pPr>
                  <w:r>
                    <w:rPr>
                      <w:rFonts w:hint="eastAsia" w:cs="Times New Roman"/>
                      <w:b/>
                      <w:color w:val="auto"/>
                      <w:kern w:val="0"/>
                      <w:sz w:val="21"/>
                      <w:szCs w:val="21"/>
                      <w:highlight w:val="none"/>
                      <w:lang w:eastAsia="zh-CN"/>
                    </w:rPr>
                    <w:t>地表水环境</w:t>
                  </w:r>
                </w:p>
              </w:tc>
              <w:tc>
                <w:tcPr>
                  <w:tcW w:w="1189" w:type="dxa"/>
                  <w:tcBorders>
                    <w:tl2br w:val="nil"/>
                    <w:tr2bl w:val="nil"/>
                  </w:tcBorders>
                  <w:vAlign w:val="center"/>
                </w:tcPr>
                <w:p>
                  <w:pPr>
                    <w:adjustRightInd w:val="0"/>
                    <w:snapToGrid w:val="0"/>
                    <w:spacing w:line="240" w:lineRule="auto"/>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清水河</w:t>
                  </w:r>
                </w:p>
              </w:tc>
              <w:tc>
                <w:tcPr>
                  <w:tcW w:w="1170" w:type="dxa"/>
                  <w:tcBorders>
                    <w:tl2br w:val="nil"/>
                    <w:tr2bl w:val="nil"/>
                  </w:tcBorders>
                  <w:vAlign w:val="center"/>
                </w:tcPr>
                <w:p>
                  <w:pPr>
                    <w:pStyle w:val="30"/>
                    <w:ind w:left="32" w:left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106.1141648</w:t>
                  </w:r>
                </w:p>
              </w:tc>
              <w:tc>
                <w:tcPr>
                  <w:tcW w:w="1179" w:type="dxa"/>
                  <w:tcBorders>
                    <w:tl2br w:val="nil"/>
                    <w:tr2bl w:val="nil"/>
                  </w:tcBorders>
                  <w:vAlign w:val="center"/>
                </w:tcPr>
                <w:p>
                  <w:pPr>
                    <w:pStyle w:val="30"/>
                    <w:ind w:left="32" w:leftChars="0"/>
                    <w:rPr>
                      <w:rFonts w:hint="default" w:ascii="Times New Roman" w:hAnsi="Times New Roman"/>
                      <w:color w:val="auto"/>
                      <w:highlight w:val="none"/>
                      <w:lang w:val="en-US" w:eastAsia="zh-CN"/>
                    </w:rPr>
                  </w:pPr>
                  <w:r>
                    <w:rPr>
                      <w:rFonts w:hint="eastAsia" w:ascii="Times New Roman" w:hAnsi="Times New Roman"/>
                      <w:color w:val="auto"/>
                      <w:highlight w:val="none"/>
                    </w:rPr>
                    <w:t>35.6205688</w:t>
                  </w:r>
                </w:p>
              </w:tc>
              <w:tc>
                <w:tcPr>
                  <w:tcW w:w="1081"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水生植物</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eastAsia="zh-CN"/>
                    </w:rPr>
                    <w:t>芦苇、香蒲）</w:t>
                  </w:r>
                  <w:r>
                    <w:rPr>
                      <w:rFonts w:hint="eastAsia" w:cs="Times New Roman"/>
                      <w:color w:val="auto"/>
                      <w:kern w:val="0"/>
                      <w:sz w:val="21"/>
                      <w:szCs w:val="21"/>
                      <w:highlight w:val="none"/>
                      <w:lang w:val="en-US" w:eastAsia="zh-CN"/>
                    </w:rPr>
                    <w:t>-</w:t>
                  </w:r>
                </w:p>
              </w:tc>
              <w:tc>
                <w:tcPr>
                  <w:tcW w:w="1050"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60" w:type="dxa"/>
                  <w:tcBorders>
                    <w:tl2br w:val="nil"/>
                    <w:tr2bl w:val="nil"/>
                  </w:tcBorders>
                  <w:vAlign w:val="center"/>
                </w:tcPr>
                <w:p>
                  <w:pPr>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S，50m</w:t>
                  </w:r>
                </w:p>
              </w:tc>
              <w:tc>
                <w:tcPr>
                  <w:tcW w:w="642" w:type="dxa"/>
                  <w:tcBorders>
                    <w:tl2br w:val="nil"/>
                    <w:tr2bl w:val="nil"/>
                  </w:tcBorders>
                  <w:vAlign w:val="center"/>
                </w:tcPr>
                <w:p>
                  <w:pPr>
                    <w:adjustRightInd w:val="0"/>
                    <w:snapToGrid w:val="0"/>
                    <w:spacing w:line="240" w:lineRule="auto"/>
                    <w:ind w:firstLine="0" w:firstLineChars="0"/>
                    <w:jc w:val="center"/>
                    <w:rPr>
                      <w:rFonts w:cs="Times New Roman"/>
                      <w:color w:val="auto"/>
                      <w:kern w:val="0"/>
                      <w:sz w:val="21"/>
                      <w:szCs w:val="21"/>
                      <w:highlight w:val="none"/>
                    </w:rPr>
                  </w:pPr>
                  <w:r>
                    <w:rPr>
                      <w:rFonts w:ascii="Times New Roman" w:hAnsi="Times New Roman" w:eastAsia="宋体" w:cs="Times New Roman"/>
                      <w:color w:val="auto"/>
                      <w:kern w:val="0"/>
                      <w:sz w:val="21"/>
                      <w:szCs w:val="21"/>
                      <w:highlight w:val="none"/>
                    </w:rPr>
                    <w:t>《地表水环境质量标准》(GB3838-2002)Ⅱ类标准</w:t>
                  </w:r>
                </w:p>
              </w:tc>
            </w:tr>
          </w:tbl>
          <w:p>
            <w:pPr>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2"/>
                <w:highlight w:val="none"/>
                <w:lang w:val="en-US" w:eastAsia="zh-CN" w:bidi="ar-SA"/>
                <w14:textFill>
                  <w14:solidFill>
                    <w14:schemeClr w14:val="tx1"/>
                  </w14:solidFill>
                </w14:textFill>
              </w:rPr>
              <w:t>本项目环境保护目标见图7。</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FF0000"/>
                <w:kern w:val="2"/>
                <w:sz w:val="21"/>
                <w:szCs w:val="22"/>
                <w:highlight w:val="none"/>
                <w:lang w:val="en-US" w:eastAsia="zh-CN" w:bidi="ar-SA"/>
              </w:rPr>
            </w:pPr>
            <w:r>
              <w:rPr>
                <w:rFonts w:hint="default" w:cs="Times New Roman"/>
                <w:color w:val="FF0000"/>
                <w:kern w:val="2"/>
                <w:sz w:val="21"/>
                <w:szCs w:val="22"/>
                <w:highlight w:val="none"/>
                <w:lang w:val="en-US" w:eastAsia="zh-CN" w:bidi="ar-SA"/>
              </w:rPr>
              <w:drawing>
                <wp:inline distT="0" distB="0" distL="114300" distR="114300">
                  <wp:extent cx="4947920" cy="3247390"/>
                  <wp:effectExtent l="0" t="0" r="5080" b="10160"/>
                  <wp:docPr id="2" name="图片 2" descr="保护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保护目标图"/>
                          <pic:cNvPicPr>
                            <a:picLocks noChangeAspect="1"/>
                          </pic:cNvPicPr>
                        </pic:nvPicPr>
                        <pic:blipFill>
                          <a:blip r:embed="rId14"/>
                          <a:stretch>
                            <a:fillRect/>
                          </a:stretch>
                        </pic:blipFill>
                        <pic:spPr>
                          <a:xfrm>
                            <a:off x="0" y="0"/>
                            <a:ext cx="4947920" cy="3247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s="Times New Roman"/>
                <w:kern w:val="2"/>
                <w:sz w:val="21"/>
                <w:szCs w:val="22"/>
                <w:highlight w:val="none"/>
                <w:lang w:val="en-US" w:eastAsia="zh-CN" w:bidi="ar-SA"/>
              </w:rPr>
            </w:pPr>
            <w:r>
              <w:rPr>
                <w:rFonts w:hint="default" w:ascii="Times New Roman" w:hAnsi="Times New Roman" w:eastAsia="宋体" w:cs="Times New Roman"/>
                <w:b/>
                <w:bCs/>
                <w:color w:val="000000" w:themeColor="text1"/>
                <w:spacing w:val="-5"/>
                <w:sz w:val="24"/>
                <w:szCs w:val="24"/>
                <w:highlight w:val="none"/>
                <w:lang w:val="en-US" w:eastAsia="zh-CN"/>
                <w14:textFill>
                  <w14:solidFill>
                    <w14:schemeClr w14:val="tx1"/>
                  </w14:solidFill>
                </w14:textFill>
              </w:rPr>
              <w:t>图</w:t>
            </w:r>
            <w:r>
              <w:rPr>
                <w:rFonts w:hint="eastAsia" w:cs="Times New Roman"/>
                <w:b/>
                <w:bCs/>
                <w:color w:val="000000" w:themeColor="text1"/>
                <w:spacing w:val="-5"/>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5"/>
                <w:sz w:val="24"/>
                <w:szCs w:val="24"/>
                <w:highlight w:val="none"/>
                <w:lang w:val="en-US" w:eastAsia="zh-CN"/>
                <w14:textFill>
                  <w14:solidFill>
                    <w14:schemeClr w14:val="tx1"/>
                  </w14:solidFill>
                </w14:textFill>
              </w:rPr>
              <w:t xml:space="preserve">  </w:t>
            </w:r>
            <w:r>
              <w:rPr>
                <w:rFonts w:hint="eastAsia" w:cs="Times New Roman"/>
                <w:b/>
                <w:bCs/>
                <w:color w:val="000000" w:themeColor="text1"/>
                <w:spacing w:val="-5"/>
                <w:sz w:val="24"/>
                <w:szCs w:val="24"/>
                <w:highlight w:val="none"/>
                <w:lang w:val="en-US" w:eastAsia="zh-CN"/>
                <w14:textFill>
                  <w14:solidFill>
                    <w14:schemeClr w14:val="tx1"/>
                  </w14:solidFill>
                </w14:textFill>
              </w:rPr>
              <w:t>项目环境保护目标图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kern w:val="0"/>
                <w:sz w:val="24"/>
                <w:highlight w:val="none"/>
              </w:rPr>
            </w:pPr>
            <w:r>
              <w:rPr>
                <w:rFonts w:hint="default" w:ascii="Times New Roman" w:hAnsi="Times New Roman" w:eastAsia="宋体" w:cs="Times New Roman"/>
                <w:b/>
                <w:bCs/>
                <w:color w:val="auto"/>
                <w:kern w:val="0"/>
                <w:sz w:val="24"/>
                <w:highlight w:val="none"/>
              </w:rPr>
              <w:t>评价标准</w:t>
            </w:r>
          </w:p>
        </w:tc>
        <w:tc>
          <w:tcPr>
            <w:tcW w:w="8026" w:type="dxa"/>
            <w:vAlign w:val="center"/>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0" w:firstLineChars="0"/>
              <w:textAlignment w:val="auto"/>
              <w:rPr>
                <w:rFonts w:cs="Times New Roman"/>
                <w:b/>
                <w:kern w:val="0"/>
                <w:highlight w:val="none"/>
              </w:rPr>
            </w:pPr>
            <w:r>
              <w:rPr>
                <w:rFonts w:cs="Times New Roman"/>
                <w:b/>
                <w:kern w:val="0"/>
                <w:highlight w:val="none"/>
              </w:rPr>
              <w:t>1、环境质量标准</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本项目环境空气质量标准遵循</w:t>
            </w:r>
            <w:r>
              <w:rPr>
                <w:rFonts w:hint="eastAsia" w:ascii="Times New Roman" w:hAnsi="Times New Roman" w:eastAsia="宋体" w:cs="Times New Roman"/>
                <w:color w:val="auto"/>
                <w:kern w:val="0"/>
                <w:sz w:val="24"/>
                <w:highlight w:val="none"/>
              </w:rPr>
              <w:t>《环境空气质量标准》（GB3095-2012）及修改单</w:t>
            </w:r>
            <w:r>
              <w:rPr>
                <w:rFonts w:hint="default" w:ascii="Times New Roman" w:hAnsi="Times New Roman" w:eastAsia="宋体" w:cs="Times New Roman"/>
                <w:color w:val="auto"/>
                <w:kern w:val="0"/>
                <w:sz w:val="24"/>
                <w:highlight w:val="none"/>
              </w:rPr>
              <w:t>及其修改单中二级标准</w:t>
            </w:r>
            <w:r>
              <w:rPr>
                <w:rFonts w:hint="eastAsia" w:ascii="Times New Roman" w:hAnsi="Times New Roman" w:eastAsia="宋体" w:cs="Times New Roman"/>
                <w:color w:val="auto"/>
                <w:kern w:val="0"/>
                <w:sz w:val="24"/>
                <w:highlight w:val="none"/>
                <w:lang w:eastAsia="zh-CN"/>
              </w:rPr>
              <w:t>，见下表。</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0" w:firstLineChars="0"/>
              <w:textAlignment w:val="auto"/>
              <w:rPr>
                <w:rFonts w:hint="eastAsia" w:ascii="宋体" w:hAnsi="宋体" w:eastAsia="宋体" w:cs="宋体"/>
                <w:b/>
                <w:bCs/>
                <w:kern w:val="0"/>
                <w:highlight w:val="none"/>
              </w:rPr>
            </w:pPr>
            <w:r>
              <w:rPr>
                <w:rFonts w:hint="eastAsia" w:ascii="宋体" w:hAnsi="宋体" w:eastAsia="宋体" w:cs="宋体"/>
                <w:b/>
                <w:bCs/>
                <w:kern w:val="0"/>
                <w:highlight w:val="none"/>
                <w:lang w:eastAsia="zh-CN"/>
              </w:rPr>
              <w:t>表</w:t>
            </w:r>
            <w:r>
              <w:rPr>
                <w:rFonts w:hint="default" w:ascii="Times New Roman" w:hAnsi="Times New Roman" w:eastAsia="宋体" w:cs="Times New Roman"/>
                <w:b/>
                <w:bCs/>
                <w:kern w:val="0"/>
                <w:highlight w:val="none"/>
                <w:lang w:val="en-US" w:eastAsia="zh-CN"/>
              </w:rPr>
              <w:t>3-4</w:t>
            </w:r>
            <w:r>
              <w:rPr>
                <w:rFonts w:hint="eastAsia" w:ascii="宋体" w:hAnsi="宋体" w:eastAsia="宋体" w:cs="宋体"/>
                <w:b/>
                <w:bCs/>
                <w:kern w:val="0"/>
                <w:highlight w:val="none"/>
                <w:lang w:val="en-US" w:eastAsia="zh-CN"/>
              </w:rPr>
              <w:t xml:space="preserve">  </w:t>
            </w:r>
            <w:r>
              <w:rPr>
                <w:rFonts w:hint="eastAsia" w:ascii="宋体" w:hAnsi="宋体" w:eastAsia="宋体" w:cs="宋体"/>
                <w:b/>
                <w:bCs/>
                <w:kern w:val="0"/>
                <w:highlight w:val="none"/>
              </w:rPr>
              <w:t>《环境空气质量标准》（GB3095-2012）及修改单及其修改单中二级标准</w:t>
            </w:r>
          </w:p>
          <w:tbl>
            <w:tblPr>
              <w:tblStyle w:val="2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750"/>
              <w:gridCol w:w="796"/>
              <w:gridCol w:w="826"/>
              <w:gridCol w:w="1082"/>
              <w:gridCol w:w="982"/>
              <w:gridCol w:w="2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b/>
                      <w:sz w:val="21"/>
                      <w:szCs w:val="21"/>
                      <w:highlight w:val="none"/>
                    </w:rPr>
                    <w:t>污染物</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b/>
                      <w:sz w:val="21"/>
                      <w:szCs w:val="21"/>
                      <w:highlight w:val="none"/>
                    </w:rPr>
                    <w:t>年平均</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b/>
                      <w:sz w:val="21"/>
                      <w:szCs w:val="21"/>
                      <w:highlight w:val="none"/>
                    </w:rPr>
                    <w:t>24小时平均</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b/>
                      <w:sz w:val="21"/>
                      <w:szCs w:val="21"/>
                      <w:highlight w:val="none"/>
                    </w:rPr>
                    <w:t>1小时平均</w:t>
                  </w:r>
                </w:p>
              </w:tc>
              <w:tc>
                <w:tcPr>
                  <w:tcW w:w="1082" w:type="dxa"/>
                  <w:tcBorders>
                    <w:tl2br w:val="nil"/>
                    <w:tr2bl w:val="nil"/>
                  </w:tcBorders>
                  <w:vAlign w:val="center"/>
                </w:tcPr>
                <w:p>
                  <w:pPr>
                    <w:spacing w:line="240" w:lineRule="auto"/>
                    <w:ind w:firstLine="0" w:firstLineChars="0"/>
                    <w:jc w:val="center"/>
                    <w:rPr>
                      <w:rFonts w:hint="default" w:eastAsia="宋体" w:cs="Times New Roman"/>
                      <w:b/>
                      <w:sz w:val="21"/>
                      <w:szCs w:val="21"/>
                      <w:highlight w:val="none"/>
                      <w:lang w:val="en-US" w:eastAsia="zh-CN"/>
                    </w:rPr>
                  </w:pPr>
                  <w:r>
                    <w:rPr>
                      <w:rFonts w:hint="eastAsia" w:cs="Times New Roman"/>
                      <w:b/>
                      <w:sz w:val="21"/>
                      <w:szCs w:val="21"/>
                      <w:highlight w:val="none"/>
                      <w:lang w:eastAsia="zh-CN"/>
                    </w:rPr>
                    <w:t>日最大</w:t>
                  </w:r>
                  <w:r>
                    <w:rPr>
                      <w:rFonts w:hint="eastAsia" w:cs="Times New Roman"/>
                      <w:b/>
                      <w:sz w:val="21"/>
                      <w:szCs w:val="21"/>
                      <w:highlight w:val="none"/>
                      <w:lang w:val="en-US" w:eastAsia="zh-CN"/>
                    </w:rPr>
                    <w:t>8小时平均</w:t>
                  </w:r>
                </w:p>
              </w:tc>
              <w:tc>
                <w:tcPr>
                  <w:tcW w:w="982" w:type="dxa"/>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单位</w:t>
                  </w:r>
                </w:p>
              </w:tc>
              <w:tc>
                <w:tcPr>
                  <w:tcW w:w="2198" w:type="dxa"/>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SO</w:t>
                  </w:r>
                  <w:r>
                    <w:rPr>
                      <w:rFonts w:cs="Times New Roman"/>
                      <w:sz w:val="21"/>
                      <w:szCs w:val="21"/>
                      <w:highlight w:val="none"/>
                      <w:vertAlign w:val="subscript"/>
                    </w:rPr>
                    <w:t>2</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150</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500</w:t>
                  </w:r>
                </w:p>
              </w:tc>
              <w:tc>
                <w:tcPr>
                  <w:tcW w:w="1082"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restart"/>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μg/m</w:t>
                  </w:r>
                  <w:r>
                    <w:rPr>
                      <w:rFonts w:cs="Times New Roman"/>
                      <w:sz w:val="21"/>
                      <w:szCs w:val="21"/>
                      <w:highlight w:val="none"/>
                      <w:vertAlign w:val="superscript"/>
                    </w:rPr>
                    <w:t>3</w:t>
                  </w:r>
                </w:p>
              </w:tc>
              <w:tc>
                <w:tcPr>
                  <w:tcW w:w="2198" w:type="dxa"/>
                  <w:vMerge w:val="restart"/>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《环境空气质量标准》（GB3095-2012）</w:t>
                  </w:r>
                  <w:r>
                    <w:rPr>
                      <w:rFonts w:cs="Times New Roman"/>
                      <w:sz w:val="21"/>
                      <w:szCs w:val="21"/>
                      <w:highlight w:val="none"/>
                    </w:rPr>
                    <w:t>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NO</w:t>
                  </w:r>
                  <w:r>
                    <w:rPr>
                      <w:rFonts w:cs="Times New Roman"/>
                      <w:sz w:val="21"/>
                      <w:szCs w:val="21"/>
                      <w:highlight w:val="none"/>
                      <w:vertAlign w:val="subscript"/>
                    </w:rPr>
                    <w:t>2</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40</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200</w:t>
                  </w:r>
                </w:p>
              </w:tc>
              <w:tc>
                <w:tcPr>
                  <w:tcW w:w="1082"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c>
                <w:tcPr>
                  <w:tcW w:w="2198"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CO</w:t>
                  </w:r>
                </w:p>
              </w:tc>
              <w:tc>
                <w:tcPr>
                  <w:tcW w:w="750" w:type="dxa"/>
                  <w:tcBorders>
                    <w:tl2br w:val="nil"/>
                    <w:tr2bl w:val="nil"/>
                  </w:tcBorders>
                  <w:vAlign w:val="center"/>
                </w:tcPr>
                <w:p>
                  <w:pPr>
                    <w:tabs>
                      <w:tab w:val="left" w:pos="720"/>
                    </w:tabs>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1082"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c>
                <w:tcPr>
                  <w:tcW w:w="2198"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O</w:t>
                  </w:r>
                  <w:r>
                    <w:rPr>
                      <w:rFonts w:cs="Times New Roman"/>
                      <w:sz w:val="21"/>
                      <w:szCs w:val="21"/>
                      <w:highlight w:val="none"/>
                      <w:vertAlign w:val="subscript"/>
                    </w:rPr>
                    <w:t>3</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796"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200</w:t>
                  </w:r>
                </w:p>
              </w:tc>
              <w:tc>
                <w:tcPr>
                  <w:tcW w:w="1082" w:type="dxa"/>
                  <w:tcBorders>
                    <w:tl2br w:val="nil"/>
                    <w:tr2bl w:val="nil"/>
                  </w:tcBorders>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160</w:t>
                  </w:r>
                </w:p>
              </w:tc>
              <w:tc>
                <w:tcPr>
                  <w:tcW w:w="982"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c>
                <w:tcPr>
                  <w:tcW w:w="2198"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10</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150</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1082"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c>
                <w:tcPr>
                  <w:tcW w:w="2198"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2.5</w:t>
                  </w:r>
                </w:p>
              </w:tc>
              <w:tc>
                <w:tcPr>
                  <w:tcW w:w="750"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35</w:t>
                  </w:r>
                </w:p>
              </w:tc>
              <w:tc>
                <w:tcPr>
                  <w:tcW w:w="79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826"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1082"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82"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c>
                <w:tcPr>
                  <w:tcW w:w="2198" w:type="dxa"/>
                  <w:vMerge w:val="continue"/>
                  <w:tcBorders>
                    <w:tl2br w:val="nil"/>
                    <w:tr2bl w:val="nil"/>
                  </w:tcBorders>
                  <w:vAlign w:val="center"/>
                </w:tcPr>
                <w:p>
                  <w:pPr>
                    <w:widowControl/>
                    <w:spacing w:line="240" w:lineRule="auto"/>
                    <w:ind w:firstLine="0" w:firstLineChars="0"/>
                    <w:jc w:val="left"/>
                    <w:rPr>
                      <w:rFonts w:cs="Times New Roman"/>
                      <w:sz w:val="21"/>
                      <w:szCs w:val="21"/>
                      <w:highlight w:val="none"/>
                    </w:rPr>
                  </w:pPr>
                </w:p>
              </w:tc>
            </w:tr>
          </w:tbl>
          <w:p>
            <w:pPr>
              <w:keepNext w:val="0"/>
              <w:keepLines w:val="0"/>
              <w:pageBreakBefore w:val="0"/>
              <w:widowControl w:val="0"/>
              <w:kinsoku/>
              <w:wordWrap/>
              <w:overflowPunct/>
              <w:topLinePunct w:val="0"/>
              <w:autoSpaceDE w:val="0"/>
              <w:autoSpaceDN w:val="0"/>
              <w:bidi w:val="0"/>
              <w:adjustRightInd w:val="0"/>
              <w:snapToGrid w:val="0"/>
              <w:spacing w:line="540" w:lineRule="exact"/>
              <w:ind w:firstLine="0" w:firstLineChars="0"/>
              <w:textAlignment w:val="auto"/>
              <w:rPr>
                <w:rFonts w:hint="eastAsia" w:cs="Times New Roman"/>
                <w:b/>
                <w:kern w:val="0"/>
                <w:highlight w:val="none"/>
                <w:lang w:val="en-US" w:eastAsia="zh-CN"/>
              </w:rPr>
            </w:pPr>
            <w:r>
              <w:rPr>
                <w:rFonts w:hint="eastAsia" w:cs="Times New Roman"/>
                <w:b/>
                <w:kern w:val="0"/>
                <w:highlight w:val="none"/>
                <w:lang w:val="en-US" w:eastAsia="zh-CN"/>
              </w:rPr>
              <w:t>2、声环境质量标准</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本项目声环境质量标准遵循</w:t>
            </w:r>
            <w:r>
              <w:rPr>
                <w:rFonts w:hint="eastAsia" w:ascii="Times New Roman" w:hAnsi="Times New Roman" w:eastAsia="宋体" w:cs="Times New Roman"/>
                <w:color w:val="auto"/>
                <w:kern w:val="0"/>
                <w:sz w:val="24"/>
                <w:highlight w:val="none"/>
              </w:rPr>
              <w:t>《声环境质量标准》（GB30192-2008）中的2类标准</w:t>
            </w:r>
            <w:r>
              <w:rPr>
                <w:rFonts w:hint="eastAsia" w:cs="Times New Roman"/>
                <w:color w:val="auto"/>
                <w:kern w:val="0"/>
                <w:sz w:val="24"/>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eastAsia="zh-CN"/>
              </w:rPr>
              <w:t>表</w:t>
            </w:r>
            <w:r>
              <w:rPr>
                <w:rFonts w:hint="default" w:ascii="Times New Roman" w:hAnsi="Times New Roman" w:eastAsia="宋体" w:cs="Times New Roman"/>
                <w:b/>
                <w:bCs/>
                <w:kern w:val="0"/>
                <w:highlight w:val="none"/>
                <w:lang w:val="en-US" w:eastAsia="zh-CN"/>
              </w:rPr>
              <w:t>3-5</w:t>
            </w:r>
            <w:r>
              <w:rPr>
                <w:rFonts w:hint="default" w:ascii="Times New Roman" w:hAnsi="Times New Roman" w:eastAsia="宋体" w:cs="Times New Roman"/>
                <w:b/>
                <w:bCs/>
                <w:kern w:val="0"/>
                <w:highlight w:val="none"/>
              </w:rPr>
              <w:t>《声环境质量标准》（GB30192-2008）中的2类标准</w:t>
            </w:r>
          </w:p>
          <w:tbl>
            <w:tblPr>
              <w:tblStyle w:val="20"/>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167"/>
              <w:gridCol w:w="3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557" w:type="dxa"/>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类别</w:t>
                  </w:r>
                </w:p>
              </w:tc>
              <w:tc>
                <w:tcPr>
                  <w:tcW w:w="3167" w:type="dxa"/>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昼间</w:t>
                  </w:r>
                  <w:r>
                    <w:rPr>
                      <w:rFonts w:cs="Times New Roman"/>
                      <w:bCs/>
                      <w:sz w:val="21"/>
                      <w:szCs w:val="21"/>
                      <w:highlight w:val="none"/>
                    </w:rPr>
                    <w:t>dB(A)</w:t>
                  </w:r>
                </w:p>
              </w:tc>
              <w:tc>
                <w:tcPr>
                  <w:tcW w:w="3213" w:type="dxa"/>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夜间</w:t>
                  </w:r>
                  <w:r>
                    <w:rPr>
                      <w:rFonts w:cs="Times New Roman"/>
                      <w:bCs/>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7" w:type="dxa"/>
                  <w:tcBorders>
                    <w:tl2br w:val="nil"/>
                    <w:tr2bl w:val="nil"/>
                  </w:tcBorders>
                  <w:vAlign w:val="center"/>
                </w:tcPr>
                <w:p>
                  <w:pPr>
                    <w:spacing w:line="240" w:lineRule="auto"/>
                    <w:ind w:firstLine="0" w:firstLineChars="0"/>
                    <w:jc w:val="center"/>
                    <w:rPr>
                      <w:rFonts w:cs="Times New Roman"/>
                      <w:bCs/>
                      <w:sz w:val="21"/>
                      <w:szCs w:val="21"/>
                      <w:highlight w:val="none"/>
                    </w:rPr>
                  </w:pPr>
                  <w:r>
                    <w:rPr>
                      <w:rFonts w:cs="Times New Roman"/>
                      <w:bCs/>
                      <w:sz w:val="21"/>
                      <w:szCs w:val="21"/>
                      <w:highlight w:val="none"/>
                    </w:rPr>
                    <w:t>2类</w:t>
                  </w:r>
                </w:p>
              </w:tc>
              <w:tc>
                <w:tcPr>
                  <w:tcW w:w="3167" w:type="dxa"/>
                  <w:tcBorders>
                    <w:tl2br w:val="nil"/>
                    <w:tr2bl w:val="nil"/>
                  </w:tcBorders>
                  <w:vAlign w:val="center"/>
                </w:tcPr>
                <w:p>
                  <w:pPr>
                    <w:spacing w:line="240" w:lineRule="auto"/>
                    <w:ind w:firstLine="0" w:firstLineChars="0"/>
                    <w:jc w:val="center"/>
                    <w:rPr>
                      <w:rFonts w:cs="Times New Roman"/>
                      <w:bCs/>
                      <w:sz w:val="21"/>
                      <w:szCs w:val="21"/>
                      <w:highlight w:val="none"/>
                    </w:rPr>
                  </w:pPr>
                  <w:r>
                    <w:rPr>
                      <w:rFonts w:cs="Times New Roman"/>
                      <w:bCs/>
                      <w:sz w:val="21"/>
                      <w:szCs w:val="21"/>
                      <w:highlight w:val="none"/>
                    </w:rPr>
                    <w:t>60</w:t>
                  </w:r>
                </w:p>
              </w:tc>
              <w:tc>
                <w:tcPr>
                  <w:tcW w:w="3213" w:type="dxa"/>
                  <w:tcBorders>
                    <w:tl2br w:val="nil"/>
                    <w:tr2bl w:val="nil"/>
                  </w:tcBorders>
                  <w:vAlign w:val="center"/>
                </w:tcPr>
                <w:p>
                  <w:pPr>
                    <w:spacing w:line="240" w:lineRule="auto"/>
                    <w:ind w:firstLine="0" w:firstLineChars="0"/>
                    <w:jc w:val="center"/>
                    <w:rPr>
                      <w:rFonts w:cs="Times New Roman"/>
                      <w:bCs/>
                      <w:sz w:val="21"/>
                      <w:szCs w:val="21"/>
                      <w:highlight w:val="none"/>
                    </w:rPr>
                  </w:pPr>
                  <w:r>
                    <w:rPr>
                      <w:rFonts w:hint="eastAsia" w:cs="Times New Roman"/>
                      <w:bCs/>
                      <w:sz w:val="21"/>
                      <w:szCs w:val="21"/>
                      <w:highlight w:val="none"/>
                    </w:rPr>
                    <w:t>50</w:t>
                  </w:r>
                </w:p>
              </w:tc>
            </w:tr>
          </w:tbl>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left"/>
              <w:textAlignment w:val="auto"/>
              <w:rPr>
                <w:rFonts w:hint="eastAsia"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val="en-US" w:eastAsia="zh-CN"/>
              </w:rPr>
              <w:t>3</w:t>
            </w:r>
            <w:r>
              <w:rPr>
                <w:rFonts w:hint="eastAsia" w:ascii="Times New Roman" w:hAnsi="Times New Roman" w:eastAsia="宋体" w:cs="Times New Roman"/>
                <w:b/>
                <w:bCs/>
                <w:color w:val="auto"/>
                <w:kern w:val="0"/>
                <w:sz w:val="24"/>
                <w:highlight w:val="none"/>
                <w:lang w:eastAsia="zh-CN"/>
              </w:rPr>
              <w:t>、污染物排放标准</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⑴</w:t>
            </w:r>
            <w:r>
              <w:rPr>
                <w:rFonts w:hint="eastAsia" w:cs="Times New Roman"/>
                <w:color w:val="auto"/>
                <w:kern w:val="0"/>
                <w:sz w:val="24"/>
                <w:highlight w:val="none"/>
                <w:lang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本项目施工期大气污染物排放标准执行《大气污染物综合排放标准》（GB16297-1996）表2无组织排放限值</w:t>
            </w:r>
            <w:r>
              <w:rPr>
                <w:rFonts w:hint="eastAsia" w:cs="Times New Roman"/>
                <w:color w:val="auto"/>
                <w:kern w:val="0"/>
                <w:sz w:val="24"/>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val="en-US" w:eastAsia="zh-CN"/>
              </w:rPr>
              <w:t xml:space="preserve">表3-6 </w:t>
            </w:r>
            <w:r>
              <w:rPr>
                <w:rFonts w:hint="default" w:ascii="Times New Roman" w:hAnsi="Times New Roman" w:eastAsia="宋体" w:cs="Times New Roman"/>
                <w:b/>
                <w:bCs/>
                <w:kern w:val="0"/>
                <w:highlight w:val="none"/>
              </w:rPr>
              <w:t>《大气污染物综合排放标准》（GB16297-1996）表2无组织排放限值</w:t>
            </w:r>
          </w:p>
          <w:tbl>
            <w:tblPr>
              <w:tblStyle w:val="20"/>
              <w:tblW w:w="81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3142"/>
              <w:gridCol w:w="2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2166" w:type="dxa"/>
                  <w:vMerge w:val="restart"/>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污染物</w:t>
                  </w:r>
                </w:p>
              </w:tc>
              <w:tc>
                <w:tcPr>
                  <w:tcW w:w="5941" w:type="dxa"/>
                  <w:gridSpan w:val="2"/>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无组织排放监控浓度值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2166" w:type="dxa"/>
                  <w:vMerge w:val="continue"/>
                  <w:tcBorders>
                    <w:tl2br w:val="nil"/>
                    <w:tr2bl w:val="nil"/>
                  </w:tcBorders>
                  <w:vAlign w:val="center"/>
                </w:tcPr>
                <w:p>
                  <w:pPr>
                    <w:widowControl/>
                    <w:spacing w:line="240" w:lineRule="auto"/>
                    <w:ind w:firstLine="0" w:firstLineChars="0"/>
                    <w:jc w:val="left"/>
                    <w:rPr>
                      <w:rFonts w:cs="Times New Roman"/>
                      <w:b/>
                      <w:sz w:val="21"/>
                      <w:szCs w:val="21"/>
                      <w:highlight w:val="none"/>
                    </w:rPr>
                  </w:pPr>
                </w:p>
              </w:tc>
              <w:tc>
                <w:tcPr>
                  <w:tcW w:w="3142"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监控点</w:t>
                  </w:r>
                </w:p>
              </w:tc>
              <w:tc>
                <w:tcPr>
                  <w:tcW w:w="2799" w:type="dxa"/>
                  <w:tcBorders>
                    <w:tl2br w:val="nil"/>
                    <w:tr2bl w:val="nil"/>
                  </w:tcBorders>
                  <w:vAlign w:val="center"/>
                </w:tcPr>
                <w:p>
                  <w:pPr>
                    <w:adjustRightInd w:val="0"/>
                    <w:snapToGrid w:val="0"/>
                    <w:spacing w:line="240" w:lineRule="auto"/>
                    <w:ind w:firstLine="0" w:firstLineChars="0"/>
                    <w:jc w:val="center"/>
                    <w:rPr>
                      <w:rFonts w:cs="Times New Roman"/>
                      <w:b/>
                      <w:sz w:val="21"/>
                      <w:szCs w:val="21"/>
                      <w:highlight w:val="none"/>
                    </w:rPr>
                  </w:pPr>
                  <w:r>
                    <w:rPr>
                      <w:rFonts w:cs="Times New Roman"/>
                      <w:b/>
                      <w:sz w:val="21"/>
                      <w:szCs w:val="21"/>
                      <w:highlight w:val="none"/>
                    </w:rPr>
                    <w:t>浓度（mg/m</w:t>
                  </w:r>
                  <w:r>
                    <w:rPr>
                      <w:rFonts w:cs="Times New Roman"/>
                      <w:b/>
                      <w:sz w:val="21"/>
                      <w:szCs w:val="21"/>
                      <w:highlight w:val="none"/>
                      <w:vertAlign w:val="superscript"/>
                    </w:rPr>
                    <w:t>3</w:t>
                  </w:r>
                  <w:r>
                    <w:rPr>
                      <w:rFonts w:cs="Times New Roman"/>
                      <w:b/>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66"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颗粒物</w:t>
                  </w:r>
                </w:p>
              </w:tc>
              <w:tc>
                <w:tcPr>
                  <w:tcW w:w="3142"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周界外浓度最高点</w:t>
                  </w:r>
                </w:p>
              </w:tc>
              <w:tc>
                <w:tcPr>
                  <w:tcW w:w="2799" w:type="dxa"/>
                  <w:tcBorders>
                    <w:tl2br w:val="nil"/>
                    <w:tr2bl w:val="nil"/>
                  </w:tcBorders>
                  <w:vAlign w:val="center"/>
                </w:tcPr>
                <w:p>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cs="Times New Roman"/>
                <w:kern w:val="0"/>
                <w:highlight w:val="none"/>
              </w:rPr>
              <w:t>⑵</w:t>
            </w:r>
            <w:r>
              <w:rPr>
                <w:rFonts w:hint="eastAsia" w:ascii="Times New Roman" w:hAnsi="Times New Roman" w:eastAsia="宋体" w:cs="Times New Roman"/>
                <w:color w:val="auto"/>
                <w:kern w:val="0"/>
                <w:sz w:val="24"/>
                <w:highlight w:val="none"/>
                <w:lang w:eastAsia="zh-CN"/>
              </w:rPr>
              <w:t>噪声排放标准</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本项目施工期</w:t>
            </w:r>
            <w:r>
              <w:rPr>
                <w:rFonts w:hint="eastAsia" w:cs="Times New Roman"/>
                <w:color w:val="auto"/>
                <w:kern w:val="0"/>
                <w:sz w:val="24"/>
                <w:highlight w:val="none"/>
                <w:lang w:eastAsia="zh-CN"/>
              </w:rPr>
              <w:t>厂界</w:t>
            </w:r>
            <w:r>
              <w:rPr>
                <w:rFonts w:hint="eastAsia" w:ascii="Times New Roman" w:hAnsi="Times New Roman" w:eastAsia="宋体" w:cs="Times New Roman"/>
                <w:color w:val="auto"/>
                <w:kern w:val="0"/>
                <w:sz w:val="24"/>
                <w:highlight w:val="none"/>
                <w:lang w:eastAsia="zh-CN"/>
              </w:rPr>
              <w:t>噪声排放标准执行《建筑施工场界环境噪声排放标准》（GB12523-2011），见下表。</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lang w:eastAsia="zh-CN"/>
              </w:rPr>
              <w:t>表</w:t>
            </w:r>
            <w:r>
              <w:rPr>
                <w:rFonts w:hint="default" w:ascii="Times New Roman" w:hAnsi="Times New Roman" w:eastAsia="宋体" w:cs="Times New Roman"/>
                <w:b/>
                <w:bCs/>
                <w:kern w:val="0"/>
                <w:highlight w:val="none"/>
                <w:lang w:val="en-US" w:eastAsia="zh-CN"/>
              </w:rPr>
              <w:t xml:space="preserve">3-7 </w:t>
            </w:r>
            <w:r>
              <w:rPr>
                <w:rFonts w:hint="default" w:ascii="Times New Roman" w:hAnsi="Times New Roman" w:eastAsia="宋体" w:cs="Times New Roman"/>
                <w:b/>
                <w:bCs/>
                <w:kern w:val="0"/>
                <w:highlight w:val="none"/>
              </w:rPr>
              <w:t>《建筑施工场界环境噪声排放标准》（GB12523-2011）</w:t>
            </w:r>
          </w:p>
          <w:tbl>
            <w:tblPr>
              <w:tblStyle w:val="20"/>
              <w:tblW w:w="81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4149"/>
              <w:gridCol w:w="2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865" w:type="dxa"/>
                  <w:vMerge w:val="restart"/>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施工阶段</w:t>
                  </w:r>
                </w:p>
              </w:tc>
              <w:tc>
                <w:tcPr>
                  <w:tcW w:w="6242" w:type="dxa"/>
                  <w:gridSpan w:val="2"/>
                  <w:tcBorders>
                    <w:tl2br w:val="nil"/>
                    <w:tr2bl w:val="nil"/>
                  </w:tcBorders>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65" w:type="dxa"/>
                  <w:vMerge w:val="continue"/>
                  <w:tcBorders>
                    <w:tl2br w:val="nil"/>
                    <w:tr2bl w:val="nil"/>
                  </w:tcBorders>
                  <w:vAlign w:val="center"/>
                </w:tcPr>
                <w:p>
                  <w:pPr>
                    <w:widowControl/>
                    <w:spacing w:line="240" w:lineRule="auto"/>
                    <w:ind w:firstLine="0" w:firstLineChars="0"/>
                    <w:jc w:val="center"/>
                    <w:rPr>
                      <w:rFonts w:cs="Times New Roman"/>
                      <w:sz w:val="21"/>
                      <w:szCs w:val="21"/>
                      <w:highlight w:val="none"/>
                    </w:rPr>
                  </w:pPr>
                </w:p>
              </w:tc>
              <w:tc>
                <w:tcPr>
                  <w:tcW w:w="4149"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昼间70</w:t>
                  </w:r>
                </w:p>
              </w:tc>
              <w:tc>
                <w:tcPr>
                  <w:tcW w:w="209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夜间55</w:t>
                  </w:r>
                </w:p>
              </w:tc>
            </w:tr>
          </w:tbl>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fldChar w:fldCharType="begin"/>
            </w:r>
            <w:r>
              <w:rPr>
                <w:rFonts w:hint="default" w:ascii="Times New Roman" w:hAnsi="Times New Roman" w:eastAsia="宋体" w:cs="Times New Roman"/>
                <w:color w:val="auto"/>
                <w:kern w:val="0"/>
                <w:sz w:val="24"/>
                <w:highlight w:val="none"/>
                <w:lang w:eastAsia="zh-CN"/>
              </w:rPr>
              <w:instrText xml:space="preserve"> = 3 \* GB2 \* MERGEFORMAT </w:instrText>
            </w:r>
            <w:r>
              <w:rPr>
                <w:rFonts w:hint="default" w:ascii="Times New Roman" w:hAnsi="Times New Roman" w:eastAsia="宋体" w:cs="Times New Roman"/>
                <w:color w:val="auto"/>
                <w:kern w:val="0"/>
                <w:sz w:val="24"/>
                <w:highlight w:val="none"/>
                <w:lang w:eastAsia="zh-CN"/>
              </w:rPr>
              <w:fldChar w:fldCharType="separate"/>
            </w:r>
            <w:r>
              <w:rPr>
                <w:rFonts w:hint="eastAsia" w:ascii="Times New Roman" w:hAnsi="Times New Roman" w:eastAsia="宋体" w:cs="Times New Roman"/>
                <w:color w:val="auto"/>
                <w:kern w:val="0"/>
                <w:sz w:val="24"/>
                <w:highlight w:val="none"/>
                <w:lang w:eastAsia="zh-CN"/>
              </w:rPr>
              <w:t>⑶</w:t>
            </w:r>
            <w:r>
              <w:rPr>
                <w:rFonts w:hint="default" w:ascii="Times New Roman" w:hAnsi="Times New Roman" w:eastAsia="宋体" w:cs="Times New Roman"/>
                <w:color w:val="auto"/>
                <w:kern w:val="0"/>
                <w:sz w:val="24"/>
                <w:highlight w:val="none"/>
                <w:lang w:eastAsia="zh-CN"/>
              </w:rPr>
              <w:fldChar w:fldCharType="end"/>
            </w:r>
            <w:r>
              <w:rPr>
                <w:rFonts w:hint="eastAsia" w:ascii="Times New Roman" w:hAnsi="Times New Roman" w:eastAsia="宋体" w:cs="Times New Roman"/>
                <w:color w:val="auto"/>
                <w:kern w:val="0"/>
                <w:sz w:val="24"/>
                <w:highlight w:val="none"/>
                <w:lang w:eastAsia="zh-CN"/>
              </w:rPr>
              <w:t>固体废弃物执行标准</w:t>
            </w:r>
          </w:p>
          <w:p>
            <w:pPr>
              <w:keepNext w:val="0"/>
              <w:keepLines w:val="0"/>
              <w:pageBreakBefore w:val="0"/>
              <w:widowControl/>
              <w:suppressLineNumbers w:val="0"/>
              <w:kinsoku/>
              <w:wordWrap/>
              <w:overflowPunct/>
              <w:topLinePunct w:val="0"/>
              <w:autoSpaceDE/>
              <w:autoSpaceDN/>
              <w:bidi w:val="0"/>
              <w:adjustRightInd/>
              <w:snapToGrid/>
              <w:spacing w:line="540" w:lineRule="exact"/>
              <w:jc w:val="left"/>
              <w:textAlignment w:val="auto"/>
              <w:rPr>
                <w:rFonts w:hint="default" w:cs="Times New Roman"/>
                <w:color w:val="auto"/>
                <w:kern w:val="0"/>
                <w:sz w:val="24"/>
                <w:highlight w:val="none"/>
                <w:lang w:val="en-US" w:eastAsia="zh-CN"/>
              </w:rPr>
            </w:pPr>
            <w:r>
              <w:rPr>
                <w:rFonts w:hint="eastAsia" w:cs="Times New Roman"/>
                <w:color w:val="auto"/>
                <w:kern w:val="0"/>
                <w:sz w:val="24"/>
                <w:highlight w:val="none"/>
                <w:lang w:eastAsia="zh-CN"/>
              </w:rPr>
              <w:t>一般固废执行《一般工业固体废物储存和填埋污染控制标准》（</w:t>
            </w:r>
            <w:r>
              <w:rPr>
                <w:rFonts w:hint="eastAsia" w:cs="Times New Roman"/>
                <w:color w:val="auto"/>
                <w:kern w:val="0"/>
                <w:sz w:val="24"/>
                <w:highlight w:val="none"/>
                <w:lang w:val="en-US" w:eastAsia="zh-CN"/>
              </w:rPr>
              <w:t>GB18599-2020</w:t>
            </w:r>
            <w:r>
              <w:rPr>
                <w:rFonts w:hint="eastAsia" w:cs="Times New Roman"/>
                <w:color w:val="auto"/>
                <w:kern w:val="0"/>
                <w:sz w:val="24"/>
                <w:highlight w:val="none"/>
                <w:lang w:eastAsia="zh-CN"/>
              </w:rPr>
              <w:t>）中的相关规定</w:t>
            </w:r>
            <w:r>
              <w:rPr>
                <w:rFonts w:hint="eastAsia"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val="en-US" w:eastAsia="zh-CN"/>
              </w:rPr>
              <w:t>根据《中华人民共和国固体废物污染环境防治法》第十六条规定：收集、贮存、运输、利用、处置固体废物的单位和个人，必须采取防扬散、防流失、防渗漏或者其他防止污染环境的措施。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86" w:hRule="atLeast"/>
          <w:jc w:val="center"/>
        </w:trPr>
        <w:tc>
          <w:tcPr>
            <w:tcW w:w="988" w:type="dxa"/>
            <w:tcBorders>
              <w:tl2br w:val="nil"/>
              <w:tr2bl w:val="nil"/>
            </w:tcBorders>
            <w:vAlign w:val="center"/>
          </w:tcPr>
          <w:p>
            <w:pPr>
              <w:adjustRightInd w:val="0"/>
              <w:snapToGrid w:val="0"/>
              <w:spacing w:line="360" w:lineRule="auto"/>
              <w:ind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0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eastAsia="zh-CN"/>
              </w:rPr>
              <w:t>本项目为生态环境影响类建设项目，运营期无污染物排放，本项目不设置总量指标。</w:t>
            </w: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宋体" w:cs="Times New Roman"/>
          <w:color w:val="0000FF"/>
          <w:kern w:val="0"/>
          <w:sz w:val="21"/>
          <w:szCs w:val="21"/>
          <w:lang w:val="en-US" w:eastAsia="zh-CN" w:bidi="ar-SA"/>
        </w:rPr>
        <w:br w:type="page"/>
      </w:r>
      <w:r>
        <w:rPr>
          <w:rFonts w:hint="default" w:ascii="Times New Roman" w:hAnsi="Times New Roman" w:eastAsia="黑体" w:cs="Times New Roman"/>
          <w:snapToGrid w:val="0"/>
          <w:color w:val="auto"/>
          <w:kern w:val="0"/>
          <w:sz w:val="30"/>
          <w:szCs w:val="30"/>
          <w:lang w:val="en-US" w:eastAsia="zh-CN" w:bidi="ar-SA"/>
        </w:rPr>
        <w:t>四、生态环境影响分析</w:t>
      </w:r>
    </w:p>
    <w:tbl>
      <w:tblPr>
        <w:tblStyle w:val="20"/>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8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6" w:hRule="atLeast"/>
          <w:jc w:val="center"/>
        </w:trPr>
        <w:tc>
          <w:tcPr>
            <w:tcW w:w="898"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val="0"/>
                <w:color w:val="0000FF"/>
                <w:kern w:val="2"/>
                <w:sz w:val="24"/>
                <w:szCs w:val="24"/>
                <w:lang w:val="en-US" w:eastAsia="zh-CN" w:bidi="ar-SA"/>
              </w:rPr>
            </w:pPr>
            <w:bookmarkStart w:id="18" w:name="_Hlk49796138"/>
            <w:r>
              <w:rPr>
                <w:rFonts w:hint="default" w:ascii="Times New Roman" w:hAnsi="Times New Roman" w:eastAsia="宋体" w:cs="Times New Roman"/>
                <w:b/>
                <w:bCs w:val="0"/>
                <w:color w:val="auto"/>
                <w:spacing w:val="10"/>
                <w:kern w:val="2"/>
                <w:sz w:val="24"/>
                <w:szCs w:val="24"/>
                <w:lang w:val="en-US" w:eastAsia="zh-CN" w:bidi="ar-SA"/>
              </w:rPr>
              <w:t>施工期生态环境影响分析</w:t>
            </w:r>
            <w:bookmarkEnd w:id="18"/>
          </w:p>
        </w:tc>
        <w:tc>
          <w:tcPr>
            <w:tcW w:w="8116" w:type="dxa"/>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1、生态环境影响分析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本次</w:t>
            </w:r>
            <w:r>
              <w:rPr>
                <w:rFonts w:hint="eastAsia" w:cs="Times New Roman"/>
                <w:color w:val="auto"/>
                <w:kern w:val="0"/>
                <w:sz w:val="24"/>
                <w:lang w:eastAsia="zh-CN"/>
              </w:rPr>
              <w:t>隆德县县城</w:t>
            </w:r>
            <w:r>
              <w:rPr>
                <w:rFonts w:hint="default" w:ascii="Times New Roman" w:hAnsi="Times New Roman" w:eastAsia="宋体" w:cs="Times New Roman"/>
                <w:color w:val="auto"/>
                <w:kern w:val="0"/>
                <w:sz w:val="24"/>
                <w:lang w:eastAsia="zh-CN"/>
              </w:rPr>
              <w:t>排</w:t>
            </w:r>
            <w:r>
              <w:rPr>
                <w:rFonts w:hint="eastAsia" w:cs="Times New Roman"/>
                <w:color w:val="auto"/>
                <w:kern w:val="0"/>
                <w:sz w:val="24"/>
                <w:lang w:eastAsia="zh-CN"/>
              </w:rPr>
              <w:t>水防</w:t>
            </w:r>
            <w:r>
              <w:rPr>
                <w:rFonts w:hint="default" w:ascii="Times New Roman" w:hAnsi="Times New Roman" w:eastAsia="宋体" w:cs="Times New Roman"/>
                <w:color w:val="auto"/>
                <w:kern w:val="0"/>
                <w:sz w:val="24"/>
                <w:lang w:eastAsia="zh-CN"/>
              </w:rPr>
              <w:t>涝能力提升工程</w:t>
            </w:r>
            <w:r>
              <w:rPr>
                <w:rFonts w:hint="default" w:ascii="Times New Roman" w:hAnsi="Times New Roman" w:eastAsia="宋体" w:cs="Times New Roman"/>
                <w:color w:val="auto"/>
                <w:kern w:val="0"/>
                <w:sz w:val="24"/>
              </w:rPr>
              <w:t>，主要是在已建防洪工程基础上，在确保防洪安全的情况下，结合当地的发展需要，提升城市排水防涝应急响应和处置能力，加强极端暴雨条件下城市排水防涝应急处置能力建设。</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项目采取分段施工，</w:t>
            </w:r>
            <w:r>
              <w:rPr>
                <w:rFonts w:hint="default" w:ascii="Times New Roman" w:hAnsi="Times New Roman" w:eastAsia="宋体" w:cs="Times New Roman"/>
                <w:color w:val="auto"/>
                <w:kern w:val="0"/>
                <w:sz w:val="24"/>
                <w:lang w:val="en-US" w:eastAsia="zh-CN"/>
              </w:rPr>
              <w:t>本工程安排在非汛期施工，但考虑降雨有可能引发洪水，对护岸工程及沿河台地土料场造成影响。因此，施工时必须考虑降雨及洪水对本工程造成的危害，及时做好天气预报，并合理安排施工措施。一旦出现洪水浸泡土料场后，待洪水退却后，将表层淤泥清理掉，料场开采用垂直开挖，将表层含水量高的土与下部含水量低的土充分混合，严禁水平开挖，含水率不满足设计要求的严禁作为填料土填筑。如垂直开挖含水率仍大于设计最优含水率的，则应对料场土料进行翻晒，直至满足设计最优含水率后才能进行填筑</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⑴生态环境现状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根据现场调查，本项目工程周边主要为未利用地及</w:t>
            </w:r>
            <w:r>
              <w:rPr>
                <w:rFonts w:hint="default" w:ascii="Times New Roman" w:hAnsi="Times New Roman" w:eastAsia="宋体" w:cs="Times New Roman"/>
                <w:color w:val="auto"/>
                <w:kern w:val="0"/>
                <w:sz w:val="24"/>
                <w:lang w:eastAsia="zh-CN"/>
              </w:rPr>
              <w:t>河滩地</w:t>
            </w:r>
            <w:r>
              <w:rPr>
                <w:rFonts w:hint="default" w:ascii="Times New Roman" w:hAnsi="Times New Roman" w:eastAsia="宋体" w:cs="Times New Roman"/>
                <w:color w:val="auto"/>
                <w:kern w:val="0"/>
                <w:sz w:val="24"/>
              </w:rPr>
              <w:t>，对项目区域内的植物种类进行现场调查，本项目拟建场地无珍稀、濒危植物和国家重点保护植物，植物类型主要为莎草、芨芨草、水蓬等。根据现场调查，本项目拟建场地无国家保护动物以及野生动物，主要兽类有鼠类，爬行类有沙蜥，两栖类有蟾蜍等常见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⑵生态环境影响分析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造成的生态环境影响主要是工程施工期对地表植被的破坏，以及地表开挖造成的水土流失。但这些活动属于不连续的局部影响，在施工时做到科学管理，并结合项目建成后项目评价区内生态系统本身的调节和适应，整体上不会对项目拟建场地生态环境系统造成较大影响，随着人工湿地的建成运行，会增加本项目所在区域的生物多样性，对原有的生态环境系统起到改善和增加作用。本项目对生态环境的影响因素主要体现在以下几个方面：</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a.施工阶段造成</w:t>
            </w:r>
            <w:r>
              <w:rPr>
                <w:rFonts w:hint="default" w:ascii="Times New Roman" w:hAnsi="Times New Roman" w:eastAsia="宋体" w:cs="Times New Roman"/>
                <w:color w:val="auto"/>
                <w:kern w:val="0"/>
                <w:sz w:val="24"/>
                <w:lang w:val="en-US" w:eastAsia="zh-CN"/>
              </w:rPr>
              <w:t>护坡岸边</w:t>
            </w:r>
            <w:r>
              <w:rPr>
                <w:rFonts w:hint="default" w:ascii="Times New Roman" w:hAnsi="Times New Roman" w:eastAsia="宋体" w:cs="Times New Roman"/>
                <w:color w:val="auto"/>
                <w:kern w:val="0"/>
                <w:sz w:val="24"/>
              </w:rPr>
              <w:t>植被的破坏，减少了生物量。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b.施工阶段占地对土地造成不同程度的扰动，扰动原地貌新增了当地的水土流失。</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c.施工阶段若对挖方、填方管理不善，在降雨季节，弃土堆受到雨水冲蚀，将造成水土流失。</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⑶动物生态环境影响分析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根据现场走访和调查情况，该范围内主要兽类有鼠类，爬行类主要有沙蜥；两栖类有蟾蜍等常见种。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在施工作业时会对动物造成惊扰，迫使项目区附近的动物迁徙，对动物的生存产生一定的影响。由于施工区环境与施工区以外的环境十分相似，施工区动物比较容易就近找到新的栖息地，同时，由于施工范围有限，项目的建设对动物影响的范围不大且影响时间较短。</w:t>
            </w:r>
            <w:r>
              <w:rPr>
                <w:rFonts w:hint="default" w:ascii="Times New Roman" w:hAnsi="Times New Roman" w:eastAsia="宋体" w:cs="Times New Roman"/>
                <w:color w:val="auto"/>
                <w:kern w:val="0"/>
                <w:sz w:val="24"/>
              </w:rPr>
              <w:t>施工期工程占地不会缩小动物的栖息空间，不影响动物的活动区域、迁徙途径和觅食范围。本项目的建设对于动物的影响是轻微的，其影响类型为暂时性影响。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项目建成运行后，不会对区域动物生态环境造成影响。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⑷自然景观生态环境影响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本项目通过</w:t>
            </w:r>
            <w:r>
              <w:rPr>
                <w:rFonts w:hint="default" w:ascii="Times New Roman" w:hAnsi="Times New Roman" w:eastAsia="宋体" w:cs="Times New Roman"/>
                <w:bCs/>
                <w:color w:val="auto"/>
                <w:sz w:val="24"/>
              </w:rPr>
              <w:t>种植灌木林，增加流域植被面积，提高植被覆盖率，恢复自然岸线，</w:t>
            </w:r>
            <w:r>
              <w:rPr>
                <w:rFonts w:hint="default" w:ascii="Times New Roman" w:hAnsi="Times New Roman" w:eastAsia="宋体" w:cs="Times New Roman"/>
                <w:color w:val="auto"/>
                <w:kern w:val="0"/>
                <w:sz w:val="24"/>
              </w:rPr>
              <w:t>增添新的景观，对该区域原有的自然景观起到了改善作用。</w:t>
            </w:r>
          </w:p>
          <w:p>
            <w:pPr>
              <w:keepNext w:val="0"/>
              <w:keepLines w:val="0"/>
              <w:pageBreakBefore w:val="0"/>
              <w:widowControl w:val="0"/>
              <w:kinsoku/>
              <w:wordWrap/>
              <w:overflowPunct/>
              <w:topLinePunct w:val="0"/>
              <w:bidi w:val="0"/>
              <w:adjustRightInd w:val="0"/>
              <w:snapToGrid w:val="0"/>
              <w:spacing w:line="540" w:lineRule="exact"/>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⑸水土流失的影响分析</w:t>
            </w:r>
          </w:p>
          <w:p>
            <w:pPr>
              <w:keepNext w:val="0"/>
              <w:keepLines w:val="0"/>
              <w:pageBreakBefore w:val="0"/>
              <w:widowControl w:val="0"/>
              <w:kinsoku/>
              <w:wordWrap/>
              <w:overflowPunct/>
              <w:topLinePunct w:val="0"/>
              <w:bidi w:val="0"/>
              <w:adjustRightInd w:val="0"/>
              <w:snapToGrid w:val="0"/>
              <w:spacing w:line="540" w:lineRule="exact"/>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随着施工作业的进行，施工机械的扰动，地表结皮被破坏，在大雨或大风情况下，易造成水土流失。</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cs="Times New Roman"/>
                <w:color w:val="auto"/>
                <w:kern w:val="2"/>
                <w:sz w:val="24"/>
                <w:szCs w:val="24"/>
                <w:lang w:val="en-US" w:eastAsia="zh-CN" w:bidi="ar-SA"/>
              </w:rPr>
              <w:t>分析</w:t>
            </w:r>
            <w:r>
              <w:rPr>
                <w:rFonts w:hint="default" w:ascii="Times New Roman" w:hAnsi="Times New Roman" w:eastAsia="宋体" w:cs="Times New Roman"/>
                <w:color w:val="auto"/>
                <w:kern w:val="2"/>
                <w:sz w:val="24"/>
                <w:szCs w:val="24"/>
                <w:lang w:val="en-US" w:eastAsia="zh-CN" w:bidi="ar-SA"/>
              </w:rPr>
              <w:t>预测结果可知：本项目扰动和损毁地表及植被面积为</w:t>
            </w:r>
            <w:r>
              <w:rPr>
                <w:rFonts w:hint="eastAsia" w:cs="Times New Roman"/>
                <w:color w:val="auto"/>
                <w:kern w:val="2"/>
                <w:sz w:val="24"/>
                <w:szCs w:val="24"/>
                <w:lang w:val="en-US" w:eastAsia="zh-CN" w:bidi="ar-SA"/>
              </w:rPr>
              <w:t>4.23</w:t>
            </w:r>
            <w:r>
              <w:rPr>
                <w:rFonts w:hint="default" w:ascii="Times New Roman" w:hAnsi="Times New Roman" w:eastAsia="宋体" w:cs="Times New Roman"/>
                <w:color w:val="auto"/>
                <w:kern w:val="2"/>
                <w:sz w:val="24"/>
                <w:szCs w:val="24"/>
                <w:lang w:val="en-US" w:eastAsia="zh-CN" w:bidi="ar-SA"/>
              </w:rPr>
              <w:t>m²。本项目原地貌土壤侵蚀总量为10</w:t>
            </w:r>
            <w:r>
              <w:rPr>
                <w:rFonts w:hint="eastAsia" w:cs="Times New Roman"/>
                <w:color w:val="auto"/>
                <w:kern w:val="2"/>
                <w:sz w:val="24"/>
                <w:szCs w:val="24"/>
                <w:lang w:val="en-US" w:eastAsia="zh-CN" w:bidi="ar-SA"/>
              </w:rPr>
              <w:t>8.56</w:t>
            </w:r>
            <w:r>
              <w:rPr>
                <w:rFonts w:hint="default" w:ascii="Times New Roman" w:hAnsi="Times New Roman" w:eastAsia="宋体" w:cs="Times New Roman"/>
                <w:color w:val="auto"/>
                <w:kern w:val="2"/>
                <w:sz w:val="24"/>
                <w:szCs w:val="24"/>
                <w:lang w:val="en-US" w:eastAsia="zh-CN" w:bidi="ar-SA"/>
              </w:rPr>
              <w:t>t，新增侵蚀总量</w:t>
            </w:r>
            <w:r>
              <w:rPr>
                <w:rFonts w:hint="eastAsia" w:cs="Times New Roman"/>
                <w:color w:val="auto"/>
                <w:kern w:val="2"/>
                <w:sz w:val="24"/>
                <w:szCs w:val="24"/>
                <w:lang w:val="en-US" w:eastAsia="zh-CN" w:bidi="ar-SA"/>
              </w:rPr>
              <w:t>67.58</w:t>
            </w:r>
            <w:r>
              <w:rPr>
                <w:rFonts w:hint="default" w:ascii="Times New Roman" w:hAnsi="Times New Roman" w:eastAsia="宋体" w:cs="Times New Roman"/>
                <w:color w:val="auto"/>
                <w:kern w:val="2"/>
                <w:sz w:val="24"/>
                <w:szCs w:val="24"/>
                <w:lang w:val="en-US" w:eastAsia="zh-CN" w:bidi="ar-SA"/>
              </w:rPr>
              <w:t>t，项目临时占地和绿化面积较多，完工后构建筑物占地较少，因此，本项目施工期仍然为水土流失防治和监测的重点时段。</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是造成新增水土流失的主要时段。在工程建设过程中，由于地表扰动，主体工程区是水土流失防治的重点地段，水力侵蚀是主要侵蚀类型。项目建设中对原地貌的扰动，会破坏植被，引发水土流失。若不进行有效治理，将加速土壤沙化，降低土地生产力，造成生态环境恶化。工程建设形成的扬沙、浮尘对周边人居环境也产生不利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2、大气环境影响分析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本项目施工废气主要为施工扬尘</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机械运行产生的机械尾气。</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⑴施工扬尘</w:t>
            </w:r>
          </w:p>
          <w:p>
            <w:pPr>
              <w:keepNext w:val="0"/>
              <w:keepLines w:val="0"/>
              <w:pageBreakBefore w:val="0"/>
              <w:widowControl w:val="0"/>
              <w:kinsoku/>
              <w:wordWrap/>
              <w:overflowPunct/>
              <w:topLinePunct w:val="0"/>
              <w:bidi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。施工中土石方开挖等产生的扬尘，基本上都是间歇式排放。一般只要定时洒水，施工作业面扬尘即可得到有效控制，对环境影响较小。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⑵机械尾气</w:t>
            </w:r>
          </w:p>
          <w:p>
            <w:pPr>
              <w:keepNext w:val="0"/>
              <w:keepLines w:val="0"/>
              <w:pageBreakBefore w:val="0"/>
              <w:widowControl w:val="0"/>
              <w:kinsoku/>
              <w:wordWrap/>
              <w:overflowPunct/>
              <w:topLinePunct w:val="0"/>
              <w:bidi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期间，使用液体燃料的施工机械及运输车辆排放的尾气中含有CO、NOx以及未完全燃烧的THC等，一般情况下，各种污染物的排放量不大。由于污染源较分散，且为流动性，影响是短期的、局部的，通过加强对施工机械和施工车辆的运行管理与维护保养，对环境空气影响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3、水环境影响分析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⑴施工废水环境影响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施工期废水主要包括施工废水和施工人员的生活污水。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①施工废水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②生活污水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cs="Times New Roman"/>
                <w:kern w:val="0"/>
              </w:rPr>
              <w:t>本项目施工人员为附近</w:t>
            </w:r>
            <w:r>
              <w:rPr>
                <w:rFonts w:hint="eastAsia" w:cs="Times New Roman"/>
                <w:kern w:val="0"/>
              </w:rPr>
              <w:t>居</w:t>
            </w:r>
            <w:r>
              <w:rPr>
                <w:rFonts w:cs="Times New Roman"/>
                <w:kern w:val="0"/>
              </w:rPr>
              <w:t>民，不设住宿和食堂，生活污水主要污染物为BOD</w:t>
            </w:r>
            <w:r>
              <w:rPr>
                <w:rFonts w:cs="Times New Roman"/>
                <w:kern w:val="0"/>
                <w:vertAlign w:val="subscript"/>
              </w:rPr>
              <w:t>5</w:t>
            </w:r>
            <w:r>
              <w:rPr>
                <w:rFonts w:cs="Times New Roman"/>
                <w:kern w:val="0"/>
              </w:rPr>
              <w:t>、COD、氨氮和SS。生工程施工期应加强施工管理，加强施工人员的环保意识，禁止随意在</w:t>
            </w:r>
            <w:r>
              <w:rPr>
                <w:rFonts w:hint="eastAsia" w:cs="Times New Roman"/>
                <w:kern w:val="0"/>
              </w:rPr>
              <w:t>街道</w:t>
            </w:r>
            <w:r>
              <w:rPr>
                <w:rFonts w:cs="Times New Roman"/>
                <w:kern w:val="0"/>
              </w:rPr>
              <w:t>倾倒废水及残渣废物。</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⑵工程对水环境影响分析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工程</w:t>
            </w:r>
            <w:r>
              <w:rPr>
                <w:rFonts w:hint="default" w:ascii="Times New Roman" w:hAnsi="Times New Roman" w:eastAsia="宋体" w:cs="Times New Roman"/>
                <w:color w:val="auto"/>
                <w:kern w:val="0"/>
                <w:sz w:val="24"/>
                <w:lang w:val="en-US" w:eastAsia="zh-CN"/>
              </w:rPr>
              <w:t>施工过程中</w:t>
            </w:r>
            <w:r>
              <w:rPr>
                <w:rFonts w:hint="default" w:ascii="Times New Roman" w:hAnsi="Times New Roman" w:eastAsia="宋体" w:cs="Times New Roman"/>
                <w:color w:val="auto"/>
                <w:kern w:val="0"/>
                <w:sz w:val="24"/>
              </w:rPr>
              <w:t>不可避免</w:t>
            </w:r>
            <w:r>
              <w:rPr>
                <w:rFonts w:hint="default" w:ascii="Times New Roman" w:hAnsi="Times New Roman" w:eastAsia="宋体" w:cs="Times New Roman"/>
                <w:color w:val="auto"/>
                <w:kern w:val="0"/>
                <w:sz w:val="24"/>
                <w:lang w:eastAsia="zh-CN"/>
              </w:rPr>
              <w:t>地</w:t>
            </w:r>
            <w:r>
              <w:rPr>
                <w:rFonts w:hint="default" w:ascii="Times New Roman" w:hAnsi="Times New Roman" w:eastAsia="宋体" w:cs="Times New Roman"/>
                <w:color w:val="auto"/>
                <w:kern w:val="0"/>
                <w:sz w:val="24"/>
              </w:rPr>
              <w:t>会导致河流中悬浮物暂时增加，但随着施工结束影响很快消失。工程产生水污染物途径主要有</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挖填土方作业时</w:t>
            </w:r>
            <w:r>
              <w:rPr>
                <w:rFonts w:hint="default" w:ascii="Times New Roman" w:hAnsi="Times New Roman" w:eastAsia="宋体" w:cs="Times New Roman"/>
                <w:color w:val="auto"/>
                <w:kern w:val="0"/>
                <w:sz w:val="24"/>
                <w:lang w:eastAsia="zh-CN"/>
              </w:rPr>
              <w:t>泥沙</w:t>
            </w:r>
            <w:r>
              <w:rPr>
                <w:rFonts w:hint="default" w:ascii="Times New Roman" w:hAnsi="Times New Roman" w:eastAsia="宋体" w:cs="Times New Roman"/>
                <w:color w:val="auto"/>
                <w:kern w:val="0"/>
                <w:sz w:val="24"/>
              </w:rPr>
              <w:t>流失进入河道，引起河水浑浊，大量细颗粒</w:t>
            </w:r>
            <w:r>
              <w:rPr>
                <w:rFonts w:hint="default" w:ascii="Times New Roman" w:hAnsi="Times New Roman" w:eastAsia="宋体" w:cs="Times New Roman"/>
                <w:color w:val="auto"/>
                <w:kern w:val="0"/>
                <w:sz w:val="24"/>
                <w:lang w:eastAsia="zh-CN"/>
              </w:rPr>
              <w:t>泥沙</w:t>
            </w:r>
            <w:r>
              <w:rPr>
                <w:rFonts w:hint="default" w:ascii="Times New Roman" w:hAnsi="Times New Roman" w:eastAsia="宋体" w:cs="Times New Roman"/>
                <w:color w:val="auto"/>
                <w:kern w:val="0"/>
                <w:sz w:val="24"/>
              </w:rPr>
              <w:t>悬浮于水中，水质将受到影响。</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kern w:val="0"/>
                <w:sz w:val="24"/>
                <w:lang w:val="en-US" w:eastAsia="zh-CN"/>
              </w:rPr>
              <w:t>施工</w:t>
            </w:r>
            <w:r>
              <w:rPr>
                <w:rFonts w:hint="default" w:ascii="Times New Roman" w:hAnsi="Times New Roman" w:eastAsia="宋体" w:cs="Times New Roman"/>
                <w:color w:val="auto"/>
                <w:kern w:val="0"/>
                <w:sz w:val="24"/>
              </w:rPr>
              <w:t>过程主要清除</w:t>
            </w:r>
            <w:r>
              <w:rPr>
                <w:rFonts w:hint="eastAsia" w:cs="Times New Roman"/>
                <w:color w:val="auto"/>
                <w:kern w:val="0"/>
                <w:sz w:val="24"/>
                <w:lang w:eastAsia="zh-CN"/>
              </w:rPr>
              <w:t>排洪渠</w:t>
            </w:r>
            <w:r>
              <w:rPr>
                <w:rFonts w:hint="default" w:ascii="Times New Roman" w:hAnsi="Times New Roman" w:eastAsia="宋体" w:cs="Times New Roman"/>
                <w:color w:val="auto"/>
                <w:kern w:val="0"/>
                <w:sz w:val="24"/>
              </w:rPr>
              <w:t>中淤积的泥沙，施工引起的悬浮物均会在短时间内造成</w:t>
            </w:r>
            <w:r>
              <w:rPr>
                <w:rFonts w:hint="eastAsia" w:cs="Times New Roman"/>
                <w:color w:val="auto"/>
                <w:kern w:val="0"/>
                <w:sz w:val="24"/>
                <w:lang w:eastAsia="zh-CN"/>
              </w:rPr>
              <w:t>渠</w:t>
            </w:r>
            <w:r>
              <w:rPr>
                <w:rFonts w:hint="default" w:ascii="Times New Roman" w:hAnsi="Times New Roman" w:eastAsia="宋体" w:cs="Times New Roman"/>
                <w:color w:val="auto"/>
                <w:kern w:val="0"/>
                <w:sz w:val="24"/>
              </w:rPr>
              <w:t>水水质超标，对工程位置附近的水环境造成一定影响，但作业结束后，一般在2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3个小时后，悬浮物便很快沉降下来。</w:t>
            </w:r>
            <w:r>
              <w:rPr>
                <w:rFonts w:hint="default" w:ascii="Times New Roman" w:hAnsi="Times New Roman" w:eastAsia="宋体" w:cs="Times New Roman"/>
                <w:color w:val="auto"/>
                <w:kern w:val="0"/>
                <w:sz w:val="24"/>
                <w:lang w:val="en-US" w:eastAsia="zh-CN"/>
              </w:rPr>
              <w:t>且</w:t>
            </w:r>
            <w:r>
              <w:rPr>
                <w:rFonts w:hint="default" w:ascii="Times New Roman" w:hAnsi="Times New Roman" w:eastAsia="宋体" w:cs="Times New Roman"/>
                <w:color w:val="auto"/>
                <w:kern w:val="0"/>
                <w:sz w:val="24"/>
                <w:lang w:val="en-US" w:eastAsia="zh-CN" w:bidi="ar"/>
              </w:rPr>
              <w:t>本项目</w:t>
            </w:r>
            <w:r>
              <w:rPr>
                <w:rFonts w:hint="default" w:ascii="Times New Roman" w:hAnsi="Times New Roman" w:eastAsia="宋体" w:cs="Times New Roman"/>
                <w:color w:val="auto"/>
                <w:kern w:val="0"/>
                <w:sz w:val="24"/>
                <w:lang w:bidi="ar"/>
              </w:rPr>
              <w:t>采用单侧围堰施工方法进行施工</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工程段施工排水采用潜水泵将砌护段落基坑内沟水及渗水抽排至</w:t>
            </w:r>
            <w:r>
              <w:rPr>
                <w:rFonts w:hint="default" w:ascii="Times New Roman" w:hAnsi="Times New Roman" w:eastAsia="宋体" w:cs="Times New Roman"/>
                <w:color w:val="auto"/>
                <w:kern w:val="0"/>
                <w:sz w:val="24"/>
                <w:lang w:val="en-US" w:eastAsia="zh-CN" w:bidi="ar"/>
              </w:rPr>
              <w:t>围堰</w:t>
            </w:r>
            <w:r>
              <w:rPr>
                <w:rFonts w:hint="default" w:ascii="Times New Roman" w:hAnsi="Times New Roman" w:eastAsia="宋体" w:cs="Times New Roman"/>
                <w:color w:val="auto"/>
                <w:kern w:val="0"/>
                <w:sz w:val="24"/>
                <w:lang w:bidi="ar"/>
              </w:rPr>
              <w:t>内</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从而降低对水环境的影响。</w:t>
            </w:r>
            <w:r>
              <w:rPr>
                <w:rFonts w:hint="default" w:ascii="Times New Roman" w:hAnsi="Times New Roman" w:eastAsia="宋体" w:cs="Times New Roman"/>
                <w:color w:val="auto"/>
                <w:kern w:val="0"/>
                <w:sz w:val="24"/>
              </w:rPr>
              <w:t>总的说来，施工作业对水环境的影响是轻微的，</w:t>
            </w:r>
            <w:r>
              <w:rPr>
                <w:rFonts w:hint="eastAsia" w:cs="Times New Roman"/>
                <w:color w:val="auto"/>
                <w:kern w:val="0"/>
                <w:sz w:val="24"/>
                <w:lang w:eastAsia="zh-CN"/>
              </w:rPr>
              <w:t>沟</w:t>
            </w:r>
            <w:r>
              <w:rPr>
                <w:rFonts w:hint="default" w:ascii="Times New Roman" w:hAnsi="Times New Roman" w:eastAsia="宋体" w:cs="Times New Roman"/>
                <w:color w:val="auto"/>
                <w:kern w:val="0"/>
                <w:sz w:val="24"/>
              </w:rPr>
              <w:t>道施工排放出的悬浮物对上、下游区域的影响范围较小。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4、声环境影响分析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之间，噪声较高的噪声源分布在土方开挖施工区和施工道路交通运输，噪声影响随施工结束而结束。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5、固体废物环境影响分析及防治措施</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本项目施工期产生的固体废物主要为施工场所产生施工人员活动产生的生活垃圾</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多余土方及</w:t>
            </w:r>
            <w:r>
              <w:rPr>
                <w:rFonts w:hint="eastAsia" w:cs="Times New Roman"/>
                <w:color w:val="auto"/>
                <w:kern w:val="0"/>
                <w:sz w:val="24"/>
                <w:lang w:val="en-US" w:eastAsia="zh-CN"/>
              </w:rPr>
              <w:t>排洪渠</w:t>
            </w:r>
            <w:r>
              <w:rPr>
                <w:rFonts w:hint="default" w:ascii="Times New Roman" w:hAnsi="Times New Roman" w:eastAsia="宋体" w:cs="Times New Roman"/>
                <w:color w:val="auto"/>
                <w:kern w:val="0"/>
                <w:sz w:val="24"/>
                <w:lang w:val="en-US" w:eastAsia="zh-CN"/>
              </w:rPr>
              <w:t>清理产生的垃圾及沟道清淤底泥等</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⑴生活垃圾</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生活垃圾：施工期高峰人数为</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0人，按每人每天产生生活垃圾量0.5kg计算，则生活垃圾产生量为0.0</w:t>
            </w:r>
            <w:r>
              <w:rPr>
                <w:rFonts w:hint="default" w:ascii="Times New Roman" w:hAnsi="Times New Roman" w:eastAsia="宋体" w:cs="Times New Roman"/>
                <w:color w:val="auto"/>
                <w:kern w:val="0"/>
                <w:sz w:val="24"/>
                <w:lang w:val="en-US" w:eastAsia="zh-CN"/>
              </w:rPr>
              <w:t>25</w:t>
            </w:r>
            <w:r>
              <w:rPr>
                <w:rFonts w:hint="default" w:ascii="Times New Roman" w:hAnsi="Times New Roman" w:eastAsia="宋体" w:cs="Times New Roman"/>
                <w:color w:val="auto"/>
                <w:kern w:val="0"/>
                <w:sz w:val="24"/>
              </w:rPr>
              <w:t>t/d，整个施工期约</w:t>
            </w:r>
            <w:r>
              <w:rPr>
                <w:rFonts w:hint="default" w:ascii="Times New Roman" w:hAnsi="Times New Roman" w:eastAsia="宋体" w:cs="Times New Roman"/>
                <w:color w:val="auto"/>
                <w:kern w:val="0"/>
                <w:sz w:val="24"/>
                <w:lang w:val="en-US" w:eastAsia="zh-CN"/>
              </w:rPr>
              <w:t>90</w:t>
            </w:r>
            <w:r>
              <w:rPr>
                <w:rFonts w:hint="default" w:ascii="Times New Roman" w:hAnsi="Times New Roman" w:eastAsia="宋体" w:cs="Times New Roman"/>
                <w:color w:val="auto"/>
                <w:kern w:val="0"/>
                <w:sz w:val="24"/>
              </w:rPr>
              <w:t>d，产生生活垃圾</w:t>
            </w:r>
            <w:r>
              <w:rPr>
                <w:rFonts w:hint="default" w:ascii="Times New Roman" w:hAnsi="Times New Roman" w:eastAsia="宋体" w:cs="Times New Roman"/>
                <w:color w:val="auto"/>
                <w:kern w:val="0"/>
                <w:sz w:val="24"/>
                <w:lang w:val="en-US" w:eastAsia="zh-CN"/>
              </w:rPr>
              <w:t>2.25</w:t>
            </w:r>
            <w:r>
              <w:rPr>
                <w:rFonts w:hint="default" w:ascii="Times New Roman" w:hAnsi="Times New Roman" w:eastAsia="宋体" w:cs="Times New Roman"/>
                <w:color w:val="auto"/>
                <w:kern w:val="0"/>
                <w:sz w:val="24"/>
              </w:rPr>
              <w:t>t。主要污染物为垃圾袋、果核、矿泉水瓶等，集中收集后由施工单位清运至垃圾中转站，由环卫部门统一处理。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⑵土石方弃土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sz w:val="24"/>
                <w:szCs w:val="24"/>
              </w:rPr>
              <w:t>根据项目</w:t>
            </w:r>
            <w:r>
              <w:rPr>
                <w:rFonts w:hint="default" w:ascii="Times New Roman" w:hAnsi="Times New Roman" w:eastAsia="宋体" w:cs="Times New Roman"/>
                <w:color w:val="auto"/>
                <w:sz w:val="24"/>
                <w:szCs w:val="24"/>
                <w:lang w:val="en-US" w:eastAsia="zh-CN"/>
              </w:rPr>
              <w:t>水土保持</w:t>
            </w:r>
            <w:r>
              <w:rPr>
                <w:rFonts w:hint="default" w:ascii="Times New Roman" w:hAnsi="Times New Roman" w:eastAsia="宋体" w:cs="Times New Roman"/>
                <w:color w:val="auto"/>
                <w:sz w:val="24"/>
                <w:szCs w:val="24"/>
              </w:rPr>
              <w:t>方案，</w:t>
            </w:r>
            <w:r>
              <w:rPr>
                <w:rFonts w:hint="default" w:ascii="Times New Roman" w:hAnsi="Times New Roman" w:eastAsia="宋体" w:cs="Times New Roman"/>
                <w:color w:val="auto"/>
                <w:kern w:val="0"/>
                <w:sz w:val="24"/>
                <w:szCs w:val="24"/>
                <w:highlight w:val="none"/>
                <w:lang w:val="en-US" w:eastAsia="zh-CN" w:bidi="ar"/>
              </w:rPr>
              <w:t>本项目建设期土石方开挖总量为</w:t>
            </w:r>
            <w:r>
              <w:rPr>
                <w:rFonts w:hint="eastAsia" w:cs="Times New Roman"/>
                <w:color w:val="auto"/>
                <w:kern w:val="0"/>
                <w:sz w:val="24"/>
                <w:szCs w:val="24"/>
                <w:highlight w:val="none"/>
                <w:lang w:val="en-US" w:eastAsia="zh-CN" w:bidi="ar"/>
              </w:rPr>
              <w:t>1.7</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（含表土剥离</w:t>
            </w:r>
            <w:r>
              <w:rPr>
                <w:rFonts w:hint="default" w:ascii="Times New Roman" w:hAnsi="Times New Roman" w:eastAsia="宋体" w:cs="Times New Roman"/>
                <w:color w:val="auto"/>
                <w:kern w:val="2"/>
                <w:sz w:val="24"/>
                <w:szCs w:val="24"/>
                <w:highlight w:val="none"/>
                <w:lang w:val="en-US" w:eastAsia="zh-CN" w:bidi="ar-SA"/>
              </w:rPr>
              <w:t>0.20万m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
              </w:rPr>
              <w:t>），回填总量为</w:t>
            </w:r>
            <w:r>
              <w:rPr>
                <w:rFonts w:hint="eastAsia" w:cs="Times New Roman"/>
                <w:b w:val="0"/>
                <w:bCs w:val="0"/>
                <w:color w:val="auto"/>
                <w:kern w:val="2"/>
                <w:sz w:val="24"/>
                <w:szCs w:val="24"/>
                <w:highlight w:val="none"/>
                <w:lang w:val="en-US" w:eastAsia="zh-CN" w:bidi="ar-SA"/>
              </w:rPr>
              <w:t>1.4</w:t>
            </w:r>
            <w:r>
              <w:rPr>
                <w:rFonts w:hint="default" w:ascii="Times New Roman" w:hAnsi="Times New Roman" w:eastAsia="宋体" w:cs="Times New Roman"/>
                <w:b w:val="0"/>
                <w:bCs w:val="0"/>
                <w:color w:val="auto"/>
                <w:kern w:val="2"/>
                <w:sz w:val="24"/>
                <w:szCs w:val="24"/>
                <w:highlight w:val="none"/>
                <w:lang w:val="en-US" w:eastAsia="zh-CN" w:bidi="ar-SA"/>
              </w:rPr>
              <w:t>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含表土回覆</w:t>
            </w:r>
            <w:r>
              <w:rPr>
                <w:rFonts w:hint="default" w:ascii="Times New Roman" w:hAnsi="Times New Roman" w:eastAsia="宋体" w:cs="Times New Roman"/>
                <w:color w:val="auto"/>
                <w:kern w:val="2"/>
                <w:sz w:val="24"/>
                <w:szCs w:val="22"/>
                <w:highlight w:val="none"/>
                <w:lang w:val="en-US" w:eastAsia="zh-CN" w:bidi="ar-SA"/>
              </w:rPr>
              <w:t>0.20万m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
              </w:rPr>
              <w:t>），调出0.</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rPr>
              <w:t>无废弃土方</w:t>
            </w:r>
            <w:r>
              <w:rPr>
                <w:rFonts w:hint="default" w:ascii="Times New Roman" w:hAnsi="Times New Roman" w:eastAsia="宋体" w:cs="Times New Roman"/>
                <w:color w:val="auto"/>
                <w:kern w:val="0"/>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⑶</w:t>
            </w:r>
            <w:r>
              <w:rPr>
                <w:rFonts w:hint="default" w:ascii="Times New Roman" w:hAnsi="Times New Roman" w:eastAsia="宋体" w:cs="Times New Roman"/>
                <w:color w:val="auto"/>
                <w:kern w:val="0"/>
                <w:sz w:val="24"/>
                <w:lang w:val="en-US" w:eastAsia="zh-CN"/>
              </w:rPr>
              <w:t>沟道底泥</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0000FF"/>
                <w:kern w:val="0"/>
                <w:sz w:val="24"/>
                <w:lang w:val="en-US" w:eastAsia="zh-CN"/>
              </w:rPr>
            </w:pPr>
            <w:r>
              <w:rPr>
                <w:rFonts w:hint="default" w:ascii="Times New Roman" w:hAnsi="Times New Roman" w:eastAsia="宋体" w:cs="Times New Roman"/>
                <w:color w:val="auto"/>
                <w:kern w:val="0"/>
                <w:sz w:val="24"/>
                <w:lang w:bidi="ar"/>
              </w:rPr>
              <w:t>沟道清淤底泥采用自然干化的处理方式，沟道</w:t>
            </w:r>
            <w:r>
              <w:rPr>
                <w:rFonts w:hint="eastAsia" w:cs="Times New Roman"/>
                <w:color w:val="auto"/>
                <w:kern w:val="0"/>
                <w:sz w:val="24"/>
                <w:lang w:eastAsia="zh-CN" w:bidi="ar"/>
              </w:rPr>
              <w:t>泥沙</w:t>
            </w:r>
            <w:r>
              <w:rPr>
                <w:rFonts w:hint="default" w:ascii="Times New Roman" w:hAnsi="Times New Roman" w:eastAsia="宋体" w:cs="Times New Roman"/>
                <w:color w:val="auto"/>
                <w:kern w:val="0"/>
                <w:sz w:val="24"/>
                <w:lang w:bidi="ar"/>
              </w:rPr>
              <w:t>自然干化后</w:t>
            </w:r>
            <w:r>
              <w:rPr>
                <w:rFonts w:hint="eastAsia" w:cs="Times New Roman"/>
                <w:color w:val="auto"/>
                <w:kern w:val="0"/>
                <w:sz w:val="24"/>
                <w:lang w:eastAsia="zh-CN" w:bidi="ar"/>
              </w:rPr>
              <w:t>用于现场土地平整。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898"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spacing w:val="10"/>
                <w:kern w:val="2"/>
                <w:sz w:val="24"/>
                <w:szCs w:val="24"/>
                <w:lang w:val="en-US" w:eastAsia="zh-CN" w:bidi="ar-SA"/>
              </w:rPr>
              <w:t>运营期生态环境影响分析</w:t>
            </w:r>
          </w:p>
        </w:tc>
        <w:tc>
          <w:tcPr>
            <w:tcW w:w="8116" w:type="dxa"/>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本项目是以生态影响为主的建设项目，项目对环境的影响主要表现在施工期。项目营运期不产生废气、废水、噪声，仅有固体废物产生。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⑴运营期固体废物</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cs="Times New Roman"/>
                <w:color w:val="auto"/>
                <w:kern w:val="0"/>
                <w:sz w:val="24"/>
                <w:lang w:eastAsia="zh-CN"/>
              </w:rPr>
            </w:pPr>
            <w:r>
              <w:rPr>
                <w:rFonts w:hint="default" w:ascii="Times New Roman" w:hAnsi="Times New Roman" w:eastAsia="宋体" w:cs="Times New Roman"/>
                <w:color w:val="auto"/>
                <w:kern w:val="0"/>
                <w:sz w:val="24"/>
              </w:rPr>
              <w:t>项目运营期</w:t>
            </w:r>
            <w:r>
              <w:rPr>
                <w:rFonts w:hint="default" w:ascii="Times New Roman" w:hAnsi="Times New Roman" w:eastAsia="宋体" w:cs="Times New Roman"/>
                <w:color w:val="auto"/>
                <w:kern w:val="0"/>
                <w:sz w:val="24"/>
                <w:lang w:val="en-US" w:eastAsia="zh-CN"/>
              </w:rPr>
              <w:t>固体废物主要有日常清理的</w:t>
            </w:r>
            <w:r>
              <w:rPr>
                <w:rFonts w:hint="eastAsia" w:cs="Times New Roman"/>
                <w:color w:val="auto"/>
                <w:kern w:val="0"/>
                <w:sz w:val="24"/>
                <w:lang w:eastAsia="zh-CN"/>
              </w:rPr>
              <w:t>沟道泥沙</w:t>
            </w:r>
            <w:r>
              <w:rPr>
                <w:rFonts w:hint="default" w:ascii="Times New Roman" w:hAnsi="Times New Roman" w:eastAsia="宋体" w:cs="Times New Roman"/>
                <w:color w:val="auto"/>
                <w:kern w:val="0"/>
                <w:sz w:val="24"/>
              </w:rPr>
              <w:t>，</w:t>
            </w:r>
            <w:r>
              <w:rPr>
                <w:rFonts w:hint="eastAsia" w:cs="Times New Roman"/>
                <w:color w:val="auto"/>
                <w:kern w:val="0"/>
                <w:sz w:val="24"/>
                <w:lang w:eastAsia="zh-CN"/>
              </w:rPr>
              <w:t>由建设单位不定期清理至建筑垃圾填埋场处理。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⑵运营期环境正效益</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本项目建成后可以提高</w:t>
            </w:r>
            <w:r>
              <w:rPr>
                <w:rFonts w:hint="eastAsia" w:cs="Times New Roman"/>
                <w:color w:val="auto"/>
                <w:kern w:val="0"/>
                <w:sz w:val="24"/>
                <w:lang w:eastAsia="zh-CN"/>
              </w:rPr>
              <w:t>城区排洪渠</w:t>
            </w:r>
            <w:r>
              <w:rPr>
                <w:rFonts w:hint="default" w:ascii="Times New Roman" w:hAnsi="Times New Roman" w:eastAsia="宋体" w:cs="Times New Roman"/>
                <w:color w:val="auto"/>
                <w:kern w:val="0"/>
                <w:sz w:val="24"/>
              </w:rPr>
              <w:t>的防洪排水能力，进一步完善</w:t>
            </w:r>
            <w:r>
              <w:rPr>
                <w:rFonts w:hint="default" w:ascii="Times New Roman" w:hAnsi="Times New Roman" w:eastAsia="宋体" w:cs="Times New Roman"/>
                <w:color w:val="auto"/>
                <w:kern w:val="0"/>
                <w:sz w:val="24"/>
                <w:lang w:val="en-US" w:eastAsia="zh-CN"/>
              </w:rPr>
              <w:t>沟</w:t>
            </w:r>
            <w:r>
              <w:rPr>
                <w:rFonts w:hint="default" w:ascii="Times New Roman" w:hAnsi="Times New Roman" w:eastAsia="宋体" w:cs="Times New Roman"/>
                <w:color w:val="auto"/>
                <w:kern w:val="0"/>
                <w:sz w:val="24"/>
              </w:rPr>
              <w:t>道防洪能力，保障标准内洪水防洪安全。对保障人民群众生命财产安全，有效减轻洪涝灾害损失，改善民生和维护社会稳定，支撑经济社会可持续发展具有十分重要的作用。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8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val="0"/>
                <w:color w:val="0000FF"/>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选址选线环境合理性分析</w:t>
            </w:r>
          </w:p>
        </w:tc>
        <w:tc>
          <w:tcPr>
            <w:tcW w:w="8116" w:type="dxa"/>
            <w:tcBorders>
              <w:tl2br w:val="nil"/>
              <w:tr2bl w:val="nil"/>
            </w:tcBorders>
            <w:vAlign w:val="top"/>
          </w:tcPr>
          <w:p>
            <w:pPr>
              <w:keepNext w:val="0"/>
              <w:keepLines w:val="0"/>
              <w:pageBreakBefore w:val="0"/>
              <w:widowControl w:val="0"/>
              <w:kinsoku/>
              <w:wordWrap/>
              <w:overflowPunct w:val="0"/>
              <w:topLinePunct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1、项目选址合理性分析</w:t>
            </w:r>
          </w:p>
          <w:p>
            <w:pPr>
              <w:keepNext w:val="0"/>
              <w:keepLines w:val="0"/>
              <w:pageBreakBefore w:val="0"/>
              <w:widowControl w:val="0"/>
              <w:kinsoku/>
              <w:wordWrap/>
              <w:overflowPunct w:val="0"/>
              <w:topLinePunct w:val="0"/>
              <w:bidi w:val="0"/>
              <w:adjustRightInd w:val="0"/>
              <w:snapToGrid w:val="0"/>
              <w:spacing w:line="540" w:lineRule="exact"/>
              <w:ind w:firstLine="480" w:firstLineChars="200"/>
              <w:textAlignment w:val="auto"/>
              <w:rPr>
                <w:rFonts w:cs="Times New Roman"/>
                <w:bCs/>
                <w:color w:val="FF0000"/>
              </w:rPr>
            </w:pPr>
            <w:r>
              <w:rPr>
                <w:rFonts w:hint="default" w:ascii="Times New Roman" w:hAnsi="Times New Roman" w:eastAsia="宋体" w:cs="Times New Roman"/>
                <w:bCs/>
                <w:color w:val="auto"/>
                <w:sz w:val="24"/>
              </w:rPr>
              <w:t>本次</w:t>
            </w:r>
            <w:r>
              <w:rPr>
                <w:rFonts w:hint="default" w:ascii="Times New Roman" w:hAnsi="Times New Roman" w:eastAsia="宋体" w:cs="Times New Roman"/>
                <w:color w:val="auto"/>
                <w:kern w:val="0"/>
                <w:sz w:val="24"/>
              </w:rPr>
              <w:t>工程</w:t>
            </w:r>
            <w:r>
              <w:rPr>
                <w:rFonts w:cs="Times New Roman"/>
                <w:bCs/>
              </w:rPr>
              <w:t>通过项目实施可以加强隆德县的生态建设，减缓地表径流、减少冲刷、防止水土流失、保持和恢复土地肥力；绿化工程的实施以恢复并扩大林地面积，涵养水源、调节气候、维护碳循环和保护生物多样性、增强隆德县生态系统的自然性、完整性、稳定性，全面提升生态保护管理与合理利用水平。</w:t>
            </w:r>
            <w:r>
              <w:rPr>
                <w:rFonts w:hint="eastAsia" w:cs="Times New Roman"/>
                <w:bCs/>
                <w:lang w:eastAsia="zh-CN"/>
              </w:rPr>
              <w:t>项目区</w:t>
            </w:r>
            <w:r>
              <w:rPr>
                <w:rFonts w:cs="Times New Roman"/>
                <w:bCs/>
              </w:rPr>
              <w:t>未发现珍稀野生动植物和古树名木分布</w:t>
            </w:r>
            <w:r>
              <w:rPr>
                <w:rFonts w:hint="eastAsia" w:cs="Times New Roman"/>
                <w:bCs/>
                <w:lang w:eastAsia="zh-CN"/>
              </w:rPr>
              <w:t>，</w:t>
            </w:r>
            <w:r>
              <w:rPr>
                <w:rFonts w:cs="Times New Roman"/>
                <w:bCs/>
              </w:rPr>
              <w:t>而施工活动对周围环境的影响也较小</w:t>
            </w:r>
            <w:r>
              <w:rPr>
                <w:rFonts w:hint="eastAsia" w:cs="Times New Roman"/>
                <w:bCs/>
                <w:lang w:eastAsia="zh-CN"/>
              </w:rPr>
              <w:t>，</w:t>
            </w:r>
            <w:r>
              <w:rPr>
                <w:rFonts w:cs="Times New Roman"/>
                <w:bCs/>
              </w:rPr>
              <w:t>项目建设对地表植被的破坏较小</w:t>
            </w:r>
            <w:r>
              <w:rPr>
                <w:rFonts w:hint="eastAsia" w:cs="Times New Roman"/>
                <w:bCs/>
                <w:lang w:eastAsia="zh-CN"/>
              </w:rPr>
              <w:t>。</w:t>
            </w:r>
            <w:r>
              <w:rPr>
                <w:rFonts w:hint="eastAsia" w:cs="Times New Roman"/>
                <w:bCs/>
                <w:lang w:val="en-US" w:eastAsia="zh-CN"/>
              </w:rPr>
              <w:t>本项目新建北象山排洪渠工程位于隆德县北象山，位于生态保护红线内，但根据《建设项目环境影响评价分类管理名录》，本项目不涉及该类项目所列的环境敏感区，同时，经过分析论证，项目环境影响范围也不涵盖</w:t>
            </w:r>
            <w:r>
              <w:rPr>
                <w:rFonts w:hint="eastAsia" w:cs="Times New Roman"/>
                <w:bCs/>
                <w:color w:val="auto"/>
                <w:lang w:val="en-US" w:eastAsia="zh-CN"/>
              </w:rPr>
              <w:t>环境敏感区</w:t>
            </w:r>
            <w:r>
              <w:rPr>
                <w:rFonts w:cs="Times New Roman"/>
                <w:bCs/>
                <w:color w:val="auto"/>
              </w:rPr>
              <w:t>，选址唯一。</w:t>
            </w:r>
          </w:p>
          <w:p>
            <w:pPr>
              <w:pStyle w:val="2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lang w:eastAsia="zh-CN"/>
              </w:rPr>
            </w:pPr>
            <w:r>
              <w:rPr>
                <w:rFonts w:cs="Times New Roman"/>
                <w:bCs/>
              </w:rPr>
              <w:t>本项目施工过程中产生一定的污染物，其主要表现在施工期。施工扬尘采取对施工现场采取洒水、铺装防尘网、竣工后要及时清理施工场地，对临时占地进行迹地恢复等措施；加强施工机械的使用管理和保养维修，合理降低使用次数，提高机械使用效率，以降低运输车辆及作业机械尾气排放。机械设备及</w:t>
            </w:r>
            <w:r>
              <w:rPr>
                <w:rFonts w:cs="Times New Roman"/>
                <w:bCs/>
                <w:color w:val="auto"/>
              </w:rPr>
              <w:t>汽车轮胎冲洗废水</w:t>
            </w:r>
            <w:r>
              <w:rPr>
                <w:rFonts w:hint="eastAsia" w:cs="Times New Roman"/>
                <w:bCs/>
                <w:color w:val="auto"/>
                <w:lang w:eastAsia="zh-CN"/>
              </w:rPr>
              <w:t>沉淀池</w:t>
            </w:r>
            <w:r>
              <w:rPr>
                <w:rFonts w:cs="Times New Roman"/>
                <w:bCs/>
                <w:color w:val="auto"/>
              </w:rPr>
              <w:t>1座5m</w:t>
            </w:r>
            <w:r>
              <w:rPr>
                <w:rFonts w:cs="Times New Roman"/>
                <w:bCs/>
                <w:color w:val="auto"/>
                <w:vertAlign w:val="superscript"/>
              </w:rPr>
              <w:t>3</w:t>
            </w:r>
            <w:r>
              <w:rPr>
                <w:rFonts w:cs="Times New Roman"/>
                <w:bCs/>
                <w:color w:val="auto"/>
              </w:rPr>
              <w:t>临时沉淀出沉淀处理后回用或泼洒抑尘</w:t>
            </w:r>
            <w:r>
              <w:rPr>
                <w:rFonts w:cs="Times New Roman"/>
                <w:color w:val="auto"/>
              </w:rPr>
              <w:t>；施工人员生活污水</w:t>
            </w:r>
            <w:r>
              <w:rPr>
                <w:rFonts w:hint="eastAsia" w:cs="Times New Roman"/>
                <w:color w:val="auto"/>
                <w:lang w:eastAsia="zh-CN"/>
              </w:rPr>
              <w:t>依托</w:t>
            </w:r>
            <w:r>
              <w:rPr>
                <w:rFonts w:hint="eastAsia"/>
                <w:color w:val="auto"/>
                <w:sz w:val="24"/>
                <w:highlight w:val="none"/>
              </w:rPr>
              <w:t>附近村民设施</w:t>
            </w:r>
            <w:r>
              <w:rPr>
                <w:rFonts w:cs="Times New Roman"/>
                <w:bCs/>
              </w:rPr>
              <w:t>；采用低噪声设备、对机械、设备加强定期检修、养护，加强施工管理等措施降低噪声对周围环境的影响；施工期固废合理处置。因此，项目建设对周围环境影响较小</w:t>
            </w:r>
            <w:r>
              <w:rPr>
                <w:rFonts w:cs="Times New Roman"/>
                <w:bCs/>
                <w:kern w:val="0"/>
              </w:rPr>
              <w:t>。</w:t>
            </w:r>
          </w:p>
          <w:p>
            <w:pPr>
              <w:keepNext w:val="0"/>
              <w:keepLines w:val="0"/>
              <w:pageBreakBefore w:val="0"/>
              <w:widowControl w:val="0"/>
              <w:kinsoku/>
              <w:wordWrap/>
              <w:topLinePunct w:val="0"/>
              <w:bidi w:val="0"/>
              <w:spacing w:line="540" w:lineRule="exact"/>
              <w:ind w:firstLine="480" w:firstLineChars="200"/>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bCs/>
                <w:color w:val="auto"/>
                <w:kern w:val="0"/>
                <w:sz w:val="24"/>
              </w:rPr>
              <w:t>综上所述，本项目选址合理、可行。</w:t>
            </w:r>
          </w:p>
          <w:p>
            <w:pPr>
              <w:keepNext w:val="0"/>
              <w:keepLines w:val="0"/>
              <w:pageBreakBefore w:val="0"/>
              <w:widowControl w:val="0"/>
              <w:kinsoku/>
              <w:wordWrap/>
              <w:overflowPunct w:val="0"/>
              <w:topLinePunct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2、施工</w:t>
            </w:r>
            <w:r>
              <w:rPr>
                <w:rFonts w:hint="eastAsia" w:cs="Times New Roman"/>
                <w:b/>
                <w:color w:val="auto"/>
                <w:kern w:val="0"/>
                <w:sz w:val="24"/>
                <w:lang w:eastAsia="zh-CN"/>
              </w:rPr>
              <w:t>区</w:t>
            </w:r>
            <w:r>
              <w:rPr>
                <w:rFonts w:hint="default" w:ascii="Times New Roman" w:hAnsi="Times New Roman" w:eastAsia="宋体" w:cs="Times New Roman"/>
                <w:b/>
                <w:color w:val="auto"/>
                <w:kern w:val="0"/>
                <w:sz w:val="24"/>
              </w:rPr>
              <w:t>选址合理性分析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Cs/>
                <w:color w:val="0000FF"/>
                <w:sz w:val="24"/>
              </w:rPr>
            </w:pPr>
            <w:r>
              <w:rPr>
                <w:rFonts w:hint="default" w:ascii="Times New Roman" w:hAnsi="Times New Roman" w:eastAsia="宋体" w:cs="Times New Roman"/>
                <w:bCs/>
                <w:color w:val="auto"/>
                <w:sz w:val="24"/>
              </w:rPr>
              <w:t>根据实施方案本项目无需设置取土场，弃土、弃渣场。</w:t>
            </w:r>
            <w:r>
              <w:rPr>
                <w:rFonts w:hint="default" w:ascii="Times New Roman" w:hAnsi="Times New Roman" w:eastAsia="宋体" w:cs="Times New Roman"/>
                <w:color w:val="auto"/>
                <w:kern w:val="0"/>
                <w:sz w:val="24"/>
                <w:lang w:bidi="ar"/>
              </w:rPr>
              <w:t>本工程</w:t>
            </w:r>
            <w:r>
              <w:rPr>
                <w:rFonts w:hint="eastAsia" w:cs="Times New Roman"/>
                <w:color w:val="auto"/>
                <w:kern w:val="0"/>
                <w:sz w:val="24"/>
                <w:lang w:eastAsia="zh-CN" w:bidi="ar"/>
              </w:rPr>
              <w:t>排洪</w:t>
            </w:r>
            <w:r>
              <w:rPr>
                <w:rFonts w:hint="default" w:ascii="Times New Roman" w:hAnsi="Times New Roman" w:eastAsia="宋体" w:cs="Times New Roman"/>
                <w:color w:val="auto"/>
                <w:kern w:val="0"/>
                <w:sz w:val="24"/>
                <w:lang w:bidi="ar"/>
              </w:rPr>
              <w:t>沟为原址翻建，无新增永久征地。施工</w:t>
            </w:r>
            <w:r>
              <w:rPr>
                <w:rFonts w:hint="eastAsia" w:cs="Times New Roman"/>
                <w:color w:val="auto"/>
                <w:kern w:val="0"/>
                <w:sz w:val="24"/>
                <w:lang w:eastAsia="zh-CN" w:bidi="ar"/>
              </w:rPr>
              <w:t>区</w:t>
            </w:r>
            <w:r>
              <w:rPr>
                <w:rFonts w:hint="default" w:ascii="Times New Roman" w:hAnsi="Times New Roman" w:eastAsia="宋体" w:cs="Times New Roman"/>
                <w:color w:val="auto"/>
                <w:kern w:val="0"/>
                <w:sz w:val="24"/>
                <w:lang w:val="en-US" w:eastAsia="zh-CN" w:bidi="ar"/>
              </w:rPr>
              <w:t>租用沟道附近闲置房屋</w:t>
            </w:r>
            <w:r>
              <w:rPr>
                <w:rFonts w:hint="default" w:ascii="Times New Roman" w:hAnsi="Times New Roman" w:eastAsia="宋体" w:cs="Times New Roman"/>
                <w:color w:val="auto"/>
                <w:kern w:val="0"/>
                <w:sz w:val="24"/>
                <w:lang w:bidi="ar"/>
              </w:rPr>
              <w:t>，施工</w:t>
            </w:r>
            <w:r>
              <w:rPr>
                <w:rFonts w:hint="eastAsia" w:cs="Times New Roman"/>
                <w:color w:val="auto"/>
                <w:kern w:val="0"/>
                <w:sz w:val="24"/>
                <w:lang w:eastAsia="zh-CN" w:bidi="ar"/>
              </w:rPr>
              <w:t>区</w:t>
            </w:r>
            <w:r>
              <w:rPr>
                <w:rFonts w:hint="default" w:ascii="Times New Roman" w:hAnsi="Times New Roman" w:eastAsia="宋体" w:cs="Times New Roman"/>
                <w:color w:val="auto"/>
                <w:kern w:val="0"/>
                <w:sz w:val="24"/>
                <w:lang w:bidi="ar"/>
              </w:rPr>
              <w:t>主要</w:t>
            </w:r>
            <w:r>
              <w:rPr>
                <w:rFonts w:hint="default" w:ascii="Times New Roman" w:hAnsi="Times New Roman" w:eastAsia="宋体" w:cs="Times New Roman"/>
                <w:color w:val="auto"/>
                <w:kern w:val="0"/>
                <w:sz w:val="24"/>
                <w:lang w:val="en-US" w:eastAsia="zh-CN" w:bidi="ar"/>
              </w:rPr>
              <w:t>用于</w:t>
            </w:r>
            <w:r>
              <w:rPr>
                <w:rFonts w:hint="default" w:ascii="Times New Roman" w:hAnsi="Times New Roman" w:eastAsia="宋体" w:cs="Times New Roman"/>
                <w:color w:val="auto"/>
                <w:kern w:val="0"/>
                <w:sz w:val="24"/>
                <w:lang w:bidi="ar"/>
              </w:rPr>
              <w:t>机械设备停放、块石等建</w:t>
            </w:r>
            <w:r>
              <w:rPr>
                <w:rFonts w:hint="default" w:ascii="Times New Roman" w:hAnsi="Times New Roman" w:eastAsia="宋体" w:cs="Times New Roman"/>
                <w:bCs/>
                <w:color w:val="auto"/>
                <w:sz w:val="24"/>
              </w:rPr>
              <w:t>筑材料堆放。施工营地不涉及地表开挖等活动，仅为简单的材料堆放，不会对施工营地内土壤结构产生影响。</w:t>
            </w:r>
          </w:p>
          <w:p>
            <w:pPr>
              <w:autoSpaceDE w:val="0"/>
              <w:autoSpaceDN w:val="0"/>
              <w:adjustRightInd w:val="0"/>
              <w:snapToGrid w:val="0"/>
              <w:spacing w:before="120" w:beforeLines="50" w:line="360" w:lineRule="auto"/>
              <w:ind w:firstLine="0" w:firstLineChars="0"/>
              <w:rPr>
                <w:rFonts w:hint="default" w:ascii="Times New Roman" w:hAnsi="Times New Roman" w:eastAsia="宋体" w:cs="Times New Roman"/>
                <w:bCs/>
                <w:color w:val="0000FF"/>
                <w:sz w:val="24"/>
                <w:lang w:eastAsia="zh-CN"/>
              </w:rPr>
            </w:pPr>
          </w:p>
        </w:tc>
      </w:tr>
    </w:tbl>
    <w:p>
      <w:pPr>
        <w:jc w:val="center"/>
        <w:outlineLvl w:val="0"/>
        <w:rPr>
          <w:rFonts w:hint="default" w:ascii="Times New Roman" w:hAnsi="Times New Roman" w:eastAsia="黑体" w:cs="Times New Roman"/>
          <w:snapToGrid w:val="0"/>
          <w:color w:val="0000FF"/>
          <w:sz w:val="30"/>
          <w:szCs w:val="30"/>
        </w:rPr>
        <w:sectPr>
          <w:pgSz w:w="11907" w:h="16840"/>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五、主要生态环境保护措施</w:t>
      </w:r>
    </w:p>
    <w:tbl>
      <w:tblPr>
        <w:tblStyle w:val="20"/>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4"/>
              </w:rPr>
            </w:pPr>
            <w:r>
              <w:rPr>
                <w:rFonts w:hint="default" w:ascii="Times New Roman" w:hAnsi="Times New Roman" w:eastAsia="宋体" w:cs="Times New Roman"/>
                <w:b/>
                <w:bCs w:val="0"/>
                <w:color w:val="auto"/>
                <w:spacing w:val="10"/>
                <w:sz w:val="24"/>
              </w:rPr>
              <w:t>施工期生态环境保护措施</w:t>
            </w:r>
          </w:p>
        </w:tc>
        <w:tc>
          <w:tcPr>
            <w:tcW w:w="8371" w:type="dxa"/>
            <w:tcBorders>
              <w:tl2br w:val="nil"/>
              <w:tr2bl w:val="nil"/>
            </w:tcBorders>
            <w:vAlign w:val="top"/>
          </w:tcPr>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540" w:lineRule="exact"/>
              <w:ind w:firstLine="522" w:firstLineChars="200"/>
              <w:textAlignment w:val="auto"/>
              <w:rPr>
                <w:rFonts w:hint="default" w:ascii="Times New Roman" w:hAnsi="Times New Roman" w:eastAsia="宋体" w:cs="Times New Roman"/>
                <w:b/>
                <w:bCs/>
                <w:color w:val="auto"/>
                <w:spacing w:val="10"/>
                <w:sz w:val="24"/>
              </w:rPr>
            </w:pPr>
            <w:r>
              <w:rPr>
                <w:rFonts w:hint="default" w:ascii="Times New Roman" w:hAnsi="Times New Roman" w:eastAsia="宋体" w:cs="Times New Roman"/>
                <w:b/>
                <w:bCs/>
                <w:color w:val="auto"/>
                <w:spacing w:val="10"/>
                <w:sz w:val="24"/>
              </w:rPr>
              <w:t>生态环境</w:t>
            </w:r>
            <w:r>
              <w:rPr>
                <w:rFonts w:hint="eastAsia" w:cs="Times New Roman"/>
                <w:b/>
                <w:bCs/>
                <w:color w:val="auto"/>
                <w:spacing w:val="10"/>
                <w:sz w:val="24"/>
                <w:lang w:val="en-US" w:eastAsia="zh-CN"/>
              </w:rPr>
              <w:t>保护</w:t>
            </w:r>
            <w:r>
              <w:rPr>
                <w:rFonts w:hint="default" w:ascii="Times New Roman" w:hAnsi="Times New Roman" w:eastAsia="宋体" w:cs="Times New Roman"/>
                <w:b/>
                <w:bCs/>
                <w:color w:val="auto"/>
                <w:spacing w:val="10"/>
                <w:sz w:val="24"/>
              </w:rPr>
              <w:t>措施</w:t>
            </w:r>
          </w:p>
          <w:p>
            <w:pPr>
              <w:keepNext w:val="0"/>
              <w:keepLines w:val="0"/>
              <w:pageBreakBefore w:val="0"/>
              <w:widowControl w:val="0"/>
              <w:kinsoku/>
              <w:wordWrap/>
              <w:overflowPunct/>
              <w:topLinePunct w:val="0"/>
              <w:autoSpaceDE/>
              <w:autoSpaceDN/>
              <w:bidi w:val="0"/>
              <w:adjustRightInd w:val="0"/>
              <w:snapToGrid w:val="0"/>
              <w:spacing w:line="540" w:lineRule="exact"/>
              <w:ind w:firstLine="480" w:firstLineChars="200"/>
              <w:textAlignment w:val="auto"/>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工程建设中有土方开挖、机械碾压等工作，这样势必会造成占地范围植被的破坏，部分施工活动会影响区域周边的动物的栖息和觅食，同时会带来扬尘、水土流失等环境问题。为了有效保护工程所在区域的生态环境，本项目施工期生态防治措施：</w:t>
            </w:r>
          </w:p>
          <w:p>
            <w:pPr>
              <w:keepNext w:val="0"/>
              <w:keepLines w:val="0"/>
              <w:pageBreakBefore w:val="0"/>
              <w:kinsoku/>
              <w:wordWrap/>
              <w:overflowPunct/>
              <w:topLinePunct w:val="0"/>
              <w:bidi w:val="0"/>
              <w:spacing w:line="540" w:lineRule="exact"/>
              <w:ind w:firstLine="482" w:firstLineChars="200"/>
              <w:textAlignment w:val="auto"/>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bidi="ar"/>
              </w:rPr>
              <w:t>⑴陆生生态保护措施</w:t>
            </w:r>
          </w:p>
          <w:p>
            <w:pPr>
              <w:keepNext w:val="0"/>
              <w:keepLines w:val="0"/>
              <w:pageBreakBefore w:val="0"/>
              <w:kinsoku/>
              <w:wordWrap/>
              <w:overflowPunct/>
              <w:topLinePunct w:val="0"/>
              <w:bidi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1）植物保护措施</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bCs/>
                <w:color w:val="auto"/>
                <w:sz w:val="24"/>
              </w:rPr>
            </w:pPr>
            <w:bookmarkStart w:id="19" w:name="_Toc8352"/>
            <w:bookmarkStart w:id="20" w:name="_Toc25282"/>
            <w:bookmarkStart w:id="21" w:name="_Toc8196"/>
            <w:bookmarkStart w:id="22" w:name="_Toc20096"/>
            <w:bookmarkStart w:id="23" w:name="_Toc8318"/>
            <w:r>
              <w:rPr>
                <w:rFonts w:hint="default" w:ascii="Times New Roman" w:hAnsi="Times New Roman" w:eastAsia="宋体" w:cs="Times New Roman"/>
                <w:bCs/>
                <w:color w:val="auto"/>
                <w:sz w:val="24"/>
              </w:rPr>
              <w:t>①避让措施</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施工期严格控制和管理车辆机械和施工人员的活动范围，防止扩大对地表的扰动，设置水土保持管理措施。</w:t>
            </w:r>
            <w:r>
              <w:rPr>
                <w:rFonts w:hint="eastAsia" w:cs="Times New Roman"/>
                <w:bCs/>
                <w:color w:val="auto"/>
                <w:sz w:val="24"/>
                <w:lang w:eastAsia="zh-CN"/>
              </w:rPr>
              <w:t>采用封闭施工方式，尽量减少多陆生动物及栖息地的破坏。</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bCs/>
                <w:color w:val="auto"/>
                <w:sz w:val="24"/>
              </w:rPr>
              <w:t>②</w:t>
            </w:r>
            <w:r>
              <w:rPr>
                <w:rFonts w:hint="default" w:ascii="Times New Roman" w:hAnsi="Times New Roman" w:eastAsia="宋体" w:cs="Times New Roman"/>
                <w:color w:val="auto"/>
                <w:kern w:val="0"/>
                <w:sz w:val="24"/>
              </w:rPr>
              <w:t>减缓措施</w:t>
            </w:r>
            <w:bookmarkEnd w:id="19"/>
            <w:bookmarkEnd w:id="20"/>
            <w:bookmarkEnd w:id="21"/>
            <w:bookmarkEnd w:id="22"/>
            <w:bookmarkEnd w:id="23"/>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严格控制工程活动范围，加强监理工作。确保工人在征地范围内活动，从而减轻非因素对周围植物及植被的占用与压踏。</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设置警示牌，在工程现场各主要区域、生态保护目标及植被较好的地段设置生态保护警示牌。警示牌上标明工程区范围，禁止越界施工，尽量减少占地造成的植被损失。</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加强宣传教育活动，强化对现有生态的保护。开工前印发生态保护手册，加强对工人的法律和生态保护知识的宣传教育，强化生态保护意识。</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bookmarkStart w:id="24" w:name="_Toc23100"/>
            <w:bookmarkStart w:id="25" w:name="_Toc9743"/>
            <w:bookmarkStart w:id="26" w:name="_Toc1587"/>
            <w:bookmarkStart w:id="27" w:name="_Toc24011"/>
            <w:bookmarkStart w:id="28" w:name="_Toc16605"/>
            <w:r>
              <w:rPr>
                <w:rFonts w:hint="default" w:ascii="Times New Roman" w:hAnsi="Times New Roman" w:eastAsia="宋体" w:cs="Times New Roman"/>
                <w:color w:val="auto"/>
                <w:kern w:val="0"/>
                <w:sz w:val="24"/>
              </w:rPr>
              <w:t>③恢复与补偿措施</w:t>
            </w:r>
            <w:bookmarkEnd w:id="24"/>
            <w:bookmarkEnd w:id="25"/>
            <w:bookmarkEnd w:id="26"/>
            <w:bookmarkEnd w:id="27"/>
            <w:bookmarkEnd w:id="28"/>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工程结束后，对</w:t>
            </w:r>
            <w:r>
              <w:rPr>
                <w:rFonts w:hint="default" w:ascii="Times New Roman" w:hAnsi="Times New Roman" w:eastAsia="宋体" w:cs="Times New Roman"/>
                <w:color w:val="auto"/>
                <w:kern w:val="0"/>
                <w:sz w:val="24"/>
                <w:lang w:val="en-US" w:eastAsia="zh-CN"/>
              </w:rPr>
              <w:t>施工区域</w:t>
            </w:r>
            <w:r>
              <w:rPr>
                <w:rFonts w:hint="default" w:ascii="Times New Roman" w:hAnsi="Times New Roman" w:eastAsia="宋体" w:cs="Times New Roman"/>
                <w:color w:val="auto"/>
                <w:kern w:val="0"/>
                <w:sz w:val="24"/>
              </w:rPr>
              <w:t>应进行场地清理、土地整治后采取复垦的方式恢复生境。植被恢复时应遵循“适地适草”的原则。在植被恢复措施中应注意的技术要点有：</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保护原有生态系统：在植被修复过程中，必须尽量保护占地区域原有体系的生态环境。</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选择适宜的恢复物种：尽量选用适生性强、生长快、自我繁殖和更新能力强的乡土植物进行植被恢复，同时为提高区域生物多样性，应适当引进新的优良植物，在恢复物种选择时应防止外来入侵种的扩散。</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bookmarkStart w:id="29" w:name="_Toc28522"/>
            <w:bookmarkStart w:id="30" w:name="_Toc21852"/>
            <w:bookmarkStart w:id="31" w:name="_Toc5854"/>
            <w:bookmarkStart w:id="32" w:name="_Toc21504"/>
            <w:bookmarkStart w:id="33" w:name="_Toc4179"/>
            <w:r>
              <w:rPr>
                <w:rFonts w:hint="default" w:ascii="Times New Roman" w:hAnsi="Times New Roman" w:eastAsia="宋体" w:cs="Times New Roman"/>
                <w:color w:val="auto"/>
                <w:kern w:val="0"/>
                <w:sz w:val="24"/>
              </w:rPr>
              <w:t>④管理措施</w:t>
            </w:r>
            <w:bookmarkEnd w:id="29"/>
            <w:bookmarkEnd w:id="30"/>
            <w:bookmarkEnd w:id="31"/>
            <w:bookmarkEnd w:id="32"/>
            <w:bookmarkEnd w:id="33"/>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制定工程建设的生态保护规定。成立项目生态保护工作领导小组，明确职责和工作范围，加强对工程建设过程中生态保护工作的领导和监督。</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在工程管理机构应设置生态环境管理人员，建立各种生态管理及报告制度。</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加强对施工人员、周边居民的宣传教育培训工作，树立生态绿色施工理念，提高环保认知。</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加强对施工人员及施工活动的管理。施工过程中，加强人员的管理，禁止施工人员对植被滥砍滥伐，严格限制施工人员在施工现场的活动范围，防止破坏沿线的生态环境。</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color w:val="auto"/>
                <w:kern w:val="0"/>
                <w:sz w:val="24"/>
              </w:rPr>
              <w:t>虽然评价区未发现重点保护野生植物，但仍建议制定评价区内可能出现的重点保护野生植物宣传册，提高施工人员识别能力，发现后及时上报并采取相应的保护措施。</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2）动物保护措施</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bookmarkStart w:id="34" w:name="_Toc13991"/>
            <w:bookmarkStart w:id="35" w:name="_Toc698"/>
            <w:bookmarkStart w:id="36" w:name="_Toc936"/>
            <w:bookmarkStart w:id="37" w:name="_Toc26569"/>
            <w:bookmarkStart w:id="38" w:name="_Toc16462"/>
            <w:r>
              <w:rPr>
                <w:rFonts w:hint="default" w:ascii="Times New Roman" w:hAnsi="Times New Roman" w:eastAsia="宋体" w:cs="Times New Roman"/>
                <w:color w:val="auto"/>
                <w:kern w:val="0"/>
                <w:sz w:val="24"/>
              </w:rPr>
              <w:t>①避免和消减措施</w:t>
            </w:r>
            <w:bookmarkEnd w:id="34"/>
            <w:bookmarkEnd w:id="35"/>
            <w:bookmarkEnd w:id="36"/>
            <w:bookmarkEnd w:id="37"/>
            <w:bookmarkEnd w:id="38"/>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增强工程人员的保护意识，严禁捕猎野生动物。工人必须遵守《中华人民共和国野生动物保护法》。对工人进行宣传教育，严禁捕杀野生动物，施工过程中如遇到要尽量保护。</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高噪声作业等要避开野生动物活动的高峰期，如晨昏等。夜行</w:t>
            </w:r>
            <w:r>
              <w:rPr>
                <w:rFonts w:hint="default" w:ascii="Times New Roman" w:hAnsi="Times New Roman" w:eastAsia="宋体" w:cs="Times New Roman"/>
                <w:color w:val="auto"/>
                <w:kern w:val="0"/>
                <w:sz w:val="24"/>
                <w:lang w:eastAsia="zh-CN"/>
              </w:rPr>
              <w:t>性</w:t>
            </w:r>
            <w:r>
              <w:rPr>
                <w:rFonts w:hint="default" w:ascii="Times New Roman" w:hAnsi="Times New Roman" w:eastAsia="宋体" w:cs="Times New Roman"/>
                <w:color w:val="auto"/>
                <w:kern w:val="0"/>
                <w:sz w:val="24"/>
              </w:rPr>
              <w:t>动物对灯光较为敏感，开工尽量安排在白天进行，避免夜间施工对野生动物正常栖息生活造成影响。禁止高噪声设备在晨昏和夜间运行，减少噪声对动物的干扰。</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加强施工管理，严格控制在征地范围内施工，避免对征地范围外</w:t>
            </w:r>
            <w:r>
              <w:rPr>
                <w:rFonts w:hint="default" w:ascii="Times New Roman" w:hAnsi="Times New Roman" w:eastAsia="宋体" w:cs="Times New Roman"/>
                <w:color w:val="auto"/>
                <w:kern w:val="0"/>
                <w:sz w:val="24"/>
                <w:lang w:eastAsia="zh-CN"/>
              </w:rPr>
              <w:t>的其他</w:t>
            </w:r>
            <w:r>
              <w:rPr>
                <w:rFonts w:hint="default" w:ascii="Times New Roman" w:hAnsi="Times New Roman" w:eastAsia="宋体" w:cs="Times New Roman"/>
                <w:color w:val="auto"/>
                <w:kern w:val="0"/>
                <w:sz w:val="24"/>
              </w:rPr>
              <w:t>土地的占用，减少对野生动物生境的占用。</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设置警示牌，严格控制车速，避免对两栖爬行类及小型兽类造成碾压。</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施工期间加强施工人员管理，严禁使用烟火，防止发生火灾。</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bookmarkStart w:id="39" w:name="_Toc8386"/>
            <w:bookmarkStart w:id="40" w:name="_Toc1188"/>
            <w:bookmarkStart w:id="41" w:name="_Toc26621"/>
            <w:bookmarkStart w:id="42" w:name="_Toc4656"/>
            <w:bookmarkStart w:id="43" w:name="_Toc27065"/>
            <w:r>
              <w:rPr>
                <w:rFonts w:hint="default" w:ascii="Times New Roman" w:hAnsi="Times New Roman" w:eastAsia="宋体" w:cs="Times New Roman"/>
                <w:color w:val="auto"/>
                <w:kern w:val="0"/>
                <w:sz w:val="24"/>
              </w:rPr>
              <w:t>②恢复和补偿措施</w:t>
            </w:r>
            <w:bookmarkEnd w:id="39"/>
            <w:bookmarkEnd w:id="40"/>
            <w:bookmarkEnd w:id="41"/>
            <w:bookmarkEnd w:id="42"/>
            <w:bookmarkEnd w:id="43"/>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项目工程完成后，采取一些人工辅助的生态恢复措施，对</w:t>
            </w:r>
            <w:r>
              <w:rPr>
                <w:rFonts w:hint="default" w:ascii="Times New Roman" w:hAnsi="Times New Roman" w:eastAsia="宋体" w:cs="Times New Roman"/>
                <w:color w:val="auto"/>
                <w:kern w:val="0"/>
                <w:sz w:val="24"/>
                <w:lang w:val="en-US" w:eastAsia="zh-CN"/>
              </w:rPr>
              <w:t>施工区域</w:t>
            </w:r>
            <w:r>
              <w:rPr>
                <w:rFonts w:hint="default" w:ascii="Times New Roman" w:hAnsi="Times New Roman" w:eastAsia="宋体" w:cs="Times New Roman"/>
                <w:color w:val="auto"/>
                <w:kern w:val="0"/>
                <w:sz w:val="24"/>
              </w:rPr>
              <w:t>及时进行植被恢复。</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bookmarkStart w:id="44" w:name="_Toc15057"/>
            <w:bookmarkStart w:id="45" w:name="_Toc12586"/>
            <w:bookmarkStart w:id="46" w:name="_Toc29949"/>
            <w:bookmarkStart w:id="47" w:name="_Toc14366"/>
            <w:bookmarkStart w:id="48" w:name="_Toc25811"/>
            <w:r>
              <w:rPr>
                <w:rFonts w:hint="default" w:ascii="Times New Roman" w:hAnsi="Times New Roman" w:eastAsia="宋体" w:cs="Times New Roman"/>
                <w:color w:val="auto"/>
                <w:kern w:val="0"/>
                <w:sz w:val="24"/>
              </w:rPr>
              <w:t>③管理措施</w:t>
            </w:r>
            <w:bookmarkEnd w:id="44"/>
            <w:bookmarkEnd w:id="45"/>
            <w:bookmarkEnd w:id="46"/>
            <w:bookmarkEnd w:id="47"/>
            <w:bookmarkEnd w:id="48"/>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强施工监控和管理。企业必须配备包括保护野生动物和生态环境在内的专职或兼职巡护人员，加强生态环境的监控和管理，防止人类开发活动加剧造成的诸如动植物资源的破坏、水环境污染和火灾等对当地生物多样性的破坏。</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color w:val="auto"/>
                <w:kern w:val="0"/>
                <w:sz w:val="24"/>
              </w:rPr>
              <w:t>工程期间一定时间内在评价区内进行生态监测，以及时评估项目对生态环境的影响。</w:t>
            </w:r>
          </w:p>
          <w:p>
            <w:pPr>
              <w:keepNext w:val="0"/>
              <w:keepLines w:val="0"/>
              <w:pageBreakBefore w:val="0"/>
              <w:kinsoku/>
              <w:wordWrap/>
              <w:overflowPunct/>
              <w:topLinePunct w:val="0"/>
              <w:bidi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3）</w:t>
            </w:r>
            <w:r>
              <w:rPr>
                <w:rFonts w:hint="default" w:ascii="Times New Roman" w:hAnsi="Times New Roman" w:eastAsia="宋体" w:cs="Times New Roman"/>
                <w:color w:val="auto"/>
                <w:kern w:val="0"/>
                <w:sz w:val="24"/>
                <w:lang w:bidi="ar"/>
              </w:rPr>
              <w:t>农田保护措施</w:t>
            </w:r>
          </w:p>
          <w:p>
            <w:pPr>
              <w:keepNext w:val="0"/>
              <w:keepLines w:val="0"/>
              <w:pageBreakBefore w:val="0"/>
              <w:kinsoku/>
              <w:wordWrap/>
              <w:overflowPunct/>
              <w:topLinePunct w:val="0"/>
              <w:bidi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①</w:t>
            </w:r>
            <w:r>
              <w:rPr>
                <w:rFonts w:hint="default" w:ascii="Times New Roman" w:hAnsi="Times New Roman" w:eastAsia="宋体" w:cs="Times New Roman"/>
                <w:color w:val="auto"/>
                <w:kern w:val="0"/>
                <w:sz w:val="24"/>
                <w:lang w:bidi="ar"/>
              </w:rPr>
              <w:t>施工所产生的土方、废料以及底泥，存放于工程红线区内，采用围堰、遮盖等措施，不得占用农田。</w:t>
            </w:r>
          </w:p>
          <w:p>
            <w:pPr>
              <w:keepNext w:val="0"/>
              <w:keepLines w:val="0"/>
              <w:pageBreakBefore w:val="0"/>
              <w:kinsoku/>
              <w:wordWrap/>
              <w:overflowPunct/>
              <w:topLinePunct w:val="0"/>
              <w:bidi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②</w:t>
            </w:r>
            <w:r>
              <w:rPr>
                <w:rFonts w:hint="default" w:ascii="Times New Roman" w:hAnsi="Times New Roman" w:eastAsia="宋体" w:cs="Times New Roman"/>
                <w:color w:val="auto"/>
                <w:kern w:val="0"/>
                <w:sz w:val="24"/>
                <w:lang w:bidi="ar"/>
              </w:rPr>
              <w:t>加强施工人员管理，不得踩踏农田，不得在农田丢弃垃圾。</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rPr>
              <w:t>③</w:t>
            </w:r>
            <w:r>
              <w:rPr>
                <w:rFonts w:hint="default" w:ascii="Times New Roman" w:hAnsi="Times New Roman" w:eastAsia="宋体" w:cs="Times New Roman"/>
                <w:color w:val="auto"/>
                <w:kern w:val="0"/>
                <w:sz w:val="24"/>
                <w:lang w:bidi="ar"/>
              </w:rPr>
              <w:t>本工程应合理安排施工期，避开风、雨天气，避开农田灌溉期。</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bidi="ar"/>
              </w:rPr>
              <w:t>4）</w:t>
            </w:r>
            <w:r>
              <w:rPr>
                <w:rFonts w:hint="default" w:ascii="Times New Roman" w:hAnsi="Times New Roman" w:eastAsia="宋体" w:cs="Times New Roman"/>
                <w:color w:val="auto"/>
                <w:kern w:val="0"/>
                <w:sz w:val="24"/>
              </w:rPr>
              <w:t>水土保持措施</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本项目在建设过程中，容易造成水土流失，必须采取必要的防治措施以避免或减少水土流失。</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工程措施：刮大风和降雨时应停止施工，以免造成水土流失；施工建设中，临时堆土可就近堆放，减少倒运，必要时采取拦挡措施、必须采取苫盖等措施；施工建设场地应统一规划，并采取临时性的防护措施，如布设临时拦挡、苫盖等设施，防治施工期间的水土流失；施工中对下游及周边造成影响的，必须采取相应的防护措施；施工中的裸露地，在遇暴雨时应布设防护措施。临时堆土裸露时间超过一个生长季节的，应进行临时植草加以防护。</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②防治分区原则：根据实地调查（勘测）结果，在确定的防治责任范围内，依据工程布局、施工扰动特点、建设时序、地貌特征、自然属性、水土流失影响等进行水土流失防治分区。</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③管理措施：需加强施工管理，机械和工人要按照作业范围进行，工程作业全部控制在红线之内。机械及其他材料不得乱停乱放，防止扰动道路红线以外的植被，爱护生态环境，禁止破坏道路红线以外的植被。</w:t>
            </w:r>
          </w:p>
          <w:p>
            <w:pPr>
              <w:keepNext w:val="0"/>
              <w:keepLines w:val="0"/>
              <w:pageBreakBefore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2、大气环境保护措施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施工期的大气污染物主要为施工扬尘、施工机械和车辆尾气</w:t>
            </w:r>
            <w:r>
              <w:rPr>
                <w:rFonts w:hint="default" w:ascii="Times New Roman" w:hAnsi="Times New Roman" w:eastAsia="宋体" w:cs="Times New Roman"/>
                <w:color w:val="auto"/>
                <w:kern w:val="0"/>
                <w:sz w:val="24"/>
                <w:lang w:val="en-US" w:eastAsia="zh-CN"/>
              </w:rPr>
              <w:t>及淤泥晾晒时产生的恶臭</w:t>
            </w:r>
            <w:r>
              <w:rPr>
                <w:rFonts w:hint="default" w:ascii="Times New Roman" w:hAnsi="Times New Roman" w:eastAsia="宋体" w:cs="Times New Roman"/>
                <w:color w:val="auto"/>
                <w:kern w:val="0"/>
                <w:sz w:val="24"/>
              </w:rPr>
              <w:t>。</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⑴扬尘</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为减少施工扬尘，施工时须满足《关于进一步加强施工工地和道路扬尘管控工作的通知》（建办质[2019]23号）、《宁夏回族自治区大气污染防治条例》、《</w:t>
            </w:r>
            <w:r>
              <w:rPr>
                <w:rFonts w:hint="eastAsia" w:cs="Times New Roman"/>
                <w:color w:val="auto"/>
                <w:kern w:val="0"/>
                <w:sz w:val="24"/>
                <w:lang w:eastAsia="zh-CN"/>
              </w:rPr>
              <w:t>固原市</w:t>
            </w:r>
            <w:r>
              <w:rPr>
                <w:rFonts w:hint="default" w:ascii="Times New Roman" w:hAnsi="Times New Roman" w:eastAsia="宋体" w:cs="Times New Roman"/>
                <w:color w:val="auto"/>
                <w:kern w:val="0"/>
                <w:sz w:val="24"/>
              </w:rPr>
              <w:t>城市扬尘污染防治管理办法》相关要求：出入口100%设置冲洗设施，驶出车辆100%冲洗，沙石渣土车辆100%遮盖，施工区域裸露堆场100%遮盖防尘网或喷洒水，施工作业避开五级大风天气等措施。在采取上述措施后，施工作业现场产生的扬尘对周围环境影响较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针对本项目的施工特点，主要采取如下防治措施：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①对施工现场进行科学管理，砂石料统一堆放，多余的砂石料及建筑材料应及时清运；施工单位有专人负责逸散性材料、渣土等覆盖、洒水作业和车辆清洗作业；</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②在运输道路上及时洒水，防止道路扬尘；</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运输车辆在出入施工场地时，对车辆轮胎进行冲洗，避免运输扬尘；对运输物料的车辆不装载过满，对运输车辆采取遮盖、密闭措施，避免沿途物料抛洒。散装车辆装运货物的高度不超过马槽的高度，文明装卸和驾驶，在装卸点对散落在车顶、篷布外部等处的物料进行清扫；</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④施工现场靠近环境敏感点处围挡高度不低于2.5m；</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不在大风天气下施工，风速超过四级时停止施工作业；本项目沟道施工过程中采取分段施工方法进行，所以施工扬尘对沿线周围环境影响周期较短，影响程度较小。采取上述措施后，将施工扬尘对周围环境的影响降到较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在项目施工期，采取上述防治措施后，扬尘对周围环境的影响可得到有效控制，对周围大气环境影响较小。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⑵施工机械和车辆尾气</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施工机械和车辆尾气主要含有HC、NOx、CO等，根据本项目初步设计，尾气排放量较小，属于间歇性排放，经扩散稀释后对周围环境影响较小。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为使施工期尾气对周围环境的影响降至最低，应采取如下措施：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①加强对施工机械及车辆使用管理和保养维修，合理降低使用次数，提高使用效率，禁止施工机械超负荷工作和运输车辆超载；不得使用劣质燃料。</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②施工现场应合理布置运输车辆行驶路线，配合有关部门搞好施工期周围道路的交通组织，保证行驶速度，减少怠速时间，以及车辆尾气的排放。</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综上所述，施工期大气影响是暂时的，随着施工期的结束，影响也随之结束。建设单位应加强施工管理，采取相应措施，尽可能减少对周围环境的影响。</w:t>
            </w:r>
          </w:p>
          <w:p>
            <w:pPr>
              <w:keepNext w:val="0"/>
              <w:keepLines w:val="0"/>
              <w:pageBreakBefore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3、水环境保护措施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本项目施工期废水主要为施工废水和施工人员生活污水。本项目在施工区设置1座</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沉淀池，施工废水沉淀后用于施工场地洒水抑尘，不外排。施工期施工人员依托周边村庄居住，不设生活营地。本项目施工期禁止在现场进行机械、设备维修作业，因此不产生含油机修废水。因此，项目施工期产生的废水不外排，对周围环境影响较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bidi="ar"/>
              </w:rPr>
              <w:t>本项目</w:t>
            </w:r>
            <w:r>
              <w:rPr>
                <w:rFonts w:hint="default" w:ascii="Times New Roman" w:hAnsi="Times New Roman" w:eastAsia="宋体" w:cs="Times New Roman"/>
                <w:color w:val="auto"/>
                <w:kern w:val="0"/>
                <w:sz w:val="24"/>
                <w:lang w:bidi="ar"/>
              </w:rPr>
              <w:t>采用单侧围堰施工方法进行施工</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工程段施工排水采用潜水泵将砌护段落基坑内沟水及渗水抽排至</w:t>
            </w:r>
            <w:r>
              <w:rPr>
                <w:rFonts w:hint="default" w:ascii="Times New Roman" w:hAnsi="Times New Roman" w:eastAsia="宋体" w:cs="Times New Roman"/>
                <w:color w:val="auto"/>
                <w:kern w:val="0"/>
                <w:sz w:val="24"/>
                <w:lang w:val="en-US" w:eastAsia="zh-CN" w:bidi="ar"/>
              </w:rPr>
              <w:t>围堰</w:t>
            </w:r>
            <w:r>
              <w:rPr>
                <w:rFonts w:hint="default" w:ascii="Times New Roman" w:hAnsi="Times New Roman" w:eastAsia="宋体" w:cs="Times New Roman"/>
                <w:color w:val="auto"/>
                <w:kern w:val="0"/>
                <w:sz w:val="24"/>
                <w:lang w:bidi="ar"/>
              </w:rPr>
              <w:t>内</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从而降低对水环境的影响。</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废水治理责任主体为建设单位，施工期及时足额支付废水治理费用；施工单位应建立健全施工废水治理责任制，设专职管理人员负责落实废水治理措施，建立建设单位、项目部、专职管理人员“三级检查制度”。</w:t>
            </w:r>
          </w:p>
          <w:p>
            <w:pPr>
              <w:keepNext w:val="0"/>
              <w:keepLines w:val="0"/>
              <w:pageBreakBefore w:val="0"/>
              <w:kinsoku/>
              <w:wordWrap/>
              <w:overflowPunct/>
              <w:topLinePunct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项目施工应严格控制施工红线，</w:t>
            </w:r>
            <w:r>
              <w:rPr>
                <w:rFonts w:hint="default" w:ascii="Times New Roman" w:hAnsi="Times New Roman" w:eastAsia="宋体" w:cs="Times New Roman"/>
                <w:color w:val="auto"/>
                <w:sz w:val="24"/>
              </w:rPr>
              <w:t>运输车辆出入在经过水源地时，对车辆轮胎须冲洗干净，利用已有施工道路；工程施工期临时设施不涉及水源地的保护范围，施工期间不得随意调整临时设施的位置；严格施工要求和管理，尽量减少对水源地的影响。</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综上所述，施工期废水妥善处理，对本项目</w:t>
            </w:r>
            <w:r>
              <w:rPr>
                <w:rFonts w:hint="default" w:ascii="Times New Roman" w:hAnsi="Times New Roman" w:eastAsia="宋体" w:cs="Times New Roman"/>
                <w:color w:val="auto"/>
                <w:kern w:val="0"/>
                <w:sz w:val="24"/>
                <w:lang w:val="en-US" w:eastAsia="zh-CN"/>
              </w:rPr>
              <w:t>沟</w:t>
            </w:r>
            <w:r>
              <w:rPr>
                <w:rFonts w:hint="default" w:ascii="Times New Roman" w:hAnsi="Times New Roman" w:eastAsia="宋体" w:cs="Times New Roman"/>
                <w:color w:val="auto"/>
                <w:kern w:val="0"/>
                <w:sz w:val="24"/>
              </w:rPr>
              <w:t>道及周围水环境影响较小，防治措施合理可行。</w:t>
            </w:r>
          </w:p>
          <w:p>
            <w:pPr>
              <w:keepNext w:val="0"/>
              <w:keepLines w:val="0"/>
              <w:pageBreakBefore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4、声环境影响分析及防治措施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本项目施工期的噪声主要来源于施工现场的各类机械设备噪声和运输车辆噪声。</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对施工期产生的噪声还应采取以下措施，减轻影响。</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①各施工单位要合理安排工期，做好申报登记，并采取必要的降噪防噪措施。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②施工过程中要尽量选用低噪声设备，对机械设备精心养护，保持良好的运行工况，减低设备运行噪声。</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③靠近居民点段要对施工噪声进行监测，夜间禁止施工，根据施工项目和周围环境敏感情况设立监测点，监测昼夜间噪声值，并根据监测结果调整施工节奏。</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④控制车辆鸣笛。</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考虑到本项目施工周期较短，项目施工噪声对工业企业的影响周期很短，施工单位通过合理安排施工机械设备的位置，并对高噪声设备采取减振、隔音、选择合理施工时间等措施，保证项目施工期产生的噪声对敏感点的影响降到最低。</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通过采取上述综合降噪措施，可有效降低施工过程噪声对周围环境的影响，确保施工期各项施工活动产生的噪声达到《建筑施工场界环境噪声排放标准》（GB12523-2011）中的相关规定限值要求，对周围环境影响较小。</w:t>
            </w:r>
          </w:p>
          <w:p>
            <w:pPr>
              <w:keepNext w:val="0"/>
              <w:keepLines w:val="0"/>
              <w:pageBreakBefore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5、固体废物环境影响分析及防治措施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本项目施工期产生的固体废物主要为施工场所产生施工人员活动产生的生活垃圾</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多余土方及</w:t>
            </w:r>
            <w:r>
              <w:rPr>
                <w:rFonts w:hint="eastAsia" w:cs="Times New Roman"/>
                <w:color w:val="auto"/>
                <w:kern w:val="0"/>
                <w:sz w:val="24"/>
                <w:highlight w:val="none"/>
                <w:lang w:val="en-US" w:eastAsia="zh-CN"/>
              </w:rPr>
              <w:t>沟道</w:t>
            </w:r>
            <w:r>
              <w:rPr>
                <w:rFonts w:hint="default" w:ascii="Times New Roman" w:hAnsi="Times New Roman" w:eastAsia="宋体" w:cs="Times New Roman"/>
                <w:color w:val="auto"/>
                <w:kern w:val="0"/>
                <w:sz w:val="24"/>
                <w:highlight w:val="none"/>
                <w:lang w:val="en-US" w:eastAsia="zh-CN"/>
              </w:rPr>
              <w:t>清理产生</w:t>
            </w:r>
            <w:r>
              <w:rPr>
                <w:rFonts w:hint="eastAsia" w:cs="Times New Roman"/>
                <w:color w:val="auto"/>
                <w:kern w:val="0"/>
                <w:sz w:val="24"/>
                <w:highlight w:val="none"/>
                <w:lang w:val="en-US" w:eastAsia="zh-CN"/>
              </w:rPr>
              <w:t>的泥沙</w:t>
            </w:r>
            <w:r>
              <w:rPr>
                <w:rFonts w:hint="default" w:ascii="Times New Roman" w:hAnsi="Times New Roman" w:eastAsia="宋体" w:cs="Times New Roman"/>
                <w:color w:val="auto"/>
                <w:kern w:val="0"/>
                <w:sz w:val="24"/>
                <w:highlight w:val="none"/>
                <w:lang w:val="en-US" w:eastAsia="zh-CN"/>
              </w:rPr>
              <w:t>等</w:t>
            </w:r>
            <w:r>
              <w:rPr>
                <w:rFonts w:hint="default" w:ascii="Times New Roman" w:hAnsi="Times New Roman" w:eastAsia="宋体" w:cs="Times New Roman"/>
                <w:color w:val="auto"/>
                <w:kern w:val="0"/>
                <w:sz w:val="24"/>
                <w:highlight w:val="none"/>
              </w:rPr>
              <w:t>。</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eastAsia"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sz w:val="24"/>
                <w:highlight w:val="none"/>
              </w:rPr>
              <w:t>剩余土方和沟道淤泥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rPr>
              <w:t>根据项目</w:t>
            </w:r>
            <w:r>
              <w:rPr>
                <w:rFonts w:hint="default" w:ascii="Times New Roman" w:hAnsi="Times New Roman" w:eastAsia="宋体" w:cs="Times New Roman"/>
                <w:color w:val="auto"/>
                <w:sz w:val="24"/>
                <w:szCs w:val="24"/>
                <w:highlight w:val="none"/>
                <w:lang w:val="en-US" w:eastAsia="zh-CN"/>
              </w:rPr>
              <w:t>水土保持</w:t>
            </w:r>
            <w:r>
              <w:rPr>
                <w:rFonts w:hint="default" w:ascii="Times New Roman" w:hAnsi="Times New Roman" w:eastAsia="宋体" w:cs="Times New Roman"/>
                <w:color w:val="auto"/>
                <w:sz w:val="24"/>
                <w:szCs w:val="24"/>
                <w:highlight w:val="none"/>
              </w:rPr>
              <w:t>方案，</w:t>
            </w:r>
            <w:r>
              <w:rPr>
                <w:rFonts w:hint="default" w:ascii="Times New Roman" w:hAnsi="Times New Roman" w:eastAsia="宋体" w:cs="Times New Roman"/>
                <w:color w:val="auto"/>
                <w:kern w:val="0"/>
                <w:sz w:val="24"/>
                <w:szCs w:val="24"/>
                <w:highlight w:val="none"/>
                <w:lang w:val="en-US" w:eastAsia="zh-CN" w:bidi="ar"/>
              </w:rPr>
              <w:t>本项目建设期土石方开挖总量为</w:t>
            </w:r>
            <w:r>
              <w:rPr>
                <w:rFonts w:hint="eastAsia" w:cs="Times New Roman"/>
                <w:color w:val="auto"/>
                <w:kern w:val="0"/>
                <w:sz w:val="24"/>
                <w:szCs w:val="24"/>
                <w:highlight w:val="none"/>
                <w:lang w:val="en-US" w:eastAsia="zh-CN" w:bidi="ar"/>
              </w:rPr>
              <w:t>1.7</w:t>
            </w:r>
            <w:r>
              <w:rPr>
                <w:rFonts w:hint="default" w:ascii="Times New Roman" w:hAnsi="Times New Roman" w:eastAsia="宋体" w:cs="Times New Roman"/>
                <w:color w:val="auto"/>
                <w:kern w:val="0"/>
                <w:sz w:val="24"/>
                <w:szCs w:val="24"/>
                <w:highlight w:val="none"/>
                <w:lang w:val="en-US" w:eastAsia="zh-CN" w:bidi="ar"/>
              </w:rPr>
              <w:t>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（含表土剥离</w:t>
            </w:r>
            <w:r>
              <w:rPr>
                <w:rFonts w:hint="default" w:ascii="Times New Roman" w:hAnsi="Times New Roman" w:eastAsia="宋体" w:cs="Times New Roman"/>
                <w:color w:val="auto"/>
                <w:kern w:val="2"/>
                <w:sz w:val="24"/>
                <w:szCs w:val="24"/>
                <w:highlight w:val="none"/>
                <w:lang w:val="en-US" w:eastAsia="zh-CN" w:bidi="ar-SA"/>
              </w:rPr>
              <w:t>0.20万m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
              </w:rPr>
              <w:t>），回填总量为</w:t>
            </w:r>
            <w:r>
              <w:rPr>
                <w:rFonts w:hint="eastAsia" w:cs="Times New Roman"/>
                <w:b w:val="0"/>
                <w:bCs w:val="0"/>
                <w:color w:val="auto"/>
                <w:kern w:val="2"/>
                <w:sz w:val="24"/>
                <w:szCs w:val="24"/>
                <w:highlight w:val="none"/>
                <w:lang w:val="en-US" w:eastAsia="zh-CN" w:bidi="ar-SA"/>
              </w:rPr>
              <w:t>1.4</w:t>
            </w:r>
            <w:r>
              <w:rPr>
                <w:rFonts w:hint="default" w:ascii="Times New Roman" w:hAnsi="Times New Roman" w:eastAsia="宋体" w:cs="Times New Roman"/>
                <w:b w:val="0"/>
                <w:bCs w:val="0"/>
                <w:color w:val="auto"/>
                <w:kern w:val="2"/>
                <w:sz w:val="24"/>
                <w:szCs w:val="24"/>
                <w:highlight w:val="none"/>
                <w:lang w:val="en-US" w:eastAsia="zh-CN" w:bidi="ar-SA"/>
              </w:rPr>
              <w:t>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含表土回覆</w:t>
            </w:r>
            <w:r>
              <w:rPr>
                <w:rFonts w:hint="default" w:ascii="Times New Roman" w:hAnsi="Times New Roman" w:eastAsia="宋体" w:cs="Times New Roman"/>
                <w:color w:val="auto"/>
                <w:kern w:val="2"/>
                <w:sz w:val="24"/>
                <w:szCs w:val="22"/>
                <w:highlight w:val="none"/>
                <w:lang w:val="en-US" w:eastAsia="zh-CN" w:bidi="ar-SA"/>
              </w:rPr>
              <w:t>0.20万m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
              </w:rPr>
              <w:t>），调出0.</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highlight w:val="none"/>
              </w:rPr>
              <w:t>无废弃土方</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bidi="ar"/>
              </w:rPr>
              <w:t>沟道</w:t>
            </w:r>
            <w:r>
              <w:rPr>
                <w:rFonts w:hint="eastAsia" w:cs="Times New Roman"/>
                <w:color w:val="auto"/>
                <w:kern w:val="0"/>
                <w:sz w:val="24"/>
                <w:highlight w:val="none"/>
                <w:lang w:eastAsia="zh-CN" w:bidi="ar"/>
              </w:rPr>
              <w:t>泥沙</w:t>
            </w:r>
            <w:r>
              <w:rPr>
                <w:rFonts w:hint="default" w:ascii="Times New Roman" w:hAnsi="Times New Roman" w:eastAsia="宋体" w:cs="Times New Roman"/>
                <w:color w:val="auto"/>
                <w:kern w:val="0"/>
                <w:sz w:val="24"/>
                <w:highlight w:val="none"/>
                <w:lang w:bidi="ar"/>
              </w:rPr>
              <w:t>采用</w:t>
            </w:r>
            <w:r>
              <w:rPr>
                <w:rFonts w:hint="default" w:ascii="Times New Roman" w:hAnsi="Times New Roman" w:eastAsia="宋体" w:cs="Times New Roman"/>
                <w:color w:val="auto"/>
                <w:kern w:val="0"/>
                <w:sz w:val="24"/>
              </w:rPr>
              <w:t>机械或人工清淤</w:t>
            </w:r>
            <w:r>
              <w:rPr>
                <w:rFonts w:hint="eastAsia" w:cs="Times New Roman"/>
                <w:color w:val="auto"/>
                <w:kern w:val="0"/>
                <w:sz w:val="24"/>
                <w:lang w:eastAsia="zh-CN"/>
              </w:rPr>
              <w:t>的方式</w:t>
            </w:r>
            <w:r>
              <w:rPr>
                <w:rFonts w:hint="default" w:ascii="Times New Roman" w:hAnsi="Times New Roman" w:eastAsia="宋体" w:cs="Times New Roman"/>
                <w:color w:val="auto"/>
                <w:kern w:val="0"/>
                <w:sz w:val="24"/>
              </w:rPr>
              <w:t>，清除的</w:t>
            </w:r>
            <w:r>
              <w:rPr>
                <w:rFonts w:hint="eastAsia" w:cs="Times New Roman"/>
                <w:color w:val="auto"/>
                <w:kern w:val="0"/>
                <w:sz w:val="24"/>
                <w:lang w:eastAsia="zh-CN"/>
              </w:rPr>
              <w:t>泥沙</w:t>
            </w:r>
            <w:r>
              <w:rPr>
                <w:rFonts w:hint="default" w:ascii="Times New Roman" w:hAnsi="Times New Roman" w:eastAsia="宋体" w:cs="Times New Roman"/>
                <w:color w:val="auto"/>
                <w:kern w:val="0"/>
                <w:sz w:val="24"/>
              </w:rPr>
              <w:t>置于干化</w:t>
            </w:r>
            <w:r>
              <w:rPr>
                <w:rFonts w:hint="default" w:ascii="Times New Roman" w:hAnsi="Times New Roman" w:eastAsia="宋体" w:cs="Times New Roman"/>
                <w:color w:val="auto"/>
                <w:kern w:val="0"/>
                <w:sz w:val="24"/>
                <w:lang w:val="en-US" w:eastAsia="zh-CN"/>
              </w:rPr>
              <w:t>区</w:t>
            </w:r>
            <w:r>
              <w:rPr>
                <w:rFonts w:hint="default" w:ascii="Times New Roman" w:hAnsi="Times New Roman" w:eastAsia="宋体" w:cs="Times New Roman"/>
                <w:color w:val="auto"/>
                <w:kern w:val="0"/>
                <w:sz w:val="24"/>
              </w:rPr>
              <w:t>干化</w:t>
            </w:r>
            <w:r>
              <w:rPr>
                <w:rFonts w:hint="eastAsia" w:cs="Times New Roman"/>
                <w:color w:val="auto"/>
                <w:kern w:val="0"/>
                <w:sz w:val="24"/>
                <w:lang w:eastAsia="zh-CN"/>
              </w:rPr>
              <w:t>后，用于地面平整。</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highlight w:val="yellow"/>
              </w:rPr>
            </w:pPr>
            <w:r>
              <w:rPr>
                <w:rFonts w:hint="default" w:ascii="Times New Roman" w:hAnsi="Times New Roman" w:eastAsia="宋体" w:cs="Times New Roman"/>
                <w:color w:val="auto"/>
                <w:kern w:val="0"/>
                <w:sz w:val="24"/>
                <w:highlight w:val="none"/>
              </w:rPr>
              <w:t>生活垃圾：生活垃圾主要污染物为垃圾袋、果核、矿泉水瓶等，集中收集后由施工单位清运至垃圾中转站，由环卫部门统一处理。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0000FF"/>
                <w:sz w:val="24"/>
              </w:rPr>
            </w:pPr>
            <w:r>
              <w:rPr>
                <w:rFonts w:hint="default" w:ascii="Times New Roman" w:hAnsi="Times New Roman" w:eastAsia="宋体" w:cs="Times New Roman"/>
                <w:color w:val="auto"/>
                <w:sz w:val="24"/>
              </w:rPr>
              <w:t>采取上述固体废物处置措施后，项目施工期产生的固体废物对主要环境保护目标的影响较小。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jc w:val="center"/>
        </w:trPr>
        <w:tc>
          <w:tcPr>
            <w:tcW w:w="72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b/>
                <w:bCs w:val="0"/>
                <w:color w:val="auto"/>
                <w:spacing w:val="10"/>
                <w:sz w:val="24"/>
              </w:rPr>
              <w:t>运营期生态环境保护措施</w:t>
            </w:r>
          </w:p>
        </w:tc>
        <w:tc>
          <w:tcPr>
            <w:tcW w:w="8371"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本项目属于</w:t>
            </w:r>
            <w:r>
              <w:rPr>
                <w:rFonts w:hint="eastAsia" w:cs="Times New Roman"/>
                <w:color w:val="auto"/>
                <w:sz w:val="24"/>
                <w:lang w:eastAsia="zh-CN"/>
              </w:rPr>
              <w:t>排水防涝</w:t>
            </w:r>
            <w:r>
              <w:rPr>
                <w:rFonts w:hint="default" w:ascii="Times New Roman" w:hAnsi="Times New Roman" w:eastAsia="宋体" w:cs="Times New Roman"/>
                <w:color w:val="auto"/>
                <w:sz w:val="24"/>
              </w:rPr>
              <w:t>工程</w:t>
            </w:r>
            <w:r>
              <w:rPr>
                <w:rFonts w:hint="default" w:ascii="Times New Roman" w:hAnsi="Times New Roman" w:eastAsia="宋体" w:cs="Times New Roman"/>
                <w:color w:val="auto"/>
                <w:kern w:val="0"/>
                <w:sz w:val="24"/>
              </w:rPr>
              <w:t>。项目运营期将会产生较大的生态环境效益。根据本项目特点，项目营运期不产生废气、废水</w:t>
            </w:r>
            <w:r>
              <w:rPr>
                <w:rFonts w:hint="default" w:ascii="Times New Roman" w:hAnsi="Times New Roman" w:eastAsia="宋体" w:cs="Times New Roman"/>
                <w:color w:val="auto"/>
                <w:kern w:val="0"/>
                <w:sz w:val="24"/>
                <w:lang w:val="en-US" w:eastAsia="zh-CN"/>
              </w:rPr>
              <w:t>和</w:t>
            </w:r>
            <w:r>
              <w:rPr>
                <w:rFonts w:hint="default" w:ascii="Times New Roman" w:hAnsi="Times New Roman" w:eastAsia="宋体" w:cs="Times New Roman"/>
                <w:color w:val="auto"/>
                <w:kern w:val="0"/>
                <w:sz w:val="24"/>
              </w:rPr>
              <w:t>噪声</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仅有固体废物产生。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jc w:val="both"/>
              <w:textAlignment w:val="auto"/>
              <w:rPr>
                <w:rFonts w:hint="eastAsia" w:ascii="Times New Roman" w:hAnsi="Times New Roman" w:eastAsia="宋体" w:cs="Times New Roman"/>
                <w:bCs/>
                <w:color w:val="0000FF"/>
                <w:spacing w:val="10"/>
                <w:sz w:val="24"/>
                <w:lang w:eastAsia="zh-CN"/>
              </w:rPr>
            </w:pPr>
            <w:r>
              <w:rPr>
                <w:rFonts w:hint="default" w:ascii="Times New Roman" w:hAnsi="Times New Roman" w:eastAsia="宋体" w:cs="Times New Roman"/>
                <w:color w:val="auto"/>
                <w:kern w:val="0"/>
                <w:sz w:val="24"/>
              </w:rPr>
              <w:t>项目运营期</w:t>
            </w:r>
            <w:r>
              <w:rPr>
                <w:rFonts w:hint="default" w:ascii="Times New Roman" w:hAnsi="Times New Roman" w:eastAsia="宋体" w:cs="Times New Roman"/>
                <w:color w:val="auto"/>
                <w:kern w:val="0"/>
                <w:sz w:val="24"/>
                <w:lang w:val="en-US" w:eastAsia="zh-CN"/>
              </w:rPr>
              <w:t>固体废物主要有日常清理的</w:t>
            </w:r>
            <w:r>
              <w:rPr>
                <w:rFonts w:hint="eastAsia" w:cs="Times New Roman"/>
                <w:color w:val="auto"/>
                <w:kern w:val="0"/>
                <w:sz w:val="24"/>
                <w:lang w:eastAsia="zh-CN"/>
              </w:rPr>
              <w:t>沟道泥沙</w:t>
            </w:r>
            <w:r>
              <w:rPr>
                <w:rFonts w:hint="default" w:ascii="Times New Roman" w:hAnsi="Times New Roman" w:eastAsia="宋体" w:cs="Times New Roman"/>
                <w:color w:val="auto"/>
                <w:kern w:val="0"/>
                <w:sz w:val="24"/>
              </w:rPr>
              <w:t>，</w:t>
            </w:r>
            <w:r>
              <w:rPr>
                <w:rFonts w:hint="eastAsia" w:cs="Times New Roman"/>
                <w:color w:val="auto"/>
                <w:kern w:val="0"/>
                <w:sz w:val="24"/>
                <w:lang w:eastAsia="zh-CN"/>
              </w:rPr>
              <w:t>由建设单位不定期清理至建筑垃圾填埋场处理。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722" w:type="dxa"/>
            <w:tcBorders>
              <w:tl2br w:val="nil"/>
              <w:tr2bl w:val="nil"/>
            </w:tcBorders>
            <w:vAlign w:val="center"/>
          </w:tcPr>
          <w:p>
            <w:pPr>
              <w:adjustRightInd w:val="0"/>
              <w:snapToGrid w:val="0"/>
              <w:spacing w:line="360" w:lineRule="auto"/>
              <w:ind w:firstLine="0" w:firstLineChars="0"/>
              <w:jc w:val="center"/>
              <w:rPr>
                <w:rFonts w:hint="default" w:ascii="Times New Roman" w:hAnsi="Times New Roman" w:eastAsia="宋体" w:cs="Times New Roman"/>
                <w:b/>
                <w:bCs w:val="0"/>
                <w:color w:val="0000FF"/>
                <w:spacing w:val="10"/>
                <w:sz w:val="24"/>
              </w:rPr>
            </w:pPr>
            <w:r>
              <w:rPr>
                <w:rFonts w:hint="default" w:ascii="Times New Roman" w:hAnsi="Times New Roman" w:eastAsia="宋体" w:cs="Times New Roman"/>
                <w:b/>
                <w:bCs w:val="0"/>
                <w:color w:val="auto"/>
                <w:sz w:val="24"/>
              </w:rPr>
              <w:t>其他</w:t>
            </w:r>
          </w:p>
        </w:tc>
        <w:tc>
          <w:tcPr>
            <w:tcW w:w="8371" w:type="dxa"/>
            <w:tcBorders>
              <w:tl2br w:val="nil"/>
              <w:tr2bl w:val="nil"/>
            </w:tcBorders>
            <w:vAlign w:val="top"/>
          </w:tcPr>
          <w:p>
            <w:pPr>
              <w:keepNext w:val="0"/>
              <w:keepLines w:val="0"/>
              <w:pageBreakBefore w:val="0"/>
              <w:kinsoku/>
              <w:wordWrap/>
              <w:overflowPunct/>
              <w:topLinePunct w:val="0"/>
              <w:autoSpaceDE w:val="0"/>
              <w:autoSpaceDN w:val="0"/>
              <w:bidi w:val="0"/>
              <w:adjustRightInd w:val="0"/>
              <w:snapToGrid w:val="0"/>
              <w:spacing w:before="120" w:beforeLines="50" w:line="540" w:lineRule="exact"/>
              <w:ind w:firstLine="52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bCs/>
                <w:color w:val="auto"/>
                <w:spacing w:val="10"/>
                <w:sz w:val="24"/>
              </w:rPr>
              <w:t>1、</w:t>
            </w:r>
            <w:r>
              <w:rPr>
                <w:rFonts w:hint="default" w:ascii="Times New Roman" w:hAnsi="Times New Roman" w:eastAsia="宋体" w:cs="Times New Roman"/>
                <w:b/>
                <w:color w:val="auto"/>
                <w:kern w:val="0"/>
                <w:sz w:val="24"/>
              </w:rPr>
              <w:t>生态正效益分析</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Cs/>
                <w:color w:val="auto"/>
                <w:sz w:val="24"/>
              </w:rPr>
            </w:pPr>
            <w:r>
              <w:rPr>
                <w:rFonts w:cs="Times New Roman"/>
                <w:kern w:val="0"/>
              </w:rPr>
              <w:t>本项目建成后将进一步改善</w:t>
            </w:r>
            <w:r>
              <w:rPr>
                <w:rFonts w:hint="eastAsia" w:cs="Times New Roman"/>
                <w:kern w:val="0"/>
              </w:rPr>
              <w:t>隆德县</w:t>
            </w:r>
            <w:r>
              <w:rPr>
                <w:rFonts w:cs="Times New Roman"/>
                <w:kern w:val="0"/>
              </w:rPr>
              <w:t>所在区域生态环境和当地农业生产条件</w:t>
            </w:r>
            <w:r>
              <w:rPr>
                <w:rFonts w:cs="Times New Roman"/>
                <w:color w:val="FF0000"/>
                <w:kern w:val="0"/>
              </w:rPr>
              <w:t>，</w:t>
            </w:r>
            <w:r>
              <w:rPr>
                <w:rFonts w:hint="eastAsia" w:cs="Times New Roman"/>
                <w:color w:val="auto"/>
                <w:kern w:val="0"/>
                <w:lang w:eastAsia="zh-CN"/>
              </w:rPr>
              <w:t>促进县城经济发展，对招商引资、房地产业均有较大的推动作用</w:t>
            </w:r>
            <w:r>
              <w:rPr>
                <w:rFonts w:cs="Times New Roman"/>
                <w:color w:val="auto"/>
                <w:kern w:val="0"/>
              </w:rPr>
              <w:t>；同</w:t>
            </w:r>
            <w:r>
              <w:rPr>
                <w:rFonts w:cs="Times New Roman"/>
                <w:kern w:val="0"/>
              </w:rPr>
              <w:t>时，本项目的建设提高城市防洪标准，对保障人民群众生命财产安全，有效减轻洪涝灾害损失，改善民生和维护社会稳定，支撑经济社会可持续发展具有十分重要的作用</w:t>
            </w:r>
            <w:r>
              <w:rPr>
                <w:rFonts w:cs="Times New Roman"/>
                <w:bCs/>
              </w:rPr>
              <w:t>。</w:t>
            </w:r>
          </w:p>
          <w:p>
            <w:pPr>
              <w:keepNext w:val="0"/>
              <w:keepLines w:val="0"/>
              <w:pageBreakBefore w:val="0"/>
              <w:kinsoku/>
              <w:wordWrap/>
              <w:overflowPunct/>
              <w:topLinePunct w:val="0"/>
              <w:autoSpaceDE w:val="0"/>
              <w:autoSpaceDN w:val="0"/>
              <w:bidi w:val="0"/>
              <w:adjustRightInd w:val="0"/>
              <w:snapToGrid w:val="0"/>
              <w:spacing w:line="540" w:lineRule="exact"/>
              <w:ind w:firstLine="52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bCs/>
                <w:color w:val="auto"/>
                <w:spacing w:val="10"/>
                <w:sz w:val="24"/>
              </w:rPr>
              <w:t>2、</w:t>
            </w:r>
            <w:r>
              <w:rPr>
                <w:rFonts w:hint="default" w:ascii="Times New Roman" w:hAnsi="Times New Roman" w:eastAsia="宋体" w:cs="Times New Roman"/>
                <w:b/>
                <w:color w:val="auto"/>
                <w:kern w:val="0"/>
                <w:sz w:val="24"/>
              </w:rPr>
              <w:t>环境管理</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为贯彻落实《建设项目环境保护管理条例》，加强本项目环境保护工作的领导和管理，由对应</w:t>
            </w:r>
            <w:r>
              <w:rPr>
                <w:rFonts w:hint="default" w:ascii="Times New Roman" w:hAnsi="Times New Roman" w:eastAsia="宋体" w:cs="Times New Roman"/>
                <w:color w:val="auto"/>
                <w:kern w:val="0"/>
                <w:sz w:val="24"/>
                <w:lang w:val="en-US" w:eastAsia="zh-CN"/>
              </w:rPr>
              <w:t>沟</w:t>
            </w:r>
            <w:r>
              <w:rPr>
                <w:rFonts w:hint="default" w:ascii="Times New Roman" w:hAnsi="Times New Roman" w:eastAsia="宋体" w:cs="Times New Roman"/>
                <w:color w:val="auto"/>
                <w:kern w:val="0"/>
                <w:sz w:val="24"/>
              </w:rPr>
              <w:t>道的河长负责环境管理工作，从管理上保证环境保护措施的有效实施。</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①贯彻执行国家和地方的各项环保方针、政策、法规和各项规章制度，制定和实施各项环境管理计划。</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②定期巡查工程周边环境变化情况。</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kern w:val="0"/>
                <w:sz w:val="24"/>
              </w:rPr>
              <w:t>③制定和实施各项环境管理计划。</w:t>
            </w:r>
          </w:p>
          <w:p>
            <w:pPr>
              <w:keepNext w:val="0"/>
              <w:keepLines w:val="0"/>
              <w:pageBreakBefore w:val="0"/>
              <w:kinsoku/>
              <w:wordWrap/>
              <w:overflowPunct/>
              <w:topLinePunct w:val="0"/>
              <w:autoSpaceDE w:val="0"/>
              <w:autoSpaceDN w:val="0"/>
              <w:bidi w:val="0"/>
              <w:adjustRightInd w:val="0"/>
              <w:snapToGrid w:val="0"/>
              <w:spacing w:line="540" w:lineRule="exact"/>
              <w:ind w:firstLine="482"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3、环境监测计划</w:t>
            </w:r>
          </w:p>
          <w:p>
            <w:pPr>
              <w:keepNext w:val="0"/>
              <w:keepLines w:val="0"/>
              <w:pageBreakBefore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环境监测是环境管理必不可少的科学手段，通过有效的环境监测，可及时了解环境质量现状。</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textAlignment w:val="auto"/>
              <w:rPr>
                <w:rFonts w:hint="eastAsia" w:cs="Times New Roman"/>
                <w:kern w:val="0"/>
              </w:rPr>
            </w:pPr>
            <w:r>
              <w:rPr>
                <w:rFonts w:hint="default" w:ascii="Times New Roman" w:hAnsi="Times New Roman" w:eastAsia="宋体" w:cs="Times New Roman"/>
                <w:color w:val="auto"/>
                <w:kern w:val="0"/>
                <w:sz w:val="24"/>
              </w:rPr>
              <w:t>环境监测计划具体见表</w:t>
            </w:r>
            <w:r>
              <w:rPr>
                <w:rFonts w:hint="eastAsia" w:cs="Times New Roman"/>
                <w:kern w:val="0"/>
                <w:lang w:val="en-US" w:eastAsia="zh-CN"/>
              </w:rPr>
              <w:t>5-1</w:t>
            </w:r>
            <w:r>
              <w:rPr>
                <w:rFonts w:cs="Times New Roman"/>
                <w:kern w:val="0"/>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hint="eastAsia" w:ascii="宋体" w:hAnsi="宋体" w:eastAsia="宋体" w:cs="宋体"/>
                <w:b/>
                <w:bCs/>
                <w:color w:val="auto"/>
              </w:rPr>
            </w:pPr>
            <w:r>
              <w:rPr>
                <w:rFonts w:hint="eastAsia" w:ascii="宋体" w:hAnsi="宋体" w:eastAsia="宋体" w:cs="宋体"/>
                <w:b/>
                <w:bCs/>
                <w:color w:val="auto"/>
                <w:sz w:val="21"/>
                <w:szCs w:val="21"/>
              </w:rPr>
              <w:t>表</w:t>
            </w:r>
            <w:r>
              <w:rPr>
                <w:rFonts w:hint="default" w:ascii="Times New Roman" w:hAnsi="Times New Roman" w:eastAsia="宋体" w:cs="Times New Roman"/>
                <w:b/>
                <w:bCs/>
                <w:color w:val="auto"/>
                <w:sz w:val="21"/>
                <w:szCs w:val="21"/>
                <w:lang w:val="en-US" w:eastAsia="zh-CN"/>
              </w:rPr>
              <w:t>5-1</w:t>
            </w:r>
            <w:r>
              <w:rPr>
                <w:rFonts w:hint="eastAsia" w:ascii="宋体" w:hAnsi="宋体" w:eastAsia="宋体" w:cs="宋体"/>
                <w:b/>
                <w:bCs/>
                <w:color w:val="auto"/>
                <w:sz w:val="21"/>
                <w:szCs w:val="21"/>
              </w:rPr>
              <w:t xml:space="preserve"> </w:t>
            </w:r>
            <w:r>
              <w:rPr>
                <w:rFonts w:hint="eastAsia" w:ascii="宋体" w:hAnsi="宋体" w:eastAsia="宋体" w:cs="宋体"/>
                <w:b/>
                <w:bCs/>
                <w:color w:val="auto"/>
              </w:rPr>
              <w:t xml:space="preserve"> </w:t>
            </w:r>
            <w:bookmarkStart w:id="49" w:name="OLE_LINK16"/>
            <w:r>
              <w:rPr>
                <w:rFonts w:hint="eastAsia" w:ascii="宋体" w:hAnsi="宋体" w:eastAsia="宋体" w:cs="宋体"/>
                <w:b/>
                <w:bCs/>
                <w:color w:val="auto"/>
              </w:rPr>
              <w:t>环境监测计划表</w:t>
            </w:r>
            <w:bookmarkEnd w:id="49"/>
          </w:p>
          <w:tbl>
            <w:tblPr>
              <w:tblStyle w:val="20"/>
              <w:tblW w:w="805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026"/>
              <w:gridCol w:w="2361"/>
              <w:gridCol w:w="2210"/>
              <w:gridCol w:w="1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color w:val="auto"/>
                      <w:sz w:val="21"/>
                      <w:szCs w:val="21"/>
                    </w:rPr>
                  </w:pPr>
                  <w:r>
                    <w:rPr>
                      <w:rFonts w:cs="Times New Roman"/>
                      <w:b/>
                      <w:color w:val="auto"/>
                      <w:sz w:val="21"/>
                      <w:szCs w:val="21"/>
                    </w:rPr>
                    <w:t>监测时期</w:t>
                  </w:r>
                </w:p>
              </w:tc>
              <w:tc>
                <w:tcPr>
                  <w:tcW w:w="1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color w:val="auto"/>
                      <w:sz w:val="21"/>
                      <w:szCs w:val="21"/>
                    </w:rPr>
                  </w:pPr>
                  <w:r>
                    <w:rPr>
                      <w:rFonts w:cs="Times New Roman"/>
                      <w:b/>
                      <w:color w:val="auto"/>
                      <w:sz w:val="21"/>
                      <w:szCs w:val="21"/>
                    </w:rPr>
                    <w:t>监测项目</w:t>
                  </w:r>
                </w:p>
              </w:tc>
              <w:tc>
                <w:tcPr>
                  <w:tcW w:w="236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color w:val="auto"/>
                      <w:sz w:val="21"/>
                      <w:szCs w:val="21"/>
                    </w:rPr>
                  </w:pPr>
                  <w:r>
                    <w:rPr>
                      <w:rFonts w:cs="Times New Roman"/>
                      <w:b/>
                      <w:color w:val="auto"/>
                      <w:sz w:val="21"/>
                      <w:szCs w:val="21"/>
                    </w:rPr>
                    <w:t>指标</w:t>
                  </w:r>
                </w:p>
              </w:tc>
              <w:tc>
                <w:tcPr>
                  <w:tcW w:w="22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color w:val="auto"/>
                      <w:sz w:val="21"/>
                      <w:szCs w:val="21"/>
                    </w:rPr>
                  </w:pPr>
                  <w:r>
                    <w:rPr>
                      <w:rFonts w:cs="Times New Roman"/>
                      <w:b/>
                      <w:color w:val="auto"/>
                      <w:sz w:val="21"/>
                      <w:szCs w:val="21"/>
                    </w:rPr>
                    <w:t>频次</w:t>
                  </w:r>
                </w:p>
              </w:tc>
              <w:tc>
                <w:tcPr>
                  <w:tcW w:w="17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color w:val="auto"/>
                      <w:sz w:val="21"/>
                      <w:szCs w:val="21"/>
                    </w:rPr>
                  </w:pPr>
                  <w:r>
                    <w:rPr>
                      <w:rFonts w:cs="Times New Roman"/>
                      <w:b/>
                      <w:color w:val="auto"/>
                      <w:sz w:val="21"/>
                      <w:szCs w:val="21"/>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jc w:val="center"/>
              </w:trPr>
              <w:tc>
                <w:tcPr>
                  <w:tcW w:w="69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施工期</w:t>
                  </w:r>
                </w:p>
              </w:tc>
              <w:tc>
                <w:tcPr>
                  <w:tcW w:w="1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大气监测</w:t>
                  </w:r>
                </w:p>
              </w:tc>
              <w:tc>
                <w:tcPr>
                  <w:tcW w:w="236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TSP</w:t>
                  </w:r>
                </w:p>
              </w:tc>
              <w:tc>
                <w:tcPr>
                  <w:tcW w:w="22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高峰期监测1次，每次连续监测3天，每天分4个时段监测</w:t>
                  </w:r>
                </w:p>
              </w:tc>
              <w:tc>
                <w:tcPr>
                  <w:tcW w:w="17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施工现场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cs="Times New Roman"/>
                      <w:color w:val="auto"/>
                      <w:sz w:val="21"/>
                      <w:szCs w:val="21"/>
                    </w:rPr>
                  </w:pPr>
                </w:p>
              </w:tc>
              <w:tc>
                <w:tcPr>
                  <w:tcW w:w="1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声环境监测</w:t>
                  </w:r>
                </w:p>
              </w:tc>
              <w:tc>
                <w:tcPr>
                  <w:tcW w:w="236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等效连续A声级</w:t>
                  </w:r>
                </w:p>
              </w:tc>
              <w:tc>
                <w:tcPr>
                  <w:tcW w:w="22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施工期内至少一次，连续监测2天，每天昼、夜间监测1次</w:t>
                  </w:r>
                </w:p>
              </w:tc>
              <w:tc>
                <w:tcPr>
                  <w:tcW w:w="17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施工现场边界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jc w:val="center"/>
              </w:trPr>
              <w:tc>
                <w:tcPr>
                  <w:tcW w:w="6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cs="Times New Roman"/>
                      <w:color w:val="auto"/>
                      <w:sz w:val="21"/>
                      <w:szCs w:val="21"/>
                    </w:rPr>
                  </w:pPr>
                </w:p>
              </w:tc>
              <w:tc>
                <w:tcPr>
                  <w:tcW w:w="1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固体废物</w:t>
                  </w:r>
                </w:p>
              </w:tc>
              <w:tc>
                <w:tcPr>
                  <w:tcW w:w="236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hint="eastAsia" w:cs="Times New Roman"/>
                      <w:color w:val="auto"/>
                      <w:sz w:val="21"/>
                      <w:szCs w:val="21"/>
                      <w:lang w:eastAsia="zh-CN"/>
                    </w:rPr>
                    <w:t>沟道泥沙</w:t>
                  </w:r>
                  <w:r>
                    <w:rPr>
                      <w:rFonts w:cs="Times New Roman"/>
                      <w:color w:val="auto"/>
                      <w:sz w:val="21"/>
                      <w:szCs w:val="21"/>
                    </w:rPr>
                    <w:t>土方量</w:t>
                  </w:r>
                </w:p>
              </w:tc>
              <w:tc>
                <w:tcPr>
                  <w:tcW w:w="22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每天进行统计</w:t>
                  </w:r>
                </w:p>
              </w:tc>
              <w:tc>
                <w:tcPr>
                  <w:tcW w:w="17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施工现场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运营期</w:t>
                  </w:r>
                </w:p>
              </w:tc>
              <w:tc>
                <w:tcPr>
                  <w:tcW w:w="1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生态</w:t>
                  </w:r>
                </w:p>
              </w:tc>
              <w:tc>
                <w:tcPr>
                  <w:tcW w:w="236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hint="eastAsia" w:cs="Times New Roman"/>
                      <w:color w:val="auto"/>
                      <w:sz w:val="21"/>
                      <w:szCs w:val="21"/>
                      <w:lang w:eastAsia="zh-CN"/>
                    </w:rPr>
                    <w:t>排洪渠</w:t>
                  </w:r>
                  <w:r>
                    <w:rPr>
                      <w:rFonts w:cs="Times New Roman"/>
                      <w:color w:val="auto"/>
                      <w:sz w:val="21"/>
                      <w:szCs w:val="21"/>
                    </w:rPr>
                    <w:t>周围绿化区域</w:t>
                  </w:r>
                </w:p>
              </w:tc>
              <w:tc>
                <w:tcPr>
                  <w:tcW w:w="22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生物损失量，植被覆盖率及水土流失恢复率</w:t>
                  </w:r>
                </w:p>
              </w:tc>
              <w:tc>
                <w:tcPr>
                  <w:tcW w:w="17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cs="Times New Roman"/>
                      <w:color w:val="auto"/>
                      <w:sz w:val="21"/>
                      <w:szCs w:val="21"/>
                    </w:rPr>
                    <w:t>土质边坡和右堤堤顶</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540" w:lineRule="exact"/>
              <w:ind w:firstLine="522" w:firstLineChars="200"/>
              <w:textAlignment w:val="auto"/>
              <w:rPr>
                <w:rFonts w:hint="default" w:ascii="Times New Roman" w:hAnsi="Times New Roman" w:eastAsia="宋体" w:cs="Times New Roman"/>
                <w:b/>
                <w:bCs/>
                <w:color w:val="auto"/>
                <w:spacing w:val="10"/>
                <w:sz w:val="24"/>
              </w:rPr>
            </w:pPr>
            <w:r>
              <w:rPr>
                <w:rFonts w:hint="default" w:ascii="Times New Roman" w:hAnsi="Times New Roman" w:eastAsia="宋体" w:cs="Times New Roman"/>
                <w:b/>
                <w:bCs/>
                <w:color w:val="auto"/>
                <w:spacing w:val="10"/>
                <w:sz w:val="24"/>
                <w:lang w:val="en-US" w:eastAsia="zh-CN"/>
              </w:rPr>
              <w:t>4</w:t>
            </w:r>
            <w:r>
              <w:rPr>
                <w:rFonts w:hint="default" w:ascii="Times New Roman" w:hAnsi="Times New Roman" w:eastAsia="宋体" w:cs="Times New Roman"/>
                <w:b/>
                <w:bCs/>
                <w:color w:val="auto"/>
                <w:spacing w:val="10"/>
                <w:sz w:val="24"/>
              </w:rPr>
              <w:t>、环境污染防治设施竣工验收管理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对施工期“三废”、噪声的防治均通过设置合理可行的环保设施，采取行之有效的防治措施来降低对环境的污染影响及危害程度，因此，本项目制定环境污染防治设施竣工验收清单，通过此竣工验收清单来确保本项目环保设施及污染防治措施的顺利进行。</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540" w:lineRule="exact"/>
              <w:ind w:left="0" w:leftChars="0" w:firstLine="0" w:firstLineChars="0"/>
              <w:jc w:val="center"/>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lang w:val="en-US" w:eastAsia="zh-CN"/>
              </w:rPr>
              <w:t>表</w:t>
            </w:r>
            <w:r>
              <w:rPr>
                <w:rFonts w:hint="default" w:ascii="Times New Roman" w:hAnsi="Times New Roman" w:eastAsia="宋体" w:cs="Times New Roman"/>
                <w:b/>
                <w:bCs/>
                <w:lang w:val="en-US" w:eastAsia="zh-CN"/>
              </w:rPr>
              <w:t>5-2</w:t>
            </w:r>
            <w:r>
              <w:rPr>
                <w:rFonts w:hint="eastAsia" w:ascii="宋体" w:hAnsi="宋体" w:eastAsia="宋体" w:cs="宋体"/>
                <w:b/>
                <w:bCs/>
                <w:lang w:val="en-US" w:eastAsia="zh-CN"/>
              </w:rPr>
              <w:t xml:space="preserve">  </w:t>
            </w:r>
            <w:bookmarkStart w:id="50" w:name="OLE_LINK14"/>
            <w:r>
              <w:rPr>
                <w:rFonts w:hint="eastAsia" w:ascii="宋体" w:hAnsi="宋体" w:eastAsia="宋体" w:cs="宋体"/>
                <w:b/>
                <w:bCs/>
                <w:lang w:val="en-US" w:eastAsia="zh-CN"/>
              </w:rPr>
              <w:t>环保设施“三同时”验收内容一览表</w:t>
            </w:r>
            <w:bookmarkEnd w:id="50"/>
          </w:p>
          <w:tbl>
            <w:tblPr>
              <w:tblStyle w:val="20"/>
              <w:tblW w:w="81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83"/>
              <w:gridCol w:w="1234"/>
              <w:gridCol w:w="3719"/>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1917"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3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环保措施及设施</w:t>
                  </w:r>
                </w:p>
              </w:tc>
              <w:tc>
                <w:tcPr>
                  <w:tcW w:w="183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68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34"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定期洒水、运输车辆加盖篷布，施工现场设置围挡</w:t>
                  </w:r>
                </w:p>
              </w:tc>
              <w:tc>
                <w:tcPr>
                  <w:tcW w:w="183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《大气污染物综合排放标准》（GB16297-1996）二级标准中无组织排放监控浓度限值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4"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项目在机械或人工清淤前，先向</w:t>
                  </w:r>
                  <w:r>
                    <w:rPr>
                      <w:rFonts w:hint="eastAsia" w:cs="Times New Roman"/>
                      <w:color w:val="auto"/>
                      <w:sz w:val="21"/>
                      <w:szCs w:val="21"/>
                      <w:lang w:eastAsia="zh-CN"/>
                    </w:rPr>
                    <w:t>排洪渠</w:t>
                  </w:r>
                  <w:r>
                    <w:rPr>
                      <w:rFonts w:hint="default" w:ascii="Times New Roman" w:hAnsi="Times New Roman" w:eastAsia="宋体" w:cs="Times New Roman"/>
                      <w:color w:val="auto"/>
                      <w:sz w:val="21"/>
                      <w:szCs w:val="21"/>
                    </w:rPr>
                    <w:t>淤泥层投加功能微生物抑制剂或微生物促生剂，利用微生物大量分解</w:t>
                  </w:r>
                  <w:r>
                    <w:rPr>
                      <w:rFonts w:hint="eastAsia" w:cs="Times New Roman"/>
                      <w:color w:val="auto"/>
                      <w:sz w:val="21"/>
                      <w:szCs w:val="21"/>
                      <w:lang w:eastAsia="zh-CN"/>
                    </w:rPr>
                    <w:t>沟道</w:t>
                  </w:r>
                  <w:r>
                    <w:rPr>
                      <w:rFonts w:hint="default" w:ascii="Times New Roman" w:hAnsi="Times New Roman" w:eastAsia="宋体" w:cs="Times New Roman"/>
                      <w:color w:val="auto"/>
                      <w:sz w:val="21"/>
                      <w:szCs w:val="21"/>
                    </w:rPr>
                    <w:t>淤泥中的污染物，减小淤泥散发的臭味，清除的淤泥置于干化区干化</w:t>
                  </w:r>
                </w:p>
              </w:tc>
              <w:tc>
                <w:tcPr>
                  <w:tcW w:w="183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6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8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施工人员</w:t>
                  </w:r>
                  <w:r>
                    <w:rPr>
                      <w:rFonts w:hint="default" w:ascii="Times New Roman" w:hAnsi="Times New Roman" w:eastAsia="宋体" w:cs="Times New Roman"/>
                      <w:color w:val="auto"/>
                      <w:sz w:val="21"/>
                      <w:szCs w:val="21"/>
                      <w:lang w:eastAsia="zh-CN"/>
                    </w:rPr>
                    <w:t>如厕</w:t>
                  </w:r>
                  <w:r>
                    <w:rPr>
                      <w:rFonts w:hint="default" w:ascii="Times New Roman" w:hAnsi="Times New Roman" w:eastAsia="宋体" w:cs="Times New Roman"/>
                      <w:color w:val="auto"/>
                      <w:sz w:val="21"/>
                      <w:szCs w:val="21"/>
                    </w:rPr>
                    <w:t>依托附近村民设施。</w:t>
                  </w:r>
                </w:p>
              </w:tc>
              <w:tc>
                <w:tcPr>
                  <w:tcW w:w="183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48" w:leftChars="20"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全部综合利用不外排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6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施工废水经简易沉淀池处理后循环使用</w:t>
                  </w:r>
                </w:p>
              </w:tc>
              <w:tc>
                <w:tcPr>
                  <w:tcW w:w="1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8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机械噪声、施工作业噪声和施工车辆噪声</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加强施工管理，合理安排施工作业时间，采用先进的施工设备，对高噪设备加装减震垫</w:t>
                  </w:r>
                </w:p>
              </w:tc>
              <w:tc>
                <w:tcPr>
                  <w:tcW w:w="183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满足《建筑施工场界环境噪声排放标准》（GB12523-2011）标准限值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8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排洪渠泥沙</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沟道清於产生的泥沙，经晾晒处理后用于场地平整</w:t>
                  </w:r>
                </w:p>
              </w:tc>
              <w:tc>
                <w:tcPr>
                  <w:tcW w:w="183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生活垃圾</w:t>
                  </w:r>
                </w:p>
              </w:tc>
              <w:tc>
                <w:tcPr>
                  <w:tcW w:w="3719" w:type="dxa"/>
                  <w:tcBorders>
                    <w:tl2br w:val="nil"/>
                    <w:tr2bl w:val="nil"/>
                  </w:tcBorders>
                  <w:vAlign w:val="center"/>
                </w:tcPr>
                <w:p>
                  <w:pPr>
                    <w:spacing w:beforeLines="0" w:afterLines="0"/>
                    <w:ind w:left="0" w:leftChars="0" w:firstLine="0" w:firstLineChars="0"/>
                    <w:jc w:val="left"/>
                    <w:rPr>
                      <w:rFonts w:hint="eastAsia" w:cs="Times New Roman"/>
                      <w:color w:val="auto"/>
                      <w:sz w:val="21"/>
                      <w:szCs w:val="21"/>
                      <w:lang w:eastAsia="zh-CN"/>
                    </w:rPr>
                  </w:pPr>
                  <w:r>
                    <w:rPr>
                      <w:rFonts w:hint="eastAsia" w:cs="Times New Roman"/>
                      <w:color w:val="auto"/>
                      <w:sz w:val="21"/>
                      <w:szCs w:val="21"/>
                      <w:lang w:eastAsia="zh-CN"/>
                    </w:rPr>
                    <w:t>设置生活垃圾桶</w:t>
                  </w:r>
                  <w:r>
                    <w:rPr>
                      <w:rFonts w:hint="eastAsia" w:ascii="宋体" w:hAnsi="宋体" w:eastAsia="宋体"/>
                      <w:sz w:val="21"/>
                      <w:szCs w:val="24"/>
                    </w:rPr>
                    <w:t>，交环卫部门统一</w:t>
                  </w:r>
                  <w:r>
                    <w:rPr>
                      <w:rFonts w:hint="eastAsia" w:ascii="宋体" w:hAnsi="宋体" w:eastAsia="宋体"/>
                      <w:sz w:val="21"/>
                      <w:szCs w:val="24"/>
                      <w:lang w:eastAsia="zh-CN"/>
                    </w:rPr>
                    <w:t>清理</w:t>
                  </w:r>
                </w:p>
              </w:tc>
              <w:tc>
                <w:tcPr>
                  <w:tcW w:w="183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68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68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对项目所在地两</w:t>
                  </w:r>
                  <w:r>
                    <w:rPr>
                      <w:rFonts w:hint="default" w:ascii="Times New Roman" w:hAnsi="Times New Roman" w:eastAsia="宋体" w:cs="Times New Roman"/>
                      <w:color w:val="auto"/>
                      <w:sz w:val="21"/>
                      <w:szCs w:val="21"/>
                      <w:lang w:val="en-US" w:eastAsia="zh-CN"/>
                    </w:rPr>
                    <w:t>岸</w:t>
                  </w:r>
                  <w:r>
                    <w:rPr>
                      <w:rFonts w:hint="default" w:ascii="Times New Roman" w:hAnsi="Times New Roman" w:eastAsia="宋体" w:cs="Times New Roman"/>
                      <w:color w:val="auto"/>
                      <w:sz w:val="21"/>
                      <w:szCs w:val="21"/>
                    </w:rPr>
                    <w:t>适当绿化，减少水土流失</w:t>
                  </w:r>
                </w:p>
              </w:tc>
              <w:tc>
                <w:tcPr>
                  <w:tcW w:w="183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排洪渠泥沙</w:t>
                  </w:r>
                </w:p>
              </w:tc>
              <w:tc>
                <w:tcPr>
                  <w:tcW w:w="37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48" w:leftChars="2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建设单位不定期清理至建筑垃圾填埋场处理。</w:t>
                  </w:r>
                </w:p>
              </w:tc>
              <w:tc>
                <w:tcPr>
                  <w:tcW w:w="1835"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105" w:firstLine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kinsoku/>
              <w:wordWrap/>
              <w:overflowPunct/>
              <w:topLinePunct w:val="0"/>
              <w:autoSpaceDE w:val="0"/>
              <w:autoSpaceDN w:val="0"/>
              <w:bidi w:val="0"/>
              <w:adjustRightInd w:val="0"/>
              <w:snapToGrid w:val="0"/>
              <w:spacing w:line="540" w:lineRule="exact"/>
              <w:ind w:firstLine="0" w:firstLineChars="0"/>
              <w:jc w:val="both"/>
              <w:textAlignment w:val="auto"/>
              <w:rPr>
                <w:rFonts w:hint="default" w:ascii="Times New Roman" w:hAnsi="Times New Roman" w:eastAsia="宋体" w:cs="Times New Roman"/>
                <w:bCs/>
                <w:color w:val="0000FF"/>
                <w:spacing w:val="1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7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z w:val="24"/>
              </w:rPr>
              <w:t>环保投资</w:t>
            </w:r>
          </w:p>
        </w:tc>
        <w:tc>
          <w:tcPr>
            <w:tcW w:w="8371" w:type="dxa"/>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项目总投资为</w:t>
            </w:r>
            <w:r>
              <w:rPr>
                <w:rFonts w:hint="eastAsia" w:cs="Times New Roman"/>
                <w:color w:val="auto"/>
                <w:kern w:val="0"/>
                <w:sz w:val="24"/>
                <w:lang w:val="en-US" w:eastAsia="zh-CN"/>
              </w:rPr>
              <w:t>3842.31</w:t>
            </w:r>
            <w:r>
              <w:rPr>
                <w:rFonts w:hint="default" w:ascii="Times New Roman" w:hAnsi="Times New Roman" w:eastAsia="宋体" w:cs="Times New Roman"/>
                <w:color w:val="auto"/>
                <w:kern w:val="0"/>
                <w:sz w:val="24"/>
              </w:rPr>
              <w:t>万元，其中环保投资</w:t>
            </w:r>
            <w:r>
              <w:rPr>
                <w:rFonts w:hint="eastAsia" w:cs="Times New Roman"/>
                <w:color w:val="auto"/>
                <w:kern w:val="0"/>
                <w:sz w:val="24"/>
                <w:lang w:val="en-US" w:eastAsia="zh-CN"/>
              </w:rPr>
              <w:t>97</w:t>
            </w:r>
            <w:r>
              <w:rPr>
                <w:rFonts w:hint="default" w:ascii="Times New Roman" w:hAnsi="Times New Roman" w:eastAsia="宋体" w:cs="Times New Roman"/>
                <w:color w:val="auto"/>
                <w:kern w:val="0"/>
                <w:sz w:val="24"/>
                <w:lang w:val="en-US" w:eastAsia="zh-CN"/>
              </w:rPr>
              <w:t>万元</w:t>
            </w:r>
            <w:r>
              <w:rPr>
                <w:rFonts w:hint="default" w:ascii="Times New Roman" w:hAnsi="Times New Roman" w:eastAsia="宋体" w:cs="Times New Roman"/>
                <w:color w:val="auto"/>
                <w:kern w:val="0"/>
                <w:sz w:val="24"/>
              </w:rPr>
              <w:t>，占总投资的</w:t>
            </w:r>
            <w:r>
              <w:rPr>
                <w:rFonts w:hint="eastAsia" w:cs="Times New Roman"/>
                <w:color w:val="auto"/>
                <w:kern w:val="0"/>
                <w:sz w:val="24"/>
                <w:lang w:val="en-US" w:eastAsia="zh-CN"/>
              </w:rPr>
              <w:t>2.52</w:t>
            </w:r>
            <w:r>
              <w:rPr>
                <w:rFonts w:hint="default" w:ascii="Times New Roman" w:hAnsi="Times New Roman" w:eastAsia="宋体" w:cs="Times New Roman"/>
                <w:color w:val="auto"/>
                <w:kern w:val="0"/>
                <w:sz w:val="24"/>
              </w:rPr>
              <w:t>%，工程环保投资见表</w:t>
            </w:r>
            <w:r>
              <w:rPr>
                <w:rFonts w:hint="eastAsia" w:cs="Times New Roman"/>
                <w:color w:val="auto"/>
                <w:kern w:val="0"/>
                <w:sz w:val="24"/>
                <w:lang w:val="en-US" w:eastAsia="zh-CN"/>
              </w:rPr>
              <w:t>5-3</w:t>
            </w:r>
            <w:r>
              <w:rPr>
                <w:rFonts w:hint="default" w:ascii="Times New Roman" w:hAnsi="Times New Roman" w:eastAsia="宋体" w:cs="Times New Roman"/>
                <w:color w:val="auto"/>
                <w:kern w:val="0"/>
                <w:sz w:val="24"/>
              </w:rPr>
              <w:t>。</w:t>
            </w:r>
          </w:p>
          <w:p>
            <w:pPr>
              <w:ind w:left="0" w:leftChars="0" w:firstLine="0" w:firstLineChars="0"/>
              <w:jc w:val="center"/>
              <w:rPr>
                <w:rFonts w:hint="default"/>
                <w:lang w:val="en-US" w:eastAsia="zh-CN"/>
              </w:rPr>
            </w:pPr>
            <w:r>
              <w:rPr>
                <w:rFonts w:hint="eastAsia" w:ascii="宋体" w:hAnsi="宋体" w:eastAsia="宋体" w:cs="宋体"/>
                <w:b/>
                <w:bCs/>
                <w:lang w:val="en-US" w:eastAsia="zh-CN"/>
              </w:rPr>
              <w:t>表</w:t>
            </w:r>
            <w:r>
              <w:rPr>
                <w:rFonts w:hint="default" w:ascii="Times New Roman" w:hAnsi="Times New Roman" w:eastAsia="宋体" w:cs="Times New Roman"/>
                <w:b/>
                <w:bCs/>
                <w:lang w:val="en-US" w:eastAsia="zh-CN"/>
              </w:rPr>
              <w:t>5-3</w:t>
            </w:r>
            <w:r>
              <w:rPr>
                <w:rFonts w:hint="eastAsia" w:ascii="宋体" w:hAnsi="宋体" w:eastAsia="宋体" w:cs="宋体"/>
                <w:b/>
                <w:bCs/>
                <w:lang w:val="en-US" w:eastAsia="zh-CN"/>
              </w:rPr>
              <w:t xml:space="preserve">  工程</w:t>
            </w:r>
            <w:bookmarkStart w:id="51" w:name="OLE_LINK6"/>
            <w:r>
              <w:rPr>
                <w:rFonts w:hint="eastAsia" w:ascii="宋体" w:hAnsi="宋体" w:eastAsia="宋体" w:cs="宋体"/>
                <w:b/>
                <w:bCs/>
                <w:lang w:val="en-US" w:eastAsia="zh-CN"/>
              </w:rPr>
              <w:t>环保投资一览表</w:t>
            </w:r>
            <w:bookmarkEnd w:id="51"/>
          </w:p>
          <w:tbl>
            <w:tblPr>
              <w:tblStyle w:val="2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589"/>
              <w:gridCol w:w="1641"/>
              <w:gridCol w:w="3739"/>
              <w:gridCol w:w="751"/>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230"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环保措施及设施</w:t>
                  </w: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（万元）</w:t>
                  </w:r>
                </w:p>
              </w:tc>
              <w:tc>
                <w:tcPr>
                  <w:tcW w:w="96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58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每日定时洒水、运输车辆加盖篷布，施工现场设置围挡</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机械废气</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施工机械采用符合国家标准的设备，施工期加强管理，确保尾气排放达标，加强设备养护</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64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设置1座沉淀池（</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），废水沉淀后用于洒水降尘</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16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37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施工期施工人员依托周边村庄居住，不设生活营地</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机械噪声、施工作业噪声和施工车辆噪声</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加强施工管理，合理安排施工作业时间，采用先进的施工设备，对高噪设备加装减震垫</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清淤</w:t>
                  </w:r>
                  <w:r>
                    <w:rPr>
                      <w:rFonts w:hint="eastAsia" w:cs="Times New Roman"/>
                      <w:color w:val="auto"/>
                      <w:sz w:val="21"/>
                      <w:szCs w:val="21"/>
                      <w:lang w:eastAsia="zh-CN"/>
                    </w:rPr>
                    <w:t>泥沙</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设置淤泥干化区</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并</w:t>
                  </w:r>
                  <w:r>
                    <w:rPr>
                      <w:rFonts w:hint="default" w:ascii="Times New Roman" w:hAnsi="Times New Roman" w:eastAsia="宋体" w:cs="Times New Roman"/>
                      <w:color w:val="auto"/>
                      <w:sz w:val="21"/>
                      <w:szCs w:val="21"/>
                      <w:lang w:val="en-US" w:eastAsia="zh-CN"/>
                    </w:rPr>
                    <w:t>机械或人工清</w:t>
                  </w:r>
                  <w:r>
                    <w:rPr>
                      <w:rFonts w:hint="eastAsia" w:cs="Times New Roman"/>
                      <w:color w:val="auto"/>
                      <w:sz w:val="21"/>
                      <w:szCs w:val="21"/>
                      <w:lang w:val="en-US" w:eastAsia="zh-CN"/>
                    </w:rPr>
                    <w:t>理干化后，用于地面平整</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设置生活垃圾桶，</w:t>
                  </w:r>
                  <w:r>
                    <w:rPr>
                      <w:rFonts w:hint="default" w:ascii="Times New Roman" w:hAnsi="Times New Roman" w:eastAsia="宋体" w:cs="Times New Roman"/>
                      <w:color w:val="auto"/>
                      <w:sz w:val="21"/>
                      <w:szCs w:val="21"/>
                    </w:rPr>
                    <w:t>生活垃圾集中收集后交由环卫部门统一处理</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jc w:val="center"/>
              </w:trPr>
              <w:tc>
                <w:tcPr>
                  <w:tcW w:w="5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绿化恢复</w:t>
                  </w:r>
                </w:p>
              </w:tc>
              <w:tc>
                <w:tcPr>
                  <w:tcW w:w="164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绿化、人行道</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施工结束，恢复人行道、绿化带、行道树</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50</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7" w:type="dxa"/>
                  <w:gridSpan w:val="3"/>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373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97</w:t>
                  </w:r>
                </w:p>
              </w:tc>
              <w:tc>
                <w:tcPr>
                  <w:tcW w:w="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100</w:t>
                  </w:r>
                </w:p>
              </w:tc>
            </w:tr>
          </w:tbl>
          <w:p>
            <w:pPr>
              <w:widowControl w:val="0"/>
              <w:ind w:left="0" w:leftChars="0" w:firstLine="0" w:firstLineChars="0"/>
              <w:jc w:val="both"/>
              <w:rPr>
                <w:rFonts w:hint="default" w:ascii="Times New Roman" w:hAnsi="Times New Roman" w:eastAsia="宋体" w:cs="Times New Roman"/>
                <w:kern w:val="2"/>
                <w:sz w:val="21"/>
                <w:szCs w:val="22"/>
                <w:lang w:val="en-US" w:eastAsia="zh-CN" w:bidi="ar-SA"/>
              </w:rPr>
            </w:pPr>
          </w:p>
        </w:tc>
      </w:tr>
    </w:tbl>
    <w:p>
      <w:pPr>
        <w:rPr>
          <w:rFonts w:hint="default" w:ascii="Times New Roman" w:hAnsi="Times New Roman" w:cs="Times New Roman"/>
          <w:color w:val="0000FF"/>
        </w:rPr>
        <w:sectPr>
          <w:pgSz w:w="11907" w:h="16840"/>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六、生态环境保护措施监督检查清单</w:t>
      </w:r>
    </w:p>
    <w:tbl>
      <w:tblPr>
        <w:tblStyle w:val="20"/>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3222"/>
        <w:gridCol w:w="1742"/>
        <w:gridCol w:w="1701"/>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vMerge w:val="restart"/>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内容</w:t>
            </w:r>
          </w:p>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both"/>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要素</w:t>
            </w:r>
          </w:p>
        </w:tc>
        <w:tc>
          <w:tcPr>
            <w:tcW w:w="4964" w:type="dxa"/>
            <w:gridSpan w:val="2"/>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施工期</w:t>
            </w:r>
          </w:p>
        </w:tc>
        <w:tc>
          <w:tcPr>
            <w:tcW w:w="2765" w:type="dxa"/>
            <w:gridSpan w:val="2"/>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vMerge w:val="continue"/>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322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环境保护措施</w:t>
            </w:r>
          </w:p>
        </w:tc>
        <w:tc>
          <w:tcPr>
            <w:tcW w:w="174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验收要求</w:t>
            </w:r>
          </w:p>
        </w:tc>
        <w:tc>
          <w:tcPr>
            <w:tcW w:w="1701"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环境保护措施</w:t>
            </w:r>
          </w:p>
        </w:tc>
        <w:tc>
          <w:tcPr>
            <w:tcW w:w="1064"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val="0"/>
              <w:snapToGrid w:val="0"/>
              <w:spacing w:beforeAutospacing="0" w:after="0" w:afterAutospacing="0"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明确施工建筑红线，严禁跨越红线施工</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保护陆生生态环境质量不改变</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项目采取分段施工</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保护水生生态环境质量有所改善</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保护水生生态环境质量有所改善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施工废水经沉淀处理后用于施工场地和道路洒水降尘；施工期施工人员依托周边村庄居住，不设生活营地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采用单侧围堰施工方法进行施工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工程段施工排水采用潜水泵将砌护段落基坑内沟水及渗水抽排至</w:t>
            </w:r>
            <w:r>
              <w:rPr>
                <w:rFonts w:hint="default" w:ascii="Times New Roman" w:hAnsi="Times New Roman" w:eastAsia="宋体" w:cs="Times New Roman"/>
                <w:color w:val="auto"/>
                <w:sz w:val="21"/>
                <w:szCs w:val="21"/>
                <w:lang w:val="en-US" w:eastAsia="zh-CN"/>
              </w:rPr>
              <w:t>围堰</w:t>
            </w:r>
            <w:r>
              <w:rPr>
                <w:rFonts w:hint="default" w:ascii="Times New Roman" w:hAnsi="Times New Roman" w:eastAsia="宋体" w:cs="Times New Roman"/>
                <w:color w:val="auto"/>
                <w:sz w:val="21"/>
                <w:szCs w:val="21"/>
              </w:rPr>
              <w:t>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从而降低对水环境的影响。</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废水不外排</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加强施工管理，合理安排施工作业时间，采用先进的施工设备</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《建筑施工场界环境噪声排放标准》（GB12523-2011）</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32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定期洒水、运输车辆及堆土加盖篷布</w:t>
            </w:r>
            <w:r>
              <w:rPr>
                <w:rFonts w:hint="default" w:ascii="Times New Roman" w:hAnsi="Times New Roman" w:eastAsia="宋体" w:cs="Times New Roman"/>
                <w:color w:val="auto"/>
                <w:sz w:val="21"/>
                <w:szCs w:val="21"/>
                <w:lang w:eastAsia="zh-CN"/>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《大气污染物综合排放标准》（GB16297-1996）二级标准中无组织排放监控浓度限值</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8"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生活垃圾及时清运至就近环卫部门处；</w:t>
            </w:r>
            <w:r>
              <w:rPr>
                <w:rFonts w:hint="eastAsia" w:cs="Times New Roman"/>
                <w:color w:val="auto"/>
                <w:sz w:val="21"/>
                <w:szCs w:val="21"/>
                <w:lang w:eastAsia="zh-CN"/>
              </w:rPr>
              <w:t>土方</w:t>
            </w:r>
            <w:r>
              <w:rPr>
                <w:rFonts w:hint="default" w:ascii="Times New Roman" w:hAnsi="Times New Roman" w:eastAsia="宋体" w:cs="Times New Roman"/>
                <w:color w:val="auto"/>
                <w:sz w:val="21"/>
                <w:szCs w:val="21"/>
              </w:rPr>
              <w:t>集中收集，</w:t>
            </w:r>
            <w:r>
              <w:rPr>
                <w:rFonts w:hint="eastAsia" w:cs="Times New Roman"/>
                <w:color w:val="auto"/>
                <w:sz w:val="21"/>
                <w:szCs w:val="21"/>
                <w:lang w:eastAsia="zh-CN"/>
              </w:rPr>
              <w:t>用于场地平整；沟道清理产生的淤泥，经晾晒处理后用于场地平整</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沟道泥沙</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由建设单位不定期清理至建筑垃圾填埋场处理</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见环境监测一览表</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322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1"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spacing w:before="192" w:beforeLines="80" w:beforeAutospacing="0"/>
        <w:jc w:val="center"/>
        <w:outlineLvl w:val="0"/>
        <w:rPr>
          <w:rFonts w:hint="default" w:ascii="Times New Roman" w:hAnsi="Times New Roman" w:eastAsia="黑体" w:cs="Times New Roman"/>
          <w:snapToGrid w:val="0"/>
          <w:color w:val="0000FF"/>
          <w:sz w:val="30"/>
          <w:szCs w:val="30"/>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spacing w:before="192" w:beforeLines="80" w:beforeAutospacing="0"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黑体" w:cs="Times New Roman"/>
          <w:snapToGrid w:val="0"/>
          <w:color w:val="auto"/>
          <w:kern w:val="0"/>
          <w:sz w:val="30"/>
          <w:szCs w:val="30"/>
          <w:lang w:val="en-US" w:eastAsia="zh-CN" w:bidi="ar-SA"/>
        </w:rPr>
        <w:t>七、结论</w:t>
      </w:r>
    </w:p>
    <w:tbl>
      <w:tblPr>
        <w:tblStyle w:val="20"/>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48" w:hRule="atLeast"/>
          <w:jc w:val="center"/>
        </w:trPr>
        <w:tc>
          <w:tcPr>
            <w:tcW w:w="9071" w:type="dxa"/>
            <w:tcBorders>
              <w:tl2br w:val="nil"/>
              <w:tr2bl w:val="nil"/>
            </w:tcBorders>
            <w:vAlign w:val="center"/>
          </w:tcPr>
          <w:p>
            <w:pPr>
              <w:spacing w:before="120" w:beforeLines="50"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本项目符合国家相关产业政策，项目选址及总平面布局合理。项目建成后各类污染物经过处理后可以实现达标排放，项目实施后对所在区域的环境影响较小。</w:t>
            </w:r>
            <w:r>
              <w:rPr>
                <w:rFonts w:hint="eastAsia" w:cs="Times New Roman"/>
                <w:color w:val="auto"/>
                <w:sz w:val="24"/>
                <w:lang w:eastAsia="zh-CN"/>
              </w:rPr>
              <w:t>只要落实各项生态防护措施及污染防治措施，</w:t>
            </w:r>
            <w:r>
              <w:rPr>
                <w:rFonts w:hint="default" w:ascii="Times New Roman" w:hAnsi="Times New Roman" w:eastAsia="宋体" w:cs="Times New Roman"/>
                <w:color w:val="auto"/>
                <w:sz w:val="24"/>
              </w:rPr>
              <w:t>本项目建设从环境保护角度是可行的。</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0000FF"/>
                <w:kern w:val="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left="0" w:leftChars="0" w:firstLine="0" w:firstLineChars="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widowControl w:val="0"/>
              <w:adjustRightInd/>
              <w:snapToGrid/>
              <w:spacing w:line="360" w:lineRule="auto"/>
              <w:ind w:firstLine="200" w:firstLineChars="0"/>
              <w:jc w:val="both"/>
              <w:rPr>
                <w:rFonts w:hint="default" w:ascii="Times New Roman" w:hAnsi="Times New Roman" w:eastAsia="宋体" w:cs="Times New Roman"/>
                <w:bCs/>
                <w:color w:val="0000FF"/>
                <w:spacing w:val="10"/>
                <w:kern w:val="2"/>
                <w:sz w:val="24"/>
                <w:szCs w:val="24"/>
                <w:lang w:val="en-US" w:eastAsia="zh-CN" w:bidi="ar-SA"/>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520" w:firstLineChars="200"/>
              <w:rPr>
                <w:rFonts w:hint="default" w:ascii="Times New Roman" w:hAnsi="Times New Roman" w:eastAsia="宋体" w:cs="Times New Roman"/>
                <w:bCs/>
                <w:color w:val="0000FF"/>
                <w:spacing w:val="10"/>
                <w:sz w:val="24"/>
              </w:rPr>
            </w:pPr>
          </w:p>
          <w:p>
            <w:pPr>
              <w:autoSpaceDE w:val="0"/>
              <w:autoSpaceDN w:val="0"/>
              <w:adjustRightInd w:val="0"/>
              <w:snapToGrid w:val="0"/>
              <w:spacing w:line="360" w:lineRule="auto"/>
              <w:ind w:firstLine="0" w:firstLineChars="0"/>
              <w:rPr>
                <w:rFonts w:hint="default" w:ascii="Times New Roman" w:hAnsi="Times New Roman" w:eastAsia="宋体" w:cs="Times New Roman"/>
                <w:color w:val="0000FF"/>
                <w:sz w:val="24"/>
              </w:rPr>
            </w:pPr>
          </w:p>
        </w:tc>
      </w:tr>
      <w:bookmarkEnd w:id="0"/>
      <w:bookmarkEnd w:id="4"/>
    </w:tbl>
    <w:p>
      <w:pPr>
        <w:pStyle w:val="24"/>
      </w:pPr>
    </w:p>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center"/>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Style w:val="19"/>
        <w:rFonts w:ascii="Times New Roman" w:hAnsi="Times New Roman" w:eastAsia="宋体" w:cs="Times New Roman"/>
        <w:kern w:val="2"/>
        <w:sz w:val="21"/>
        <w:szCs w:val="24"/>
        <w:lang w:val="en-US" w:eastAsia="zh-CN" w:bidi="ar-SA"/>
      </w:rPr>
      <w:instrText xml:space="preserve"> PAGE </w:instrText>
    </w:r>
    <w:r>
      <w:rPr>
        <w:rFonts w:ascii="Times New Roman" w:hAnsi="Times New Roman" w:eastAsia="宋体" w:cs="Times New Roman"/>
        <w:kern w:val="2"/>
        <w:sz w:val="18"/>
        <w:szCs w:val="18"/>
        <w:lang w:val="en-US" w:eastAsia="zh-CN" w:bidi="ar-SA"/>
      </w:rPr>
      <w:fldChar w:fldCharType="separate"/>
    </w:r>
    <w:r>
      <w:rPr>
        <w:rStyle w:val="19"/>
        <w:rFonts w:ascii="Times New Roman" w:hAnsi="Times New Roman" w:eastAsia="宋体" w:cs="Times New Roman"/>
        <w:kern w:val="2"/>
        <w:sz w:val="21"/>
        <w:szCs w:val="24"/>
        <w:lang w:val="en-US" w:eastAsia="zh-CN" w:bidi="ar-SA"/>
      </w:rPr>
      <w:t>- 2 -</w:t>
    </w:r>
    <w:r>
      <w:rPr>
        <w:rFonts w:ascii="Times New Roman" w:hAnsi="Times New Roman" w:eastAsia="宋体" w:cs="Times New Roman"/>
        <w:kern w:val="2"/>
        <w:sz w:val="18"/>
        <w:szCs w:val="18"/>
        <w:lang w:val="en-US" w:eastAsia="zh-CN" w:bidi="ar-S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8CA5DF"/>
    <w:multiLevelType w:val="singleLevel"/>
    <w:tmpl w:val="B28CA5D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jIyYWZlMjI2ZTFkNGJkN2M4Y2ZiY2I3ODY4NzkifQ=="/>
  </w:docVars>
  <w:rsids>
    <w:rsidRoot w:val="00172A27"/>
    <w:rsid w:val="023616F3"/>
    <w:rsid w:val="03483348"/>
    <w:rsid w:val="03814218"/>
    <w:rsid w:val="039256D5"/>
    <w:rsid w:val="03E1720E"/>
    <w:rsid w:val="047E6525"/>
    <w:rsid w:val="049D5FC9"/>
    <w:rsid w:val="057F3EAC"/>
    <w:rsid w:val="05AA1391"/>
    <w:rsid w:val="06CE5BFE"/>
    <w:rsid w:val="0BDA0874"/>
    <w:rsid w:val="0CD60C01"/>
    <w:rsid w:val="0D794566"/>
    <w:rsid w:val="0E187C87"/>
    <w:rsid w:val="0FF11E8A"/>
    <w:rsid w:val="10323295"/>
    <w:rsid w:val="116A4DD1"/>
    <w:rsid w:val="12742C38"/>
    <w:rsid w:val="14A30D26"/>
    <w:rsid w:val="15FD7563"/>
    <w:rsid w:val="202A6CA1"/>
    <w:rsid w:val="206A094A"/>
    <w:rsid w:val="22F15352"/>
    <w:rsid w:val="25D67A1E"/>
    <w:rsid w:val="26FC2A1F"/>
    <w:rsid w:val="277F43EC"/>
    <w:rsid w:val="29BA46F0"/>
    <w:rsid w:val="29FD39F5"/>
    <w:rsid w:val="2BA00025"/>
    <w:rsid w:val="2CD830B9"/>
    <w:rsid w:val="2ECD0CEC"/>
    <w:rsid w:val="2FAD0853"/>
    <w:rsid w:val="2FC52A0D"/>
    <w:rsid w:val="317E720B"/>
    <w:rsid w:val="340B7389"/>
    <w:rsid w:val="34A00986"/>
    <w:rsid w:val="350942EB"/>
    <w:rsid w:val="372F04C2"/>
    <w:rsid w:val="39611D1D"/>
    <w:rsid w:val="3AC12DF9"/>
    <w:rsid w:val="3B131EB2"/>
    <w:rsid w:val="3B1A2538"/>
    <w:rsid w:val="3BC40DCC"/>
    <w:rsid w:val="3BF03A7B"/>
    <w:rsid w:val="3DB03948"/>
    <w:rsid w:val="3DB47A13"/>
    <w:rsid w:val="40E92669"/>
    <w:rsid w:val="41A65969"/>
    <w:rsid w:val="43566827"/>
    <w:rsid w:val="45F142D1"/>
    <w:rsid w:val="47476B01"/>
    <w:rsid w:val="49193BBE"/>
    <w:rsid w:val="49B27E76"/>
    <w:rsid w:val="4A667A11"/>
    <w:rsid w:val="4E726A98"/>
    <w:rsid w:val="526F57C8"/>
    <w:rsid w:val="54186E57"/>
    <w:rsid w:val="54E92F0F"/>
    <w:rsid w:val="55425416"/>
    <w:rsid w:val="554E6B03"/>
    <w:rsid w:val="568A7A97"/>
    <w:rsid w:val="579604A2"/>
    <w:rsid w:val="58E459CC"/>
    <w:rsid w:val="5B9F1395"/>
    <w:rsid w:val="5C97102F"/>
    <w:rsid w:val="5C9926C7"/>
    <w:rsid w:val="5F06231C"/>
    <w:rsid w:val="5F0A2A26"/>
    <w:rsid w:val="61730705"/>
    <w:rsid w:val="65040315"/>
    <w:rsid w:val="6578325C"/>
    <w:rsid w:val="659F1079"/>
    <w:rsid w:val="69385FFC"/>
    <w:rsid w:val="69E82960"/>
    <w:rsid w:val="6AC72357"/>
    <w:rsid w:val="6B130238"/>
    <w:rsid w:val="6D714693"/>
    <w:rsid w:val="6DB50C7A"/>
    <w:rsid w:val="6F2D283B"/>
    <w:rsid w:val="6F46176F"/>
    <w:rsid w:val="6FD92474"/>
    <w:rsid w:val="730860CE"/>
    <w:rsid w:val="73520AC2"/>
    <w:rsid w:val="73B93C04"/>
    <w:rsid w:val="76FB6FB7"/>
    <w:rsid w:val="78EF2413"/>
    <w:rsid w:val="7D697134"/>
    <w:rsid w:val="7DF70B2C"/>
    <w:rsid w:val="7E8F16E3"/>
    <w:rsid w:val="7F253931"/>
    <w:rsid w:val="7F6F781F"/>
    <w:rsid w:val="7F83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720" w:firstLineChars="200"/>
      <w:jc w:val="both"/>
    </w:pPr>
    <w:rPr>
      <w:rFonts w:ascii="Times New Roman" w:hAnsi="Times New Roman" w:eastAsia="宋体" w:cs="宋体"/>
      <w:kern w:val="2"/>
      <w:sz w:val="24"/>
      <w:szCs w:val="24"/>
      <w:lang w:val="en-US" w:eastAsia="zh-CN" w:bidi="ar-SA"/>
    </w:rPr>
  </w:style>
  <w:style w:type="paragraph" w:styleId="2">
    <w:name w:val="heading 2"/>
    <w:basedOn w:val="1"/>
    <w:next w:val="1"/>
    <w:semiHidden/>
    <w:unhideWhenUsed/>
    <w:qFormat/>
    <w:uiPriority w:val="0"/>
    <w:pPr>
      <w:keepNext/>
      <w:keepLines/>
      <w:spacing w:before="50" w:beforeLines="50" w:beforeAutospacing="0" w:after="50" w:afterLines="50" w:afterAutospacing="0" w:line="360" w:lineRule="auto"/>
      <w:outlineLvl w:val="1"/>
    </w:pPr>
    <w:rPr>
      <w:rFonts w:ascii="Arial" w:hAnsi="Arial" w:eastAsia="宋体"/>
      <w:b/>
      <w:sz w:val="32"/>
    </w:rPr>
  </w:style>
  <w:style w:type="paragraph" w:styleId="3">
    <w:name w:val="heading 3"/>
    <w:basedOn w:val="1"/>
    <w:next w:val="1"/>
    <w:unhideWhenUsed/>
    <w:qFormat/>
    <w:uiPriority w:val="0"/>
    <w:pPr>
      <w:keepNext/>
      <w:keepLines/>
      <w:spacing w:line="360" w:lineRule="auto"/>
      <w:outlineLvl w:val="2"/>
    </w:pPr>
    <w:rPr>
      <w:rFonts w:ascii="Times New Roman" w:hAnsi="Times New Roman" w:eastAsia="宋体" w:cs="Times New Roman"/>
      <w:b/>
      <w:bCs/>
      <w:kern w:val="2"/>
      <w:sz w:val="24"/>
      <w:szCs w:val="32"/>
    </w:rPr>
  </w:style>
  <w:style w:type="paragraph" w:styleId="4">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宋体"/>
      <w:b/>
    </w:rPr>
  </w:style>
  <w:style w:type="character" w:default="1" w:styleId="17">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5">
    <w:name w:val="Body Text First Indent"/>
    <w:basedOn w:val="6"/>
    <w:qFormat/>
    <w:uiPriority w:val="0"/>
    <w:pPr>
      <w:ind w:firstLine="420" w:firstLineChars="100"/>
    </w:pPr>
  </w:style>
  <w:style w:type="paragraph" w:styleId="6">
    <w:name w:val="Body Text"/>
    <w:basedOn w:val="1"/>
    <w:qFormat/>
    <w:uiPriority w:val="0"/>
    <w:pPr>
      <w:widowControl/>
      <w:snapToGrid w:val="0"/>
      <w:spacing w:before="60" w:after="160" w:line="259" w:lineRule="auto"/>
      <w:ind w:right="113"/>
    </w:pPr>
    <w:rPr>
      <w:kern w:val="0"/>
      <w:sz w:val="18"/>
      <w:szCs w:val="18"/>
    </w:rPr>
  </w:style>
  <w:style w:type="paragraph" w:styleId="7">
    <w:name w:val="Normal Indent"/>
    <w:basedOn w:val="1"/>
    <w:next w:val="8"/>
    <w:qFormat/>
    <w:uiPriority w:val="0"/>
    <w:pPr>
      <w:widowControl w:val="0"/>
      <w:adjustRightInd/>
      <w:snapToGrid/>
      <w:spacing w:line="240" w:lineRule="auto"/>
      <w:ind w:firstLine="0" w:firstLineChars="0"/>
      <w:jc w:val="both"/>
    </w:pPr>
    <w:rPr>
      <w:rFonts w:ascii="Times New Roman" w:hAnsi="Times New Roman"/>
      <w:kern w:val="2"/>
      <w:szCs w:val="24"/>
    </w:rPr>
  </w:style>
  <w:style w:type="paragraph" w:styleId="8">
    <w:name w:val="Body Text First Indent 2"/>
    <w:basedOn w:val="9"/>
    <w:next w:val="1"/>
    <w:unhideWhenUsed/>
    <w:qFormat/>
    <w:uiPriority w:val="99"/>
    <w:pPr>
      <w:widowControl/>
      <w:autoSpaceDE/>
      <w:autoSpaceDN/>
      <w:adjustRightInd/>
      <w:spacing w:after="120" w:line="240" w:lineRule="auto"/>
      <w:ind w:left="420" w:leftChars="200" w:firstLine="420"/>
    </w:pPr>
    <w:rPr>
      <w:rFonts w:cs="宋体"/>
      <w:szCs w:val="24"/>
    </w:rPr>
  </w:style>
  <w:style w:type="paragraph" w:styleId="9">
    <w:name w:val="Body Text Indent"/>
    <w:basedOn w:val="1"/>
    <w:next w:val="8"/>
    <w:semiHidden/>
    <w:qFormat/>
    <w:uiPriority w:val="0"/>
    <w:pPr>
      <w:spacing w:after="120"/>
      <w:ind w:left="420" w:leftChars="200"/>
    </w:p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kern w:val="0"/>
      <w:sz w:val="20"/>
      <w:szCs w:val="20"/>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able of figures"/>
    <w:basedOn w:val="1"/>
    <w:next w:val="1"/>
    <w:qFormat/>
    <w:uiPriority w:val="99"/>
    <w:pPr>
      <w:ind w:leftChars="200" w:hanging="200" w:hangingChars="200"/>
    </w:pPr>
    <w:rPr>
      <w:rFonts w:ascii="Calibri" w:hAnsi="Calibri"/>
      <w:szCs w:val="22"/>
    </w:rPr>
  </w:style>
  <w:style w:type="paragraph" w:styleId="15">
    <w:name w:val="Body Text 2"/>
    <w:basedOn w:val="1"/>
    <w:qFormat/>
    <w:uiPriority w:val="0"/>
    <w:pPr>
      <w:jc w:val="center"/>
    </w:pPr>
    <w:rPr>
      <w:rFonts w:ascii="宋体" w:hAnsi="宋体"/>
      <w:color w:val="000000"/>
      <w:szCs w:val="21"/>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character" w:styleId="18">
    <w:name w:val="Strong"/>
    <w:basedOn w:val="17"/>
    <w:qFormat/>
    <w:uiPriority w:val="0"/>
    <w:rPr>
      <w:b/>
    </w:rPr>
  </w:style>
  <w:style w:type="character" w:styleId="19">
    <w:name w:val="page number"/>
    <w:basedOn w:val="17"/>
    <w:qFormat/>
    <w:uiPriority w:val="0"/>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23">
    <w:name w:val="正文1"/>
    <w:basedOn w:val="1"/>
    <w:next w:val="1"/>
    <w:qFormat/>
    <w:uiPriority w:val="0"/>
    <w:pPr>
      <w:snapToGrid w:val="0"/>
      <w:spacing w:line="360" w:lineRule="atLeast"/>
      <w:jc w:val="center"/>
    </w:pPr>
    <w:rPr>
      <w:kern w:val="21"/>
    </w:rPr>
  </w:style>
  <w:style w:type="paragraph" w:customStyle="1" w:styleId="2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
    <w:name w:val="[1]LY正文"/>
    <w:basedOn w:val="1"/>
    <w:qFormat/>
    <w:uiPriority w:val="0"/>
    <w:pPr>
      <w:ind w:firstLine="200" w:firstLineChars="200"/>
    </w:pPr>
    <w:rPr>
      <w:rFonts w:ascii="Times New Roman" w:hAnsi="Times New Roman"/>
      <w:kern w:val="0"/>
      <w:sz w:val="24"/>
      <w:szCs w:val="28"/>
    </w:rPr>
  </w:style>
  <w:style w:type="paragraph" w:customStyle="1" w:styleId="26">
    <w:name w:val="正文（缩进）"/>
    <w:basedOn w:val="1"/>
    <w:next w:val="1"/>
    <w:qFormat/>
    <w:uiPriority w:val="99"/>
    <w:pPr>
      <w:spacing w:line="360" w:lineRule="auto"/>
      <w:ind w:firstLine="480" w:firstLineChars="200"/>
    </w:pPr>
    <w:rPr>
      <w:sz w:val="24"/>
    </w:rPr>
  </w:style>
  <w:style w:type="paragraph" w:customStyle="1" w:styleId="27">
    <w:name w:val="zw"/>
    <w:basedOn w:val="11"/>
    <w:next w:val="1"/>
    <w:qFormat/>
    <w:uiPriority w:val="0"/>
    <w:pPr>
      <w:spacing w:line="360" w:lineRule="auto"/>
      <w:ind w:firstLine="480" w:firstLineChars="200"/>
    </w:pPr>
    <w:rPr>
      <w:rFonts w:ascii="Times New Roman" w:hAnsi="Times New Roman" w:eastAsia="仿宋_GB2312"/>
      <w:kern w:val="2"/>
      <w:sz w:val="24"/>
      <w:lang w:val="en-US" w:eastAsia="zh-CN"/>
    </w:rPr>
  </w:style>
  <w:style w:type="paragraph" w:customStyle="1" w:styleId="28">
    <w:name w:val="Table Paragraph"/>
    <w:basedOn w:val="1"/>
    <w:qFormat/>
    <w:uiPriority w:val="1"/>
    <w:rPr>
      <w:rFonts w:ascii="宋体" w:hAnsi="宋体" w:eastAsia="宋体" w:cs="宋体"/>
    </w:rPr>
  </w:style>
  <w:style w:type="paragraph" w:customStyle="1" w:styleId="29">
    <w:name w:val="表一级标题"/>
    <w:basedOn w:val="1"/>
    <w:qFormat/>
    <w:uiPriority w:val="0"/>
    <w:pPr>
      <w:adjustRightInd w:val="0"/>
      <w:snapToGrid w:val="0"/>
      <w:spacing w:line="360" w:lineRule="auto"/>
      <w:jc w:val="left"/>
    </w:pPr>
    <w:rPr>
      <w:rFonts w:eastAsia="黑体"/>
      <w:kern w:val="0"/>
      <w:sz w:val="28"/>
      <w:szCs w:val="21"/>
    </w:rPr>
  </w:style>
  <w:style w:type="paragraph" w:customStyle="1" w:styleId="30">
    <w:name w:val="表格正文"/>
    <w:semiHidden/>
    <w:qFormat/>
    <w:uiPriority w:val="0"/>
    <w:pPr>
      <w:spacing w:before="60" w:after="60"/>
      <w:ind w:left="32"/>
      <w:jc w:val="center"/>
    </w:pPr>
    <w:rPr>
      <w:rFonts w:ascii="宋体" w:hAnsi="宋体" w:eastAsia="宋体" w:cs="Times New Roman"/>
      <w:bCs/>
      <w:sz w:val="21"/>
      <w:szCs w:val="21"/>
      <w:lang w:val="en-US" w:eastAsia="zh-CN" w:bidi="ar-SA"/>
    </w:rPr>
  </w:style>
  <w:style w:type="paragraph" w:customStyle="1" w:styleId="31">
    <w:name w:val="表题"/>
    <w:basedOn w:val="1"/>
    <w:next w:val="1"/>
    <w:qFormat/>
    <w:uiPriority w:val="0"/>
    <w:pPr>
      <w:jc w:val="center"/>
    </w:pPr>
    <w:rPr>
      <w:b/>
      <w:bCs/>
      <w:szCs w:val="20"/>
    </w:rPr>
  </w:style>
  <w:style w:type="table" w:customStyle="1" w:styleId="32">
    <w:name w:val="Table Normal"/>
    <w:semiHidden/>
    <w:unhideWhenUsed/>
    <w:qFormat/>
    <w:uiPriority w:val="0"/>
    <w:tblPr>
      <w:tblLayout w:type="fixed"/>
      <w:tblCellMar>
        <w:top w:w="0" w:type="dxa"/>
        <w:left w:w="0" w:type="dxa"/>
        <w:bottom w:w="0" w:type="dxa"/>
        <w:right w:w="0" w:type="dxa"/>
      </w:tblCellMar>
    </w:tblPr>
  </w:style>
  <w:style w:type="paragraph" w:customStyle="1" w:styleId="33">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35004</Words>
  <Characters>38926</Characters>
  <Lines>0</Lines>
  <Paragraphs>0</Paragraphs>
  <TotalTime>9</TotalTime>
  <ScaleCrop>false</ScaleCrop>
  <LinksUpToDate>false</LinksUpToDate>
  <CharactersWithSpaces>39148</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2024-10-18T07:22:00Z</dcterms:created>
  <dc:creator>,,,,,,</dc:creator>
  <cp:lastModifiedBy>lenovo</cp:lastModifiedBy>
  <dcterms:modified xsi:type="dcterms:W3CDTF">2025-03-28T06:58:59Z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96BFF1A93F354035B286D28DD5FEA4D3_13</vt:lpwstr>
  </property>
  <property fmtid="{D5CDD505-2E9C-101B-9397-08002B2CF9AE}" pid="4" name="KSOTemplateDocerSaveRecord">
    <vt:lpwstr>eyJoZGlkIjoiNzk1Zjg4YzRlZGZjY2YwYjQ4ZTQ1NGYyMzdkOWE4MDAiLCJ1c2VySWQiOiIyOTE2NzAzMTgifQ==</vt:lpwstr>
  </property>
</Properties>
</file>