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OLE_LINK1"/>
    </w:p>
    <w:p>
      <w:pPr>
        <w:pStyle w:val="25"/>
      </w:pPr>
    </w:p>
    <w:p/>
    <w:p>
      <w:pPr>
        <w:pStyle w:val="2"/>
      </w:pPr>
    </w:p>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ascii="Times New Roman" w:hAnsi="Times New Roman" w:eastAsia="黑体"/>
          <w:color w:val="000000" w:themeColor="text1"/>
          <w:kern w:val="0"/>
          <w:sz w:val="72"/>
          <w:szCs w:val="72"/>
          <w14:textFill>
            <w14:solidFill>
              <w14:schemeClr w14:val="tx1"/>
            </w14:solidFill>
          </w14:textFill>
        </w:rPr>
      </w:pPr>
      <w:r>
        <w:rPr>
          <w:rFonts w:hint="eastAsia" w:ascii="宋体" w:hAnsi="宋体" w:eastAsia="宋体" w:cs="宋体"/>
          <w:color w:val="000000" w:themeColor="text1"/>
          <w:kern w:val="0"/>
          <w:sz w:val="72"/>
          <w:szCs w:val="72"/>
          <w14:textFill>
            <w14:solidFill>
              <w14:schemeClr w14:val="tx1"/>
            </w14:solidFill>
          </w14:textFill>
        </w:rPr>
        <w:t>建设项目环境影响报告表</w:t>
      </w:r>
    </w:p>
    <w:p>
      <w:pPr>
        <w:pStyle w:val="26"/>
        <w:keepNext w:val="0"/>
        <w:keepLines w:val="0"/>
        <w:pageBreakBefore w:val="0"/>
        <w:widowControl w:val="0"/>
        <w:kinsoku/>
        <w:wordWrap/>
        <w:overflowPunct/>
        <w:topLinePunct w:val="0"/>
        <w:bidi w:val="0"/>
        <w:snapToGrid/>
        <w:spacing w:line="240" w:lineRule="auto"/>
        <w:ind w:firstLine="492"/>
        <w:jc w:val="center"/>
        <w:textAlignment w:val="auto"/>
        <w:rPr>
          <w:rFonts w:hint="eastAsia" w:eastAsia="宋体"/>
          <w:color w:val="000000" w:themeColor="text1"/>
          <w:sz w:val="44"/>
          <w:szCs w:val="48"/>
          <w:lang w:eastAsia="zh-CN"/>
          <w14:textFill>
            <w14:solidFill>
              <w14:schemeClr w14:val="tx1"/>
            </w14:solidFill>
          </w14:textFill>
        </w:rPr>
      </w:pPr>
      <w:bookmarkStart w:id="1" w:name="_Hlk57883728"/>
      <w:r>
        <w:rPr>
          <w:rFonts w:hint="eastAsia"/>
          <w:color w:val="000000" w:themeColor="text1"/>
          <w:sz w:val="44"/>
          <w:szCs w:val="48"/>
          <w:lang w:eastAsia="zh-CN"/>
          <w14:textFill>
            <w14:solidFill>
              <w14:schemeClr w14:val="tx1"/>
            </w14:solidFill>
          </w14:textFill>
        </w:rPr>
        <w:t>（生态影响类）</w:t>
      </w:r>
    </w:p>
    <w:p>
      <w:pPr>
        <w:pStyle w:val="26"/>
        <w:ind w:firstLine="492"/>
        <w:rPr>
          <w:color w:val="000000" w:themeColor="text1"/>
          <w14:textFill>
            <w14:solidFill>
              <w14:schemeClr w14:val="tx1"/>
            </w14:solidFill>
          </w14:textFill>
        </w:rPr>
      </w:pPr>
      <w:bookmarkStart w:id="2" w:name="OLE_LINK7"/>
    </w:p>
    <w:p>
      <w:pPr>
        <w:pStyle w:val="26"/>
        <w:ind w:firstLine="492"/>
        <w:rPr>
          <w:color w:val="000000" w:themeColor="text1"/>
          <w14:textFill>
            <w14:solidFill>
              <w14:schemeClr w14:val="tx1"/>
            </w14:solidFill>
          </w14:textFill>
        </w:rPr>
      </w:pPr>
    </w:p>
    <w:p>
      <w:pPr>
        <w:pStyle w:val="26"/>
        <w:ind w:firstLine="492"/>
        <w:rPr>
          <w:color w:val="000000" w:themeColor="text1"/>
          <w14:textFill>
            <w14:solidFill>
              <w14:schemeClr w14:val="tx1"/>
            </w14:solidFill>
          </w14:textFill>
        </w:rPr>
      </w:pPr>
    </w:p>
    <w:p>
      <w:pPr>
        <w:pStyle w:val="26"/>
        <w:ind w:firstLine="492"/>
        <w:rPr>
          <w:color w:val="000000" w:themeColor="text1"/>
          <w14:textFill>
            <w14:solidFill>
              <w14:schemeClr w14:val="tx1"/>
            </w14:solidFill>
          </w14:textFill>
        </w:rPr>
      </w:pPr>
    </w:p>
    <w:p>
      <w:pPr>
        <w:pStyle w:val="26"/>
        <w:ind w:firstLine="492"/>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default" w:ascii="Times New Roman" w:hAnsi="Times New Roman" w:eastAsia="宋体" w:cs="Times New Roman"/>
          <w:color w:val="000000" w:themeColor="text1"/>
          <w:kern w:val="0"/>
          <w:sz w:val="36"/>
          <w:szCs w:val="36"/>
          <w:lang w:val="en-US" w:eastAsia="zh-CN"/>
          <w14:textFill>
            <w14:solidFill>
              <w14:schemeClr w14:val="tx1"/>
            </w14:solidFill>
          </w14:textFill>
        </w:rPr>
      </w:pPr>
      <w:r>
        <w:rPr>
          <w:rFonts w:hint="default" w:ascii="Times New Roman" w:hAnsi="Times New Roman" w:eastAsia="宋体"/>
          <w:color w:val="000000" w:themeColor="text1"/>
          <w:kern w:val="0"/>
          <w:sz w:val="36"/>
          <w:szCs w:val="36"/>
          <w14:textFill>
            <w14:solidFill>
              <w14:schemeClr w14:val="tx1"/>
            </w14:solidFill>
          </w14:textFill>
        </w:rPr>
        <w:t>项目名称：</w:t>
      </w:r>
      <w:r>
        <w:rPr>
          <w:rFonts w:hint="eastAsia" w:ascii="Times New Roman" w:hAnsi="Times New Roman"/>
          <w:color w:val="000000" w:themeColor="text1"/>
          <w:kern w:val="0"/>
          <w:sz w:val="36"/>
          <w:szCs w:val="36"/>
          <w:u w:val="single"/>
          <w:lang w:val="en-US" w:eastAsia="zh-CN"/>
          <w14:textFill>
            <w14:solidFill>
              <w14:schemeClr w14:val="tx1"/>
            </w14:solidFill>
          </w14:textFill>
        </w:rPr>
        <w:t xml:space="preserve">  </w:t>
      </w:r>
      <w:bookmarkStart w:id="3" w:name="OLE_LINK3"/>
      <w:r>
        <w:rPr>
          <w:rFonts w:hint="eastAsia" w:ascii="Times New Roman" w:hAnsi="Times New Roman"/>
          <w:color w:val="000000" w:themeColor="text1"/>
          <w:kern w:val="0"/>
          <w:sz w:val="36"/>
          <w:szCs w:val="36"/>
          <w:u w:val="single"/>
          <w:lang w:val="en-US" w:eastAsia="zh-CN"/>
          <w14:textFill>
            <w14:solidFill>
              <w14:schemeClr w14:val="tx1"/>
            </w14:solidFill>
          </w14:textFill>
        </w:rPr>
        <w:t>隆德县县城排水防涝能力提升项目</w:t>
      </w:r>
      <w:bookmarkEnd w:id="3"/>
      <w:r>
        <w:rPr>
          <w:rFonts w:hint="eastAsia" w:ascii="Times New Roman" w:hAnsi="Times New Roman"/>
          <w:color w:val="000000" w:themeColor="text1"/>
          <w:kern w:val="0"/>
          <w:sz w:val="36"/>
          <w:szCs w:val="36"/>
          <w:u w:val="single"/>
          <w:lang w:val="en-US" w:eastAsia="zh-CN"/>
          <w14:textFill>
            <w14:solidFill>
              <w14:schemeClr w14:val="tx1"/>
            </w14:solidFill>
          </w14:textFill>
        </w:rPr>
        <w:t xml:space="preserve"> </w:t>
      </w:r>
      <w:r>
        <w:rPr>
          <w:rFonts w:hint="eastAsia" w:ascii="Times New Roman" w:hAnsi="Times New Roman" w:cs="Times New Roman"/>
          <w:color w:val="000000" w:themeColor="text1"/>
          <w:spacing w:val="-11"/>
          <w:kern w:val="0"/>
          <w:sz w:val="36"/>
          <w:szCs w:val="36"/>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spacing w:line="288" w:lineRule="auto"/>
        <w:ind w:firstLine="0" w:firstLineChars="0"/>
        <w:textAlignment w:val="auto"/>
        <w:rPr>
          <w:rFonts w:hint="default" w:ascii="Times New Roman" w:hAnsi="Times New Roman" w:eastAsia="宋体" w:cs="Times New Roman"/>
          <w:color w:val="000000" w:themeColor="text1"/>
          <w:kern w:val="0"/>
          <w:sz w:val="36"/>
          <w:szCs w:val="36"/>
          <w:u w:val="single"/>
          <w:lang w:val="en-US" w:eastAsia="zh-CN"/>
          <w14:textFill>
            <w14:solidFill>
              <w14:schemeClr w14:val="tx1"/>
            </w14:solidFill>
          </w14:textFill>
        </w:rPr>
      </w:pPr>
      <w:r>
        <w:rPr>
          <w:rFonts w:hint="default" w:ascii="Times New Roman" w:hAnsi="Times New Roman" w:eastAsia="宋体" w:cs="Times New Roman"/>
          <w:color w:val="000000" w:themeColor="text1"/>
          <w:kern w:val="0"/>
          <w:sz w:val="36"/>
          <w:szCs w:val="36"/>
          <w14:textFill>
            <w14:solidFill>
              <w14:schemeClr w14:val="tx1"/>
            </w14:solidFill>
          </w14:textFill>
        </w:rPr>
        <w:t>建设单位：</w:t>
      </w:r>
      <w:r>
        <w:rPr>
          <w:rFonts w:hint="eastAsia" w:ascii="Times New Roman" w:hAnsi="Times New Roman" w:eastAsia="宋体" w:cs="Times New Roman"/>
          <w:color w:val="000000" w:themeColor="text1"/>
          <w:kern w:val="0"/>
          <w:sz w:val="36"/>
          <w:szCs w:val="36"/>
          <w:u w:val="single"/>
          <w:lang w:val="en-US" w:eastAsia="zh-CN"/>
          <w14:textFill>
            <w14:solidFill>
              <w14:schemeClr w14:val="tx1"/>
            </w14:solidFill>
          </w14:textFill>
        </w:rPr>
        <w:t xml:space="preserve">     </w:t>
      </w:r>
      <w:r>
        <w:rPr>
          <w:rFonts w:hint="eastAsia" w:ascii="Times New Roman" w:hAnsi="Times New Roman" w:cs="Times New Roman"/>
          <w:color w:val="000000" w:themeColor="text1"/>
          <w:kern w:val="0"/>
          <w:sz w:val="36"/>
          <w:szCs w:val="36"/>
          <w:u w:val="singl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kern w:val="0"/>
          <w:sz w:val="36"/>
          <w:szCs w:val="36"/>
          <w:u w:val="single"/>
          <w:lang w:val="en-US" w:eastAsia="zh-CN"/>
          <w14:textFill>
            <w14:solidFill>
              <w14:schemeClr w14:val="tx1"/>
            </w14:solidFill>
          </w14:textFill>
        </w:rPr>
        <w:t xml:space="preserve"> 隆德县城市公共服务中心  </w:t>
      </w:r>
      <w:r>
        <w:rPr>
          <w:rFonts w:hint="eastAsia" w:ascii="Times New Roman" w:hAnsi="Times New Roman" w:cs="Times New Roman"/>
          <w:color w:val="000000" w:themeColor="text1"/>
          <w:kern w:val="0"/>
          <w:sz w:val="36"/>
          <w:szCs w:val="36"/>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ind w:firstLine="0" w:firstLineChars="0"/>
        <w:textAlignment w:val="auto"/>
        <w:rPr>
          <w:rFonts w:hint="eastAsia" w:ascii="Times New Roman" w:hAnsi="Times New Roman" w:eastAsia="黑体"/>
          <w:color w:val="000000" w:themeColor="text1"/>
          <w:kern w:val="0"/>
          <w:sz w:val="36"/>
          <w:szCs w:val="36"/>
          <w:lang w:eastAsia="zh-CN"/>
          <w14:textFill>
            <w14:solidFill>
              <w14:schemeClr w14:val="tx1"/>
            </w14:solidFill>
          </w14:textFill>
        </w:rPr>
      </w:pPr>
      <w:r>
        <w:rPr>
          <w:rFonts w:hint="eastAsia" w:ascii="Times New Roman" w:hAnsi="Times New Roman" w:eastAsia="宋体" w:cs="Times New Roman"/>
          <w:color w:val="000000" w:themeColor="text1"/>
          <w:kern w:val="0"/>
          <w:sz w:val="36"/>
          <w:szCs w:val="36"/>
          <w:u w:val="none"/>
          <w:lang w:val="en-US" w:eastAsia="zh-CN"/>
          <w14:textFill>
            <w14:solidFill>
              <w14:schemeClr w14:val="tx1"/>
            </w14:solidFill>
          </w14:textFill>
        </w:rPr>
        <w:t>编制日期：</w:t>
      </w:r>
      <w:r>
        <w:rPr>
          <w:rFonts w:hint="eastAsia" w:ascii="Times New Roman" w:hAnsi="Times New Roman" w:eastAsia="宋体" w:cs="Times New Roman"/>
          <w:color w:val="000000" w:themeColor="text1"/>
          <w:kern w:val="0"/>
          <w:sz w:val="36"/>
          <w:szCs w:val="36"/>
          <w:u w:val="single"/>
          <w:lang w:val="en-US" w:eastAsia="zh-CN"/>
          <w14:textFill>
            <w14:solidFill>
              <w14:schemeClr w14:val="tx1"/>
            </w14:solidFill>
          </w14:textFill>
        </w:rPr>
        <w:t xml:space="preserve">           20</w:t>
      </w:r>
      <w:r>
        <w:rPr>
          <w:rFonts w:hint="eastAsia" w:cs="Times New Roman"/>
          <w:color w:val="000000" w:themeColor="text1"/>
          <w:kern w:val="0"/>
          <w:sz w:val="36"/>
          <w:szCs w:val="36"/>
          <w:u w:val="single"/>
          <w:lang w:val="en-US" w:eastAsia="zh-CN"/>
          <w14:textFill>
            <w14:solidFill>
              <w14:schemeClr w14:val="tx1"/>
            </w14:solidFill>
          </w14:textFill>
        </w:rPr>
        <w:t>25</w:t>
      </w:r>
      <w:r>
        <w:rPr>
          <w:rFonts w:hint="eastAsia" w:ascii="Times New Roman" w:hAnsi="Times New Roman" w:eastAsia="宋体" w:cs="Times New Roman"/>
          <w:color w:val="000000" w:themeColor="text1"/>
          <w:kern w:val="0"/>
          <w:sz w:val="36"/>
          <w:szCs w:val="36"/>
          <w:u w:val="single"/>
          <w:lang w:val="en-US" w:eastAsia="zh-CN"/>
          <w14:textFill>
            <w14:solidFill>
              <w14:schemeClr w14:val="tx1"/>
            </w14:solidFill>
          </w14:textFill>
        </w:rPr>
        <w:t>年</w:t>
      </w:r>
      <w:r>
        <w:rPr>
          <w:rFonts w:hint="eastAsia" w:cs="Times New Roman"/>
          <w:color w:val="000000" w:themeColor="text1"/>
          <w:kern w:val="0"/>
          <w:sz w:val="36"/>
          <w:szCs w:val="36"/>
          <w:u w:val="single"/>
          <w:lang w:val="en-US" w:eastAsia="zh-CN"/>
          <w14:textFill>
            <w14:solidFill>
              <w14:schemeClr w14:val="tx1"/>
            </w14:solidFill>
          </w14:textFill>
        </w:rPr>
        <w:t>1</w:t>
      </w:r>
      <w:r>
        <w:rPr>
          <w:rFonts w:hint="eastAsia" w:ascii="Times New Roman" w:hAnsi="Times New Roman" w:eastAsia="宋体" w:cs="Times New Roman"/>
          <w:color w:val="000000" w:themeColor="text1"/>
          <w:kern w:val="0"/>
          <w:sz w:val="36"/>
          <w:szCs w:val="36"/>
          <w:u w:val="single"/>
          <w:lang w:val="en-US" w:eastAsia="zh-CN"/>
          <w14:textFill>
            <w14:solidFill>
              <w14:schemeClr w14:val="tx1"/>
            </w14:solidFill>
          </w14:textFill>
        </w:rPr>
        <w:t xml:space="preserve">月          </w:t>
      </w:r>
      <w:r>
        <w:rPr>
          <w:rFonts w:hint="eastAsia" w:ascii="Times New Roman" w:hAnsi="Times New Roman" w:cs="Times New Roman"/>
          <w:color w:val="000000" w:themeColor="text1"/>
          <w:kern w:val="0"/>
          <w:sz w:val="36"/>
          <w:szCs w:val="36"/>
          <w:u w:val="singl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kern w:val="0"/>
          <w:sz w:val="36"/>
          <w:szCs w:val="36"/>
          <w:u w:val="single"/>
          <w:lang w:val="en-US" w:eastAsia="zh-CN"/>
          <w14:textFill>
            <w14:solidFill>
              <w14:schemeClr w14:val="tx1"/>
            </w14:solidFill>
          </w14:textFill>
        </w:rPr>
        <w:t xml:space="preserve"> </w:t>
      </w:r>
    </w:p>
    <w:p>
      <w:pPr>
        <w:pStyle w:val="26"/>
        <w:ind w:firstLine="492"/>
        <w:rPr>
          <w:color w:val="000000" w:themeColor="text1"/>
          <w14:textFill>
            <w14:solidFill>
              <w14:schemeClr w14:val="tx1"/>
            </w14:solidFill>
          </w14:textFill>
        </w:rPr>
      </w:pPr>
    </w:p>
    <w:p>
      <w:pPr>
        <w:pStyle w:val="26"/>
        <w:ind w:firstLine="492"/>
        <w:rPr>
          <w:color w:val="000000" w:themeColor="text1"/>
          <w14:textFill>
            <w14:solidFill>
              <w14:schemeClr w14:val="tx1"/>
            </w14:solidFill>
          </w14:textFill>
        </w:rPr>
      </w:pPr>
    </w:p>
    <w:p>
      <w:pPr>
        <w:pStyle w:val="26"/>
        <w:ind w:firstLine="492"/>
        <w:rPr>
          <w:color w:val="000000" w:themeColor="text1"/>
          <w14:textFill>
            <w14:solidFill>
              <w14:schemeClr w14:val="tx1"/>
            </w14:solidFill>
          </w14:textFill>
        </w:rPr>
      </w:pPr>
    </w:p>
    <w:p>
      <w:pPr>
        <w:pStyle w:val="26"/>
        <w:ind w:firstLine="492"/>
        <w:rPr>
          <w:rFonts w:hint="default" w:eastAsia="宋体"/>
          <w:color w:val="000000" w:themeColor="text1"/>
          <w:lang w:val="en-US" w:eastAsia="zh-CN"/>
          <w14:textFill>
            <w14:solidFill>
              <w14:schemeClr w14:val="tx1"/>
            </w14:solidFill>
          </w14:textFill>
        </w:rPr>
      </w:pPr>
    </w:p>
    <w:p>
      <w:pPr>
        <w:pStyle w:val="26"/>
        <w:ind w:firstLine="492"/>
        <w:rPr>
          <w:color w:val="000000" w:themeColor="text1"/>
          <w14:textFill>
            <w14:solidFill>
              <w14:schemeClr w14:val="tx1"/>
            </w14:solidFill>
          </w14:textFill>
        </w:rPr>
      </w:pPr>
    </w:p>
    <w:p>
      <w:pPr>
        <w:pStyle w:val="26"/>
        <w:ind w:firstLine="492"/>
        <w:rPr>
          <w:color w:val="000000" w:themeColor="text1"/>
          <w14:textFill>
            <w14:solidFill>
              <w14:schemeClr w14:val="tx1"/>
            </w14:solidFill>
          </w14:textFill>
        </w:rPr>
      </w:pPr>
    </w:p>
    <w:p>
      <w:pPr>
        <w:pStyle w:val="26"/>
        <w:ind w:firstLine="492"/>
        <w:rPr>
          <w:color w:val="000000" w:themeColor="text1"/>
          <w14:textFill>
            <w14:solidFill>
              <w14:schemeClr w14:val="tx1"/>
            </w14:solidFill>
          </w14:textFill>
        </w:rPr>
      </w:pPr>
    </w:p>
    <w:p>
      <w:pPr>
        <w:pStyle w:val="26"/>
        <w:ind w:firstLine="492"/>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color w:val="000000"/>
          <w:sz w:val="36"/>
          <w:szCs w:val="36"/>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color w:val="000000"/>
          <w:sz w:val="36"/>
          <w:szCs w:val="36"/>
        </w:rPr>
        <w:t>中华人民共和国生态环境部制</w:t>
      </w:r>
      <w:bookmarkEnd w:id="1"/>
      <w:bookmarkEnd w:id="2"/>
    </w:p>
    <w:p>
      <w:pPr>
        <w:keepNext w:val="0"/>
        <w:keepLines w:val="0"/>
        <w:pageBreakBefore w:val="0"/>
        <w:widowControl/>
        <w:kinsoku/>
        <w:wordWrap/>
        <w:overflowPunct/>
        <w:topLinePunct w:val="0"/>
        <w:autoSpaceDE/>
        <w:autoSpaceDN/>
        <w:bidi w:val="0"/>
        <w:adjustRightInd/>
        <w:snapToGrid/>
        <w:spacing w:before="100" w:beforeAutospacing="1" w:after="100" w:afterAutospacing="1"/>
        <w:ind w:firstLine="0" w:firstLineChars="0"/>
        <w:jc w:val="center"/>
        <w:textAlignment w:val="auto"/>
        <w:outlineLvl w:val="0"/>
        <w:rPr>
          <w:rFonts w:hint="default" w:ascii="Times New Roman" w:hAnsi="Times New Roman" w:eastAsia="黑体" w:cs="Times New Roman"/>
          <w:snapToGrid w:val="0"/>
          <w:color w:val="auto"/>
          <w:kern w:val="0"/>
          <w:sz w:val="30"/>
          <w:szCs w:val="30"/>
          <w:lang w:val="en-US" w:eastAsia="zh-CN" w:bidi="ar-SA"/>
        </w:rPr>
      </w:pPr>
      <w:bookmarkStart w:id="4" w:name="OLE_LINK2"/>
      <w:r>
        <w:rPr>
          <w:rFonts w:hint="default" w:ascii="Times New Roman" w:hAnsi="Times New Roman" w:eastAsia="黑体" w:cs="Times New Roman"/>
          <w:snapToGrid w:val="0"/>
          <w:color w:val="auto"/>
          <w:kern w:val="0"/>
          <w:sz w:val="30"/>
          <w:szCs w:val="30"/>
          <w:lang w:val="en-US" w:eastAsia="zh-CN" w:bidi="ar-SA"/>
        </w:rPr>
        <w:t>一、建设项目基本情况</w:t>
      </w:r>
    </w:p>
    <w:tbl>
      <w:tblPr>
        <w:tblStyle w:val="21"/>
        <w:tblW w:w="901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022"/>
        <w:gridCol w:w="2826"/>
        <w:gridCol w:w="2218"/>
        <w:gridCol w:w="9"/>
        <w:gridCol w:w="29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建设项目名称</w:t>
            </w:r>
          </w:p>
        </w:tc>
        <w:tc>
          <w:tcPr>
            <w:tcW w:w="7992" w:type="dxa"/>
            <w:gridSpan w:val="4"/>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val="en-US" w:eastAsia="zh-CN"/>
              </w:rPr>
              <w:t>隆德县县城排水防涝能力提升项目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项目代码</w:t>
            </w:r>
          </w:p>
        </w:tc>
        <w:tc>
          <w:tcPr>
            <w:tcW w:w="7992" w:type="dxa"/>
            <w:gridSpan w:val="4"/>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val="en-US" w:eastAsia="zh-CN"/>
              </w:rPr>
              <w:t>2310-640423-04-01-877760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建设单位联系人</w:t>
            </w:r>
          </w:p>
        </w:tc>
        <w:tc>
          <w:tcPr>
            <w:tcW w:w="2826"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4"/>
                <w:highlight w:val="none"/>
                <w:lang w:eastAsia="zh-CN"/>
              </w:rPr>
            </w:pPr>
            <w:r>
              <w:rPr>
                <w:rFonts w:hint="eastAsia" w:cs="Times New Roman"/>
                <w:color w:val="auto"/>
                <w:sz w:val="24"/>
                <w:highlight w:val="none"/>
                <w:lang w:eastAsia="zh-CN"/>
              </w:rPr>
              <w:t>王玉博</w:t>
            </w:r>
          </w:p>
        </w:tc>
        <w:tc>
          <w:tcPr>
            <w:tcW w:w="2227" w:type="dxa"/>
            <w:gridSpan w:val="2"/>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联系方式</w:t>
            </w:r>
          </w:p>
        </w:tc>
        <w:tc>
          <w:tcPr>
            <w:tcW w:w="293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18395081558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建设地点</w:t>
            </w:r>
          </w:p>
        </w:tc>
        <w:tc>
          <w:tcPr>
            <w:tcW w:w="7992" w:type="dxa"/>
            <w:gridSpan w:val="4"/>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u w:val="single"/>
              </w:rPr>
              <w:t xml:space="preserve"> 宁夏 </w:t>
            </w:r>
            <w:r>
              <w:rPr>
                <w:rFonts w:hint="default" w:ascii="Times New Roman" w:hAnsi="Times New Roman" w:eastAsia="宋体" w:cs="Times New Roman"/>
                <w:color w:val="auto"/>
                <w:sz w:val="24"/>
                <w:highlight w:val="none"/>
              </w:rPr>
              <w:t>省（自治区）</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u w:val="single"/>
                <w:lang w:val="en-US" w:eastAsia="zh-CN"/>
              </w:rPr>
              <w:t>固原</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市</w:t>
            </w:r>
            <w:r>
              <w:rPr>
                <w:rFonts w:hint="default" w:ascii="Times New Roman" w:hAnsi="Times New Roman" w:eastAsia="宋体" w:cs="Times New Roman"/>
                <w:color w:val="auto"/>
                <w:sz w:val="24"/>
                <w:highlight w:val="none"/>
                <w:u w:val="single"/>
              </w:rPr>
              <w:t xml:space="preserve"> </w:t>
            </w:r>
            <w:r>
              <w:rPr>
                <w:rFonts w:hint="eastAsia" w:ascii="Times New Roman" w:hAnsi="Times New Roman" w:eastAsia="宋体" w:cs="Times New Roman"/>
                <w:color w:val="auto"/>
                <w:sz w:val="24"/>
                <w:highlight w:val="none"/>
                <w:u w:val="single"/>
                <w:lang w:val="en-US" w:eastAsia="zh-CN"/>
              </w:rPr>
              <w:t>隆德</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县（区）</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u w:val="single"/>
                <w:lang w:val="en-US" w:eastAsia="zh-CN"/>
              </w:rPr>
              <w:t>/</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乡（街道）</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u w:val="single"/>
                <w:lang w:val="en-US" w:eastAsia="zh-CN"/>
              </w:rPr>
              <w:t>/</w:t>
            </w:r>
            <w:r>
              <w:rPr>
                <w:rFonts w:hint="default" w:ascii="Times New Roman" w:hAnsi="Times New Roman" w:eastAsia="宋体" w:cs="Times New Roman"/>
                <w:color w:val="auto"/>
                <w:sz w:val="24"/>
                <w:highlight w:val="none"/>
                <w:u w:val="single"/>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地理坐标</w:t>
            </w:r>
          </w:p>
        </w:tc>
        <w:tc>
          <w:tcPr>
            <w:tcW w:w="7992" w:type="dxa"/>
            <w:gridSpan w:val="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0" w:firstLineChars="0"/>
              <w:jc w:val="left"/>
              <w:textAlignment w:val="auto"/>
              <w:rPr>
                <w:rFonts w:hint="default" w:ascii="Times New Roman" w:hAnsi="Times New Roman" w:eastAsia="宋体" w:cs="Times New Roman"/>
                <w:color w:val="auto"/>
                <w:kern w:val="0"/>
                <w:sz w:val="24"/>
                <w:highlight w:val="none"/>
                <w:lang w:val="en-US"/>
              </w:rPr>
            </w:pPr>
            <w:r>
              <w:rPr>
                <w:rFonts w:hint="eastAsia" w:cs="Times New Roman"/>
                <w:color w:val="auto"/>
                <w:kern w:val="0"/>
                <w:sz w:val="24"/>
                <w:highlight w:val="none"/>
                <w:lang w:val="en-US" w:eastAsia="zh-CN"/>
              </w:rPr>
              <w:t>项目中心坐标：</w:t>
            </w:r>
            <w:r>
              <w:rPr>
                <w:rFonts w:hint="default" w:ascii="Times New Roman" w:hAnsi="Times New Roman" w:eastAsia="宋体" w:cs="Times New Roman"/>
                <w:color w:val="auto"/>
                <w:kern w:val="0"/>
                <w:sz w:val="24"/>
                <w:highlight w:val="none"/>
                <w:lang w:val="en-US"/>
              </w:rPr>
              <w:t>E106°</w:t>
            </w:r>
            <w:r>
              <w:rPr>
                <w:rFonts w:hint="eastAsia" w:cs="Times New Roman"/>
                <w:color w:val="auto"/>
                <w:kern w:val="0"/>
                <w:sz w:val="24"/>
                <w:highlight w:val="none"/>
                <w:lang w:val="en-US" w:eastAsia="zh-CN"/>
              </w:rPr>
              <w:t>7</w:t>
            </w:r>
            <w:r>
              <w:rPr>
                <w:rFonts w:hint="default" w:ascii="Times New Roman" w:hAnsi="Times New Roman" w:eastAsia="宋体" w:cs="Times New Roman"/>
                <w:color w:val="auto"/>
                <w:kern w:val="0"/>
                <w:sz w:val="24"/>
                <w:highlight w:val="none"/>
                <w:lang w:val="en-US"/>
              </w:rPr>
              <w:t>′</w:t>
            </w:r>
            <w:r>
              <w:rPr>
                <w:rFonts w:hint="eastAsia" w:cs="Times New Roman"/>
                <w:color w:val="auto"/>
                <w:kern w:val="0"/>
                <w:sz w:val="24"/>
                <w:highlight w:val="none"/>
                <w:lang w:val="en-US" w:eastAsia="zh-CN"/>
              </w:rPr>
              <w:t>14.260</w:t>
            </w:r>
            <w:r>
              <w:rPr>
                <w:rFonts w:hint="default" w:ascii="Times New Roman" w:hAnsi="Times New Roman" w:eastAsia="宋体" w:cs="Times New Roman"/>
                <w:color w:val="auto"/>
                <w:kern w:val="0"/>
                <w:sz w:val="24"/>
                <w:highlight w:val="none"/>
                <w:lang w:val="en-US"/>
              </w:rPr>
              <w:t>″，N35°</w:t>
            </w:r>
            <w:r>
              <w:rPr>
                <w:rFonts w:hint="eastAsia" w:cs="Times New Roman"/>
                <w:color w:val="auto"/>
                <w:kern w:val="0"/>
                <w:sz w:val="24"/>
                <w:highlight w:val="none"/>
                <w:lang w:val="en-US" w:eastAsia="zh-CN"/>
              </w:rPr>
              <w:t>37</w:t>
            </w:r>
            <w:r>
              <w:rPr>
                <w:rFonts w:hint="default" w:ascii="Times New Roman" w:hAnsi="Times New Roman" w:eastAsia="宋体" w:cs="Times New Roman"/>
                <w:color w:val="auto"/>
                <w:kern w:val="0"/>
                <w:sz w:val="24"/>
                <w:highlight w:val="none"/>
                <w:lang w:val="en-US"/>
              </w:rPr>
              <w:t>′</w:t>
            </w:r>
            <w:r>
              <w:rPr>
                <w:rFonts w:hint="eastAsia" w:cs="Times New Roman"/>
                <w:color w:val="auto"/>
                <w:kern w:val="0"/>
                <w:sz w:val="24"/>
                <w:highlight w:val="none"/>
                <w:lang w:val="en-US" w:eastAsia="zh-CN"/>
              </w:rPr>
              <w:t>26.942</w:t>
            </w:r>
            <w:r>
              <w:rPr>
                <w:rFonts w:hint="default" w:ascii="Times New Roman" w:hAnsi="Times New Roman" w:eastAsia="宋体" w:cs="Times New Roman"/>
                <w:color w:val="auto"/>
                <w:kern w:val="0"/>
                <w:sz w:val="24"/>
                <w:highlight w:val="none"/>
                <w:lang w:val="en-US"/>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72" w:leftChars="30" w:right="72" w:rightChars="30" w:firstLine="0" w:firstLineChars="0"/>
              <w:jc w:val="left"/>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北象山新建排洪渠及拦洪渠浆砌石挡土墙起止坐标：E106°7′3.437″，N35°37′28.593″ ~ E106°7′31.942″，N35°37′22.613″；</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72" w:leftChars="30" w:right="72" w:rightChars="30" w:firstLine="0" w:firstLineChars="0"/>
              <w:jc w:val="left"/>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县城东侧建筑垃圾填埋场排洪渠起止坐标：E106°8′10.709″，N35°36′51.980″ ~ E106°8′20.558″，N35°36′44.350″；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72" w:leftChars="30" w:right="72" w:rightChars="30" w:firstLine="0" w:firstLineChars="0"/>
              <w:jc w:val="left"/>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排洪沟新建浆砌石砌护起止坐标：E106°7′57.596″，N35°37′2.451″ ~ E106°8′0.300″，N35°37′0.630″；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72" w:leftChars="30" w:right="72" w:rightChars="30" w:firstLine="0" w:firstLineChars="0"/>
              <w:jc w:val="left"/>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县生活垃圾填埋场排洪渠起止坐标：E106°6′51.357″，N35°38′15.427″ ~ E106°6′53.539″，N35°38′4.974″；</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72" w:leftChars="30" w:right="72" w:rightChars="30" w:firstLine="0" w:firstLineChars="0"/>
              <w:jc w:val="left"/>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行政中心北侧现状排洪渠清淤疏浚：E106°6′6.929″，N35°37′31.894″ ~ E106°6′36.631″，N35°37′35.567″；</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72" w:leftChars="30" w:right="72" w:rightChars="30" w:firstLine="0" w:firstLineChars="0"/>
              <w:jc w:val="left"/>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南河社区两侧沟道砌护起止坐标：E106°7′1.042″，N35°36′15.751″ ~ E106°7′17.843″，N35°35′47.863″；</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72" w:leftChars="30" w:right="72" w:rightChars="30" w:firstLine="0" w:firstLineChars="0"/>
              <w:jc w:val="left"/>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排洪管涵起止坐标：E106°6′50.613″，N35°37′28.252″ ~ E106°6′49.609″，N35°37′14.751″；E106°7′17.804″，N35°37′24.955″ ~ E106°7′18.152″，N35°37′18.331″；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建设项目行业类别</w:t>
            </w:r>
          </w:p>
        </w:tc>
        <w:tc>
          <w:tcPr>
            <w:tcW w:w="2826"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五十一、水利；12</w:t>
            </w:r>
            <w:r>
              <w:rPr>
                <w:rFonts w:hint="eastAsia" w:cs="Times New Roman"/>
                <w:color w:val="auto"/>
                <w:sz w:val="24"/>
                <w:highlight w:val="none"/>
                <w:lang w:val="en-US" w:eastAsia="zh-CN"/>
              </w:rPr>
              <w:t>7</w:t>
            </w:r>
            <w:r>
              <w:rPr>
                <w:rFonts w:hint="default" w:ascii="Times New Roman" w:hAnsi="Times New Roman" w:eastAsia="宋体" w:cs="Times New Roman"/>
                <w:color w:val="auto"/>
                <w:sz w:val="24"/>
                <w:highlight w:val="none"/>
              </w:rPr>
              <w:t>－</w:t>
            </w:r>
            <w:r>
              <w:rPr>
                <w:rFonts w:hint="eastAsia" w:cs="Times New Roman"/>
                <w:color w:val="auto"/>
                <w:sz w:val="24"/>
                <w:highlight w:val="none"/>
                <w:lang w:eastAsia="zh-CN"/>
              </w:rPr>
              <w:t>防洪除涝工程</w:t>
            </w:r>
            <w:r>
              <w:rPr>
                <w:rFonts w:hint="default" w:ascii="Times New Roman" w:hAnsi="Times New Roman" w:eastAsia="宋体" w:cs="Times New Roman"/>
                <w:color w:val="auto"/>
                <w:sz w:val="24"/>
                <w:highlight w:val="none"/>
              </w:rPr>
              <w:t>中其他</w:t>
            </w:r>
          </w:p>
        </w:tc>
        <w:tc>
          <w:tcPr>
            <w:tcW w:w="2218"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用地（用海）面积（m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）/长度（km）</w:t>
            </w:r>
          </w:p>
        </w:tc>
        <w:tc>
          <w:tcPr>
            <w:tcW w:w="2948" w:type="dxa"/>
            <w:gridSpan w:val="2"/>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4"/>
                <w:highlight w:val="none"/>
              </w:rPr>
            </w:pPr>
            <w:bookmarkStart w:id="5" w:name="OLE_LINK8"/>
            <w:r>
              <w:rPr>
                <w:rFonts w:hint="default" w:ascii="Times New Roman" w:hAnsi="Times New Roman" w:eastAsia="宋体" w:cs="Times New Roman"/>
                <w:color w:val="auto"/>
                <w:kern w:val="0"/>
                <w:sz w:val="24"/>
                <w:szCs w:val="24"/>
                <w:highlight w:val="none"/>
                <w:lang w:val="en-US" w:eastAsia="zh-CN" w:bidi="ar"/>
              </w:rPr>
              <w:t>本项目总占地</w:t>
            </w:r>
            <w:bookmarkEnd w:id="5"/>
            <w:r>
              <w:rPr>
                <w:rFonts w:hint="eastAsia" w:cs="Times New Roman"/>
                <w:color w:val="auto"/>
                <w:kern w:val="0"/>
                <w:sz w:val="24"/>
                <w:szCs w:val="24"/>
                <w:highlight w:val="none"/>
                <w:lang w:val="en-US" w:eastAsia="zh-CN" w:bidi="ar"/>
              </w:rPr>
              <w:t>4.18</w:t>
            </w:r>
            <w:r>
              <w:rPr>
                <w:rFonts w:hint="default" w:ascii="Times New Roman" w:hAnsi="Times New Roman" w:eastAsia="宋体" w:cs="Times New Roman"/>
                <w:color w:val="auto"/>
                <w:kern w:val="0"/>
                <w:sz w:val="24"/>
                <w:szCs w:val="24"/>
                <w:highlight w:val="none"/>
                <w:lang w:val="en-US" w:eastAsia="zh-CN" w:bidi="ar"/>
              </w:rPr>
              <w:t>hm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无临时用地，不涉及新增建设用地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建设性质</w:t>
            </w:r>
          </w:p>
        </w:tc>
        <w:tc>
          <w:tcPr>
            <w:tcW w:w="2826"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新建（迁建）</w:t>
            </w:r>
          </w:p>
          <w:p>
            <w:pPr>
              <w:keepNext w:val="0"/>
              <w:keepLines w:val="0"/>
              <w:suppressLineNumbers w:val="0"/>
              <w:adjustRightInd w:val="0"/>
              <w:snapToGrid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改建</w:t>
            </w:r>
          </w:p>
          <w:p>
            <w:pPr>
              <w:keepNext w:val="0"/>
              <w:keepLines w:val="0"/>
              <w:suppressLineNumbers w:val="0"/>
              <w:adjustRightInd w:val="0"/>
              <w:snapToGrid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扩建</w:t>
            </w:r>
          </w:p>
          <w:p>
            <w:pPr>
              <w:keepNext w:val="0"/>
              <w:keepLines w:val="0"/>
              <w:suppressLineNumbers w:val="0"/>
              <w:adjustRightInd w:val="0"/>
              <w:snapToGrid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技术改造</w:t>
            </w:r>
          </w:p>
        </w:tc>
        <w:tc>
          <w:tcPr>
            <w:tcW w:w="2218"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建设项目</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申报情形</w:t>
            </w:r>
          </w:p>
        </w:tc>
        <w:tc>
          <w:tcPr>
            <w:tcW w:w="2948" w:type="dxa"/>
            <w:gridSpan w:val="2"/>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■首次申报项目</w:t>
            </w:r>
          </w:p>
          <w:p>
            <w:pPr>
              <w:keepNext w:val="0"/>
              <w:keepLines w:val="0"/>
              <w:suppressLineNumbers w:val="0"/>
              <w:adjustRightInd w:val="0"/>
              <w:snapToGrid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□不予批准后再次申报项目</w:t>
            </w:r>
          </w:p>
          <w:p>
            <w:pPr>
              <w:keepNext w:val="0"/>
              <w:keepLines w:val="0"/>
              <w:suppressLineNumbers w:val="0"/>
              <w:adjustRightInd w:val="0"/>
              <w:snapToGrid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□超五年重新审核项目</w:t>
            </w:r>
          </w:p>
          <w:p>
            <w:pPr>
              <w:keepNext w:val="0"/>
              <w:keepLines w:val="0"/>
              <w:suppressLineNumbers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项目审批（核准/备案）部门（选填）</w:t>
            </w:r>
          </w:p>
        </w:tc>
        <w:tc>
          <w:tcPr>
            <w:tcW w:w="2826"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4"/>
                <w:highlight w:val="none"/>
                <w:lang w:eastAsia="zh-CN"/>
              </w:rPr>
            </w:pPr>
            <w:r>
              <w:rPr>
                <w:rFonts w:hint="eastAsia" w:cs="Times New Roman"/>
                <w:color w:val="auto"/>
                <w:sz w:val="24"/>
                <w:highlight w:val="none"/>
                <w:lang w:eastAsia="zh-CN"/>
              </w:rPr>
              <w:t>隆德县发展改革和科学技术局</w:t>
            </w:r>
          </w:p>
        </w:tc>
        <w:tc>
          <w:tcPr>
            <w:tcW w:w="2218"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项目审批（核准/</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备案）文号（选填）</w:t>
            </w:r>
          </w:p>
        </w:tc>
        <w:tc>
          <w:tcPr>
            <w:tcW w:w="2948" w:type="dxa"/>
            <w:gridSpan w:val="2"/>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隆发改审</w:t>
            </w:r>
            <w:r>
              <w:rPr>
                <w:rFonts w:hint="default" w:ascii="Times New Roman" w:hAnsi="Times New Roman" w:eastAsia="宋体" w:cs="Times New Roman"/>
                <w:color w:val="auto"/>
                <w:sz w:val="24"/>
                <w:highlight w:val="none"/>
                <w:lang w:eastAsia="zh-CN"/>
              </w:rPr>
              <w:t>﹝202</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181</w:t>
            </w:r>
            <w:r>
              <w:rPr>
                <w:rFonts w:hint="default" w:ascii="Times New Roman" w:hAnsi="Times New Roman" w:eastAsia="宋体" w:cs="Times New Roman"/>
                <w:color w:val="auto"/>
                <w:sz w:val="24"/>
                <w:highlight w:val="none"/>
                <w:lang w:eastAsia="zh-CN"/>
              </w:rPr>
              <w:t>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总投资（万元）</w:t>
            </w:r>
          </w:p>
        </w:tc>
        <w:tc>
          <w:tcPr>
            <w:tcW w:w="2826"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3842.31</w:t>
            </w:r>
          </w:p>
        </w:tc>
        <w:tc>
          <w:tcPr>
            <w:tcW w:w="2218" w:type="dxa"/>
            <w:tcBorders>
              <w:tl2br w:val="nil"/>
              <w:tr2bl w:val="nil"/>
            </w:tcBorders>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环保投资（万元）</w:t>
            </w:r>
          </w:p>
        </w:tc>
        <w:tc>
          <w:tcPr>
            <w:tcW w:w="2948" w:type="dxa"/>
            <w:gridSpan w:val="2"/>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环保投资占比（%）</w:t>
            </w:r>
          </w:p>
        </w:tc>
        <w:tc>
          <w:tcPr>
            <w:tcW w:w="2826"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2.52%</w:t>
            </w:r>
          </w:p>
        </w:tc>
        <w:tc>
          <w:tcPr>
            <w:tcW w:w="2218" w:type="dxa"/>
            <w:tcBorders>
              <w:tl2br w:val="nil"/>
              <w:tr2bl w:val="nil"/>
            </w:tcBorders>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施工工期</w:t>
            </w:r>
          </w:p>
        </w:tc>
        <w:tc>
          <w:tcPr>
            <w:tcW w:w="2948" w:type="dxa"/>
            <w:gridSpan w:val="2"/>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15</w:t>
            </w:r>
            <w:r>
              <w:rPr>
                <w:rFonts w:hint="default" w:ascii="Times New Roman" w:hAnsi="Times New Roman" w:eastAsia="宋体" w:cs="Times New Roman"/>
                <w:color w:val="auto"/>
                <w:sz w:val="24"/>
                <w:highlight w:val="none"/>
              </w:rPr>
              <w:t>个月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是否开工建设</w:t>
            </w:r>
          </w:p>
        </w:tc>
        <w:tc>
          <w:tcPr>
            <w:tcW w:w="7992" w:type="dxa"/>
            <w:gridSpan w:val="4"/>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105" w:firstLineChars="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■否</w:t>
            </w:r>
          </w:p>
          <w:p>
            <w:pPr>
              <w:keepNext w:val="0"/>
              <w:keepLines w:val="0"/>
              <w:suppressLineNumbers w:val="0"/>
              <w:adjustRightInd w:val="0"/>
              <w:snapToGrid w:val="0"/>
              <w:spacing w:before="0" w:beforeAutospacing="0" w:after="0" w:afterAutospacing="0" w:line="240" w:lineRule="auto"/>
              <w:ind w:left="0" w:right="0" w:firstLine="92" w:firstLineChars="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□是：</w:t>
            </w:r>
            <w:r>
              <w:rPr>
                <w:rFonts w:hint="default" w:ascii="Times New Roman" w:hAnsi="Times New Roman" w:eastAsia="宋体" w:cs="Times New Roman"/>
                <w:color w:val="auto"/>
                <w:sz w:val="24"/>
                <w:highlight w:val="none"/>
                <w:u w:val="single"/>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专项评价设置情况</w:t>
            </w:r>
          </w:p>
        </w:tc>
        <w:tc>
          <w:tcPr>
            <w:tcW w:w="7992" w:type="dxa"/>
            <w:gridSpan w:val="4"/>
            <w:tcBorders>
              <w:tl2br w:val="nil"/>
              <w:tr2bl w:val="nil"/>
            </w:tcBorders>
            <w:tcMar>
              <w:top w:w="16" w:type="dxa"/>
              <w:left w:w="16" w:type="dxa"/>
              <w:right w:w="16"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jc w:val="both"/>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对照《建设项目环境影响评价分类管理名录（2021 年版）》相关内容分析，本项目环评形式应为环境影响报告表，具体情况详见下表：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leftChars="0" w:right="0" w:firstLine="0" w:firstLineChars="0"/>
              <w:jc w:val="center"/>
              <w:textAlignment w:val="auto"/>
              <w:rPr>
                <w:rFonts w:hint="default" w:ascii="Times New Roman" w:hAnsi="Times New Roman" w:eastAsia="宋体" w:cs="Times New Roman"/>
                <w:b/>
                <w:bCs/>
                <w:color w:val="auto"/>
                <w:kern w:val="0"/>
                <w:sz w:val="24"/>
                <w:highlight w:val="none"/>
                <w:lang w:val="en-US" w:eastAsia="zh-CN"/>
              </w:rPr>
            </w:pPr>
            <w:r>
              <w:rPr>
                <w:rFonts w:hint="default" w:ascii="Times New Roman" w:hAnsi="Times New Roman" w:eastAsia="宋体" w:cs="Times New Roman"/>
                <w:b/>
                <w:bCs/>
                <w:color w:val="auto"/>
                <w:kern w:val="0"/>
                <w:sz w:val="24"/>
                <w:highlight w:val="none"/>
                <w:lang w:val="en-US" w:eastAsia="zh-CN"/>
              </w:rPr>
              <w:t>表1-</w:t>
            </w:r>
            <w:r>
              <w:rPr>
                <w:rFonts w:hint="eastAsia" w:cs="Times New Roman"/>
                <w:b/>
                <w:bCs/>
                <w:color w:val="auto"/>
                <w:kern w:val="0"/>
                <w:sz w:val="24"/>
                <w:highlight w:val="none"/>
                <w:lang w:val="en-US" w:eastAsia="zh-CN"/>
              </w:rPr>
              <w:t>1</w:t>
            </w:r>
            <w:r>
              <w:rPr>
                <w:rFonts w:hint="default" w:ascii="Times New Roman" w:hAnsi="Times New Roman" w:eastAsia="宋体" w:cs="Times New Roman"/>
                <w:b/>
                <w:bCs/>
                <w:color w:val="auto"/>
                <w:kern w:val="0"/>
                <w:sz w:val="24"/>
                <w:highlight w:val="none"/>
                <w:lang w:val="en-US" w:eastAsia="zh-CN"/>
              </w:rPr>
              <w:t xml:space="preserve"> </w:t>
            </w:r>
            <w:r>
              <w:rPr>
                <w:rFonts w:hint="eastAsia" w:cs="Times New Roman"/>
                <w:b/>
                <w:bCs/>
                <w:color w:val="auto"/>
                <w:kern w:val="0"/>
                <w:sz w:val="24"/>
                <w:highlight w:val="none"/>
                <w:lang w:val="en-US" w:eastAsia="zh-CN"/>
              </w:rPr>
              <w:t xml:space="preserve"> 对照《建设项目环境影响评价分类管理名录（2021 年版）》分析</w:t>
            </w:r>
          </w:p>
          <w:tbl>
            <w:tblPr>
              <w:tblStyle w:val="22"/>
              <w:tblW w:w="793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500"/>
              <w:gridCol w:w="1572"/>
              <w:gridCol w:w="1750"/>
              <w:gridCol w:w="1182"/>
              <w:gridCol w:w="11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jc w:val="center"/>
              </w:trPr>
              <w:tc>
                <w:tcPr>
                  <w:tcW w:w="2251" w:type="dxa"/>
                  <w:gridSpan w:val="2"/>
                  <w:tcBorders>
                    <w:tl2br w:val="nil"/>
                    <w:tr2bl w:val="nil"/>
                  </w:tcBorders>
                  <w:vAlign w:val="center"/>
                  <mc:AlternateContent>
                    <mc:Choice Requires="wpsCustomData">
                      <wpsCustomData:diagonals>
                        <wpsCustomData:diagonal from="10000" to="30000">
                          <wpsCustomData:border w:val="single" w:color="auto" w:sz="12" w:space="0"/>
                        </wpsCustomData:diagonal>
                      </wpsCustomData:diagonals>
                    </mc:Choice>
                  </mc:AlternateContent>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cs="Times New Roman"/>
                      <w:b/>
                      <w:bCs/>
                      <w:color w:val="auto"/>
                      <w:kern w:val="0"/>
                      <w:sz w:val="21"/>
                      <w:szCs w:val="21"/>
                      <w:highlight w:val="none"/>
                      <w:vertAlign w:val="baseline"/>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mc:AlternateContent>
                      <mc:Choice Requires="wpsCustomData">
                        <wpsCustomData:diagonalParaType/>
                      </mc:Choice>
                    </mc:AlternateContent>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项目类别</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环评类别</w:t>
                  </w:r>
                </w:p>
              </w:tc>
              <w:tc>
                <w:tcPr>
                  <w:tcW w:w="1572"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报告书</w:t>
                  </w:r>
                </w:p>
              </w:tc>
              <w:tc>
                <w:tcPr>
                  <w:tcW w:w="1750"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报告表</w:t>
                  </w:r>
                </w:p>
              </w:tc>
              <w:tc>
                <w:tcPr>
                  <w:tcW w:w="1182"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登记表</w:t>
                  </w:r>
                </w:p>
              </w:tc>
              <w:tc>
                <w:tcPr>
                  <w:tcW w:w="1182"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环境敏感区含义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37" w:type="dxa"/>
                  <w:gridSpan w:val="6"/>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eastAsia"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五十一、水利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51"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127</w:t>
                  </w:r>
                </w:p>
              </w:tc>
              <w:tc>
                <w:tcPr>
                  <w:tcW w:w="1500"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防洪除涝工程</w:t>
                  </w:r>
                </w:p>
              </w:tc>
              <w:tc>
                <w:tcPr>
                  <w:tcW w:w="1572"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新建大中型</w:t>
                  </w:r>
                </w:p>
              </w:tc>
              <w:tc>
                <w:tcPr>
                  <w:tcW w:w="1750"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其他（小型沟渠的护坡除外；城镇排涝河流水闸、排涝泵站除外））</w:t>
                  </w:r>
                </w:p>
              </w:tc>
              <w:tc>
                <w:tcPr>
                  <w:tcW w:w="1182"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城镇排涝河流水闸、排涝泵站</w:t>
                  </w:r>
                </w:p>
              </w:tc>
              <w:tc>
                <w:tcPr>
                  <w:tcW w:w="1182"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jc w:val="both"/>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根据《建设项目环境影响报告表编制技术指南（生态影响类）（试行）》中</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专项评价设置原则表</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内容，本项目</w:t>
            </w:r>
            <w:r>
              <w:rPr>
                <w:rFonts w:hint="eastAsia" w:cs="Times New Roman"/>
                <w:color w:val="auto"/>
                <w:kern w:val="0"/>
                <w:sz w:val="24"/>
                <w:highlight w:val="none"/>
                <w:lang w:val="en-US" w:eastAsia="zh-CN"/>
              </w:rPr>
              <w:t>不设置专项评价</w:t>
            </w:r>
            <w:r>
              <w:rPr>
                <w:rFonts w:hint="default" w:ascii="Times New Roman" w:hAnsi="Times New Roman" w:eastAsia="宋体" w:cs="Times New Roman"/>
                <w:color w:val="auto"/>
                <w:kern w:val="0"/>
                <w:sz w:val="24"/>
                <w:highlight w:val="none"/>
                <w:lang w:val="en-US"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leftChars="0" w:right="0" w:firstLine="0" w:firstLineChars="0"/>
              <w:jc w:val="center"/>
              <w:textAlignment w:val="auto"/>
              <w:rPr>
                <w:rFonts w:hint="default" w:ascii="Times New Roman" w:hAnsi="Times New Roman" w:eastAsia="宋体" w:cs="Times New Roman"/>
                <w:b/>
                <w:bCs/>
                <w:color w:val="auto"/>
                <w:kern w:val="0"/>
                <w:sz w:val="24"/>
                <w:highlight w:val="none"/>
                <w:lang w:val="en-US" w:eastAsia="zh-CN"/>
              </w:rPr>
            </w:pPr>
            <w:r>
              <w:rPr>
                <w:rFonts w:hint="default" w:ascii="Times New Roman" w:hAnsi="Times New Roman" w:eastAsia="宋体" w:cs="Times New Roman"/>
                <w:b/>
                <w:bCs/>
                <w:color w:val="auto"/>
                <w:kern w:val="0"/>
                <w:sz w:val="24"/>
                <w:highlight w:val="none"/>
                <w:lang w:val="en-US" w:eastAsia="zh-CN"/>
              </w:rPr>
              <w:t>表1-</w:t>
            </w:r>
            <w:r>
              <w:rPr>
                <w:rFonts w:hint="eastAsia" w:cs="Times New Roman"/>
                <w:b/>
                <w:bCs/>
                <w:color w:val="auto"/>
                <w:kern w:val="0"/>
                <w:sz w:val="24"/>
                <w:highlight w:val="none"/>
                <w:lang w:val="en-US" w:eastAsia="zh-CN"/>
              </w:rPr>
              <w:t>2</w:t>
            </w:r>
            <w:r>
              <w:rPr>
                <w:rFonts w:hint="default" w:ascii="Times New Roman" w:hAnsi="Times New Roman" w:eastAsia="宋体" w:cs="Times New Roman"/>
                <w:b/>
                <w:bCs/>
                <w:color w:val="auto"/>
                <w:kern w:val="0"/>
                <w:sz w:val="24"/>
                <w:highlight w:val="none"/>
                <w:lang w:val="en-US" w:eastAsia="zh-CN"/>
              </w:rPr>
              <w:t xml:space="preserve"> </w:t>
            </w:r>
            <w:r>
              <w:rPr>
                <w:rFonts w:hint="eastAsia" w:cs="Times New Roman"/>
                <w:b/>
                <w:bCs/>
                <w:color w:val="auto"/>
                <w:kern w:val="0"/>
                <w:sz w:val="24"/>
                <w:highlight w:val="none"/>
                <w:lang w:val="en-US" w:eastAsia="zh-CN"/>
              </w:rPr>
              <w:t xml:space="preserve"> </w:t>
            </w:r>
            <w:r>
              <w:rPr>
                <w:rFonts w:hint="default" w:ascii="Times New Roman" w:hAnsi="Times New Roman" w:eastAsia="宋体" w:cs="Times New Roman"/>
                <w:b/>
                <w:bCs/>
                <w:color w:val="auto"/>
                <w:kern w:val="0"/>
                <w:sz w:val="24"/>
                <w:highlight w:val="none"/>
                <w:lang w:val="en-US" w:eastAsia="zh-CN"/>
              </w:rPr>
              <w:t>专项评价设置原则表</w:t>
            </w:r>
          </w:p>
          <w:tbl>
            <w:tblPr>
              <w:tblStyle w:val="22"/>
              <w:tblW w:w="793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8"/>
              <w:gridCol w:w="3476"/>
              <w:gridCol w:w="2526"/>
              <w:gridCol w:w="10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58"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专项评价类别</w:t>
                  </w:r>
                </w:p>
              </w:tc>
              <w:tc>
                <w:tcPr>
                  <w:tcW w:w="3476"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涉及项目类别</w:t>
                  </w:r>
                </w:p>
              </w:tc>
              <w:tc>
                <w:tcPr>
                  <w:tcW w:w="2526"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本项目</w:t>
                  </w:r>
                </w:p>
              </w:tc>
              <w:tc>
                <w:tcPr>
                  <w:tcW w:w="1077"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专项评价设置情况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8"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地表水</w:t>
                  </w:r>
                </w:p>
              </w:tc>
              <w:tc>
                <w:tcPr>
                  <w:tcW w:w="3476"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水力发电：引水式发电、涉及调峰发电的项目；</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人工湖、人工湿地：全部；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水库：全部；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引水工程：全部（配套的管线工程等除外）；</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防洪除涝工程：包含水库的项目；</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河湖整治：涉及清淤且底泥存在重金属污染的项目</w:t>
                  </w:r>
                </w:p>
              </w:tc>
              <w:tc>
                <w:tcPr>
                  <w:tcW w:w="2526"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本项目为城市排水防涝能力提升项目，不包含水库，包括排洪渠清淤，但泥沙不存在重金属污染</w:t>
                  </w:r>
                </w:p>
              </w:tc>
              <w:tc>
                <w:tcPr>
                  <w:tcW w:w="1077"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不设置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8"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地下水</w:t>
                  </w:r>
                </w:p>
              </w:tc>
              <w:tc>
                <w:tcPr>
                  <w:tcW w:w="3476"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陆地石油和天然气开采：全部；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地下水（含矿泉水）开采：全部；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水利、水电、交通等：含穿越可溶岩地层隧道的项目</w:t>
                  </w:r>
                </w:p>
              </w:tc>
              <w:tc>
                <w:tcPr>
                  <w:tcW w:w="2526"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本项目不涉及</w:t>
                  </w:r>
                </w:p>
              </w:tc>
              <w:tc>
                <w:tcPr>
                  <w:tcW w:w="1077"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不设置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8"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生态</w:t>
                  </w:r>
                </w:p>
              </w:tc>
              <w:tc>
                <w:tcPr>
                  <w:tcW w:w="3476"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涉及环境敏感区（不包括饮用水水源保护区，以居住、医疗卫生、文化教育、科研、行政办公为主要功能的区域，以及文物保护单位）的项目</w:t>
                  </w:r>
                </w:p>
              </w:tc>
              <w:tc>
                <w:tcPr>
                  <w:tcW w:w="2526"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本项目新建北象山排洪渠工程位于隆德县北象山，位于生态保护红线内，但根据《建设项目环境影响评价分类管理名录》，本项目不涉及该类项目所列的环境敏感区，同时，经过分析论证，项目环境影响范围也不涵盖环境敏感区。因此，本项目无需设置生态专项评价。</w:t>
                  </w:r>
                </w:p>
              </w:tc>
              <w:tc>
                <w:tcPr>
                  <w:tcW w:w="1077"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不设置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8"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大气</w:t>
                  </w:r>
                </w:p>
              </w:tc>
              <w:tc>
                <w:tcPr>
                  <w:tcW w:w="3476"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油气、液体化工码头：全部；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干散货（含煤炭、矿石）、件杂、多用途、通用码头：涉及粉尘、挥发性有机物排放的项目</w:t>
                  </w:r>
                </w:p>
              </w:tc>
              <w:tc>
                <w:tcPr>
                  <w:tcW w:w="2526"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本项目不涉及</w:t>
                  </w:r>
                </w:p>
              </w:tc>
              <w:tc>
                <w:tcPr>
                  <w:tcW w:w="1077"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不设置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8"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噪声</w:t>
                  </w:r>
                </w:p>
              </w:tc>
              <w:tc>
                <w:tcPr>
                  <w:tcW w:w="3476"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公路、铁路、机场等交通运输业涉及环境敏感区（以居住、医疗卫生、文化教育、科研、行政办公为主要功能的区域）的项目；</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城市道路（不含维护，不含支路、人行天桥、人行地道）：全部</w:t>
                  </w:r>
                </w:p>
              </w:tc>
              <w:tc>
                <w:tcPr>
                  <w:tcW w:w="2526"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本项目不涉及道路建设</w:t>
                  </w:r>
                </w:p>
              </w:tc>
              <w:tc>
                <w:tcPr>
                  <w:tcW w:w="1077"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不设置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8"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环境风险</w:t>
                  </w:r>
                </w:p>
              </w:tc>
              <w:tc>
                <w:tcPr>
                  <w:tcW w:w="3476"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石油和天然气开采：全部；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油气、液体化工码头：全部；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原油、成品油、天然气管线（不含城镇天然气管线、企业厂区内管线），危险化学品输送管线（不含企业厂区内管线）：全部</w:t>
                  </w:r>
                </w:p>
              </w:tc>
              <w:tc>
                <w:tcPr>
                  <w:tcW w:w="2526"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本项目不涉及</w:t>
                  </w:r>
                </w:p>
              </w:tc>
              <w:tc>
                <w:tcPr>
                  <w:tcW w:w="1077"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不设置</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120" w:leftChars="50" w:right="120" w:rightChars="50" w:firstLine="0" w:firstLineChars="0"/>
              <w:jc w:val="both"/>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注：“涉及环境敏感区”是指建设项目位于、穿（跨）越（无害化通过的除外）环境敏感区，或环境影响范围涵盖环境敏感区。环境敏感区是指《建设项目环境影响评价分类管理名录》中针对该类项目所列的敏感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sz w:val="24"/>
                <w:highlight w:val="none"/>
              </w:rPr>
              <w:t>规划情况</w:t>
            </w:r>
          </w:p>
        </w:tc>
        <w:tc>
          <w:tcPr>
            <w:tcW w:w="7992" w:type="dxa"/>
            <w:gridSpan w:val="4"/>
            <w:tcBorders>
              <w:tl2br w:val="nil"/>
              <w:tr2bl w:val="nil"/>
            </w:tcBorders>
            <w:tcMar>
              <w:top w:w="16" w:type="dxa"/>
              <w:left w:w="16" w:type="dxa"/>
              <w:right w:w="16"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120" w:leftChars="50" w:right="120" w:rightChars="50" w:firstLine="0" w:firstLineChars="0"/>
              <w:jc w:val="left"/>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规划名称：《宁夏回族自治区水安全保障“十四五”规划》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120" w:leftChars="50" w:right="120" w:rightChars="50" w:firstLine="0" w:firstLineChars="0"/>
              <w:jc w:val="left"/>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审批机关：宁夏回族自治区人民政府办公厅</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120" w:leftChars="50" w:right="120" w:rightChars="50" w:firstLine="0" w:firstLineChars="0"/>
              <w:jc w:val="left"/>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审批文件名称：《自治区人民政府办公厅关于印发宁夏回族自治区水安全保障“十四五”规划的通知》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120" w:leftChars="50" w:right="120" w:rightChars="50" w:firstLine="0" w:firstLineChars="0"/>
              <w:jc w:val="both"/>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审批文号：宁政办发〔2021〕82号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sz w:val="24"/>
                <w:highlight w:val="none"/>
              </w:rPr>
              <w:t>规划环境影响评价情况</w:t>
            </w:r>
          </w:p>
        </w:tc>
        <w:tc>
          <w:tcPr>
            <w:tcW w:w="7992" w:type="dxa"/>
            <w:gridSpan w:val="4"/>
            <w:tcBorders>
              <w:tl2br w:val="nil"/>
              <w:tr2bl w:val="nil"/>
            </w:tcBorders>
            <w:tcMar>
              <w:top w:w="16" w:type="dxa"/>
              <w:left w:w="16" w:type="dxa"/>
              <w:right w:w="16"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120" w:leftChars="50" w:right="120" w:rightChars="50" w:firstLine="0" w:firstLineChars="0"/>
              <w:jc w:val="left"/>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《宁夏回族自治区水安全保障“十四五”规划环境影响报告书》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120" w:leftChars="50" w:right="120" w:rightChars="50" w:firstLine="0" w:firstLineChars="0"/>
              <w:jc w:val="left"/>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审查机关：宁夏回族自治区生态环境厅</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120" w:leftChars="50" w:right="120" w:rightChars="50" w:firstLine="0" w:firstLineChars="0"/>
              <w:jc w:val="left"/>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审查文件名称：《自治区生态环境厅关于〈宁夏水安全保障“十四五”规划环境影响报告书〉审查意见的函》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120" w:leftChars="50" w:right="120" w:rightChars="50" w:firstLine="0" w:firstLineChars="0"/>
              <w:jc w:val="left"/>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审查文号：宁环函〔2021〕721号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FF"/>
                <w:kern w:val="0"/>
                <w:sz w:val="24"/>
                <w:highlight w:val="none"/>
              </w:rPr>
            </w:pPr>
            <w:r>
              <w:rPr>
                <w:rFonts w:hint="default" w:ascii="Times New Roman" w:hAnsi="Times New Roman" w:eastAsia="宋体" w:cs="Times New Roman"/>
                <w:b/>
                <w:bCs/>
                <w:color w:val="auto"/>
                <w:kern w:val="0"/>
                <w:sz w:val="24"/>
                <w:highlight w:val="none"/>
              </w:rPr>
              <w:t>规划及</w:t>
            </w:r>
            <w:r>
              <w:rPr>
                <w:rFonts w:hint="default" w:ascii="Times New Roman" w:hAnsi="Times New Roman" w:eastAsia="宋体" w:cs="Times New Roman"/>
                <w:b/>
                <w:bCs/>
                <w:color w:val="auto"/>
                <w:sz w:val="24"/>
                <w:highlight w:val="none"/>
              </w:rPr>
              <w:t>规划环境影响评价</w:t>
            </w:r>
            <w:r>
              <w:rPr>
                <w:rFonts w:hint="default" w:ascii="Times New Roman" w:hAnsi="Times New Roman" w:eastAsia="宋体" w:cs="Times New Roman"/>
                <w:b/>
                <w:bCs/>
                <w:color w:val="auto"/>
                <w:kern w:val="0"/>
                <w:sz w:val="24"/>
                <w:highlight w:val="none"/>
              </w:rPr>
              <w:t>符合性分析</w:t>
            </w:r>
          </w:p>
        </w:tc>
        <w:tc>
          <w:tcPr>
            <w:tcW w:w="7992" w:type="dxa"/>
            <w:gridSpan w:val="4"/>
            <w:tcBorders>
              <w:tl2br w:val="nil"/>
              <w:tr2bl w:val="nil"/>
            </w:tcBorders>
            <w:tcMar>
              <w:top w:w="16" w:type="dxa"/>
              <w:left w:w="16" w:type="dxa"/>
              <w:right w:w="16"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120" w:leftChars="50" w:right="120" w:rightChars="50" w:firstLine="482" w:firstLineChars="200"/>
              <w:textAlignment w:val="auto"/>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b/>
                <w:color w:val="auto"/>
                <w:kern w:val="0"/>
                <w:sz w:val="24"/>
                <w:highlight w:val="none"/>
                <w:lang w:val="en-US" w:eastAsia="zh-CN"/>
              </w:rPr>
              <w:t>1、</w:t>
            </w:r>
            <w:r>
              <w:rPr>
                <w:rFonts w:hint="default" w:ascii="Times New Roman" w:hAnsi="Times New Roman" w:eastAsia="宋体" w:cs="Times New Roman"/>
                <w:b/>
                <w:color w:val="auto"/>
                <w:kern w:val="0"/>
                <w:sz w:val="24"/>
                <w:highlight w:val="none"/>
              </w:rPr>
              <w:t>与《宁夏回族自治区水安全保障“十四五”规划环境影响报告书》及审查意见的函符合性分析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120" w:leftChars="50" w:right="120" w:rightChars="50" w:firstLine="480" w:firstLineChars="2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宁夏回族自治区水安全保障“十四五”规划环境影响报告书》要求对于涉及各类环境敏感区的建设内容，严格遵守有关法律法规的要求，在后续的设计和建设过程中，依法依规采取必要的避让措施；确实无法避让的，应符合相关法律法规的要求，取得相关行政主管部门的许可，在项目环评中充分论证对环境敏感区的影响范围和程度，并采取有效的保护和恢复措施。确保规划项目的建设符合有关法律法规及政策要求，不会对环境敏感区的生态系统功能、生态环境质量和区域生态安全造成重大影响，生态保护红线范围内“生态功能不降低、面积不减少、性质不改变”。</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120" w:leftChars="50" w:right="120" w:rightChars="50"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rPr>
              <w:t>《宁夏回族自治区水安全保障“十四五”规划环境影响报告书》</w:t>
            </w:r>
            <w:r>
              <w:rPr>
                <w:rFonts w:hint="default" w:ascii="Times New Roman" w:hAnsi="Times New Roman" w:eastAsia="宋体" w:cs="Times New Roman"/>
                <w:color w:val="auto"/>
                <w:kern w:val="0"/>
                <w:sz w:val="24"/>
                <w:highlight w:val="none"/>
                <w:lang w:val="en-US" w:eastAsia="zh-CN"/>
              </w:rPr>
              <w:t>中提出：</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总体布局：黄河生态经济带。以黄河为主轴，突出生态优先地位，按照河双线三带四区</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进行空间划分和规划布局，分区分类进行保护治理。开展黄河宁夏段河道治理工程，实施河道与滩区综合提升治理，保护传承弘扬黄河文化；建设河段堤防安全标准区，打造黄河流域生态保护和高质量发展先行区的核心带。2.1.4.3提升水旱灾害风险防控能力、⑶加强重要支流及中小河流提标治理：持续开展中小河流提标治理。按照生态治河理念，以保证防洪排水安全为基础，结合农村水系综合整治，通过堤防、护岸、清、除障、疏浚等工程措施，疏通中小河流防洪排水脉络，实施堤防护岸达标建设，维持河道行洪能力和生态环境功能。”</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120" w:leftChars="50" w:right="120" w:rightChars="50"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宁夏回族自治区水安全保障“十四五”规划环境影响报告书》审查意见的函中给出《规划》优化调整和实施的意见：（一）严守生态保护红线，加强空间管控。将生态保护红线作为保障和维护区域生态安全的底线，依法实施严格保护，对所涉及的水利工程设施，严格执行各项生态环境保护要求。（二）严守环境质量底线，推进区域环境质量持续改善。坚持生态优先、绿色发展、协调发展理念，《规划》的环境目标应立足于生态环境的稳定和环境质量的改善，明确规划期重点工程、开发区域的生态环境质量底线，作为《规划》实施的硬约束同步实现环境质量改善目标与水资源开发目标。（三）严格水利工程建设的环境准入条件。严格水利工程准入要求，从源头上避免对区域水环境质量及水生态造成影响。加强水资源综合利用，提高资源节约集约利用水平。（四）加强水生态修复和水环境治理。统筹流域、区域，通过水土流失综合治理、重点河湖生态修复、水系连通和水美乡村建设、盐碱地改良和地下水超采区治理，推进水环境质量持续稳定改善、维护水生态系统安全，助力黄河流域生态保护和高质量发展先行区建设。</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120" w:leftChars="50" w:right="120" w:rightChars="5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0"/>
                <w:sz w:val="24"/>
                <w:highlight w:val="none"/>
              </w:rPr>
              <w:t>本</w:t>
            </w:r>
            <w:r>
              <w:rPr>
                <w:rFonts w:hint="default" w:ascii="Times New Roman" w:hAnsi="Times New Roman" w:eastAsia="宋体" w:cs="Times New Roman"/>
                <w:color w:val="auto"/>
                <w:kern w:val="0"/>
                <w:sz w:val="24"/>
                <w:highlight w:val="none"/>
                <w:lang w:val="en-US" w:eastAsia="zh-CN"/>
              </w:rPr>
              <w:t>项目</w:t>
            </w:r>
            <w:r>
              <w:rPr>
                <w:rFonts w:hint="default" w:ascii="Times New Roman" w:hAnsi="Times New Roman" w:eastAsia="宋体" w:cs="Times New Roman"/>
                <w:color w:val="auto"/>
                <w:kern w:val="0"/>
                <w:sz w:val="24"/>
                <w:highlight w:val="none"/>
              </w:rPr>
              <w:t>为</w:t>
            </w:r>
            <w:r>
              <w:rPr>
                <w:rFonts w:hint="eastAsia" w:cs="Times New Roman"/>
                <w:color w:val="auto"/>
                <w:kern w:val="0"/>
                <w:sz w:val="24"/>
                <w:highlight w:val="none"/>
                <w:lang w:eastAsia="zh-CN"/>
              </w:rPr>
              <w:t>排洪渠建设、现状排洪渠清淤、</w:t>
            </w:r>
            <w:r>
              <w:rPr>
                <w:rFonts w:hint="default" w:ascii="Times New Roman" w:hAnsi="Times New Roman" w:eastAsia="宋体" w:cs="Times New Roman"/>
                <w:color w:val="auto"/>
                <w:kern w:val="0"/>
                <w:sz w:val="24"/>
                <w:highlight w:val="none"/>
                <w:lang w:val="en-US" w:eastAsia="zh-CN"/>
              </w:rPr>
              <w:t>边坡治理</w:t>
            </w:r>
            <w:r>
              <w:rPr>
                <w:rFonts w:hint="default" w:ascii="Times New Roman" w:hAnsi="Times New Roman" w:eastAsia="宋体" w:cs="Times New Roman"/>
                <w:color w:val="auto"/>
                <w:kern w:val="0"/>
                <w:sz w:val="24"/>
                <w:highlight w:val="none"/>
              </w:rPr>
              <w:t>工程，</w:t>
            </w:r>
            <w:r>
              <w:rPr>
                <w:rFonts w:hint="eastAsia" w:cs="Times New Roman"/>
                <w:color w:val="auto"/>
                <w:kern w:val="0"/>
                <w:sz w:val="24"/>
                <w:highlight w:val="none"/>
                <w:lang w:eastAsia="zh-CN"/>
              </w:rPr>
              <w:t>主要涉及隆德县北象山，</w:t>
            </w:r>
            <w:r>
              <w:rPr>
                <w:rFonts w:hint="default" w:ascii="Times New Roman" w:hAnsi="Times New Roman" w:eastAsia="宋体" w:cs="Times New Roman"/>
                <w:color w:val="auto"/>
                <w:kern w:val="0"/>
                <w:sz w:val="24"/>
                <w:highlight w:val="none"/>
              </w:rPr>
              <w:t>施工严格控制施工红线，</w:t>
            </w:r>
            <w:r>
              <w:rPr>
                <w:rFonts w:hint="default" w:ascii="Times New Roman" w:hAnsi="Times New Roman" w:eastAsia="宋体" w:cs="Times New Roman"/>
                <w:color w:val="auto"/>
                <w:sz w:val="24"/>
                <w:highlight w:val="none"/>
              </w:rPr>
              <w:t>多余土方外运，本项目不设置弃土场；施工期间不得随意调整临时设施的位置，</w:t>
            </w:r>
            <w:r>
              <w:rPr>
                <w:rFonts w:hint="default" w:ascii="Times New Roman" w:hAnsi="Times New Roman" w:eastAsia="宋体" w:cs="Times New Roman"/>
                <w:color w:val="auto"/>
                <w:sz w:val="24"/>
                <w:highlight w:val="none"/>
                <w:lang w:val="en-US" w:eastAsia="zh-CN"/>
              </w:rPr>
              <w:t>施工营地租用周边闲置房屋，且工程建设需要避让</w:t>
            </w:r>
            <w:r>
              <w:rPr>
                <w:rFonts w:hint="eastAsia" w:cs="Times New Roman"/>
                <w:color w:val="auto"/>
                <w:sz w:val="24"/>
                <w:highlight w:val="none"/>
                <w:lang w:val="en-US" w:eastAsia="zh-CN"/>
              </w:rPr>
              <w:t>居民区</w:t>
            </w:r>
            <w:r>
              <w:rPr>
                <w:rFonts w:hint="default" w:ascii="Times New Roman" w:hAnsi="Times New Roman" w:eastAsia="宋体" w:cs="Times New Roman"/>
                <w:color w:val="auto"/>
                <w:sz w:val="24"/>
                <w:highlight w:val="none"/>
                <w:lang w:val="en-US" w:eastAsia="zh-CN"/>
              </w:rPr>
              <w:t>等环境敏</w:t>
            </w:r>
            <w:r>
              <w:rPr>
                <w:rFonts w:hint="default" w:ascii="Times New Roman" w:hAnsi="Times New Roman" w:eastAsia="宋体" w:cs="Times New Roman"/>
                <w:color w:val="auto"/>
                <w:kern w:val="0"/>
                <w:sz w:val="24"/>
                <w:highlight w:val="none"/>
              </w:rPr>
              <w:t>感区，施工期通过采取洒水抑尘、设置沉淀池等措施；建设完成后采取土地平整，恢复植被等措施，使得本工程对生态的影响降为最低，</w:t>
            </w:r>
            <w:r>
              <w:rPr>
                <w:rFonts w:hint="default" w:ascii="Times New Roman" w:hAnsi="Times New Roman" w:eastAsia="宋体" w:cs="Times New Roman"/>
                <w:color w:val="auto"/>
                <w:kern w:val="0"/>
                <w:sz w:val="24"/>
                <w:highlight w:val="none"/>
                <w:lang w:val="en-US" w:eastAsia="zh-CN"/>
              </w:rPr>
              <w:t>因此本项目的建设</w:t>
            </w:r>
            <w:r>
              <w:rPr>
                <w:rFonts w:hint="default" w:ascii="Times New Roman" w:hAnsi="Times New Roman" w:eastAsia="宋体" w:cs="Times New Roman"/>
                <w:color w:val="auto"/>
                <w:kern w:val="0"/>
                <w:sz w:val="24"/>
                <w:highlight w:val="none"/>
              </w:rPr>
              <w:t>符合规划环境影响报告书</w:t>
            </w:r>
            <w:r>
              <w:rPr>
                <w:rFonts w:hint="default" w:ascii="Times New Roman" w:hAnsi="Times New Roman" w:eastAsia="宋体" w:cs="Times New Roman"/>
                <w:color w:val="auto"/>
                <w:kern w:val="0"/>
                <w:sz w:val="24"/>
                <w:highlight w:val="none"/>
                <w:lang w:val="en-US" w:eastAsia="zh-CN"/>
              </w:rPr>
              <w:t>及</w:t>
            </w:r>
            <w:r>
              <w:rPr>
                <w:rFonts w:hint="default" w:ascii="Times New Roman" w:hAnsi="Times New Roman" w:eastAsia="宋体" w:cs="Times New Roman"/>
                <w:color w:val="auto"/>
                <w:kern w:val="0"/>
                <w:sz w:val="24"/>
                <w:highlight w:val="none"/>
              </w:rPr>
              <w:t>《宁夏回族自治区水安全保障</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十四五</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eastAsia="zh-CN"/>
              </w:rPr>
              <w:t>规划</w:t>
            </w:r>
            <w:r>
              <w:rPr>
                <w:rFonts w:hint="default" w:ascii="Times New Roman" w:hAnsi="Times New Roman" w:eastAsia="宋体" w:cs="Times New Roman"/>
                <w:color w:val="auto"/>
                <w:kern w:val="0"/>
                <w:sz w:val="24"/>
                <w:highlight w:val="none"/>
              </w:rPr>
              <w:t>环境影响报告书》审查意见的要求。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4"/>
                <w:highlight w:val="none"/>
              </w:rPr>
            </w:pPr>
            <w:bookmarkStart w:id="6" w:name="_Hlk56690880"/>
            <w:r>
              <w:rPr>
                <w:rFonts w:hint="default" w:ascii="Times New Roman" w:hAnsi="Times New Roman" w:eastAsia="宋体" w:cs="Times New Roman"/>
                <w:b/>
                <w:bCs/>
                <w:color w:val="auto"/>
                <w:kern w:val="0"/>
                <w:sz w:val="24"/>
                <w:highlight w:val="none"/>
              </w:rPr>
              <w:t>其他符合性分析</w:t>
            </w:r>
          </w:p>
        </w:tc>
        <w:tc>
          <w:tcPr>
            <w:tcW w:w="7992" w:type="dxa"/>
            <w:gridSpan w:val="4"/>
            <w:tcBorders>
              <w:tl2br w:val="nil"/>
              <w:tr2bl w:val="nil"/>
            </w:tcBorders>
            <w:tcMar>
              <w:top w:w="16" w:type="dxa"/>
              <w:left w:w="16" w:type="dxa"/>
              <w:right w:w="16" w:type="dxa"/>
            </w:tcMar>
            <w:vAlign w:val="center"/>
          </w:tcPr>
          <w:p>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540" w:lineRule="exact"/>
              <w:ind w:left="120" w:leftChars="50" w:right="120" w:rightChars="50" w:firstLine="482" w:firstLineChars="200"/>
              <w:textAlignment w:val="auto"/>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b/>
                <w:color w:val="auto"/>
                <w:kern w:val="0"/>
                <w:sz w:val="24"/>
                <w:highlight w:val="none"/>
              </w:rPr>
              <w:t>1、产业政策合理性分析</w:t>
            </w:r>
          </w:p>
          <w:p>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540" w:lineRule="exact"/>
              <w:ind w:left="120" w:leftChars="50" w:right="120" w:rightChars="50"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根据中华人民共和国国家发展和改革委员会令第7号《产业结构调整指导目录（2024年本）》，本项目属于第一类鼓励类，二、水利—3．防洪提升工程：</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城市积涝预警和防洪工程</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，因此本项目符合国家产业政策。</w:t>
            </w:r>
          </w:p>
          <w:p>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540" w:lineRule="exact"/>
              <w:ind w:left="120" w:leftChars="50" w:right="120" w:rightChars="50" w:firstLine="482" w:firstLineChars="200"/>
              <w:textAlignment w:val="auto"/>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b/>
                <w:color w:val="auto"/>
                <w:kern w:val="0"/>
                <w:sz w:val="24"/>
                <w:highlight w:val="none"/>
              </w:rPr>
              <w:t>2、“三线一单”符合性分析</w:t>
            </w:r>
          </w:p>
          <w:p>
            <w:pPr>
              <w:keepNext w:val="0"/>
              <w:keepLines w:val="0"/>
              <w:pageBreakBefore w:val="0"/>
              <w:widowControl w:val="0"/>
              <w:suppressLineNumbers w:val="0"/>
              <w:kinsoku/>
              <w:wordWrap/>
              <w:topLinePunct w:val="0"/>
              <w:bidi w:val="0"/>
              <w:adjustRightInd w:val="0"/>
              <w:snapToGrid w:val="0"/>
              <w:spacing w:before="0" w:beforeAutospacing="0" w:after="0" w:afterAutospacing="0" w:line="540" w:lineRule="exact"/>
              <w:ind w:left="120" w:leftChars="50" w:right="120" w:rightChars="50" w:firstLine="480" w:firstLineChars="200"/>
              <w:textAlignment w:val="auto"/>
              <w:rPr>
                <w:rFonts w:hint="default"/>
                <w:color w:val="auto"/>
                <w:sz w:val="24"/>
                <w:highlight w:val="none"/>
              </w:rPr>
            </w:pPr>
            <w:r>
              <w:rPr>
                <w:rFonts w:hint="default"/>
                <w:color w:val="auto"/>
                <w:sz w:val="24"/>
                <w:highlight w:val="none"/>
              </w:rPr>
              <w:t>⑴与</w:t>
            </w:r>
            <w:r>
              <w:rPr>
                <w:rFonts w:hint="eastAsia"/>
                <w:color w:val="auto"/>
                <w:sz w:val="24"/>
                <w:highlight w:val="none"/>
                <w:lang w:eastAsia="zh-CN"/>
              </w:rPr>
              <w:t>固原市</w:t>
            </w:r>
            <w:r>
              <w:rPr>
                <w:rFonts w:hint="default"/>
                <w:color w:val="auto"/>
                <w:sz w:val="24"/>
                <w:highlight w:val="none"/>
              </w:rPr>
              <w:t>生态红线及生态环境分区管控符合性分析</w:t>
            </w:r>
          </w:p>
          <w:p>
            <w:pPr>
              <w:keepNext w:val="0"/>
              <w:keepLines w:val="0"/>
              <w:pageBreakBefore w:val="0"/>
              <w:widowControl w:val="0"/>
              <w:suppressLineNumbers w:val="0"/>
              <w:kinsoku/>
              <w:wordWrap/>
              <w:topLinePunct w:val="0"/>
              <w:bidi w:val="0"/>
              <w:adjustRightInd w:val="0"/>
              <w:snapToGrid w:val="0"/>
              <w:spacing w:before="0" w:beforeAutospacing="0" w:after="0" w:afterAutospacing="0" w:line="540" w:lineRule="exact"/>
              <w:ind w:left="120" w:leftChars="50" w:right="120" w:rightChars="50" w:firstLine="480" w:firstLineChars="200"/>
              <w:textAlignment w:val="auto"/>
              <w:rPr>
                <w:rFonts w:hint="default"/>
                <w:color w:val="auto"/>
                <w:sz w:val="24"/>
                <w:highlight w:val="none"/>
              </w:rPr>
            </w:pPr>
            <w:r>
              <w:rPr>
                <w:rFonts w:hint="eastAsia"/>
                <w:color w:val="auto"/>
                <w:sz w:val="24"/>
                <w:highlight w:val="none"/>
              </w:rPr>
              <w:t>根据《固原市人民政府关于实施“三线一单”生态环境分区管控的意见》（固政规发〔20</w:t>
            </w:r>
            <w:r>
              <w:rPr>
                <w:rFonts w:hint="eastAsia"/>
                <w:color w:val="auto"/>
                <w:sz w:val="24"/>
                <w:highlight w:val="none"/>
                <w:lang w:val="en-US" w:eastAsia="zh-CN"/>
              </w:rPr>
              <w:t>24</w:t>
            </w:r>
            <w:r>
              <w:rPr>
                <w:rFonts w:hint="eastAsia"/>
                <w:color w:val="auto"/>
                <w:sz w:val="24"/>
                <w:highlight w:val="none"/>
              </w:rPr>
              <w:t>〕</w:t>
            </w:r>
            <w:r>
              <w:rPr>
                <w:rFonts w:hint="eastAsia"/>
                <w:color w:val="auto"/>
                <w:sz w:val="24"/>
                <w:highlight w:val="none"/>
                <w:lang w:val="en-US" w:eastAsia="zh-CN"/>
              </w:rPr>
              <w:t>28</w:t>
            </w:r>
            <w:r>
              <w:rPr>
                <w:rFonts w:hint="eastAsia"/>
                <w:color w:val="auto"/>
                <w:sz w:val="24"/>
                <w:highlight w:val="none"/>
              </w:rPr>
              <w:t>号），基于生态保护红线划定评估，以生态系统功能极重要区和重要区、生态环境极敏感区和敏感区为重点，衔接自治区级及以上自然保护区，县级及以上饮用水水源保护区，自治区级及以上风景名胜区、湿地公园、森林公园、地质公园，国家级水产种质资源保护区，国家级生态公益林等各类自然保护地和其他保护区域，衔接相关规划及经济社会发展需求，划定固原市生态空间总面积4171.22平方公里，占全市国土总面积的39.63%。其中生态保护红线面积为3302.06平方公里，占全市国土总面积的31.37%；除生态保护红线以外的一般生态空间面积869.16平方公里，占全市国土面积8.26%。</w:t>
            </w:r>
          </w:p>
          <w:p>
            <w:pPr>
              <w:keepNext w:val="0"/>
              <w:keepLines w:val="0"/>
              <w:pageBreakBefore w:val="0"/>
              <w:widowControl w:val="0"/>
              <w:suppressLineNumbers w:val="0"/>
              <w:kinsoku/>
              <w:wordWrap/>
              <w:topLinePunct w:val="0"/>
              <w:bidi w:val="0"/>
              <w:adjustRightInd w:val="0"/>
              <w:snapToGrid w:val="0"/>
              <w:spacing w:before="0" w:beforeAutospacing="0" w:after="0" w:afterAutospacing="0" w:line="540" w:lineRule="exact"/>
              <w:ind w:left="120" w:leftChars="50" w:right="120" w:rightChars="50" w:firstLine="480" w:firstLineChars="200"/>
              <w:textAlignment w:val="auto"/>
              <w:rPr>
                <w:rFonts w:hint="default"/>
                <w:color w:val="auto"/>
                <w:sz w:val="24"/>
                <w:highlight w:val="none"/>
              </w:rPr>
            </w:pPr>
            <w:r>
              <w:rPr>
                <w:rFonts w:hint="default"/>
                <w:color w:val="auto"/>
                <w:sz w:val="24"/>
                <w:highlight w:val="none"/>
              </w:rPr>
              <w:t>生态分区管控要求：</w:t>
            </w:r>
            <w:r>
              <w:rPr>
                <w:rFonts w:hint="eastAsia"/>
                <w:color w:val="auto"/>
                <w:sz w:val="24"/>
                <w:highlight w:val="none"/>
              </w:rPr>
              <w:t>生态保护红线原则上按禁止开发区域的要求进行管理。严禁不符合主体功能定位的各类开发活动，严禁任意改变用途，确保生态保护红线内“生态功能不降低，面积不减少，性质不改变”。严格控制新增建设用地占用一般生态空间。符合区域准入条件的建设项目，涉及占用生态空间中的林地、草原等，按有关法律法规规定办理；涉及占用生态空间中其他未作明确规定的用地，应当加强论证和管理。严格限制农业开发占用生态保护红线之外的生态空间，符合条件的农业开发项目，须依法由市县级及以上地方人民政府统筹安排。特别的，对于固原市所属的南部水源涵养区，持续开展国土绿化行动，加大植树种草力度，提升水源涵养能力。严格控制林木采伐，禁止开垦25度以上坡地和河湖滩地，持续开展草原禁牧封育。加强干支流河道、沟道及重点水土流失区域的综合治理，开展陡坡地退耕还林、坡耕地改造，控制水土流失，减少入黄泥沙量。</w:t>
            </w:r>
          </w:p>
          <w:p>
            <w:pPr>
              <w:keepNext w:val="0"/>
              <w:keepLines w:val="0"/>
              <w:pageBreakBefore w:val="0"/>
              <w:widowControl w:val="0"/>
              <w:suppressLineNumbers w:val="0"/>
              <w:kinsoku/>
              <w:wordWrap/>
              <w:topLinePunct w:val="0"/>
              <w:bidi w:val="0"/>
              <w:adjustRightInd w:val="0"/>
              <w:snapToGrid w:val="0"/>
              <w:spacing w:before="0" w:beforeAutospacing="0" w:after="0" w:afterAutospacing="0" w:line="540" w:lineRule="exact"/>
              <w:ind w:left="120" w:leftChars="50" w:right="120" w:rightChars="50" w:firstLine="480" w:firstLineChars="200"/>
              <w:textAlignment w:val="auto"/>
              <w:rPr>
                <w:rFonts w:hint="eastAsia" w:eastAsia="宋体"/>
                <w:color w:val="auto"/>
                <w:sz w:val="24"/>
                <w:highlight w:val="none"/>
                <w:lang w:eastAsia="zh-CN"/>
              </w:rPr>
            </w:pPr>
            <w:r>
              <w:rPr>
                <w:rFonts w:hint="default"/>
                <w:color w:val="auto"/>
                <w:sz w:val="24"/>
                <w:highlight w:val="none"/>
              </w:rPr>
              <w:t>本项目位于</w:t>
            </w:r>
            <w:r>
              <w:rPr>
                <w:rFonts w:hint="eastAsia"/>
                <w:color w:val="auto"/>
                <w:sz w:val="24"/>
                <w:highlight w:val="none"/>
                <w:lang w:eastAsia="zh-CN"/>
              </w:rPr>
              <w:t>固原市隆德县</w:t>
            </w:r>
            <w:r>
              <w:rPr>
                <w:rFonts w:hint="default"/>
                <w:color w:val="auto"/>
                <w:sz w:val="24"/>
                <w:highlight w:val="none"/>
              </w:rPr>
              <w:t>，</w:t>
            </w:r>
            <w:r>
              <w:rPr>
                <w:rFonts w:hint="eastAsia"/>
                <w:color w:val="auto"/>
                <w:sz w:val="24"/>
                <w:highlight w:val="none"/>
              </w:rPr>
              <w:t>根据“宁夏回族自治区生态保护红线分布示意图”与本项目位置关系确定，本项目在自治区生态保护红线范围内（见附图1）。根据固原市“三线一单”中“固原市生态空间分布图”与本项目位置关系确定可知，确定本项目</w:t>
            </w:r>
            <w:r>
              <w:rPr>
                <w:rFonts w:hint="eastAsia"/>
                <w:color w:val="auto"/>
                <w:sz w:val="24"/>
                <w:highlight w:val="none"/>
                <w:lang w:eastAsia="zh-CN"/>
              </w:rPr>
              <w:t>北象山排洪渠及拦洪渠</w:t>
            </w:r>
            <w:r>
              <w:rPr>
                <w:rFonts w:hint="default" w:ascii="Times New Roman" w:hAnsi="Times New Roman" w:eastAsia="宋体" w:cs="Times New Roman"/>
                <w:color w:val="auto"/>
                <w:kern w:val="0"/>
                <w:sz w:val="24"/>
                <w:highlight w:val="none"/>
                <w:lang w:val="en-US" w:eastAsia="zh-CN"/>
              </w:rPr>
              <w:t>浆砌石挡土墙</w:t>
            </w:r>
            <w:r>
              <w:rPr>
                <w:rFonts w:hint="eastAsia" w:ascii="Times New Roman" w:hAnsi="Times New Roman" w:eastAsia="宋体" w:cs="Times New Roman"/>
                <w:color w:val="auto"/>
                <w:kern w:val="0"/>
                <w:sz w:val="24"/>
                <w:highlight w:val="none"/>
                <w:lang w:val="en-US" w:eastAsia="zh-CN"/>
              </w:rPr>
              <w:t>部分</w:t>
            </w:r>
            <w:r>
              <w:rPr>
                <w:rFonts w:hint="eastAsia"/>
                <w:color w:val="auto"/>
                <w:sz w:val="24"/>
                <w:highlight w:val="none"/>
              </w:rPr>
              <w:t>在固原市生态保护红线范围内（见附图2）。</w:t>
            </w:r>
          </w:p>
          <w:p>
            <w:pPr>
              <w:keepNext w:val="0"/>
              <w:keepLines w:val="0"/>
              <w:pageBreakBefore w:val="0"/>
              <w:widowControl w:val="0"/>
              <w:suppressLineNumbers w:val="0"/>
              <w:kinsoku/>
              <w:wordWrap/>
              <w:topLinePunct w:val="0"/>
              <w:bidi w:val="0"/>
              <w:adjustRightInd w:val="0"/>
              <w:snapToGrid w:val="0"/>
              <w:spacing w:before="0" w:beforeAutospacing="0" w:after="0" w:afterAutospacing="0" w:line="540" w:lineRule="exact"/>
              <w:ind w:left="120" w:leftChars="50" w:right="120" w:rightChars="50" w:firstLine="480" w:firstLineChars="200"/>
              <w:textAlignment w:val="auto"/>
              <w:rPr>
                <w:rFonts w:hint="eastAsia"/>
                <w:color w:val="auto"/>
                <w:sz w:val="24"/>
                <w:highlight w:val="none"/>
              </w:rPr>
            </w:pPr>
            <w:r>
              <w:rPr>
                <w:rFonts w:hint="eastAsia"/>
                <w:color w:val="auto"/>
                <w:sz w:val="24"/>
                <w:highlight w:val="none"/>
              </w:rPr>
              <w:t>本项目属于防洪排涝能力提升项目，主要建设防洪渠、</w:t>
            </w:r>
            <w:r>
              <w:rPr>
                <w:rFonts w:hint="eastAsia"/>
                <w:color w:val="auto"/>
                <w:sz w:val="24"/>
                <w:highlight w:val="none"/>
                <w:lang w:eastAsia="zh-CN"/>
              </w:rPr>
              <w:t>沟道砌护及排洪渠清淤</w:t>
            </w:r>
            <w:r>
              <w:rPr>
                <w:rFonts w:hint="eastAsia"/>
                <w:color w:val="auto"/>
                <w:sz w:val="24"/>
                <w:highlight w:val="none"/>
              </w:rPr>
              <w:t>，不属于开垦类项目，本项目施工期仅有施工扬尘，施工机械废气产生，经施工场地洒水与完全实行施工扬尘“六个百分百”治理措施后，施工期废气对生态环境基本无影响；施工人员居住租用民房，因此生活污水排放依托租用民房，本项目施工废水设置沉淀池，沉淀后用于施工场地洒水抑尘；项目产生固体废物主要为废弃土石方及生活垃圾，开挖土石方</w:t>
            </w:r>
            <w:r>
              <w:rPr>
                <w:rFonts w:hint="eastAsia"/>
                <w:color w:val="auto"/>
                <w:sz w:val="24"/>
                <w:highlight w:val="none"/>
                <w:lang w:eastAsia="zh-CN"/>
              </w:rPr>
              <w:t>清运至建筑垃圾填埋场</w:t>
            </w:r>
            <w:r>
              <w:rPr>
                <w:rFonts w:hint="eastAsia"/>
                <w:color w:val="auto"/>
                <w:sz w:val="24"/>
                <w:highlight w:val="none"/>
              </w:rPr>
              <w:t>，生活垃圾设置垃圾桶收集后及时清运至附近农村生活垃圾转运站处置；故本项目施工期三废经上述处理后，对项目区环境基本无影响。</w:t>
            </w:r>
          </w:p>
          <w:p>
            <w:pPr>
              <w:keepNext w:val="0"/>
              <w:keepLines w:val="0"/>
              <w:pageBreakBefore w:val="0"/>
              <w:widowControl w:val="0"/>
              <w:suppressLineNumbers w:val="0"/>
              <w:kinsoku/>
              <w:wordWrap/>
              <w:topLinePunct w:val="0"/>
              <w:bidi w:val="0"/>
              <w:adjustRightInd w:val="0"/>
              <w:snapToGrid w:val="0"/>
              <w:spacing w:before="0" w:beforeAutospacing="0" w:after="0" w:afterAutospacing="0" w:line="540" w:lineRule="exact"/>
              <w:ind w:left="120" w:leftChars="50" w:right="120" w:rightChars="50" w:firstLine="480" w:firstLineChars="200"/>
              <w:textAlignment w:val="auto"/>
              <w:rPr>
                <w:rFonts w:hint="eastAsia"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本项目运营期无废水、废气产生，只在清除</w:t>
            </w:r>
            <w:r>
              <w:rPr>
                <w:rFonts w:hint="eastAsia" w:ascii="Times New Roman" w:hAnsi="Times New Roman" w:eastAsia="宋体" w:cs="宋体"/>
                <w:color w:val="auto"/>
                <w:sz w:val="24"/>
                <w:highlight w:val="none"/>
                <w:lang w:eastAsia="zh-CN"/>
              </w:rPr>
              <w:t>排洪渠植物枯叶及少量沙土</w:t>
            </w:r>
            <w:r>
              <w:rPr>
                <w:rFonts w:hint="eastAsia" w:ascii="Times New Roman" w:hAnsi="Times New Roman" w:eastAsia="宋体" w:cs="宋体"/>
                <w:color w:val="auto"/>
                <w:sz w:val="24"/>
                <w:highlight w:val="none"/>
              </w:rPr>
              <w:t>时会有少量固体废物产生，</w:t>
            </w:r>
            <w:r>
              <w:rPr>
                <w:rFonts w:hint="eastAsia" w:ascii="Times New Roman" w:hAnsi="Times New Roman" w:eastAsia="宋体" w:cs="宋体"/>
                <w:color w:val="auto"/>
                <w:sz w:val="24"/>
                <w:highlight w:val="none"/>
                <w:lang w:eastAsia="zh-CN"/>
              </w:rPr>
              <w:t>建筑垃圾填埋场</w:t>
            </w:r>
            <w:r>
              <w:rPr>
                <w:rFonts w:hint="eastAsia" w:ascii="Times New Roman" w:hAnsi="Times New Roman" w:eastAsia="宋体" w:cs="宋体"/>
                <w:color w:val="auto"/>
                <w:sz w:val="24"/>
                <w:highlight w:val="none"/>
              </w:rPr>
              <w:t>处置。</w:t>
            </w:r>
            <w:r>
              <w:rPr>
                <w:rFonts w:hint="default" w:ascii="Times New Roman" w:hAnsi="Times New Roman" w:eastAsia="宋体" w:cs="宋体"/>
                <w:color w:val="auto"/>
                <w:sz w:val="24"/>
                <w:highlight w:val="none"/>
                <w:lang w:eastAsia="zh-CN"/>
              </w:rPr>
              <w:t>项目主要为沟道治理工程，属于生态环境基础设施建设项目，项目建成后对当地水土保持及沟道、河道水力水文条件有一定的促进和改善作用；</w:t>
            </w:r>
            <w:r>
              <w:rPr>
                <w:rFonts w:hint="default" w:ascii="Times New Roman" w:hAnsi="Times New Roman" w:eastAsia="宋体" w:cs="宋体"/>
                <w:color w:val="auto"/>
                <w:sz w:val="24"/>
                <w:highlight w:val="none"/>
                <w:lang w:val="en-US" w:eastAsia="zh-CN"/>
              </w:rPr>
              <w:t>同时项目的建设可改善项目所在区域生态环境及当地农业生产条件。</w:t>
            </w:r>
          </w:p>
          <w:p>
            <w:pPr>
              <w:keepNext w:val="0"/>
              <w:keepLines w:val="0"/>
              <w:pageBreakBefore w:val="0"/>
              <w:widowControl w:val="0"/>
              <w:suppressLineNumbers w:val="0"/>
              <w:kinsoku/>
              <w:wordWrap/>
              <w:topLinePunct w:val="0"/>
              <w:bidi w:val="0"/>
              <w:adjustRightInd w:val="0"/>
              <w:snapToGrid w:val="0"/>
              <w:spacing w:before="0" w:beforeAutospacing="0" w:after="0" w:afterAutospacing="0" w:line="540" w:lineRule="exact"/>
              <w:ind w:left="120" w:leftChars="50" w:right="120" w:rightChars="50" w:firstLine="480" w:firstLineChars="200"/>
              <w:textAlignment w:val="auto"/>
              <w:rPr>
                <w:rFonts w:hint="default"/>
                <w:color w:val="auto"/>
                <w:sz w:val="24"/>
                <w:highlight w:val="none"/>
              </w:rPr>
            </w:pPr>
            <w:r>
              <w:rPr>
                <w:rFonts w:hint="eastAsia"/>
                <w:color w:val="auto"/>
                <w:sz w:val="24"/>
                <w:highlight w:val="none"/>
              </w:rPr>
              <w:t>综上，本项目建设符合一般生态空间及生态保护红线管控要求。</w:t>
            </w:r>
          </w:p>
          <w:p>
            <w:pPr>
              <w:keepNext w:val="0"/>
              <w:keepLines w:val="0"/>
              <w:pageBreakBefore w:val="0"/>
              <w:widowControl w:val="0"/>
              <w:suppressLineNumbers w:val="0"/>
              <w:kinsoku/>
              <w:wordWrap/>
              <w:topLinePunct w:val="0"/>
              <w:bidi w:val="0"/>
              <w:adjustRightInd w:val="0"/>
              <w:snapToGrid w:val="0"/>
              <w:spacing w:before="0" w:beforeAutospacing="0" w:after="0" w:afterAutospacing="0" w:line="540" w:lineRule="exact"/>
              <w:ind w:left="120" w:leftChars="50" w:right="120" w:rightChars="50" w:firstLine="480" w:firstLineChars="200"/>
              <w:textAlignment w:val="auto"/>
              <w:rPr>
                <w:rFonts w:hint="default"/>
                <w:color w:val="auto"/>
                <w:sz w:val="24"/>
                <w:highlight w:val="none"/>
              </w:rPr>
            </w:pPr>
            <w:r>
              <w:rPr>
                <w:rFonts w:hint="default"/>
                <w:color w:val="auto"/>
                <w:sz w:val="24"/>
                <w:highlight w:val="none"/>
              </w:rPr>
              <w:t>⑵与</w:t>
            </w:r>
            <w:r>
              <w:rPr>
                <w:rFonts w:hint="eastAsia"/>
                <w:color w:val="auto"/>
                <w:sz w:val="24"/>
                <w:highlight w:val="none"/>
                <w:lang w:eastAsia="zh-CN"/>
              </w:rPr>
              <w:t>固原市</w:t>
            </w:r>
            <w:r>
              <w:rPr>
                <w:rFonts w:hint="default"/>
                <w:color w:val="auto"/>
                <w:sz w:val="24"/>
                <w:highlight w:val="none"/>
              </w:rPr>
              <w:t>生态环境质量底线及分区管控符合性分析</w:t>
            </w:r>
          </w:p>
          <w:p>
            <w:pPr>
              <w:keepNext w:val="0"/>
              <w:keepLines w:val="0"/>
              <w:pageBreakBefore w:val="0"/>
              <w:widowControl w:val="0"/>
              <w:suppressLineNumbers w:val="0"/>
              <w:kinsoku/>
              <w:wordWrap/>
              <w:topLinePunct w:val="0"/>
              <w:bidi w:val="0"/>
              <w:adjustRightInd w:val="0"/>
              <w:snapToGrid w:val="0"/>
              <w:spacing w:before="0" w:beforeAutospacing="0" w:after="0" w:afterAutospacing="0" w:line="540" w:lineRule="exact"/>
              <w:ind w:left="120" w:leftChars="50" w:right="120" w:rightChars="50" w:firstLine="480" w:firstLineChars="200"/>
              <w:textAlignment w:val="auto"/>
              <w:rPr>
                <w:rFonts w:hint="eastAsia"/>
                <w:color w:val="auto"/>
                <w:sz w:val="24"/>
                <w:highlight w:val="none"/>
                <w:lang w:eastAsia="zh-CN"/>
              </w:rPr>
            </w:pPr>
            <w:r>
              <w:rPr>
                <w:rFonts w:hint="default"/>
                <w:color w:val="auto"/>
                <w:sz w:val="24"/>
                <w:highlight w:val="none"/>
              </w:rPr>
              <w:t>①与</w:t>
            </w:r>
            <w:r>
              <w:rPr>
                <w:rFonts w:hint="eastAsia"/>
                <w:color w:val="auto"/>
                <w:sz w:val="24"/>
                <w:highlight w:val="none"/>
                <w:lang w:eastAsia="zh-CN"/>
              </w:rPr>
              <w:t>固原市</w:t>
            </w:r>
            <w:r>
              <w:rPr>
                <w:rFonts w:hint="default"/>
                <w:color w:val="auto"/>
                <w:sz w:val="24"/>
                <w:highlight w:val="none"/>
              </w:rPr>
              <w:t>大气环境质量底线及分区管控符合性分析</w:t>
            </w:r>
          </w:p>
          <w:p>
            <w:pPr>
              <w:keepNext w:val="0"/>
              <w:keepLines w:val="0"/>
              <w:pageBreakBefore w:val="0"/>
              <w:widowControl w:val="0"/>
              <w:suppressLineNumbers w:val="0"/>
              <w:kinsoku/>
              <w:wordWrap/>
              <w:topLinePunct w:val="0"/>
              <w:bidi w:val="0"/>
              <w:adjustRightInd w:val="0"/>
              <w:snapToGrid w:val="0"/>
              <w:spacing w:before="0" w:beforeAutospacing="0" w:after="0" w:afterAutospacing="0" w:line="540" w:lineRule="exact"/>
              <w:ind w:left="120" w:leftChars="50" w:right="120" w:rightChars="50" w:firstLine="480" w:firstLineChars="200"/>
              <w:textAlignment w:val="auto"/>
              <w:rPr>
                <w:rFonts w:hint="default"/>
                <w:color w:val="auto"/>
                <w:sz w:val="24"/>
                <w:highlight w:val="none"/>
              </w:rPr>
            </w:pPr>
            <w:r>
              <w:rPr>
                <w:rFonts w:hint="default"/>
                <w:color w:val="auto"/>
                <w:sz w:val="24"/>
                <w:highlight w:val="none"/>
              </w:rPr>
              <w:t>大气环境质量底线</w:t>
            </w:r>
            <w:r>
              <w:rPr>
                <w:rFonts w:hint="eastAsia"/>
                <w:color w:val="auto"/>
                <w:sz w:val="24"/>
                <w:highlight w:val="none"/>
                <w:lang w:eastAsia="zh-CN"/>
              </w:rPr>
              <w:t>及达标情况</w:t>
            </w:r>
            <w:r>
              <w:rPr>
                <w:rFonts w:hint="default"/>
                <w:color w:val="auto"/>
                <w:sz w:val="24"/>
                <w:highlight w:val="none"/>
              </w:rPr>
              <w:t>：</w:t>
            </w:r>
          </w:p>
          <w:p>
            <w:pPr>
              <w:keepNext w:val="0"/>
              <w:keepLines w:val="0"/>
              <w:pageBreakBefore w:val="0"/>
              <w:widowControl w:val="0"/>
              <w:suppressLineNumbers w:val="0"/>
              <w:kinsoku/>
              <w:wordWrap/>
              <w:topLinePunct w:val="0"/>
              <w:bidi w:val="0"/>
              <w:adjustRightInd w:val="0"/>
              <w:snapToGrid w:val="0"/>
              <w:spacing w:before="0" w:beforeAutospacing="0" w:after="0" w:afterAutospacing="0" w:line="540" w:lineRule="exact"/>
              <w:ind w:left="120" w:leftChars="50" w:right="120" w:rightChars="50" w:firstLine="480" w:firstLineChars="200"/>
              <w:textAlignment w:val="auto"/>
              <w:rPr>
                <w:rFonts w:hint="eastAsia" w:ascii="Times New Roman" w:hAnsi="Times New Roman" w:eastAsia="宋体" w:cs="宋体"/>
                <w:color w:val="auto"/>
                <w:sz w:val="24"/>
                <w:highlight w:val="none"/>
                <w:lang w:eastAsia="zh-CN"/>
              </w:rPr>
            </w:pPr>
            <w:r>
              <w:rPr>
                <w:rFonts w:hint="default"/>
                <w:color w:val="auto"/>
                <w:sz w:val="24"/>
                <w:highlight w:val="none"/>
              </w:rPr>
              <w:t>根据</w:t>
            </w:r>
            <w:r>
              <w:rPr>
                <w:rFonts w:hint="eastAsia"/>
                <w:color w:val="auto"/>
                <w:sz w:val="24"/>
                <w:highlight w:val="none"/>
              </w:rPr>
              <w:t>《2023年宁夏生态环境质量状况》</w:t>
            </w:r>
            <w:r>
              <w:rPr>
                <w:rFonts w:hint="default"/>
                <w:color w:val="auto"/>
                <w:sz w:val="24"/>
                <w:highlight w:val="none"/>
              </w:rPr>
              <w:t>公开的区域环境空气质量数据可以看出，PM</w:t>
            </w:r>
            <w:r>
              <w:rPr>
                <w:rFonts w:hint="default"/>
                <w:color w:val="auto"/>
                <w:sz w:val="24"/>
                <w:highlight w:val="none"/>
                <w:vertAlign w:val="subscript"/>
              </w:rPr>
              <w:t>10</w:t>
            </w:r>
            <w:r>
              <w:rPr>
                <w:rFonts w:hint="default"/>
                <w:color w:val="auto"/>
                <w:sz w:val="24"/>
                <w:highlight w:val="none"/>
              </w:rPr>
              <w:t>、PM</w:t>
            </w:r>
            <w:r>
              <w:rPr>
                <w:rFonts w:hint="default"/>
                <w:color w:val="auto"/>
                <w:sz w:val="24"/>
                <w:highlight w:val="none"/>
                <w:vertAlign w:val="subscript"/>
              </w:rPr>
              <w:t>2.5</w:t>
            </w:r>
            <w:r>
              <w:rPr>
                <w:rFonts w:hint="default"/>
                <w:color w:val="auto"/>
                <w:sz w:val="24"/>
                <w:highlight w:val="none"/>
              </w:rPr>
              <w:t>、SO</w:t>
            </w:r>
            <w:r>
              <w:rPr>
                <w:rFonts w:hint="default"/>
                <w:color w:val="auto"/>
                <w:sz w:val="24"/>
                <w:highlight w:val="none"/>
                <w:vertAlign w:val="subscript"/>
              </w:rPr>
              <w:t>2</w:t>
            </w:r>
            <w:r>
              <w:rPr>
                <w:rFonts w:hint="default"/>
                <w:color w:val="auto"/>
                <w:sz w:val="24"/>
                <w:highlight w:val="none"/>
              </w:rPr>
              <w:t>、NO</w:t>
            </w:r>
            <w:r>
              <w:rPr>
                <w:rFonts w:hint="default"/>
                <w:color w:val="auto"/>
                <w:sz w:val="24"/>
                <w:highlight w:val="none"/>
                <w:vertAlign w:val="subscript"/>
              </w:rPr>
              <w:t>2</w:t>
            </w:r>
            <w:r>
              <w:rPr>
                <w:rFonts w:hint="default"/>
                <w:color w:val="auto"/>
                <w:sz w:val="24"/>
                <w:highlight w:val="none"/>
              </w:rPr>
              <w:t>、年均值、O</w:t>
            </w:r>
            <w:r>
              <w:rPr>
                <w:rFonts w:hint="default"/>
                <w:color w:val="auto"/>
                <w:sz w:val="24"/>
                <w:highlight w:val="none"/>
                <w:vertAlign w:val="subscript"/>
              </w:rPr>
              <w:t>3</w:t>
            </w:r>
            <w:r>
              <w:rPr>
                <w:rFonts w:hint="default"/>
                <w:color w:val="auto"/>
                <w:sz w:val="24"/>
                <w:highlight w:val="none"/>
              </w:rPr>
              <w:t>日最大8h滑动平均值的第90百分位数、CO</w:t>
            </w:r>
            <w:r>
              <w:rPr>
                <w:rFonts w:hint="eastAsia"/>
                <w:color w:val="auto"/>
                <w:sz w:val="24"/>
                <w:highlight w:val="none"/>
                <w:lang w:val="en-US" w:eastAsia="zh-CN"/>
              </w:rPr>
              <w:t xml:space="preserve"> </w:t>
            </w:r>
            <w:r>
              <w:rPr>
                <w:rFonts w:hint="default"/>
                <w:color w:val="auto"/>
                <w:sz w:val="24"/>
                <w:highlight w:val="none"/>
              </w:rPr>
              <w:t>24h平均第95百分位数均满足《环境空气质量标准》（GB3095-2012及2018年修改单）中二级标准要求</w:t>
            </w:r>
            <w:r>
              <w:rPr>
                <w:rFonts w:hint="eastAsia"/>
                <w:color w:val="auto"/>
                <w:sz w:val="24"/>
                <w:highlight w:val="none"/>
              </w:rPr>
              <w:t>。</w:t>
            </w:r>
          </w:p>
          <w:p>
            <w:pPr>
              <w:keepNext w:val="0"/>
              <w:keepLines w:val="0"/>
              <w:pageBreakBefore w:val="0"/>
              <w:widowControl w:val="0"/>
              <w:suppressLineNumbers w:val="0"/>
              <w:kinsoku/>
              <w:wordWrap/>
              <w:topLinePunct w:val="0"/>
              <w:bidi w:val="0"/>
              <w:adjustRightInd w:val="0"/>
              <w:snapToGrid w:val="0"/>
              <w:spacing w:before="0" w:beforeAutospacing="0" w:after="0" w:afterAutospacing="0" w:line="540" w:lineRule="exact"/>
              <w:ind w:left="120" w:leftChars="50" w:right="120" w:rightChars="50" w:firstLine="480" w:firstLineChars="200"/>
              <w:textAlignment w:val="auto"/>
              <w:rPr>
                <w:rFonts w:hint="eastAsia" w:ascii="Times New Roman" w:hAnsi="Times New Roman" w:eastAsia="宋体" w:cs="宋体"/>
                <w:color w:val="auto"/>
                <w:sz w:val="24"/>
                <w:highlight w:val="none"/>
                <w:lang w:eastAsia="zh-CN"/>
              </w:rPr>
            </w:pPr>
            <w:r>
              <w:rPr>
                <w:rFonts w:hint="eastAsia" w:ascii="Times New Roman" w:hAnsi="Times New Roman" w:eastAsia="宋体" w:cs="宋体"/>
                <w:color w:val="auto"/>
                <w:sz w:val="24"/>
                <w:highlight w:val="none"/>
                <w:lang w:eastAsia="zh-CN"/>
              </w:rPr>
              <w:t>大气环境分区管控合理性分析：</w:t>
            </w:r>
          </w:p>
          <w:p>
            <w:pPr>
              <w:keepNext w:val="0"/>
              <w:keepLines w:val="0"/>
              <w:pageBreakBefore w:val="0"/>
              <w:widowControl w:val="0"/>
              <w:suppressLineNumbers w:val="0"/>
              <w:kinsoku/>
              <w:wordWrap/>
              <w:topLinePunct w:val="0"/>
              <w:bidi w:val="0"/>
              <w:adjustRightInd w:val="0"/>
              <w:snapToGrid w:val="0"/>
              <w:spacing w:before="0" w:beforeAutospacing="0" w:after="0" w:afterAutospacing="0" w:line="540" w:lineRule="exact"/>
              <w:ind w:left="120" w:leftChars="50" w:right="120" w:rightChars="50" w:firstLine="480" w:firstLineChars="200"/>
              <w:textAlignment w:val="auto"/>
              <w:rPr>
                <w:rFonts w:hint="eastAsia" w:ascii="Times New Roman" w:hAnsi="Times New Roman" w:eastAsia="宋体" w:cs="宋体"/>
                <w:color w:val="auto"/>
                <w:sz w:val="24"/>
                <w:highlight w:val="none"/>
                <w:lang w:eastAsia="zh-CN"/>
              </w:rPr>
            </w:pPr>
            <w:r>
              <w:rPr>
                <w:rFonts w:hint="eastAsia" w:ascii="Times New Roman" w:hAnsi="Times New Roman" w:eastAsia="宋体" w:cs="宋体"/>
                <w:color w:val="auto"/>
                <w:sz w:val="24"/>
                <w:highlight w:val="none"/>
                <w:lang w:eastAsia="zh-CN"/>
              </w:rPr>
              <w:t>固原市全市划分为大气环境优先保护区、大气环境重点管控区和大气环境一般管控区，实施分类管理。</w:t>
            </w:r>
          </w:p>
          <w:p>
            <w:pPr>
              <w:keepNext w:val="0"/>
              <w:keepLines w:val="0"/>
              <w:pageBreakBefore w:val="0"/>
              <w:widowControl w:val="0"/>
              <w:suppressLineNumbers w:val="0"/>
              <w:kinsoku/>
              <w:wordWrap/>
              <w:topLinePunct w:val="0"/>
              <w:bidi w:val="0"/>
              <w:adjustRightInd w:val="0"/>
              <w:snapToGrid w:val="0"/>
              <w:spacing w:before="0" w:beforeAutospacing="0" w:after="0" w:afterAutospacing="0" w:line="540" w:lineRule="exact"/>
              <w:ind w:left="120" w:leftChars="50" w:right="120" w:rightChars="50" w:firstLine="480" w:firstLineChars="200"/>
              <w:textAlignment w:val="auto"/>
              <w:rPr>
                <w:rFonts w:hint="eastAsia" w:ascii="Times New Roman" w:hAnsi="Times New Roman" w:eastAsia="宋体" w:cs="宋体"/>
                <w:color w:val="auto"/>
                <w:sz w:val="24"/>
                <w:highlight w:val="none"/>
                <w:lang w:val="en-US" w:eastAsia="zh-CN"/>
              </w:rPr>
            </w:pPr>
            <w:r>
              <w:rPr>
                <w:rFonts w:hint="eastAsia" w:ascii="Times New Roman" w:hAnsi="Times New Roman" w:eastAsia="宋体" w:cs="宋体"/>
                <w:color w:val="auto"/>
                <w:sz w:val="24"/>
                <w:highlight w:val="none"/>
                <w:lang w:val="en-US" w:eastAsia="zh-CN"/>
              </w:rPr>
              <w:t>大气环境优先保护区：固原市全市范围内的自然保护区、风景名胜区、森林公园等环境空气质量功能一类区识别为大气环境优先保护区，总面积909.41平方公里，占全市面积的8.64%。</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40" w:lineRule="exact"/>
              <w:ind w:left="0" w:right="0" w:firstLine="645"/>
              <w:textAlignment w:val="auto"/>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大气环境重点管控区：将工业园区等大气污染物高排放区域，上风向、扩散通道、环流通道等对环境空气质量影响较显著的布局敏感区域，静风或风速较小的弱扩散区域，人群密集的受体敏感区域，识别为大气环境重点管控区，总面积2819.34平方公里，占全市面积的26.78%。</w:t>
            </w:r>
          </w:p>
          <w:p>
            <w:pPr>
              <w:keepNext w:val="0"/>
              <w:keepLines w:val="0"/>
              <w:pageBreakBefore w:val="0"/>
              <w:widowControl w:val="0"/>
              <w:suppressLineNumbers w:val="0"/>
              <w:kinsoku/>
              <w:wordWrap/>
              <w:topLinePunct w:val="0"/>
              <w:bidi w:val="0"/>
              <w:adjustRightInd w:val="0"/>
              <w:snapToGrid w:val="0"/>
              <w:spacing w:before="0" w:beforeAutospacing="0" w:after="0" w:afterAutospacing="0" w:line="540" w:lineRule="exact"/>
              <w:ind w:left="120" w:leftChars="50" w:right="120" w:rightChars="50" w:firstLine="480" w:firstLineChars="200"/>
              <w:textAlignment w:val="auto"/>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大气环境一般管控区：将大气环境优先保护区、重点管控区外的其他区域划分为大气环境一般管控区，总面积6797.39平方公里，占全市面积的64.58%。</w:t>
            </w:r>
          </w:p>
          <w:p>
            <w:pPr>
              <w:keepNext w:val="0"/>
              <w:keepLines w:val="0"/>
              <w:pageBreakBefore w:val="0"/>
              <w:widowControl w:val="0"/>
              <w:suppressLineNumbers w:val="0"/>
              <w:kinsoku/>
              <w:wordWrap/>
              <w:topLinePunct w:val="0"/>
              <w:bidi w:val="0"/>
              <w:adjustRightInd w:val="0"/>
              <w:snapToGrid w:val="0"/>
              <w:spacing w:before="0" w:beforeAutospacing="0" w:after="0" w:afterAutospacing="0" w:line="540" w:lineRule="exact"/>
              <w:ind w:left="120" w:leftChars="50" w:right="120" w:rightChars="50" w:firstLine="480" w:firstLineChars="200"/>
              <w:textAlignment w:val="auto"/>
              <w:rPr>
                <w:rFonts w:hint="eastAsia"/>
                <w:color w:val="auto"/>
                <w:sz w:val="24"/>
                <w:highlight w:val="none"/>
                <w:lang w:eastAsia="zh-CN"/>
              </w:rPr>
            </w:pPr>
            <w:r>
              <w:rPr>
                <w:rFonts w:hint="default"/>
                <w:color w:val="auto"/>
                <w:sz w:val="24"/>
                <w:highlight w:val="none"/>
              </w:rPr>
              <w:t>本项目</w:t>
            </w:r>
            <w:r>
              <w:rPr>
                <w:rFonts w:hint="default" w:ascii="Times New Roman" w:hAnsi="Times New Roman" w:eastAsia="宋体" w:cs="Times New Roman"/>
                <w:color w:val="auto"/>
                <w:kern w:val="0"/>
                <w:sz w:val="24"/>
                <w:highlight w:val="none"/>
                <w:lang w:val="en-US" w:eastAsia="zh-CN"/>
              </w:rPr>
              <w:t>北象山新建排洪渠及拦洪渠浆砌石挡土墙</w:t>
            </w:r>
            <w:r>
              <w:rPr>
                <w:rFonts w:hint="eastAsia" w:ascii="Times New Roman" w:hAnsi="Times New Roman" w:eastAsia="宋体" w:cs="Times New Roman"/>
                <w:color w:val="auto"/>
                <w:kern w:val="0"/>
                <w:sz w:val="24"/>
                <w:highlight w:val="none"/>
                <w:lang w:val="en-US" w:eastAsia="zh-CN"/>
              </w:rPr>
              <w:t>位于大气环境优先保护区，</w:t>
            </w:r>
            <w:r>
              <w:rPr>
                <w:rFonts w:hint="default" w:ascii="Times New Roman" w:hAnsi="Times New Roman" w:eastAsia="宋体" w:cs="Times New Roman"/>
                <w:color w:val="auto"/>
                <w:kern w:val="0"/>
                <w:sz w:val="24"/>
                <w:highlight w:val="none"/>
                <w:lang w:val="en-US" w:eastAsia="zh-CN"/>
              </w:rPr>
              <w:t>县城东侧建筑垃圾填埋场排洪渠</w:t>
            </w: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县生活垃圾填埋场排洪渠</w:t>
            </w: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行政中心北侧现状排洪渠清淤疏浚</w:t>
            </w:r>
            <w:r>
              <w:rPr>
                <w:rFonts w:hint="eastAsia" w:ascii="Times New Roman" w:hAnsi="Times New Roman" w:eastAsia="宋体" w:cs="Times New Roman"/>
                <w:color w:val="auto"/>
                <w:kern w:val="0"/>
                <w:sz w:val="24"/>
                <w:highlight w:val="none"/>
                <w:lang w:val="en-US" w:eastAsia="zh-CN"/>
              </w:rPr>
              <w:t>工程、</w:t>
            </w:r>
            <w:r>
              <w:rPr>
                <w:rFonts w:hint="default" w:ascii="Times New Roman" w:hAnsi="Times New Roman" w:eastAsia="宋体" w:cs="Times New Roman"/>
                <w:color w:val="auto"/>
                <w:kern w:val="0"/>
                <w:sz w:val="24"/>
                <w:highlight w:val="none"/>
                <w:lang w:val="en-US" w:eastAsia="zh-CN"/>
              </w:rPr>
              <w:t>南河社区两侧沟道砌护</w:t>
            </w: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排洪管</w:t>
            </w:r>
            <w:r>
              <w:rPr>
                <w:rFonts w:hint="eastAsia" w:ascii="Times New Roman" w:hAnsi="Times New Roman" w:eastAsia="宋体" w:cs="Times New Roman"/>
                <w:color w:val="auto"/>
                <w:kern w:val="0"/>
                <w:sz w:val="24"/>
                <w:highlight w:val="none"/>
                <w:lang w:val="en-US" w:eastAsia="zh-CN"/>
              </w:rPr>
              <w:t>位于大气环境</w:t>
            </w:r>
            <w:r>
              <w:rPr>
                <w:rFonts w:hint="eastAsia"/>
                <w:color w:val="auto"/>
                <w:sz w:val="24"/>
                <w:highlight w:val="none"/>
                <w:lang w:eastAsia="zh-CN"/>
              </w:rPr>
              <w:t>受体敏感</w:t>
            </w:r>
            <w:r>
              <w:rPr>
                <w:rFonts w:hint="default"/>
                <w:color w:val="auto"/>
                <w:sz w:val="24"/>
                <w:highlight w:val="none"/>
              </w:rPr>
              <w:t>重点管控区</w:t>
            </w:r>
            <w:r>
              <w:rPr>
                <w:rFonts w:hint="eastAsia"/>
                <w:color w:val="auto"/>
                <w:sz w:val="24"/>
                <w:highlight w:val="none"/>
                <w:lang w:eastAsia="zh-CN"/>
              </w:rPr>
              <w:t>。</w:t>
            </w:r>
          </w:p>
          <w:p>
            <w:pPr>
              <w:keepNext w:val="0"/>
              <w:keepLines w:val="0"/>
              <w:pageBreakBefore w:val="0"/>
              <w:widowControl w:val="0"/>
              <w:suppressLineNumbers w:val="0"/>
              <w:kinsoku/>
              <w:wordWrap/>
              <w:topLinePunct w:val="0"/>
              <w:bidi w:val="0"/>
              <w:adjustRightInd w:val="0"/>
              <w:snapToGrid w:val="0"/>
              <w:spacing w:before="0" w:beforeAutospacing="0" w:after="0" w:afterAutospacing="0" w:line="540" w:lineRule="exact"/>
              <w:ind w:left="120" w:leftChars="50" w:right="120" w:rightChars="50" w:firstLine="480" w:firstLineChars="200"/>
              <w:textAlignment w:val="auto"/>
              <w:rPr>
                <w:rFonts w:hint="eastAsia"/>
                <w:color w:val="auto"/>
                <w:sz w:val="24"/>
                <w:highlight w:val="none"/>
                <w:lang w:eastAsia="zh-CN"/>
              </w:rPr>
            </w:pPr>
            <w:r>
              <w:rPr>
                <w:rFonts w:hint="eastAsia"/>
                <w:color w:val="auto"/>
                <w:sz w:val="24"/>
                <w:highlight w:val="none"/>
                <w:lang w:eastAsia="zh-CN"/>
              </w:rPr>
              <w:t>大气环境优先保护区管控要求：严格落实相关法律法规对自然保护区、风景名胜区的保护要求，原则上禁止新建、扩建涉及大气污染物排放的各类工业项目及生活垃圾焚烧发电项目，现有项目依法拆除或关停。</w:t>
            </w:r>
          </w:p>
          <w:p>
            <w:pPr>
              <w:keepNext w:val="0"/>
              <w:keepLines w:val="0"/>
              <w:pageBreakBefore w:val="0"/>
              <w:widowControl w:val="0"/>
              <w:suppressLineNumbers w:val="0"/>
              <w:kinsoku/>
              <w:wordWrap/>
              <w:topLinePunct w:val="0"/>
              <w:bidi w:val="0"/>
              <w:adjustRightInd w:val="0"/>
              <w:snapToGrid w:val="0"/>
              <w:spacing w:before="0" w:beforeAutospacing="0" w:after="0" w:afterAutospacing="0" w:line="540" w:lineRule="exact"/>
              <w:ind w:left="120" w:leftChars="50" w:right="120" w:rightChars="50" w:firstLine="480" w:firstLineChars="200"/>
              <w:textAlignment w:val="auto"/>
              <w:rPr>
                <w:rFonts w:hint="default"/>
                <w:color w:val="auto"/>
                <w:sz w:val="24"/>
                <w:highlight w:val="none"/>
              </w:rPr>
            </w:pPr>
            <w:r>
              <w:rPr>
                <w:rFonts w:hint="eastAsia"/>
                <w:color w:val="auto"/>
                <w:sz w:val="24"/>
                <w:highlight w:val="none"/>
                <w:lang w:eastAsia="zh-CN"/>
              </w:rPr>
              <w:t>大气环境受体敏感</w:t>
            </w:r>
            <w:r>
              <w:rPr>
                <w:rFonts w:hint="default"/>
                <w:color w:val="auto"/>
                <w:sz w:val="24"/>
                <w:highlight w:val="none"/>
              </w:rPr>
              <w:t>重点管控区</w:t>
            </w:r>
            <w:r>
              <w:rPr>
                <w:rFonts w:hint="eastAsia"/>
                <w:color w:val="auto"/>
                <w:sz w:val="24"/>
                <w:highlight w:val="none"/>
                <w:lang w:eastAsia="zh-CN"/>
              </w:rPr>
              <w:t>管控</w:t>
            </w:r>
            <w:r>
              <w:rPr>
                <w:rFonts w:hint="default"/>
                <w:color w:val="auto"/>
                <w:sz w:val="24"/>
                <w:highlight w:val="none"/>
              </w:rPr>
              <w:t>要求为：</w:t>
            </w:r>
            <w:r>
              <w:rPr>
                <w:rFonts w:hint="eastAsia"/>
                <w:color w:val="auto"/>
                <w:sz w:val="24"/>
                <w:highlight w:val="none"/>
              </w:rPr>
              <w:t>禁止在高排放非道路移动机械禁止使用区域内使用污染物排放达不到GB36886中规定的Ⅲ类限值标准或排放黑烟等明显可视污染物的非道路移动柴油工程机械。严格落实建筑、拆迁工地“6个100%”防控措施，最大限度减少城市建成区裸露地面，提高城市建成区道路机械化清扫率。严格限制产生和排放有毒有害大气污染物项目，鼓励现有该类项目逐步搬迁退出。禁止焚烧产生有毒有害烟尘和恶臭气体的物质。</w:t>
            </w:r>
          </w:p>
          <w:p>
            <w:pPr>
              <w:keepNext w:val="0"/>
              <w:keepLines w:val="0"/>
              <w:pageBreakBefore w:val="0"/>
              <w:widowControl w:val="0"/>
              <w:suppressLineNumbers w:val="0"/>
              <w:kinsoku/>
              <w:wordWrap/>
              <w:topLinePunct w:val="0"/>
              <w:bidi w:val="0"/>
              <w:adjustRightInd w:val="0"/>
              <w:snapToGrid w:val="0"/>
              <w:spacing w:before="0" w:beforeAutospacing="0" w:after="0" w:afterAutospacing="0" w:line="540" w:lineRule="exact"/>
              <w:ind w:left="120" w:leftChars="50" w:right="120" w:rightChars="50" w:firstLine="480" w:firstLineChars="200"/>
              <w:textAlignment w:val="auto"/>
              <w:rPr>
                <w:rFonts w:hint="default"/>
                <w:color w:val="auto"/>
                <w:sz w:val="24"/>
                <w:highlight w:val="none"/>
              </w:rPr>
            </w:pPr>
            <w:r>
              <w:rPr>
                <w:rFonts w:hint="eastAsia"/>
                <w:color w:val="auto"/>
                <w:sz w:val="24"/>
                <w:highlight w:val="none"/>
                <w:lang w:eastAsia="zh-CN"/>
              </w:rPr>
              <w:t>结合大气环境优先保护区管控要求及大气环境受体敏感重点管控区要求，本项目</w:t>
            </w:r>
            <w:r>
              <w:rPr>
                <w:rFonts w:hint="eastAsia"/>
                <w:color w:val="auto"/>
                <w:sz w:val="24"/>
                <w:highlight w:val="none"/>
              </w:rPr>
              <w:t>防洪排涝能力提升项目</w:t>
            </w:r>
            <w:r>
              <w:rPr>
                <w:rFonts w:hint="eastAsia"/>
                <w:color w:val="auto"/>
                <w:sz w:val="24"/>
                <w:highlight w:val="none"/>
                <w:lang w:eastAsia="zh-CN"/>
              </w:rPr>
              <w:t>，不属于新建、扩建涉及大气污染物排放的各类工业项目及生活垃圾焚烧发电项目。同时，本项目无</w:t>
            </w:r>
            <w:r>
              <w:rPr>
                <w:rFonts w:hint="eastAsia"/>
                <w:color w:val="auto"/>
                <w:sz w:val="24"/>
                <w:highlight w:val="none"/>
              </w:rPr>
              <w:t>有毒有害烟尘和恶臭气体的物质</w:t>
            </w:r>
            <w:r>
              <w:rPr>
                <w:rFonts w:hint="eastAsia"/>
                <w:color w:val="auto"/>
                <w:sz w:val="24"/>
                <w:highlight w:val="none"/>
                <w:lang w:eastAsia="zh-CN"/>
              </w:rPr>
              <w:t>排放、无</w:t>
            </w:r>
            <w:r>
              <w:rPr>
                <w:rFonts w:hint="eastAsia"/>
                <w:color w:val="auto"/>
                <w:sz w:val="24"/>
                <w:highlight w:val="none"/>
              </w:rPr>
              <w:t>黑烟等明显可视污染物的非道路移动柴油工程机械</w:t>
            </w:r>
            <w:r>
              <w:rPr>
                <w:rFonts w:hint="eastAsia"/>
                <w:color w:val="auto"/>
                <w:sz w:val="24"/>
                <w:highlight w:val="none"/>
                <w:lang w:eastAsia="zh-CN"/>
              </w:rPr>
              <w:t>，运营期无大气污染物排放，仅在施工期有少量施工扬尘扩散，</w:t>
            </w:r>
            <w:r>
              <w:rPr>
                <w:rFonts w:hint="default"/>
                <w:color w:val="auto"/>
                <w:sz w:val="24"/>
                <w:highlight w:val="none"/>
              </w:rPr>
              <w:t>可满足</w:t>
            </w:r>
            <w:r>
              <w:rPr>
                <w:rFonts w:hint="eastAsia"/>
                <w:color w:val="auto"/>
                <w:sz w:val="24"/>
                <w:highlight w:val="none"/>
                <w:lang w:eastAsia="zh-CN"/>
              </w:rPr>
              <w:t>大气环境优先保护区管控要求及大气环境受体敏感重点管控区</w:t>
            </w:r>
            <w:r>
              <w:rPr>
                <w:rFonts w:hint="default"/>
                <w:color w:val="auto"/>
                <w:sz w:val="24"/>
                <w:highlight w:val="none"/>
              </w:rPr>
              <w:t>管控要求。</w:t>
            </w:r>
            <w:r>
              <w:rPr>
                <w:rFonts w:hint="eastAsia"/>
                <w:color w:val="auto"/>
                <w:sz w:val="24"/>
                <w:highlight w:val="none"/>
              </w:rPr>
              <w:t>本项目与</w:t>
            </w:r>
            <w:r>
              <w:rPr>
                <w:rFonts w:hint="eastAsia"/>
                <w:color w:val="auto"/>
                <w:sz w:val="24"/>
                <w:highlight w:val="none"/>
                <w:lang w:eastAsia="zh-CN"/>
              </w:rPr>
              <w:t>固原市</w:t>
            </w:r>
            <w:r>
              <w:rPr>
                <w:rFonts w:hint="eastAsia"/>
                <w:color w:val="auto"/>
                <w:sz w:val="24"/>
                <w:highlight w:val="none"/>
              </w:rPr>
              <w:t>大气环境分区管控位置关系图见</w:t>
            </w:r>
            <w:r>
              <w:rPr>
                <w:rFonts w:hint="eastAsia"/>
                <w:color w:val="auto"/>
                <w:sz w:val="24"/>
                <w:highlight w:val="none"/>
                <w:lang w:eastAsia="zh-CN"/>
              </w:rPr>
              <w:t>附图</w:t>
            </w:r>
            <w:r>
              <w:rPr>
                <w:rFonts w:hint="eastAsia"/>
                <w:color w:val="auto"/>
                <w:sz w:val="24"/>
                <w:highlight w:val="none"/>
                <w:lang w:val="en-US" w:eastAsia="zh-CN"/>
              </w:rPr>
              <w:t>3</w:t>
            </w:r>
            <w:r>
              <w:rPr>
                <w:rFonts w:hint="default"/>
                <w:color w:val="auto"/>
                <w:sz w:val="24"/>
                <w:highlight w:val="none"/>
              </w:rPr>
              <w:t>。</w:t>
            </w:r>
          </w:p>
          <w:p>
            <w:pPr>
              <w:keepNext w:val="0"/>
              <w:keepLines w:val="0"/>
              <w:pageBreakBefore w:val="0"/>
              <w:widowControl w:val="0"/>
              <w:suppressLineNumbers w:val="0"/>
              <w:kinsoku/>
              <w:wordWrap/>
              <w:topLinePunct w:val="0"/>
              <w:bidi w:val="0"/>
              <w:adjustRightInd w:val="0"/>
              <w:snapToGrid w:val="0"/>
              <w:spacing w:before="0" w:beforeAutospacing="0" w:after="0" w:afterAutospacing="0" w:line="540" w:lineRule="exact"/>
              <w:ind w:left="120" w:leftChars="50" w:right="120" w:rightChars="50" w:firstLine="480" w:firstLineChars="200"/>
              <w:textAlignment w:val="auto"/>
              <w:rPr>
                <w:rFonts w:hint="default"/>
                <w:color w:val="auto"/>
                <w:sz w:val="24"/>
                <w:highlight w:val="none"/>
              </w:rPr>
            </w:pPr>
            <w:r>
              <w:rPr>
                <w:rFonts w:hint="default"/>
                <w:color w:val="auto"/>
                <w:sz w:val="24"/>
                <w:highlight w:val="none"/>
              </w:rPr>
              <w:t>②与</w:t>
            </w:r>
            <w:r>
              <w:rPr>
                <w:rFonts w:hint="eastAsia"/>
                <w:color w:val="auto"/>
                <w:sz w:val="24"/>
                <w:highlight w:val="none"/>
                <w:lang w:eastAsia="zh-CN"/>
              </w:rPr>
              <w:t>固原市</w:t>
            </w:r>
            <w:r>
              <w:rPr>
                <w:rFonts w:hint="default"/>
                <w:color w:val="auto"/>
                <w:sz w:val="24"/>
                <w:highlight w:val="none"/>
              </w:rPr>
              <w:t>水环境质量底线及分区管控符合性分析</w:t>
            </w:r>
          </w:p>
          <w:p>
            <w:pPr>
              <w:keepNext w:val="0"/>
              <w:keepLines w:val="0"/>
              <w:pageBreakBefore w:val="0"/>
              <w:widowControl w:val="0"/>
              <w:suppressLineNumbers w:val="0"/>
              <w:kinsoku/>
              <w:wordWrap/>
              <w:topLinePunct w:val="0"/>
              <w:bidi w:val="0"/>
              <w:adjustRightInd w:val="0"/>
              <w:snapToGrid w:val="0"/>
              <w:spacing w:before="0" w:beforeAutospacing="0" w:after="0" w:afterAutospacing="0" w:line="540" w:lineRule="exact"/>
              <w:ind w:left="120" w:leftChars="50" w:right="120" w:rightChars="50" w:firstLine="480" w:firstLineChars="200"/>
              <w:textAlignment w:val="auto"/>
              <w:rPr>
                <w:rFonts w:hint="default"/>
                <w:color w:val="auto"/>
                <w:sz w:val="24"/>
                <w:highlight w:val="none"/>
              </w:rPr>
            </w:pPr>
            <w:r>
              <w:rPr>
                <w:rFonts w:hint="default"/>
                <w:color w:val="auto"/>
                <w:sz w:val="24"/>
                <w:highlight w:val="none"/>
              </w:rPr>
              <w:t>水环境质量底线及达标情况：</w:t>
            </w:r>
          </w:p>
          <w:p>
            <w:pPr>
              <w:keepNext w:val="0"/>
              <w:keepLines w:val="0"/>
              <w:pageBreakBefore w:val="0"/>
              <w:widowControl w:val="0"/>
              <w:suppressLineNumbers w:val="0"/>
              <w:kinsoku/>
              <w:wordWrap/>
              <w:topLinePunct w:val="0"/>
              <w:bidi w:val="0"/>
              <w:adjustRightInd w:val="0"/>
              <w:snapToGrid w:val="0"/>
              <w:spacing w:before="0" w:beforeAutospacing="0" w:after="0" w:afterAutospacing="0" w:line="540" w:lineRule="exact"/>
              <w:ind w:left="120" w:leftChars="50" w:right="120" w:rightChars="50" w:firstLine="480" w:firstLineChars="200"/>
              <w:textAlignment w:val="auto"/>
              <w:rPr>
                <w:rFonts w:hint="eastAsia"/>
                <w:color w:val="auto"/>
                <w:sz w:val="24"/>
                <w:highlight w:val="none"/>
              </w:rPr>
            </w:pPr>
            <w:r>
              <w:rPr>
                <w:rFonts w:hint="eastAsia"/>
                <w:color w:val="auto"/>
                <w:sz w:val="24"/>
                <w:highlight w:val="none"/>
              </w:rPr>
              <w:t>地表水国控断面水质优良（Ⅰ-Ⅲ类）比例为87.5%；区控断面水质优良（Ⅰ-Ⅲ类）比例为100%。城市集中式饮用水源地水质达标比例为100%。县级集中式饮用水源地水质达标比例为100%。</w:t>
            </w:r>
          </w:p>
          <w:p>
            <w:pPr>
              <w:keepNext w:val="0"/>
              <w:keepLines w:val="0"/>
              <w:pageBreakBefore w:val="0"/>
              <w:widowControl w:val="0"/>
              <w:suppressLineNumbers w:val="0"/>
              <w:kinsoku/>
              <w:wordWrap/>
              <w:topLinePunct w:val="0"/>
              <w:bidi w:val="0"/>
              <w:adjustRightInd w:val="0"/>
              <w:snapToGrid w:val="0"/>
              <w:spacing w:before="0" w:beforeAutospacing="0" w:after="0" w:afterAutospacing="0" w:line="540" w:lineRule="exact"/>
              <w:ind w:left="120" w:leftChars="50" w:right="120" w:rightChars="50" w:firstLine="480" w:firstLineChars="200"/>
              <w:textAlignment w:val="auto"/>
              <w:rPr>
                <w:rFonts w:hint="eastAsia" w:ascii="Times New Roman" w:hAnsi="Times New Roman" w:eastAsia="宋体" w:cs="宋体"/>
                <w:color w:val="auto"/>
                <w:sz w:val="24"/>
                <w:highlight w:val="none"/>
                <w:lang w:eastAsia="zh-CN"/>
              </w:rPr>
            </w:pPr>
            <w:r>
              <w:rPr>
                <w:rFonts w:hint="default"/>
                <w:color w:val="auto"/>
                <w:sz w:val="24"/>
                <w:highlight w:val="none"/>
              </w:rPr>
              <w:t>本项目水环境质量引用《</w:t>
            </w:r>
            <w:r>
              <w:rPr>
                <w:rFonts w:hint="eastAsia"/>
                <w:color w:val="auto"/>
                <w:sz w:val="24"/>
                <w:highlight w:val="none"/>
              </w:rPr>
              <w:t>2023年1-12月固原市地表水国控断面水质状况</w:t>
            </w:r>
            <w:r>
              <w:rPr>
                <w:rFonts w:hint="default"/>
                <w:color w:val="auto"/>
                <w:sz w:val="24"/>
                <w:highlight w:val="none"/>
              </w:rPr>
              <w:t>》</w:t>
            </w:r>
            <w:r>
              <w:rPr>
                <w:rFonts w:hint="eastAsia"/>
                <w:color w:val="auto"/>
                <w:sz w:val="24"/>
                <w:highlight w:val="none"/>
                <w:lang w:eastAsia="zh-CN"/>
              </w:rPr>
              <w:t>公开的数据，</w:t>
            </w:r>
            <w:r>
              <w:rPr>
                <w:rFonts w:hint="default"/>
                <w:color w:val="auto"/>
                <w:sz w:val="24"/>
                <w:highlight w:val="none"/>
              </w:rPr>
              <w:t>距本项目最近的监测点</w:t>
            </w:r>
            <w:r>
              <w:rPr>
                <w:rFonts w:hint="eastAsia"/>
                <w:color w:val="auto"/>
                <w:sz w:val="24"/>
                <w:highlight w:val="none"/>
                <w:lang w:eastAsia="zh-CN"/>
              </w:rPr>
              <w:t>渝河峰台</w:t>
            </w:r>
            <w:r>
              <w:rPr>
                <w:rFonts w:hint="default"/>
                <w:color w:val="auto"/>
                <w:sz w:val="24"/>
                <w:highlight w:val="none"/>
              </w:rPr>
              <w:t>断面的数据，此监测点位于本项目西</w:t>
            </w:r>
            <w:r>
              <w:rPr>
                <w:rFonts w:hint="eastAsia"/>
                <w:color w:val="auto"/>
                <w:sz w:val="24"/>
                <w:highlight w:val="none"/>
              </w:rPr>
              <w:t>北</w:t>
            </w:r>
            <w:r>
              <w:rPr>
                <w:rFonts w:hint="default"/>
                <w:color w:val="auto"/>
                <w:sz w:val="24"/>
                <w:highlight w:val="none"/>
              </w:rPr>
              <w:t>侧</w:t>
            </w:r>
            <w:r>
              <w:rPr>
                <w:rFonts w:hint="eastAsia"/>
                <w:color w:val="auto"/>
                <w:sz w:val="24"/>
                <w:highlight w:val="none"/>
                <w:lang w:val="en-US" w:eastAsia="zh-CN"/>
              </w:rPr>
              <w:t>2.9km</w:t>
            </w:r>
            <w:r>
              <w:rPr>
                <w:rFonts w:hint="default"/>
                <w:color w:val="auto"/>
                <w:sz w:val="24"/>
                <w:highlight w:val="none"/>
              </w:rPr>
              <w:t>处。监测数据显示，</w:t>
            </w:r>
            <w:r>
              <w:rPr>
                <w:rFonts w:hint="default"/>
                <w:color w:val="auto"/>
                <w:kern w:val="0"/>
                <w:sz w:val="24"/>
                <w:highlight w:val="none"/>
                <w:lang w:bidi="ar"/>
              </w:rPr>
              <w:t>20</w:t>
            </w:r>
            <w:r>
              <w:rPr>
                <w:rFonts w:hint="eastAsia"/>
                <w:color w:val="auto"/>
                <w:kern w:val="0"/>
                <w:sz w:val="24"/>
                <w:highlight w:val="none"/>
                <w:lang w:bidi="ar"/>
              </w:rPr>
              <w:t>2</w:t>
            </w:r>
            <w:r>
              <w:rPr>
                <w:rFonts w:hint="eastAsia"/>
                <w:color w:val="auto"/>
                <w:kern w:val="0"/>
                <w:sz w:val="24"/>
                <w:highlight w:val="none"/>
                <w:lang w:val="en-US" w:eastAsia="zh-CN" w:bidi="ar"/>
              </w:rPr>
              <w:t>3</w:t>
            </w:r>
            <w:r>
              <w:rPr>
                <w:rFonts w:hint="default"/>
                <w:color w:val="auto"/>
                <w:kern w:val="0"/>
                <w:sz w:val="24"/>
                <w:highlight w:val="none"/>
                <w:lang w:bidi="ar"/>
              </w:rPr>
              <w:t>年</w:t>
            </w:r>
            <w:r>
              <w:rPr>
                <w:rFonts w:hint="eastAsia"/>
                <w:color w:val="auto"/>
                <w:sz w:val="24"/>
                <w:highlight w:val="none"/>
                <w:lang w:eastAsia="zh-CN"/>
              </w:rPr>
              <w:t>渝河峰台</w:t>
            </w:r>
            <w:r>
              <w:rPr>
                <w:rFonts w:hint="default"/>
                <w:color w:val="auto"/>
                <w:sz w:val="24"/>
                <w:highlight w:val="none"/>
              </w:rPr>
              <w:t>断面</w:t>
            </w:r>
            <w:r>
              <w:rPr>
                <w:rFonts w:hint="default"/>
                <w:color w:val="auto"/>
                <w:kern w:val="0"/>
                <w:sz w:val="24"/>
                <w:highlight w:val="none"/>
                <w:lang w:bidi="ar"/>
              </w:rPr>
              <w:t>水质指标中，</w:t>
            </w:r>
            <w:r>
              <w:rPr>
                <w:rFonts w:hint="eastAsia"/>
                <w:color w:val="auto"/>
                <w:sz w:val="24"/>
                <w:highlight w:val="none"/>
                <w:lang w:eastAsia="zh-CN"/>
              </w:rPr>
              <w:t>渝河峰台</w:t>
            </w:r>
            <w:r>
              <w:rPr>
                <w:rFonts w:hint="default"/>
                <w:color w:val="auto"/>
                <w:sz w:val="24"/>
                <w:highlight w:val="none"/>
              </w:rPr>
              <w:t>断面各监测因子均能满足《地表水环境质量标准》(GB3838-2</w:t>
            </w:r>
            <w:r>
              <w:rPr>
                <w:rFonts w:hint="default"/>
                <w:color w:val="auto"/>
                <w:kern w:val="0"/>
                <w:sz w:val="24"/>
                <w:highlight w:val="none"/>
                <w:lang w:bidi="ar"/>
              </w:rPr>
              <w:t>002)III类</w:t>
            </w:r>
            <w:r>
              <w:rPr>
                <w:rFonts w:hint="default"/>
                <w:color w:val="auto"/>
                <w:sz w:val="24"/>
                <w:highlight w:val="none"/>
              </w:rPr>
              <w:t>标准</w:t>
            </w:r>
            <w:r>
              <w:rPr>
                <w:rFonts w:hint="default"/>
                <w:color w:val="auto"/>
                <w:kern w:val="0"/>
                <w:sz w:val="24"/>
                <w:highlight w:val="none"/>
              </w:rPr>
              <w:t>。</w:t>
            </w:r>
          </w:p>
          <w:p>
            <w:pPr>
              <w:keepNext w:val="0"/>
              <w:keepLines w:val="0"/>
              <w:pageBreakBefore w:val="0"/>
              <w:widowControl w:val="0"/>
              <w:suppressLineNumbers w:val="0"/>
              <w:kinsoku/>
              <w:wordWrap/>
              <w:topLinePunct w:val="0"/>
              <w:bidi w:val="0"/>
              <w:adjustRightInd w:val="0"/>
              <w:snapToGrid w:val="0"/>
              <w:spacing w:before="0" w:beforeAutospacing="0" w:after="0" w:afterAutospacing="0" w:line="540" w:lineRule="exact"/>
              <w:ind w:left="120" w:leftChars="50" w:right="120" w:rightChars="50" w:firstLine="480" w:firstLineChars="200"/>
              <w:textAlignment w:val="auto"/>
              <w:rPr>
                <w:rFonts w:hint="eastAsia" w:ascii="Times New Roman" w:hAnsi="Times New Roman" w:eastAsia="宋体" w:cs="宋体"/>
                <w:color w:val="auto"/>
                <w:sz w:val="24"/>
                <w:highlight w:val="none"/>
                <w:lang w:eastAsia="zh-CN"/>
              </w:rPr>
            </w:pPr>
            <w:r>
              <w:rPr>
                <w:rFonts w:hint="eastAsia" w:ascii="Times New Roman" w:hAnsi="Times New Roman" w:eastAsia="宋体" w:cs="宋体"/>
                <w:color w:val="auto"/>
                <w:sz w:val="24"/>
                <w:highlight w:val="none"/>
                <w:lang w:eastAsia="zh-CN"/>
              </w:rPr>
              <w:t>水环境分区管控合理性分析：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leftChars="0" w:right="120" w:rightChars="50" w:firstLine="480" w:firstLineChars="200"/>
              <w:textAlignment w:val="auto"/>
              <w:rPr>
                <w:rFonts w:hint="eastAsia" w:ascii="Times New Roman" w:hAnsi="Times New Roman" w:eastAsia="宋体" w:cs="宋体"/>
                <w:color w:val="auto"/>
                <w:sz w:val="24"/>
                <w:highlight w:val="none"/>
                <w:lang w:eastAsia="zh-CN"/>
              </w:rPr>
            </w:pPr>
            <w:r>
              <w:rPr>
                <w:rFonts w:hint="eastAsia" w:ascii="Times New Roman" w:hAnsi="Times New Roman" w:eastAsia="宋体" w:cs="宋体"/>
                <w:color w:val="auto"/>
                <w:sz w:val="24"/>
                <w:highlight w:val="none"/>
              </w:rPr>
              <w:t>固原市水环境管控分区共分为三大类：水环境优先保护区、水环境重点管控区（含水环境工业污染源重点管控区、水环境农业污染源重点管控区、水环境城镇生活污染源重点管控区）和水环境一般管控区</w:t>
            </w:r>
            <w:r>
              <w:rPr>
                <w:rFonts w:hint="eastAsia" w:ascii="Times New Roman" w:hAnsi="Times New Roman" w:eastAsia="宋体" w:cs="宋体"/>
                <w:color w:val="auto"/>
                <w:sz w:val="24"/>
                <w:highlight w:val="none"/>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leftChars="0" w:right="120" w:rightChars="50" w:firstLine="480" w:firstLineChars="200"/>
              <w:textAlignment w:val="auto"/>
              <w:rPr>
                <w:rFonts w:hint="eastAsia" w:ascii="Times New Roman" w:hAnsi="Times New Roman" w:eastAsia="宋体" w:cs="宋体"/>
                <w:color w:val="auto"/>
                <w:sz w:val="24"/>
                <w:highlight w:val="none"/>
                <w:lang w:eastAsia="zh-CN"/>
              </w:rPr>
            </w:pPr>
            <w:r>
              <w:rPr>
                <w:rFonts w:hint="eastAsia" w:ascii="Times New Roman" w:hAnsi="Times New Roman" w:eastAsia="宋体" w:cs="宋体"/>
                <w:color w:val="auto"/>
                <w:sz w:val="24"/>
                <w:highlight w:val="none"/>
              </w:rPr>
              <w:t>水环境优先保护区</w:t>
            </w:r>
            <w:r>
              <w:rPr>
                <w:rFonts w:hint="eastAsia" w:ascii="Times New Roman" w:hAnsi="Times New Roman" w:eastAsia="宋体" w:cs="宋体"/>
                <w:color w:val="auto"/>
                <w:sz w:val="24"/>
                <w:highlight w:val="none"/>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leftChars="0" w:right="120" w:rightChars="50" w:firstLine="480" w:firstLineChars="200"/>
              <w:textAlignment w:val="auto"/>
              <w:rPr>
                <w:rFonts w:hint="eastAsia"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将全市自然保护区、饮用水水源保护区、河湖源头、河湖岸线、湿地公园及其他重要湿地、水产种质资源保护区等保护区域，识别为水环境优先保护区。全市共划定水环境优先保护区43个，面积为1444.33平方公里，占全市国土面积的13.72%。</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leftChars="0" w:right="120" w:rightChars="50" w:firstLine="480" w:firstLineChars="200"/>
              <w:textAlignment w:val="auto"/>
              <w:rPr>
                <w:rFonts w:hint="eastAsia" w:ascii="Times New Roman" w:hAnsi="Times New Roman" w:eastAsia="宋体" w:cs="宋体"/>
                <w:color w:val="auto"/>
                <w:sz w:val="24"/>
                <w:highlight w:val="none"/>
                <w:lang w:eastAsia="zh-CN"/>
              </w:rPr>
            </w:pPr>
            <w:r>
              <w:rPr>
                <w:rFonts w:hint="eastAsia" w:ascii="Times New Roman" w:hAnsi="Times New Roman" w:eastAsia="宋体" w:cs="宋体"/>
                <w:color w:val="auto"/>
                <w:sz w:val="24"/>
                <w:highlight w:val="none"/>
              </w:rPr>
              <w:t>水环境重点管控区</w:t>
            </w:r>
            <w:r>
              <w:rPr>
                <w:rFonts w:hint="eastAsia" w:ascii="Times New Roman" w:hAnsi="Times New Roman" w:eastAsia="宋体" w:cs="宋体"/>
                <w:color w:val="auto"/>
                <w:sz w:val="24"/>
                <w:highlight w:val="none"/>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leftChars="0" w:right="120" w:rightChars="50" w:firstLine="480" w:firstLineChars="200"/>
              <w:textAlignment w:val="auto"/>
              <w:rPr>
                <w:rFonts w:hint="eastAsia"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将工业园区所在控制单元作为水环境工业源重点管控区。将对应断面水质超标（或存在黑臭水体）的控制单元作为重点管控区，其中结合控制单元污染源分布情况将单元划分为水环境城镇生活源重点管控区、水环境农业源重点管控区。全市共划定水环境重点管控区5个，面积为36.96平方公里，占全市国土面积的0.35%。</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leftChars="0" w:right="120" w:rightChars="50" w:firstLine="480" w:firstLineChars="200"/>
              <w:textAlignment w:val="auto"/>
              <w:rPr>
                <w:rFonts w:hint="eastAsia" w:ascii="Times New Roman" w:hAnsi="Times New Roman" w:eastAsia="宋体" w:cs="宋体"/>
                <w:color w:val="auto"/>
                <w:sz w:val="24"/>
                <w:highlight w:val="none"/>
                <w:lang w:eastAsia="zh-CN"/>
              </w:rPr>
            </w:pPr>
            <w:r>
              <w:rPr>
                <w:rFonts w:hint="eastAsia" w:ascii="Times New Roman" w:hAnsi="Times New Roman" w:eastAsia="宋体" w:cs="宋体"/>
                <w:color w:val="auto"/>
                <w:sz w:val="24"/>
                <w:highlight w:val="none"/>
              </w:rPr>
              <w:t>水环境一般管控区</w:t>
            </w:r>
            <w:r>
              <w:rPr>
                <w:rFonts w:hint="eastAsia" w:ascii="Times New Roman" w:hAnsi="Times New Roman" w:eastAsia="宋体" w:cs="宋体"/>
                <w:color w:val="auto"/>
                <w:sz w:val="24"/>
                <w:highlight w:val="none"/>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leftChars="0" w:right="120" w:rightChars="50" w:firstLine="480" w:firstLineChars="200"/>
              <w:textAlignment w:val="auto"/>
              <w:rPr>
                <w:rFonts w:hint="eastAsia"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将除水环境优先保护区、重点管控区之外的其他区域作为水环境一般管控区。共划定水环境一般管控区18个，面积为9044.86平方公里，占全市国土面积的85.93%。</w:t>
            </w:r>
          </w:p>
          <w:p>
            <w:pPr>
              <w:keepNext w:val="0"/>
              <w:keepLines w:val="0"/>
              <w:pageBreakBefore w:val="0"/>
              <w:widowControl w:val="0"/>
              <w:suppressLineNumbers w:val="0"/>
              <w:kinsoku/>
              <w:wordWrap/>
              <w:topLinePunct w:val="0"/>
              <w:bidi w:val="0"/>
              <w:adjustRightInd w:val="0"/>
              <w:snapToGrid w:val="0"/>
              <w:spacing w:before="0" w:beforeAutospacing="0" w:after="0" w:afterAutospacing="0" w:line="540" w:lineRule="exact"/>
              <w:ind w:left="120" w:leftChars="50" w:right="120" w:rightChars="50" w:firstLine="480" w:firstLineChars="200"/>
              <w:textAlignment w:val="auto"/>
              <w:rPr>
                <w:rFonts w:hint="eastAsia"/>
                <w:color w:val="auto"/>
                <w:sz w:val="24"/>
                <w:highlight w:val="none"/>
                <w:lang w:eastAsia="zh-CN"/>
              </w:rPr>
            </w:pPr>
            <w:r>
              <w:rPr>
                <w:rFonts w:hint="default"/>
                <w:color w:val="auto"/>
                <w:sz w:val="24"/>
                <w:highlight w:val="none"/>
              </w:rPr>
              <w:t>本项目</w:t>
            </w:r>
            <w:r>
              <w:rPr>
                <w:rFonts w:hint="default" w:ascii="Times New Roman" w:hAnsi="Times New Roman" w:eastAsia="宋体" w:cs="Times New Roman"/>
                <w:color w:val="auto"/>
                <w:kern w:val="0"/>
                <w:sz w:val="24"/>
                <w:highlight w:val="none"/>
                <w:lang w:val="en-US" w:eastAsia="zh-CN"/>
              </w:rPr>
              <w:t>北象山新建排洪渠及拦洪渠浆砌石挡土墙</w:t>
            </w:r>
            <w:r>
              <w:rPr>
                <w:rFonts w:hint="eastAsia" w:ascii="Times New Roman" w:hAnsi="Times New Roman" w:eastAsia="宋体" w:cs="Times New Roman"/>
                <w:color w:val="auto"/>
                <w:kern w:val="0"/>
                <w:sz w:val="24"/>
                <w:highlight w:val="none"/>
                <w:lang w:val="en-US" w:eastAsia="zh-CN"/>
              </w:rPr>
              <w:t>位于水环境优先保护区，</w:t>
            </w:r>
            <w:r>
              <w:rPr>
                <w:rFonts w:hint="default" w:ascii="Times New Roman" w:hAnsi="Times New Roman" w:eastAsia="宋体" w:cs="Times New Roman"/>
                <w:color w:val="auto"/>
                <w:kern w:val="0"/>
                <w:sz w:val="24"/>
                <w:highlight w:val="none"/>
                <w:lang w:val="en-US" w:eastAsia="zh-CN"/>
              </w:rPr>
              <w:t>县城东侧建筑垃圾填埋场排洪渠</w:t>
            </w: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县生活垃圾填埋场排洪渠</w:t>
            </w: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行政中心北侧现状排洪渠清淤疏浚</w:t>
            </w:r>
            <w:r>
              <w:rPr>
                <w:rFonts w:hint="eastAsia" w:ascii="Times New Roman" w:hAnsi="Times New Roman" w:eastAsia="宋体" w:cs="Times New Roman"/>
                <w:color w:val="auto"/>
                <w:kern w:val="0"/>
                <w:sz w:val="24"/>
                <w:highlight w:val="none"/>
                <w:lang w:val="en-US" w:eastAsia="zh-CN"/>
              </w:rPr>
              <w:t>工程、</w:t>
            </w:r>
            <w:r>
              <w:rPr>
                <w:rFonts w:hint="default" w:ascii="Times New Roman" w:hAnsi="Times New Roman" w:eastAsia="宋体" w:cs="Times New Roman"/>
                <w:color w:val="auto"/>
                <w:kern w:val="0"/>
                <w:sz w:val="24"/>
                <w:highlight w:val="none"/>
                <w:lang w:val="en-US" w:eastAsia="zh-CN"/>
              </w:rPr>
              <w:t>南河社区两侧沟道砌护</w:t>
            </w: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排洪管</w:t>
            </w:r>
            <w:r>
              <w:rPr>
                <w:rFonts w:hint="eastAsia" w:ascii="Times New Roman" w:hAnsi="Times New Roman" w:eastAsia="宋体" w:cs="Times New Roman"/>
                <w:color w:val="auto"/>
                <w:kern w:val="0"/>
                <w:sz w:val="24"/>
                <w:highlight w:val="none"/>
                <w:lang w:val="en-US" w:eastAsia="zh-CN"/>
              </w:rPr>
              <w:t>位于水环境一般管控区。</w:t>
            </w:r>
          </w:p>
          <w:p>
            <w:pPr>
              <w:keepNext w:val="0"/>
              <w:keepLines w:val="0"/>
              <w:pageBreakBefore w:val="0"/>
              <w:widowControl w:val="0"/>
              <w:suppressLineNumbers w:val="0"/>
              <w:kinsoku/>
              <w:wordWrap/>
              <w:topLinePunct w:val="0"/>
              <w:bidi w:val="0"/>
              <w:adjustRightInd w:val="0"/>
              <w:snapToGrid w:val="0"/>
              <w:spacing w:before="0" w:beforeAutospacing="0" w:after="0" w:afterAutospacing="0" w:line="540" w:lineRule="exact"/>
              <w:ind w:left="120" w:leftChars="50" w:right="120" w:rightChars="50" w:firstLine="480" w:firstLineChars="200"/>
              <w:textAlignment w:val="auto"/>
              <w:rPr>
                <w:rFonts w:hint="eastAsia" w:ascii="Times New Roman" w:hAnsi="Times New Roman" w:eastAsia="宋体" w:cs="宋体"/>
                <w:color w:val="auto"/>
                <w:sz w:val="24"/>
                <w:highlight w:val="none"/>
                <w:lang w:eastAsia="zh-CN"/>
              </w:rPr>
            </w:pPr>
            <w:r>
              <w:rPr>
                <w:rFonts w:hint="eastAsia" w:ascii="Times New Roman" w:hAnsi="Times New Roman" w:eastAsia="宋体" w:cs="宋体"/>
                <w:color w:val="auto"/>
                <w:sz w:val="24"/>
                <w:highlight w:val="none"/>
                <w:lang w:eastAsia="zh-CN"/>
              </w:rPr>
              <w:t>水环境优先保护区管控要求：</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645"/>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严格落实《中华人民共和国水污染防治法》、《饮用水水源保护区污染防治管理规定》（原环境保护部令第16号）及其他有关法律法规对饮用水水源保护区的管理要求。在饮用水水源保护区内，禁止设置排污口。禁止在饮用水水源一级保护区内新建、改建、扩建与供水设施和保护水源无关的建设项目；禁止在饮用水水源二级保护区内新建、改建、扩建排放污染物的建设项目；禁止在饮用水水源准保护区内新建、扩建对水体污染严重的建设项目；改建建设项目，不得增加排污量。自然保护区、湿地公园及其他重要湿地、水产种质资源保护区等区域的管理要求。确保重要湿地和河湖面积不减少、生态功能不退化，保护和提升清水河国家级湿地公园等重要湿地，增强城市“绿肺功能”。</w:t>
            </w:r>
          </w:p>
          <w:p>
            <w:pPr>
              <w:keepNext w:val="0"/>
              <w:keepLines w:val="0"/>
              <w:pageBreakBefore w:val="0"/>
              <w:widowControl w:val="0"/>
              <w:suppressLineNumbers w:val="0"/>
              <w:kinsoku/>
              <w:wordWrap/>
              <w:topLinePunct w:val="0"/>
              <w:bidi w:val="0"/>
              <w:adjustRightInd w:val="0"/>
              <w:snapToGrid w:val="0"/>
              <w:spacing w:before="0" w:beforeAutospacing="0" w:after="0" w:afterAutospacing="0" w:line="540" w:lineRule="exact"/>
              <w:ind w:left="120" w:leftChars="50" w:right="120" w:rightChars="50" w:firstLine="480" w:firstLineChars="200"/>
              <w:textAlignment w:val="auto"/>
              <w:rPr>
                <w:rFonts w:hint="eastAsia"/>
                <w:color w:val="auto"/>
                <w:sz w:val="24"/>
                <w:highlight w:val="none"/>
                <w:lang w:eastAsia="zh-CN"/>
              </w:rPr>
            </w:pPr>
            <w:r>
              <w:rPr>
                <w:rFonts w:hint="default"/>
                <w:color w:val="auto"/>
                <w:sz w:val="24"/>
                <w:highlight w:val="none"/>
              </w:rPr>
              <w:t>水环境一般管控区</w:t>
            </w:r>
            <w:r>
              <w:rPr>
                <w:rFonts w:hint="eastAsia"/>
                <w:color w:val="auto"/>
                <w:sz w:val="24"/>
                <w:highlight w:val="none"/>
                <w:lang w:eastAsia="zh-CN"/>
              </w:rPr>
              <w:t>管控要求：</w:t>
            </w:r>
          </w:p>
          <w:p>
            <w:pPr>
              <w:keepNext w:val="0"/>
              <w:keepLines w:val="0"/>
              <w:pageBreakBefore w:val="0"/>
              <w:widowControl w:val="0"/>
              <w:suppressLineNumbers w:val="0"/>
              <w:kinsoku/>
              <w:wordWrap/>
              <w:topLinePunct w:val="0"/>
              <w:bidi w:val="0"/>
              <w:adjustRightInd w:val="0"/>
              <w:snapToGrid w:val="0"/>
              <w:spacing w:before="0" w:beforeAutospacing="0" w:after="0" w:afterAutospacing="0" w:line="540" w:lineRule="exact"/>
              <w:ind w:left="120" w:leftChars="50" w:right="120" w:rightChars="50" w:firstLine="480" w:firstLineChars="200"/>
              <w:textAlignment w:val="auto"/>
              <w:rPr>
                <w:rFonts w:hint="default"/>
                <w:color w:val="auto"/>
                <w:sz w:val="24"/>
                <w:highlight w:val="none"/>
              </w:rPr>
            </w:pPr>
            <w:r>
              <w:rPr>
                <w:rFonts w:hint="eastAsia" w:ascii="Times New Roman" w:hAnsi="Times New Roman" w:eastAsia="宋体" w:cs="宋体"/>
                <w:color w:val="auto"/>
                <w:kern w:val="2"/>
                <w:sz w:val="24"/>
                <w:szCs w:val="24"/>
                <w:highlight w:val="none"/>
                <w:lang w:val="en-US" w:eastAsia="zh-CN" w:bidi="ar-SA"/>
              </w:rPr>
              <w:t>对于水环境优先保护区、重点管控区以外，现状水质达标的控制断面所对应的一般管控区，应落实《中华人民共和国水污染防治法》等相关法律法规的总体要求，加强水资源节约和保护，积极推动水生态修复治理，持续深入推进水污染防治，改善水环境质量。</w:t>
            </w:r>
          </w:p>
          <w:p>
            <w:pPr>
              <w:keepNext w:val="0"/>
              <w:keepLines w:val="0"/>
              <w:pageBreakBefore w:val="0"/>
              <w:widowControl w:val="0"/>
              <w:suppressLineNumbers w:val="0"/>
              <w:kinsoku/>
              <w:wordWrap/>
              <w:topLinePunct w:val="0"/>
              <w:bidi w:val="0"/>
              <w:adjustRightInd w:val="0"/>
              <w:snapToGrid w:val="0"/>
              <w:spacing w:before="0" w:beforeAutospacing="0" w:after="0" w:afterAutospacing="0" w:line="540" w:lineRule="exact"/>
              <w:ind w:left="120" w:leftChars="50" w:right="120" w:rightChars="50" w:firstLine="480" w:firstLineChars="200"/>
              <w:textAlignment w:val="auto"/>
              <w:rPr>
                <w:rFonts w:hint="default"/>
                <w:color w:val="auto"/>
                <w:sz w:val="24"/>
                <w:highlight w:val="none"/>
              </w:rPr>
            </w:pPr>
            <w:r>
              <w:rPr>
                <w:rFonts w:hint="eastAsia"/>
                <w:color w:val="auto"/>
                <w:sz w:val="24"/>
                <w:highlight w:val="none"/>
                <w:lang w:eastAsia="zh-CN"/>
              </w:rPr>
              <w:t>结合</w:t>
            </w:r>
            <w:r>
              <w:rPr>
                <w:rFonts w:hint="eastAsia" w:ascii="Times New Roman" w:hAnsi="Times New Roman" w:eastAsia="宋体" w:cs="宋体"/>
                <w:color w:val="auto"/>
                <w:sz w:val="24"/>
                <w:highlight w:val="none"/>
                <w:lang w:eastAsia="zh-CN"/>
              </w:rPr>
              <w:t>水环境优先保护区</w:t>
            </w:r>
            <w:r>
              <w:rPr>
                <w:rFonts w:hint="eastAsia"/>
                <w:color w:val="auto"/>
                <w:sz w:val="24"/>
                <w:highlight w:val="none"/>
                <w:lang w:eastAsia="zh-CN"/>
              </w:rPr>
              <w:t>管控要求及</w:t>
            </w:r>
            <w:r>
              <w:rPr>
                <w:rFonts w:hint="default"/>
                <w:color w:val="auto"/>
                <w:sz w:val="24"/>
                <w:highlight w:val="none"/>
              </w:rPr>
              <w:t>水环境一般管控区</w:t>
            </w:r>
            <w:r>
              <w:rPr>
                <w:rFonts w:hint="eastAsia"/>
                <w:color w:val="auto"/>
                <w:sz w:val="24"/>
                <w:highlight w:val="none"/>
                <w:lang w:eastAsia="zh-CN"/>
              </w:rPr>
              <w:t>管控要求，本项目</w:t>
            </w:r>
            <w:r>
              <w:rPr>
                <w:rFonts w:hint="eastAsia"/>
                <w:color w:val="auto"/>
                <w:sz w:val="24"/>
                <w:highlight w:val="none"/>
              </w:rPr>
              <w:t>防洪排涝能力提升项目</w:t>
            </w:r>
            <w:r>
              <w:rPr>
                <w:rFonts w:hint="eastAsia"/>
                <w:color w:val="auto"/>
                <w:sz w:val="24"/>
                <w:highlight w:val="none"/>
                <w:lang w:eastAsia="zh-CN"/>
              </w:rPr>
              <w:t>，不属于</w:t>
            </w:r>
            <w:r>
              <w:rPr>
                <w:rFonts w:hint="eastAsia" w:ascii="Times New Roman" w:hAnsi="Times New Roman" w:eastAsia="宋体" w:cs="宋体"/>
                <w:color w:val="auto"/>
                <w:kern w:val="2"/>
                <w:sz w:val="24"/>
                <w:szCs w:val="24"/>
                <w:highlight w:val="none"/>
                <w:lang w:val="en-US" w:eastAsia="zh-CN" w:bidi="ar-SA"/>
              </w:rPr>
              <w:t>在饮用水水源一级保护区内新建、改建、扩建与供水设施和保护水源无关的建设项目及不属于对水体污染严重的建设项目</w:t>
            </w:r>
            <w:r>
              <w:rPr>
                <w:rFonts w:hint="eastAsia"/>
                <w:color w:val="auto"/>
                <w:sz w:val="24"/>
                <w:highlight w:val="none"/>
                <w:lang w:eastAsia="zh-CN"/>
              </w:rPr>
              <w:t>。同时项目确保河湖面积不减少、生态功能不退化。本</w:t>
            </w:r>
            <w:r>
              <w:rPr>
                <w:rFonts w:hint="default"/>
                <w:color w:val="auto"/>
                <w:sz w:val="24"/>
                <w:highlight w:val="none"/>
              </w:rPr>
              <w:t>项目</w:t>
            </w:r>
            <w:r>
              <w:rPr>
                <w:rFonts w:hint="eastAsia"/>
                <w:color w:val="auto"/>
                <w:sz w:val="24"/>
                <w:highlight w:val="none"/>
                <w:lang w:eastAsia="zh-CN"/>
              </w:rPr>
              <w:t>废水只在施工期产生设备清洗废水，设置沉淀池沉淀后，用于场地洒水抑尘、车辆冲洗等，不外排，因此本项目符合固原市</w:t>
            </w:r>
            <w:r>
              <w:rPr>
                <w:rFonts w:hint="eastAsia" w:ascii="Times New Roman" w:hAnsi="Times New Roman" w:eastAsia="宋体" w:cs="宋体"/>
                <w:color w:val="auto"/>
                <w:sz w:val="24"/>
                <w:highlight w:val="none"/>
                <w:lang w:eastAsia="zh-CN"/>
              </w:rPr>
              <w:t>水环境优先保护区及</w:t>
            </w:r>
            <w:r>
              <w:rPr>
                <w:rFonts w:hint="default"/>
                <w:color w:val="auto"/>
                <w:sz w:val="24"/>
                <w:highlight w:val="none"/>
              </w:rPr>
              <w:t>水环境一般管控区</w:t>
            </w:r>
            <w:r>
              <w:rPr>
                <w:rFonts w:hint="eastAsia"/>
                <w:color w:val="auto"/>
                <w:sz w:val="24"/>
                <w:highlight w:val="none"/>
                <w:lang w:eastAsia="zh-CN"/>
              </w:rPr>
              <w:t>管控要求，本项目与固原市水环境分区管控位置关系图见附图</w:t>
            </w:r>
            <w:r>
              <w:rPr>
                <w:rFonts w:hint="eastAsia"/>
                <w:color w:val="auto"/>
                <w:sz w:val="24"/>
                <w:highlight w:val="none"/>
                <w:lang w:val="en-US" w:eastAsia="zh-CN"/>
              </w:rPr>
              <w:t>4</w:t>
            </w:r>
            <w:r>
              <w:rPr>
                <w:rFonts w:hint="eastAsia"/>
                <w:color w:val="auto"/>
                <w:sz w:val="24"/>
                <w:highlight w:val="none"/>
                <w:lang w:eastAsia="zh-CN"/>
              </w:rPr>
              <w:t>。</w:t>
            </w:r>
          </w:p>
          <w:p>
            <w:pPr>
              <w:keepNext w:val="0"/>
              <w:keepLines w:val="0"/>
              <w:pageBreakBefore w:val="0"/>
              <w:widowControl w:val="0"/>
              <w:suppressLineNumbers w:val="0"/>
              <w:kinsoku/>
              <w:wordWrap/>
              <w:topLinePunct w:val="0"/>
              <w:bidi w:val="0"/>
              <w:adjustRightInd w:val="0"/>
              <w:snapToGrid w:val="0"/>
              <w:spacing w:before="0" w:beforeAutospacing="0" w:after="0" w:afterAutospacing="0" w:line="540" w:lineRule="exact"/>
              <w:ind w:left="120" w:leftChars="50" w:right="120" w:rightChars="50" w:firstLine="480" w:firstLineChars="200"/>
              <w:textAlignment w:val="auto"/>
              <w:rPr>
                <w:rFonts w:hint="default"/>
                <w:color w:val="auto"/>
                <w:sz w:val="24"/>
                <w:highlight w:val="none"/>
              </w:rPr>
            </w:pPr>
            <w:r>
              <w:rPr>
                <w:rFonts w:hint="default"/>
                <w:color w:val="auto"/>
                <w:sz w:val="24"/>
                <w:highlight w:val="none"/>
              </w:rPr>
              <w:t>③与</w:t>
            </w:r>
            <w:r>
              <w:rPr>
                <w:rFonts w:hint="eastAsia"/>
                <w:color w:val="auto"/>
                <w:sz w:val="24"/>
                <w:highlight w:val="none"/>
                <w:lang w:eastAsia="zh-CN"/>
              </w:rPr>
              <w:t>固原市</w:t>
            </w:r>
            <w:r>
              <w:rPr>
                <w:rFonts w:hint="default"/>
                <w:color w:val="auto"/>
                <w:sz w:val="24"/>
                <w:highlight w:val="none"/>
              </w:rPr>
              <w:t>土壤环境质量底线及分区管控符合性分析</w:t>
            </w:r>
          </w:p>
          <w:p>
            <w:pPr>
              <w:keepNext w:val="0"/>
              <w:keepLines w:val="0"/>
              <w:pageBreakBefore w:val="0"/>
              <w:widowControl w:val="0"/>
              <w:suppressLineNumbers w:val="0"/>
              <w:kinsoku/>
              <w:wordWrap/>
              <w:topLinePunct w:val="0"/>
              <w:bidi w:val="0"/>
              <w:adjustRightInd w:val="0"/>
              <w:snapToGrid w:val="0"/>
              <w:spacing w:before="0" w:beforeAutospacing="0" w:after="0" w:afterAutospacing="0" w:line="540" w:lineRule="exact"/>
              <w:ind w:left="120" w:leftChars="50" w:right="120" w:rightChars="50" w:firstLine="480" w:firstLineChars="200"/>
              <w:textAlignment w:val="auto"/>
              <w:rPr>
                <w:rFonts w:hint="eastAsia" w:eastAsia="宋体"/>
                <w:color w:val="auto"/>
                <w:sz w:val="24"/>
                <w:highlight w:val="none"/>
                <w:lang w:eastAsia="zh-CN"/>
              </w:rPr>
            </w:pPr>
            <w:r>
              <w:rPr>
                <w:rFonts w:hint="default"/>
                <w:color w:val="auto"/>
                <w:sz w:val="24"/>
                <w:highlight w:val="none"/>
              </w:rPr>
              <w:t>土壤环境：根据</w:t>
            </w:r>
            <w:r>
              <w:rPr>
                <w:rFonts w:hint="eastAsia"/>
                <w:color w:val="auto"/>
                <w:sz w:val="24"/>
                <w:highlight w:val="none"/>
                <w:lang w:eastAsia="zh-CN"/>
              </w:rPr>
              <w:t>固原市</w:t>
            </w:r>
            <w:r>
              <w:rPr>
                <w:rFonts w:hint="default"/>
                <w:color w:val="auto"/>
                <w:sz w:val="24"/>
                <w:highlight w:val="none"/>
              </w:rPr>
              <w:t>土壤污染风险管控分区，本项目属于</w:t>
            </w:r>
            <w:r>
              <w:rPr>
                <w:rFonts w:hint="eastAsia"/>
                <w:color w:val="auto"/>
                <w:sz w:val="24"/>
                <w:highlight w:val="none"/>
                <w:lang w:eastAsia="zh-CN"/>
              </w:rPr>
              <w:t>一般管控区</w:t>
            </w:r>
            <w:r>
              <w:rPr>
                <w:rFonts w:hint="default"/>
                <w:color w:val="auto"/>
                <w:sz w:val="24"/>
                <w:highlight w:val="none"/>
              </w:rPr>
              <w:t>。</w:t>
            </w:r>
            <w:r>
              <w:rPr>
                <w:rFonts w:hint="eastAsia"/>
                <w:color w:val="auto"/>
                <w:sz w:val="24"/>
                <w:highlight w:val="none"/>
              </w:rPr>
              <w:t>禁止在居民区、学校、医疗和养老机构等周边新建有色金属冶炼、焦化等行业企业。排放重点污染物的建设项目，在开展环境影响评价时，要增加对土壤环境影响的评价内容，并提出防范土壤污染的具体措施；需要建设的土壤污染防治设施，要与主体工程同时设计、同时施工、同时投产使用。</w:t>
            </w:r>
          </w:p>
          <w:p>
            <w:pPr>
              <w:keepNext w:val="0"/>
              <w:keepLines w:val="0"/>
              <w:pageBreakBefore w:val="0"/>
              <w:widowControl w:val="0"/>
              <w:suppressLineNumbers w:val="0"/>
              <w:kinsoku/>
              <w:wordWrap/>
              <w:topLinePunct w:val="0"/>
              <w:bidi w:val="0"/>
              <w:adjustRightInd w:val="0"/>
              <w:snapToGrid w:val="0"/>
              <w:spacing w:before="0" w:beforeAutospacing="0" w:after="0" w:afterAutospacing="0" w:line="540" w:lineRule="exact"/>
              <w:ind w:left="120" w:leftChars="50" w:right="120" w:rightChars="50" w:firstLine="480" w:firstLineChars="200"/>
              <w:textAlignment w:val="auto"/>
              <w:rPr>
                <w:rFonts w:hint="eastAsia" w:eastAsia="宋体"/>
                <w:color w:val="auto"/>
                <w:sz w:val="24"/>
                <w:highlight w:val="none"/>
                <w:lang w:eastAsia="zh-CN"/>
              </w:rPr>
            </w:pPr>
            <w:r>
              <w:rPr>
                <w:rFonts w:hint="default"/>
                <w:color w:val="auto"/>
                <w:sz w:val="24"/>
                <w:highlight w:val="none"/>
              </w:rPr>
              <w:t>本项目</w:t>
            </w:r>
            <w:r>
              <w:rPr>
                <w:rFonts w:hint="eastAsia"/>
                <w:color w:val="auto"/>
                <w:sz w:val="24"/>
                <w:highlight w:val="none"/>
                <w:lang w:eastAsia="zh-CN"/>
              </w:rPr>
              <w:t>为县城排水防涝能力提升工程，不排放重点污染物，</w:t>
            </w:r>
            <w:r>
              <w:rPr>
                <w:rFonts w:hint="default"/>
                <w:color w:val="auto"/>
                <w:sz w:val="24"/>
                <w:highlight w:val="none"/>
              </w:rPr>
              <w:t>不存在土壤、地下水污染途径。项目根据《建设项目环境影响报告表编制技术指南（</w:t>
            </w:r>
            <w:r>
              <w:rPr>
                <w:rFonts w:hint="eastAsia"/>
                <w:color w:val="auto"/>
                <w:sz w:val="24"/>
                <w:highlight w:val="none"/>
                <w:lang w:eastAsia="zh-CN"/>
              </w:rPr>
              <w:t>生态</w:t>
            </w:r>
            <w:r>
              <w:rPr>
                <w:rFonts w:hint="default"/>
                <w:color w:val="auto"/>
                <w:sz w:val="24"/>
                <w:highlight w:val="none"/>
              </w:rPr>
              <w:t>影响类）》（试行），不开展土壤环境质量现状评价。因此，符合其相关管控要求。</w:t>
            </w:r>
          </w:p>
          <w:p>
            <w:pPr>
              <w:keepNext w:val="0"/>
              <w:keepLines w:val="0"/>
              <w:pageBreakBefore w:val="0"/>
              <w:widowControl w:val="0"/>
              <w:suppressLineNumbers w:val="0"/>
              <w:kinsoku/>
              <w:wordWrap/>
              <w:topLinePunct w:val="0"/>
              <w:bidi w:val="0"/>
              <w:adjustRightInd w:val="0"/>
              <w:snapToGrid w:val="0"/>
              <w:spacing w:before="0" w:beforeAutospacing="0" w:after="0" w:afterAutospacing="0" w:line="540" w:lineRule="exact"/>
              <w:ind w:left="120" w:leftChars="50" w:right="120" w:rightChars="50" w:firstLine="480" w:firstLineChars="200"/>
              <w:textAlignment w:val="auto"/>
              <w:rPr>
                <w:rFonts w:hint="default"/>
                <w:color w:val="auto"/>
                <w:sz w:val="24"/>
                <w:highlight w:val="none"/>
              </w:rPr>
            </w:pPr>
            <w:r>
              <w:rPr>
                <w:rFonts w:hint="default"/>
                <w:color w:val="auto"/>
                <w:sz w:val="24"/>
                <w:highlight w:val="none"/>
              </w:rPr>
              <w:t>本项目产生的环境影响经防治措施治理后，能保障基本环境质量要求的安全线。总体来看，项目符合环境质量底线要求。</w:t>
            </w:r>
            <w:r>
              <w:rPr>
                <w:rFonts w:hint="eastAsia"/>
                <w:color w:val="auto"/>
                <w:sz w:val="24"/>
                <w:highlight w:val="none"/>
              </w:rPr>
              <w:t>本项目与</w:t>
            </w:r>
            <w:r>
              <w:rPr>
                <w:rFonts w:hint="eastAsia"/>
                <w:color w:val="auto"/>
                <w:sz w:val="24"/>
                <w:highlight w:val="none"/>
                <w:lang w:eastAsia="zh-CN"/>
              </w:rPr>
              <w:t>固原市</w:t>
            </w:r>
            <w:r>
              <w:rPr>
                <w:rFonts w:hint="eastAsia"/>
                <w:color w:val="auto"/>
                <w:sz w:val="24"/>
                <w:highlight w:val="none"/>
              </w:rPr>
              <w:t>土壤污染风险环境分区管控位置关系图见</w:t>
            </w:r>
            <w:r>
              <w:rPr>
                <w:rFonts w:hint="eastAsia"/>
                <w:color w:val="auto"/>
                <w:sz w:val="24"/>
                <w:highlight w:val="none"/>
                <w:lang w:eastAsia="zh-CN"/>
              </w:rPr>
              <w:t>附</w:t>
            </w:r>
            <w:r>
              <w:rPr>
                <w:rFonts w:hint="eastAsia"/>
                <w:color w:val="auto"/>
                <w:sz w:val="24"/>
                <w:highlight w:val="none"/>
              </w:rPr>
              <w:t>图</w:t>
            </w:r>
            <w:r>
              <w:rPr>
                <w:rFonts w:hint="eastAsia"/>
                <w:color w:val="auto"/>
                <w:sz w:val="24"/>
                <w:highlight w:val="none"/>
                <w:lang w:val="en-US" w:eastAsia="zh-CN"/>
              </w:rPr>
              <w:t>5</w:t>
            </w:r>
            <w:r>
              <w:rPr>
                <w:rFonts w:hint="default"/>
                <w:color w:val="auto"/>
                <w:sz w:val="24"/>
                <w:highlight w:val="none"/>
              </w:rPr>
              <w:t>。</w:t>
            </w:r>
          </w:p>
          <w:p>
            <w:pPr>
              <w:keepNext w:val="0"/>
              <w:keepLines w:val="0"/>
              <w:pageBreakBefore w:val="0"/>
              <w:widowControl w:val="0"/>
              <w:suppressLineNumbers w:val="0"/>
              <w:kinsoku/>
              <w:wordWrap/>
              <w:topLinePunct w:val="0"/>
              <w:bidi w:val="0"/>
              <w:adjustRightInd w:val="0"/>
              <w:snapToGrid w:val="0"/>
              <w:spacing w:before="0" w:beforeAutospacing="0" w:after="0" w:afterAutospacing="0" w:line="540" w:lineRule="exact"/>
              <w:ind w:left="120" w:leftChars="50" w:right="120" w:rightChars="50" w:firstLine="480" w:firstLineChars="200"/>
              <w:textAlignment w:val="auto"/>
              <w:rPr>
                <w:rFonts w:hint="default"/>
                <w:color w:val="auto"/>
                <w:sz w:val="24"/>
                <w:highlight w:val="none"/>
              </w:rPr>
            </w:pPr>
            <w:r>
              <w:rPr>
                <w:rFonts w:hint="default"/>
                <w:color w:val="auto"/>
                <w:sz w:val="24"/>
                <w:highlight w:val="none"/>
              </w:rPr>
              <w:t>⑶资源利用上限符合性分析</w:t>
            </w:r>
          </w:p>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540" w:lineRule="exact"/>
              <w:ind w:left="120" w:leftChars="50" w:right="120" w:rightChars="50" w:firstLine="480" w:firstLineChars="200"/>
              <w:jc w:val="both"/>
              <w:textAlignment w:val="auto"/>
              <w:rPr>
                <w:rFonts w:hint="default" w:ascii="Times New Roman" w:hAnsi="Times New Roman" w:eastAsia="宋体" w:cs="Times New Roman"/>
                <w:bCs/>
                <w:color w:val="auto"/>
                <w:kern w:val="16"/>
                <w:sz w:val="24"/>
                <w:szCs w:val="24"/>
                <w:highlight w:val="none"/>
              </w:rPr>
            </w:pPr>
            <w:r>
              <w:rPr>
                <w:rFonts w:hint="default" w:ascii="Times New Roman" w:hAnsi="Times New Roman" w:eastAsia="宋体" w:cs="Times New Roman"/>
                <w:bCs/>
                <w:color w:val="auto"/>
                <w:kern w:val="16"/>
                <w:sz w:val="24"/>
                <w:szCs w:val="24"/>
                <w:highlight w:val="none"/>
              </w:rPr>
              <w:t>本项目</w:t>
            </w:r>
            <w:r>
              <w:rPr>
                <w:rFonts w:hint="default" w:ascii="Times New Roman" w:hAnsi="Times New Roman" w:eastAsia="宋体" w:cs="Times New Roman"/>
                <w:bCs/>
                <w:color w:val="auto"/>
                <w:kern w:val="16"/>
                <w:sz w:val="24"/>
                <w:szCs w:val="24"/>
                <w:highlight w:val="none"/>
                <w:lang w:val="en-US" w:eastAsia="zh-CN"/>
              </w:rPr>
              <w:t>为</w:t>
            </w:r>
            <w:r>
              <w:rPr>
                <w:rFonts w:hint="eastAsia" w:cs="Times New Roman"/>
                <w:bCs/>
                <w:color w:val="auto"/>
                <w:kern w:val="16"/>
                <w:sz w:val="24"/>
                <w:szCs w:val="24"/>
                <w:highlight w:val="none"/>
                <w:lang w:val="en-US" w:eastAsia="zh-CN"/>
              </w:rPr>
              <w:t>排洪渠修建、清淤以及山洪沟砌护</w:t>
            </w:r>
            <w:r>
              <w:rPr>
                <w:rFonts w:hint="default" w:ascii="Times New Roman" w:hAnsi="Times New Roman" w:eastAsia="宋体" w:cs="Times New Roman"/>
                <w:bCs/>
                <w:color w:val="auto"/>
                <w:kern w:val="16"/>
                <w:sz w:val="24"/>
                <w:szCs w:val="24"/>
                <w:highlight w:val="none"/>
                <w:lang w:val="en-US" w:eastAsia="zh-CN"/>
              </w:rPr>
              <w:t>工程</w:t>
            </w:r>
            <w:r>
              <w:rPr>
                <w:rFonts w:hint="default" w:ascii="Times New Roman" w:hAnsi="Times New Roman" w:eastAsia="宋体" w:cs="Times New Roman"/>
                <w:bCs/>
                <w:color w:val="auto"/>
                <w:kern w:val="16"/>
                <w:sz w:val="24"/>
                <w:szCs w:val="24"/>
                <w:highlight w:val="none"/>
              </w:rPr>
              <w:t>，</w:t>
            </w:r>
            <w:r>
              <w:rPr>
                <w:rFonts w:hint="default" w:ascii="Times New Roman" w:hAnsi="Times New Roman" w:eastAsia="宋体" w:cs="Times New Roman"/>
                <w:bCs/>
                <w:color w:val="auto"/>
                <w:kern w:val="16"/>
                <w:sz w:val="24"/>
                <w:szCs w:val="24"/>
                <w:highlight w:val="none"/>
                <w:lang w:val="en-US" w:eastAsia="zh-CN"/>
              </w:rPr>
              <w:t>由于前期工程</w:t>
            </w:r>
            <w:r>
              <w:rPr>
                <w:rFonts w:hint="default" w:ascii="Times New Roman" w:hAnsi="Times New Roman" w:eastAsia="宋体" w:cs="Times New Roman"/>
                <w:color w:val="auto"/>
                <w:kern w:val="0"/>
                <w:sz w:val="24"/>
                <w:highlight w:val="none"/>
                <w:lang w:val="en-US" w:eastAsia="zh-CN"/>
              </w:rPr>
              <w:t>投入不足，一些</w:t>
            </w:r>
            <w:r>
              <w:rPr>
                <w:rFonts w:hint="eastAsia" w:cs="Times New Roman"/>
                <w:color w:val="auto"/>
                <w:kern w:val="0"/>
                <w:sz w:val="24"/>
                <w:highlight w:val="none"/>
                <w:lang w:val="en-US" w:eastAsia="zh-CN"/>
              </w:rPr>
              <w:t>排洪</w:t>
            </w:r>
            <w:r>
              <w:rPr>
                <w:rFonts w:hint="default" w:ascii="Times New Roman" w:hAnsi="Times New Roman" w:eastAsia="宋体" w:cs="Times New Roman"/>
                <w:color w:val="auto"/>
                <w:kern w:val="0"/>
                <w:sz w:val="24"/>
                <w:highlight w:val="none"/>
                <w:lang w:val="en-US" w:eastAsia="zh-CN"/>
              </w:rPr>
              <w:t>工程未能按规划全面实施，已建的</w:t>
            </w:r>
            <w:r>
              <w:rPr>
                <w:rFonts w:hint="eastAsia" w:cs="Times New Roman"/>
                <w:color w:val="auto"/>
                <w:kern w:val="0"/>
                <w:sz w:val="24"/>
                <w:highlight w:val="none"/>
                <w:lang w:val="en-US" w:eastAsia="zh-CN"/>
              </w:rPr>
              <w:t>排洪</w:t>
            </w:r>
            <w:r>
              <w:rPr>
                <w:rFonts w:hint="default" w:ascii="Times New Roman" w:hAnsi="Times New Roman" w:eastAsia="宋体" w:cs="Times New Roman"/>
                <w:color w:val="auto"/>
                <w:kern w:val="0"/>
                <w:sz w:val="24"/>
                <w:highlight w:val="none"/>
                <w:lang w:val="en-US" w:eastAsia="zh-CN"/>
              </w:rPr>
              <w:t>工程少且标准不够，拦沙防洪能力降低，水土流失加剧，大量泥沙输入</w:t>
            </w:r>
            <w:r>
              <w:rPr>
                <w:rFonts w:hint="eastAsia" w:cs="Times New Roman"/>
                <w:color w:val="auto"/>
                <w:kern w:val="0"/>
                <w:sz w:val="24"/>
                <w:highlight w:val="none"/>
                <w:lang w:val="en-US" w:eastAsia="zh-CN"/>
              </w:rPr>
              <w:t>清流河</w:t>
            </w:r>
            <w:r>
              <w:rPr>
                <w:rFonts w:hint="default" w:ascii="Times New Roman" w:hAnsi="Times New Roman" w:eastAsia="宋体" w:cs="Times New Roman"/>
                <w:color w:val="auto"/>
                <w:kern w:val="0"/>
                <w:sz w:val="24"/>
                <w:highlight w:val="none"/>
                <w:lang w:val="en-US" w:eastAsia="zh-CN"/>
              </w:rPr>
              <w:t>，造成河床淤积，威胁</w:t>
            </w:r>
            <w:r>
              <w:rPr>
                <w:rFonts w:hint="eastAsia" w:cs="Times New Roman"/>
                <w:color w:val="auto"/>
                <w:kern w:val="0"/>
                <w:sz w:val="24"/>
                <w:highlight w:val="none"/>
                <w:lang w:val="en-US" w:eastAsia="zh-CN"/>
              </w:rPr>
              <w:t>清流河</w:t>
            </w:r>
            <w:r>
              <w:rPr>
                <w:rFonts w:hint="default" w:ascii="Times New Roman" w:hAnsi="Times New Roman" w:eastAsia="宋体" w:cs="Times New Roman"/>
                <w:color w:val="auto"/>
                <w:kern w:val="0"/>
                <w:sz w:val="24"/>
                <w:highlight w:val="none"/>
                <w:lang w:val="en-US" w:eastAsia="zh-CN"/>
              </w:rPr>
              <w:t>防洪防汛安全，有限的水资源不能充分拦蓄利用，造成了水资源浪费，严重威胁和影响着</w:t>
            </w:r>
            <w:r>
              <w:rPr>
                <w:rFonts w:hint="eastAsia" w:cs="Times New Roman"/>
                <w:color w:val="auto"/>
                <w:kern w:val="0"/>
                <w:sz w:val="24"/>
                <w:highlight w:val="none"/>
                <w:lang w:val="en-US" w:eastAsia="zh-CN"/>
              </w:rPr>
              <w:t>清流河</w:t>
            </w:r>
            <w:r>
              <w:rPr>
                <w:rFonts w:hint="default" w:ascii="Times New Roman" w:hAnsi="Times New Roman" w:eastAsia="宋体" w:cs="Times New Roman"/>
                <w:color w:val="auto"/>
                <w:kern w:val="0"/>
                <w:sz w:val="24"/>
                <w:highlight w:val="none"/>
                <w:lang w:val="en-US" w:eastAsia="zh-CN"/>
              </w:rPr>
              <w:t>两岸人民群众的生产生活安全。本项目的实施可对整个城市雨水系统进行补充完善，真正做到雨污分流。雨水管网的完善建设，补齐排水防涝设施短板，增强城市防洪排涝能力。</w:t>
            </w:r>
            <w:r>
              <w:rPr>
                <w:rFonts w:hint="default" w:ascii="Times New Roman" w:hAnsi="Times New Roman" w:eastAsia="宋体" w:cs="Times New Roman"/>
                <w:bCs/>
                <w:color w:val="auto"/>
                <w:kern w:val="16"/>
                <w:sz w:val="24"/>
                <w:szCs w:val="24"/>
                <w:highlight w:val="none"/>
              </w:rPr>
              <w:t>满足资源利用上线要求。</w:t>
            </w:r>
          </w:p>
          <w:p>
            <w:pPr>
              <w:keepNext w:val="0"/>
              <w:keepLines w:val="0"/>
              <w:pageBreakBefore w:val="0"/>
              <w:widowControl w:val="0"/>
              <w:suppressLineNumbers w:val="0"/>
              <w:kinsoku/>
              <w:wordWrap/>
              <w:topLinePunct w:val="0"/>
              <w:bidi w:val="0"/>
              <w:adjustRightInd w:val="0"/>
              <w:snapToGrid w:val="0"/>
              <w:spacing w:before="0" w:beforeAutospacing="0" w:after="0" w:afterAutospacing="0" w:line="540" w:lineRule="exact"/>
              <w:ind w:left="120" w:leftChars="50" w:right="120" w:rightChars="50" w:firstLine="480" w:firstLineChars="200"/>
              <w:textAlignment w:val="auto"/>
              <w:rPr>
                <w:rFonts w:hint="default"/>
                <w:color w:val="auto"/>
                <w:sz w:val="24"/>
                <w:highlight w:val="none"/>
              </w:rPr>
            </w:pPr>
            <w:r>
              <w:rPr>
                <w:rFonts w:hint="default"/>
                <w:color w:val="auto"/>
                <w:sz w:val="24"/>
                <w:highlight w:val="none"/>
              </w:rPr>
              <w:t>本项目占用的资源包括：土地、水、电等资源，经分析，项目占用的资源相较于区域资源利用上线的比重很小，符合资源利用上线的要求。</w:t>
            </w:r>
          </w:p>
          <w:p>
            <w:pPr>
              <w:keepNext w:val="0"/>
              <w:keepLines w:val="0"/>
              <w:pageBreakBefore w:val="0"/>
              <w:widowControl w:val="0"/>
              <w:suppressLineNumbers w:val="0"/>
              <w:kinsoku/>
              <w:wordWrap/>
              <w:topLinePunct w:val="0"/>
              <w:bidi w:val="0"/>
              <w:adjustRightInd w:val="0"/>
              <w:snapToGrid w:val="0"/>
              <w:spacing w:before="0" w:beforeAutospacing="0" w:after="0" w:afterAutospacing="0" w:line="540" w:lineRule="exact"/>
              <w:ind w:left="120" w:leftChars="50" w:right="120" w:rightChars="50" w:firstLine="480" w:firstLineChars="200"/>
              <w:textAlignment w:val="auto"/>
              <w:rPr>
                <w:rFonts w:hint="default"/>
                <w:color w:val="auto"/>
                <w:sz w:val="24"/>
                <w:highlight w:val="none"/>
              </w:rPr>
            </w:pPr>
            <w:r>
              <w:rPr>
                <w:rFonts w:hint="default"/>
                <w:color w:val="auto"/>
                <w:sz w:val="24"/>
                <w:highlight w:val="none"/>
              </w:rPr>
              <w:t>⑷环境准入清单符合性分析</w:t>
            </w:r>
          </w:p>
          <w:p>
            <w:pPr>
              <w:keepNext w:val="0"/>
              <w:keepLines w:val="0"/>
              <w:pageBreakBefore w:val="0"/>
              <w:widowControl w:val="0"/>
              <w:suppressLineNumbers w:val="0"/>
              <w:kinsoku/>
              <w:wordWrap/>
              <w:topLinePunct w:val="0"/>
              <w:bidi w:val="0"/>
              <w:adjustRightInd w:val="0"/>
              <w:snapToGrid w:val="0"/>
              <w:spacing w:before="0" w:beforeAutospacing="0" w:after="0" w:afterAutospacing="0" w:line="540" w:lineRule="exact"/>
              <w:ind w:left="120" w:leftChars="50" w:right="120" w:rightChars="50" w:firstLine="480" w:firstLineChars="200"/>
              <w:textAlignment w:val="auto"/>
              <w:rPr>
                <w:rFonts w:hint="default"/>
                <w:color w:val="auto"/>
                <w:sz w:val="24"/>
                <w:highlight w:val="none"/>
              </w:rPr>
            </w:pPr>
            <w:r>
              <w:rPr>
                <w:rFonts w:hint="default"/>
                <w:color w:val="auto"/>
                <w:sz w:val="24"/>
                <w:highlight w:val="none"/>
              </w:rPr>
              <w:t>①与</w:t>
            </w:r>
            <w:r>
              <w:rPr>
                <w:rFonts w:hint="eastAsia"/>
                <w:color w:val="auto"/>
                <w:sz w:val="24"/>
                <w:highlight w:val="none"/>
                <w:lang w:eastAsia="zh-CN"/>
              </w:rPr>
              <w:t>固原市</w:t>
            </w:r>
            <w:r>
              <w:rPr>
                <w:rFonts w:hint="default"/>
                <w:color w:val="auto"/>
                <w:sz w:val="24"/>
                <w:highlight w:val="none"/>
              </w:rPr>
              <w:t>环境准入清单符合性分析</w:t>
            </w:r>
          </w:p>
          <w:p>
            <w:pPr>
              <w:keepNext w:val="0"/>
              <w:keepLines w:val="0"/>
              <w:pageBreakBefore w:val="0"/>
              <w:widowControl w:val="0"/>
              <w:suppressLineNumbers w:val="0"/>
              <w:kinsoku/>
              <w:wordWrap/>
              <w:topLinePunct w:val="0"/>
              <w:bidi w:val="0"/>
              <w:adjustRightInd w:val="0"/>
              <w:snapToGrid w:val="0"/>
              <w:spacing w:before="0" w:beforeAutospacing="0" w:after="0" w:afterAutospacing="0" w:line="540" w:lineRule="exact"/>
              <w:ind w:left="120" w:leftChars="50" w:right="120" w:rightChars="50" w:firstLine="480" w:firstLineChars="200"/>
              <w:textAlignment w:val="auto"/>
              <w:rPr>
                <w:rFonts w:hint="default"/>
                <w:color w:val="auto"/>
                <w:sz w:val="24"/>
                <w:highlight w:val="none"/>
              </w:rPr>
            </w:pPr>
            <w:r>
              <w:rPr>
                <w:rFonts w:hint="default"/>
                <w:color w:val="auto"/>
                <w:sz w:val="24"/>
                <w:highlight w:val="none"/>
              </w:rPr>
              <w:t>本项目与</w:t>
            </w:r>
            <w:r>
              <w:rPr>
                <w:rFonts w:hint="eastAsia"/>
                <w:color w:val="auto"/>
                <w:sz w:val="24"/>
                <w:highlight w:val="none"/>
                <w:lang w:eastAsia="zh-CN"/>
              </w:rPr>
              <w:t>固原市</w:t>
            </w:r>
            <w:r>
              <w:rPr>
                <w:rFonts w:hint="default"/>
                <w:color w:val="auto"/>
                <w:sz w:val="24"/>
                <w:highlight w:val="none"/>
              </w:rPr>
              <w:t>生态环境准入清单符合性分析见表</w:t>
            </w:r>
            <w:r>
              <w:rPr>
                <w:rFonts w:hint="eastAsia"/>
                <w:color w:val="auto"/>
                <w:sz w:val="24"/>
                <w:highlight w:val="none"/>
              </w:rPr>
              <w:t>1-</w:t>
            </w:r>
            <w:r>
              <w:rPr>
                <w:rFonts w:hint="eastAsia"/>
                <w:color w:val="auto"/>
                <w:sz w:val="24"/>
                <w:highlight w:val="none"/>
                <w:lang w:val="en-US" w:eastAsia="zh-CN"/>
              </w:rPr>
              <w:t>3</w:t>
            </w:r>
            <w:r>
              <w:rPr>
                <w:rFonts w:hint="default"/>
                <w:color w:val="auto"/>
                <w:sz w:val="24"/>
                <w:highlight w:val="none"/>
              </w:rPr>
              <w:t>。</w:t>
            </w:r>
          </w:p>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leftChars="0" w:right="0" w:firstLine="0" w:firstLineChars="0"/>
              <w:jc w:val="center"/>
              <w:textAlignment w:val="auto"/>
              <w:rPr>
                <w:rFonts w:hint="eastAsia" w:ascii="宋体" w:hAnsi="宋体" w:eastAsia="宋体" w:cs="宋体"/>
                <w:b/>
                <w:bCs/>
                <w:color w:val="auto"/>
                <w:highlight w:val="none"/>
                <w:lang w:val="en-US" w:eastAsia="zh-CN"/>
              </w:rPr>
            </w:pPr>
            <w:r>
              <w:rPr>
                <w:rFonts w:hint="default" w:ascii="Times New Roman" w:hAnsi="Times New Roman" w:eastAsia="宋体" w:cs="Times New Roman"/>
                <w:b/>
                <w:bCs/>
                <w:color w:val="auto"/>
                <w:highlight w:val="none"/>
                <w:lang w:val="en-US" w:eastAsia="zh-CN"/>
              </w:rPr>
              <w:t xml:space="preserve">表1-3  </w:t>
            </w:r>
            <w:r>
              <w:rPr>
                <w:rFonts w:hint="eastAsia" w:ascii="宋体" w:hAnsi="宋体" w:eastAsia="宋体" w:cs="宋体"/>
                <w:b/>
                <w:bCs/>
                <w:color w:val="auto"/>
                <w:highlight w:val="none"/>
                <w:lang w:val="en-US" w:eastAsia="zh-CN"/>
              </w:rPr>
              <w:t>项目与</w:t>
            </w:r>
            <w:r>
              <w:rPr>
                <w:rFonts w:hint="eastAsia" w:ascii="宋体" w:hAnsi="宋体" w:eastAsia="宋体" w:cs="宋体"/>
                <w:b/>
                <w:bCs/>
                <w:color w:val="auto"/>
                <w:highlight w:val="none"/>
                <w:lang w:val="en-US"/>
              </w:rPr>
              <w:t>固原市生态环境总体准入要求</w:t>
            </w:r>
            <w:r>
              <w:rPr>
                <w:rFonts w:hint="eastAsia" w:ascii="宋体" w:hAnsi="宋体" w:eastAsia="宋体" w:cs="宋体"/>
                <w:b/>
                <w:bCs/>
                <w:color w:val="auto"/>
                <w:highlight w:val="none"/>
                <w:lang w:val="en-US" w:eastAsia="zh-CN"/>
              </w:rPr>
              <w:t>符合性分析表</w:t>
            </w:r>
          </w:p>
          <w:tbl>
            <w:tblPr>
              <w:tblStyle w:val="22"/>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3"/>
              <w:gridCol w:w="1145"/>
              <w:gridCol w:w="3569"/>
              <w:gridCol w:w="2072"/>
              <w:gridCol w:w="9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1638"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管控维度</w:t>
                  </w:r>
                </w:p>
              </w:tc>
              <w:tc>
                <w:tcPr>
                  <w:tcW w:w="356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准入要求</w:t>
                  </w:r>
                </w:p>
              </w:tc>
              <w:tc>
                <w:tcPr>
                  <w:tcW w:w="207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本项目情况</w:t>
                  </w:r>
                </w:p>
              </w:tc>
              <w:tc>
                <w:tcPr>
                  <w:tcW w:w="9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493"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A1空间布局约束</w:t>
                  </w:r>
                </w:p>
              </w:tc>
              <w:tc>
                <w:tcPr>
                  <w:tcW w:w="1145"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A1.1禁止开发建设活动的要求</w:t>
                  </w:r>
                </w:p>
              </w:tc>
              <w:tc>
                <w:tcPr>
                  <w:tcW w:w="356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严禁产</w:t>
                  </w:r>
                  <w:r>
                    <w:rPr>
                      <w:rFonts w:hint="default" w:ascii="Times New Roman" w:hAnsi="Times New Roman" w:cs="Times New Roman"/>
                      <w:color w:val="auto"/>
                      <w:sz w:val="21"/>
                      <w:szCs w:val="21"/>
                      <w:highlight w:val="none"/>
                    </w:rPr>
                    <w:t>能过</w:t>
                  </w:r>
                  <w:r>
                    <w:rPr>
                      <w:rFonts w:hint="default" w:ascii="Times New Roman" w:hAnsi="Times New Roman" w:cs="Times New Roman" w:eastAsiaTheme="minorEastAsia"/>
                      <w:color w:val="auto"/>
                      <w:sz w:val="21"/>
                      <w:szCs w:val="21"/>
                      <w:highlight w:val="none"/>
                    </w:rPr>
                    <w:t>剩行业新增产能，各开发区主导产业产值占比达到60%以上，严防发达地区淘汰退出的高污染企业落户固原。</w:t>
                  </w:r>
                </w:p>
              </w:tc>
              <w:tc>
                <w:tcPr>
                  <w:tcW w:w="207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本项目为防洪排涝能力提升项目，不属于高污染生产项目</w:t>
                  </w:r>
                </w:p>
              </w:tc>
              <w:tc>
                <w:tcPr>
                  <w:tcW w:w="9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493"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21"/>
                      <w:szCs w:val="21"/>
                      <w:highlight w:val="none"/>
                    </w:rPr>
                  </w:pPr>
                </w:p>
              </w:tc>
              <w:tc>
                <w:tcPr>
                  <w:tcW w:w="114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21"/>
                      <w:szCs w:val="21"/>
                      <w:highlight w:val="none"/>
                    </w:rPr>
                  </w:pPr>
                </w:p>
              </w:tc>
              <w:tc>
                <w:tcPr>
                  <w:tcW w:w="356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严禁在“五河”临岸1公里范围内新建“两高一资”项目及相关产业园区。</w:t>
                  </w:r>
                </w:p>
              </w:tc>
              <w:tc>
                <w:tcPr>
                  <w:tcW w:w="207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本项目不属于“两高一资”项目</w:t>
                  </w:r>
                </w:p>
              </w:tc>
              <w:tc>
                <w:tcPr>
                  <w:tcW w:w="9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493"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114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356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城市建成区一律禁止新建35蒸吨/小时以下燃煤锅炉。</w:t>
                  </w:r>
                </w:p>
              </w:tc>
              <w:tc>
                <w:tcPr>
                  <w:tcW w:w="207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本项目不</w:t>
                  </w:r>
                  <w:r>
                    <w:rPr>
                      <w:rFonts w:hint="eastAsia" w:cs="Times New Roman" w:eastAsiaTheme="minorEastAsia"/>
                      <w:color w:val="auto"/>
                      <w:sz w:val="21"/>
                      <w:szCs w:val="21"/>
                      <w:highlight w:val="none"/>
                      <w:lang w:val="en-US" w:eastAsia="zh-CN"/>
                    </w:rPr>
                    <w:t>涉及</w:t>
                  </w:r>
                  <w:r>
                    <w:rPr>
                      <w:rFonts w:hint="default" w:ascii="Times New Roman" w:hAnsi="Times New Roman" w:cs="Times New Roman" w:eastAsiaTheme="minorEastAsia"/>
                      <w:color w:val="auto"/>
                      <w:sz w:val="21"/>
                      <w:szCs w:val="21"/>
                      <w:highlight w:val="none"/>
                      <w:lang w:val="en-US" w:eastAsia="zh-CN"/>
                    </w:rPr>
                    <w:t>锅炉新建项目</w:t>
                  </w:r>
                </w:p>
              </w:tc>
              <w:tc>
                <w:tcPr>
                  <w:tcW w:w="9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0" w:hRule="atLeast"/>
                <w:jc w:val="center"/>
              </w:trPr>
              <w:tc>
                <w:tcPr>
                  <w:tcW w:w="493"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21"/>
                      <w:szCs w:val="21"/>
                      <w:highlight w:val="none"/>
                    </w:rPr>
                  </w:pPr>
                </w:p>
              </w:tc>
              <w:tc>
                <w:tcPr>
                  <w:tcW w:w="114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A1.2限制开发建设活动的要求</w:t>
                  </w:r>
                </w:p>
              </w:tc>
              <w:tc>
                <w:tcPr>
                  <w:tcW w:w="356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严格控制在优先保护类耕地集中区域新建有色金属冶炼、石油化工、化工、焦化、电镀、制革等行业企业。</w:t>
                  </w:r>
                </w:p>
              </w:tc>
              <w:tc>
                <w:tcPr>
                  <w:tcW w:w="207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本项目不属于有色金属冶炼、石油化工、化工、焦化、电镀、制革等行业企业</w:t>
                  </w:r>
                </w:p>
              </w:tc>
              <w:tc>
                <w:tcPr>
                  <w:tcW w:w="9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jc w:val="center"/>
              </w:trPr>
              <w:tc>
                <w:tcPr>
                  <w:tcW w:w="493"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1145"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A1.3不符合空间布局要求活动的退出要求</w:t>
                  </w:r>
                </w:p>
              </w:tc>
              <w:tc>
                <w:tcPr>
                  <w:tcW w:w="356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在一定过渡期并给予合理补偿的基础上，依法依规关闭或搬迁禁养区内确需关闭或搬迁的畜禽规模养殖场（园区）。</w:t>
                  </w:r>
                </w:p>
              </w:tc>
              <w:tc>
                <w:tcPr>
                  <w:tcW w:w="207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本项目不涉及养殖场</w:t>
                  </w:r>
                </w:p>
              </w:tc>
              <w:tc>
                <w:tcPr>
                  <w:tcW w:w="9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jc w:val="center"/>
              </w:trPr>
              <w:tc>
                <w:tcPr>
                  <w:tcW w:w="493"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21"/>
                      <w:szCs w:val="21"/>
                      <w:highlight w:val="none"/>
                    </w:rPr>
                  </w:pPr>
                </w:p>
              </w:tc>
              <w:tc>
                <w:tcPr>
                  <w:tcW w:w="114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21"/>
                      <w:szCs w:val="21"/>
                      <w:highlight w:val="none"/>
                    </w:rPr>
                  </w:pPr>
                </w:p>
              </w:tc>
              <w:tc>
                <w:tcPr>
                  <w:tcW w:w="356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全面取缔保护区违法建设项目，全面解决保护区矿产资源开发等历史遗留问题，自然保护区内全面禁止一切与保护无关的开发建设活动。</w:t>
                  </w:r>
                </w:p>
              </w:tc>
              <w:tc>
                <w:tcPr>
                  <w:tcW w:w="207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本项目不属于开发建设类项目，</w:t>
                  </w:r>
                  <w:r>
                    <w:rPr>
                      <w:rFonts w:hint="eastAsia" w:cs="Times New Roman" w:eastAsiaTheme="minorEastAsia"/>
                      <w:color w:val="auto"/>
                      <w:sz w:val="21"/>
                      <w:szCs w:val="21"/>
                      <w:highlight w:val="none"/>
                      <w:lang w:val="en-US" w:eastAsia="zh-CN"/>
                    </w:rPr>
                    <w:t>为自然保护区的排水防涝能力提升项目</w:t>
                  </w:r>
                </w:p>
              </w:tc>
              <w:tc>
                <w:tcPr>
                  <w:tcW w:w="9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jc w:val="center"/>
              </w:trPr>
              <w:tc>
                <w:tcPr>
                  <w:tcW w:w="493"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114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356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对六盘山水源核心区，坚决退出旅游项目，严禁游客进入。</w:t>
                  </w:r>
                </w:p>
              </w:tc>
              <w:tc>
                <w:tcPr>
                  <w:tcW w:w="207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本项目不</w:t>
                  </w:r>
                  <w:r>
                    <w:rPr>
                      <w:rFonts w:hint="eastAsia" w:cs="Times New Roman" w:eastAsiaTheme="minorEastAsia"/>
                      <w:color w:val="auto"/>
                      <w:sz w:val="21"/>
                      <w:szCs w:val="21"/>
                      <w:highlight w:val="none"/>
                      <w:lang w:val="en-US" w:eastAsia="zh-CN"/>
                    </w:rPr>
                    <w:t>涉及</w:t>
                  </w:r>
                  <w:r>
                    <w:rPr>
                      <w:rFonts w:hint="default" w:ascii="Times New Roman" w:hAnsi="Times New Roman" w:cs="Times New Roman" w:eastAsiaTheme="minorEastAsia"/>
                      <w:color w:val="auto"/>
                      <w:sz w:val="21"/>
                      <w:szCs w:val="21"/>
                      <w:highlight w:val="none"/>
                      <w:lang w:val="en-US" w:eastAsia="zh-CN"/>
                    </w:rPr>
                    <w:t>六盘山水源核心区</w:t>
                  </w:r>
                </w:p>
              </w:tc>
              <w:tc>
                <w:tcPr>
                  <w:tcW w:w="9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jc w:val="center"/>
              </w:trPr>
              <w:tc>
                <w:tcPr>
                  <w:tcW w:w="493"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114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356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城市建成区基本淘汰35蒸吨/小时以下燃煤锅炉。</w:t>
                  </w:r>
                </w:p>
              </w:tc>
              <w:tc>
                <w:tcPr>
                  <w:tcW w:w="207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本项目不涉及燃煤锅炉建设</w:t>
                  </w:r>
                </w:p>
              </w:tc>
              <w:tc>
                <w:tcPr>
                  <w:tcW w:w="9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jc w:val="center"/>
              </w:trPr>
              <w:tc>
                <w:tcPr>
                  <w:tcW w:w="493"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A2污染物排放管控</w:t>
                  </w:r>
                </w:p>
              </w:tc>
              <w:tc>
                <w:tcPr>
                  <w:tcW w:w="1145"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A2.1允许排放量要求</w:t>
                  </w:r>
                </w:p>
              </w:tc>
              <w:tc>
                <w:tcPr>
                  <w:tcW w:w="356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化学需氧量、氨氮、氮氧化物、挥发性有机物排放总量及减排量完成自治区下达任务。</w:t>
                  </w:r>
                </w:p>
              </w:tc>
              <w:tc>
                <w:tcPr>
                  <w:tcW w:w="207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w:t>
                  </w:r>
                  <w:r>
                    <w:rPr>
                      <w:rFonts w:hint="eastAsia" w:cs="Times New Roman" w:eastAsiaTheme="minorEastAsia"/>
                      <w:color w:val="auto"/>
                      <w:sz w:val="21"/>
                      <w:szCs w:val="21"/>
                      <w:highlight w:val="none"/>
                      <w:lang w:val="en-US" w:eastAsia="zh-CN"/>
                    </w:rPr>
                    <w:t>不涉及生活废水和生产废水</w:t>
                  </w:r>
                </w:p>
              </w:tc>
              <w:tc>
                <w:tcPr>
                  <w:tcW w:w="9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jc w:val="center"/>
              </w:trPr>
              <w:tc>
                <w:tcPr>
                  <w:tcW w:w="493"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21"/>
                      <w:szCs w:val="21"/>
                      <w:highlight w:val="none"/>
                    </w:rPr>
                  </w:pPr>
                </w:p>
              </w:tc>
              <w:tc>
                <w:tcPr>
                  <w:tcW w:w="114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21"/>
                      <w:szCs w:val="21"/>
                      <w:highlight w:val="none"/>
                    </w:rPr>
                  </w:pPr>
                </w:p>
              </w:tc>
              <w:tc>
                <w:tcPr>
                  <w:tcW w:w="356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新改扩建耗煤项目（除煤化工、火电）一律实施煤炭减量等量置换，所有新建、改建、扩建耗煤1万吨及以上项目（除热电联产外）一律实施煤炭等量替代。</w:t>
                  </w:r>
                </w:p>
              </w:tc>
              <w:tc>
                <w:tcPr>
                  <w:tcW w:w="207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本项目不涉及煤炭资源消耗</w:t>
                  </w:r>
                </w:p>
              </w:tc>
              <w:tc>
                <w:tcPr>
                  <w:tcW w:w="9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jc w:val="center"/>
              </w:trPr>
              <w:tc>
                <w:tcPr>
                  <w:tcW w:w="493"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114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356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严格重金属排放项目准入，坚持“减量置换”或“等量置换”原则。</w:t>
                  </w:r>
                </w:p>
              </w:tc>
              <w:tc>
                <w:tcPr>
                  <w:tcW w:w="207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本项目不涉及重金属排放</w:t>
                  </w:r>
                </w:p>
              </w:tc>
              <w:tc>
                <w:tcPr>
                  <w:tcW w:w="9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jc w:val="center"/>
              </w:trPr>
              <w:tc>
                <w:tcPr>
                  <w:tcW w:w="493"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114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356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在“五河”干流已覆盖集污管网的区域配套建设污水处理设施，确保所有建制镇和中心村污水处理全覆盖。</w:t>
                  </w:r>
                </w:p>
              </w:tc>
              <w:tc>
                <w:tcPr>
                  <w:tcW w:w="207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本项目建设管网为雨水处理管网</w:t>
                  </w:r>
                  <w:r>
                    <w:rPr>
                      <w:rFonts w:hint="eastAsia" w:cs="Times New Roman" w:eastAsiaTheme="minorEastAsia"/>
                      <w:color w:val="auto"/>
                      <w:sz w:val="21"/>
                      <w:szCs w:val="21"/>
                      <w:highlight w:val="none"/>
                      <w:lang w:val="en-US" w:eastAsia="zh-CN"/>
                    </w:rPr>
                    <w:t>，不涉及污水处理设施</w:t>
                  </w:r>
                </w:p>
              </w:tc>
              <w:tc>
                <w:tcPr>
                  <w:tcW w:w="9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jc w:val="center"/>
              </w:trPr>
              <w:tc>
                <w:tcPr>
                  <w:tcW w:w="493"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114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356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火电、水泥等重点行业及燃煤锅炉，严格按照大气污染物排放标准及特别排放限值要求执行。</w:t>
                  </w:r>
                </w:p>
              </w:tc>
              <w:tc>
                <w:tcPr>
                  <w:tcW w:w="207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本项目不涉及</w:t>
                  </w:r>
                </w:p>
              </w:tc>
              <w:tc>
                <w:tcPr>
                  <w:tcW w:w="9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jc w:val="center"/>
              </w:trPr>
              <w:tc>
                <w:tcPr>
                  <w:tcW w:w="493"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114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356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到2025年，全市工业固体废弃物综合利用率达到80%，中水利用率达到85%以上。</w:t>
                  </w:r>
                </w:p>
              </w:tc>
              <w:tc>
                <w:tcPr>
                  <w:tcW w:w="207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本项目不涉及污染排放</w:t>
                  </w:r>
                </w:p>
              </w:tc>
              <w:tc>
                <w:tcPr>
                  <w:tcW w:w="9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493"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21"/>
                      <w:szCs w:val="21"/>
                      <w:highlight w:val="none"/>
                    </w:rPr>
                  </w:pPr>
                </w:p>
              </w:tc>
              <w:tc>
                <w:tcPr>
                  <w:tcW w:w="1145"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A2.2现有源提标升级改造</w:t>
                  </w:r>
                </w:p>
              </w:tc>
              <w:tc>
                <w:tcPr>
                  <w:tcW w:w="356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全市65蒸吨/小时及以上燃煤锅炉全部完成节能和超低排放改造；新建燃气锅炉要同步实现低氮改造。</w:t>
                  </w:r>
                </w:p>
              </w:tc>
              <w:tc>
                <w:tcPr>
                  <w:tcW w:w="207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本项目不涉及</w:t>
                  </w:r>
                </w:p>
              </w:tc>
              <w:tc>
                <w:tcPr>
                  <w:tcW w:w="9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493"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21"/>
                      <w:szCs w:val="21"/>
                      <w:highlight w:val="none"/>
                    </w:rPr>
                  </w:pPr>
                </w:p>
              </w:tc>
              <w:tc>
                <w:tcPr>
                  <w:tcW w:w="114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21"/>
                      <w:szCs w:val="21"/>
                      <w:highlight w:val="none"/>
                    </w:rPr>
                  </w:pPr>
                </w:p>
              </w:tc>
              <w:tc>
                <w:tcPr>
                  <w:tcW w:w="356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加快农村养殖“出户入园”，落实“一控两减三利用”，减少化肥和农药使用量；实现畜禽粪便、农作物秸秆、农膜资源化利用，到2025年，农业废弃物综合利用率达到94%以上。</w:t>
                  </w:r>
                </w:p>
              </w:tc>
              <w:tc>
                <w:tcPr>
                  <w:tcW w:w="207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本项目不涉及</w:t>
                  </w:r>
                </w:p>
              </w:tc>
              <w:tc>
                <w:tcPr>
                  <w:tcW w:w="9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493"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A3环境风险防控</w:t>
                  </w:r>
                </w:p>
              </w:tc>
              <w:tc>
                <w:tcPr>
                  <w:tcW w:w="1145"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A3.1联防联控要求</w:t>
                  </w:r>
                </w:p>
              </w:tc>
              <w:tc>
                <w:tcPr>
                  <w:tcW w:w="356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在清水河城镇产业带、黄河支流、饮用水源地及其周边范围内的企业开展环境风险排查。</w:t>
                  </w:r>
                </w:p>
              </w:tc>
              <w:tc>
                <w:tcPr>
                  <w:tcW w:w="207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本项目无环境危害风险</w:t>
                  </w:r>
                </w:p>
              </w:tc>
              <w:tc>
                <w:tcPr>
                  <w:tcW w:w="9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493"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21"/>
                      <w:szCs w:val="21"/>
                      <w:highlight w:val="none"/>
                    </w:rPr>
                  </w:pPr>
                </w:p>
              </w:tc>
              <w:tc>
                <w:tcPr>
                  <w:tcW w:w="114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21"/>
                      <w:szCs w:val="21"/>
                      <w:highlight w:val="none"/>
                    </w:rPr>
                  </w:pPr>
                </w:p>
              </w:tc>
              <w:tc>
                <w:tcPr>
                  <w:tcW w:w="356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合理布局危险化学品生产装置和仓储设施，严格控制环境风险。</w:t>
                  </w:r>
                </w:p>
              </w:tc>
              <w:tc>
                <w:tcPr>
                  <w:tcW w:w="207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本项目不涉及</w:t>
                  </w:r>
                </w:p>
              </w:tc>
              <w:tc>
                <w:tcPr>
                  <w:tcW w:w="9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493"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114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356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实施环境风险分级管理制度，建立“分类管理、分级负责、属地管理”为主的环境应急管理体系；构建突发环境事件应急响应机制和应急指挥系统，实行环保、公安、交通、消防、卫生、安监部门环境应急联动。</w:t>
                  </w:r>
                </w:p>
              </w:tc>
              <w:tc>
                <w:tcPr>
                  <w:tcW w:w="207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本项目施工、运营期</w:t>
                  </w:r>
                  <w:r>
                    <w:rPr>
                      <w:rFonts w:hint="eastAsia" w:cs="Times New Roman" w:eastAsiaTheme="minorEastAsia"/>
                      <w:color w:val="auto"/>
                      <w:sz w:val="21"/>
                      <w:szCs w:val="21"/>
                      <w:highlight w:val="none"/>
                      <w:lang w:val="en-US" w:eastAsia="zh-CN"/>
                    </w:rPr>
                    <w:t>不涉及环境风险物质，故不建立</w:t>
                  </w:r>
                  <w:r>
                    <w:rPr>
                      <w:rFonts w:hint="default" w:ascii="Times New Roman" w:hAnsi="Times New Roman" w:cs="Times New Roman" w:eastAsiaTheme="minorEastAsia"/>
                      <w:color w:val="auto"/>
                      <w:sz w:val="21"/>
                      <w:szCs w:val="21"/>
                      <w:highlight w:val="none"/>
                    </w:rPr>
                    <w:t>突发环境事件应急响应机制和应急指挥系统</w:t>
                  </w:r>
                </w:p>
              </w:tc>
              <w:tc>
                <w:tcPr>
                  <w:tcW w:w="9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jc w:val="center"/>
              </w:trPr>
              <w:tc>
                <w:tcPr>
                  <w:tcW w:w="493"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A4资源利用效率要求</w:t>
                  </w:r>
                </w:p>
              </w:tc>
              <w:tc>
                <w:tcPr>
                  <w:tcW w:w="114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A4.1能源利用总量及效率要求</w:t>
                  </w:r>
                </w:p>
              </w:tc>
              <w:tc>
                <w:tcPr>
                  <w:tcW w:w="356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严控煤炭消费总量，实行新（改、扩）建耗煤项目煤炭消费等量或者减量替代。</w:t>
                  </w:r>
                </w:p>
              </w:tc>
              <w:tc>
                <w:tcPr>
                  <w:tcW w:w="207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本项目不涉及</w:t>
                  </w:r>
                </w:p>
              </w:tc>
              <w:tc>
                <w:tcPr>
                  <w:tcW w:w="9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jc w:val="center"/>
              </w:trPr>
              <w:tc>
                <w:tcPr>
                  <w:tcW w:w="493"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21"/>
                      <w:szCs w:val="21"/>
                      <w:highlight w:val="none"/>
                    </w:rPr>
                  </w:pPr>
                </w:p>
              </w:tc>
              <w:tc>
                <w:tcPr>
                  <w:tcW w:w="114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A4.2水资源利用总量及效率要求</w:t>
                  </w:r>
                </w:p>
              </w:tc>
              <w:tc>
                <w:tcPr>
                  <w:tcW w:w="356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落实节水指标纳入县（区）政绩考核，对水资源超载地区实行用水和项目“双限批”，到2025年全市用水总量控制在2.89亿立方米，单位GDP用水量较2020年下降8%。积极推广农业成套综合节水技术，到2025年农田灌溉水有效利用系数达到0.7以上。</w:t>
                  </w:r>
                </w:p>
              </w:tc>
              <w:tc>
                <w:tcPr>
                  <w:tcW w:w="207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本项目不涉及</w:t>
                  </w:r>
                </w:p>
              </w:tc>
              <w:tc>
                <w:tcPr>
                  <w:tcW w:w="9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bl>
          <w:p>
            <w:pPr>
              <w:keepNext w:val="0"/>
              <w:keepLines w:val="0"/>
              <w:pageBreakBefore w:val="0"/>
              <w:widowControl w:val="0"/>
              <w:suppressLineNumbers w:val="0"/>
              <w:kinsoku/>
              <w:wordWrap/>
              <w:topLinePunct w:val="0"/>
              <w:bidi w:val="0"/>
              <w:adjustRightInd w:val="0"/>
              <w:snapToGrid w:val="0"/>
              <w:spacing w:before="0" w:beforeAutospacing="0" w:after="0" w:afterAutospacing="0" w:line="540" w:lineRule="exact"/>
              <w:ind w:left="120" w:leftChars="50" w:right="120" w:rightChars="50" w:firstLine="480" w:firstLineChars="200"/>
              <w:textAlignment w:val="auto"/>
              <w:rPr>
                <w:rFonts w:hint="default"/>
                <w:color w:val="auto"/>
                <w:sz w:val="24"/>
                <w:highlight w:val="none"/>
              </w:rPr>
            </w:pPr>
            <w:r>
              <w:rPr>
                <w:rFonts w:hint="eastAsia"/>
                <w:color w:val="auto"/>
                <w:sz w:val="24"/>
                <w:highlight w:val="none"/>
              </w:rPr>
              <w:t>经与固原市生态环境总体准入要求进行对比分析后，本项目符合准入要求。</w:t>
            </w:r>
          </w:p>
          <w:p>
            <w:pPr>
              <w:keepNext w:val="0"/>
              <w:keepLines w:val="0"/>
              <w:pageBreakBefore w:val="0"/>
              <w:widowControl w:val="0"/>
              <w:suppressLineNumbers w:val="0"/>
              <w:kinsoku/>
              <w:wordWrap/>
              <w:topLinePunct w:val="0"/>
              <w:bidi w:val="0"/>
              <w:adjustRightInd w:val="0"/>
              <w:snapToGrid w:val="0"/>
              <w:spacing w:before="0" w:beforeAutospacing="0" w:after="0" w:afterAutospacing="0" w:line="540" w:lineRule="exact"/>
              <w:ind w:left="120" w:leftChars="50" w:right="120" w:rightChars="50" w:firstLine="480" w:firstLineChars="200"/>
              <w:textAlignment w:val="auto"/>
              <w:rPr>
                <w:rFonts w:hint="default" w:eastAsia="宋体"/>
                <w:color w:val="auto"/>
                <w:sz w:val="24"/>
                <w:highlight w:val="none"/>
                <w:lang w:val="en-US" w:eastAsia="zh-CN"/>
              </w:rPr>
            </w:pPr>
            <w:r>
              <w:rPr>
                <w:rFonts w:hint="eastAsia"/>
                <w:color w:val="auto"/>
                <w:sz w:val="24"/>
                <w:highlight w:val="none"/>
              </w:rPr>
              <w:t>根据“固原市人民政府关于实施“三线一单”生态环境分区管控的意见”中“二、构建生态环境分区管控体系，（一）环境管控单元划分，全市共划分优先保护、重点管控、一般管控等三类95个环境管控单元。优先保护单元主要包括生态保护红线、自然保护地、饮用水水源保护区、环境空气质量一类功能区等区域，共54个，面积为4769.7平方公里，占全市总面积的45.31%。重点管控单元主要涉及城镇和工业园区等人口密集、资源开发强度大且污染物排放强度高的区域，共13个，面积为1948.26平方公里，占全市总面积的18.51%。一般管控单元为除优先保护单元和重点管控单元之外的其他区域，共28个，面积为3808.18平方公里，占全市总面积的36.18%。本项目与固原市环境管控单元位置关系</w:t>
            </w:r>
            <w:r>
              <w:rPr>
                <w:rFonts w:hint="eastAsia"/>
                <w:color w:val="auto"/>
                <w:sz w:val="24"/>
                <w:highlight w:val="none"/>
                <w:lang w:eastAsia="zh-CN"/>
              </w:rPr>
              <w:t>见附图</w:t>
            </w:r>
            <w:r>
              <w:rPr>
                <w:rFonts w:hint="eastAsia"/>
                <w:color w:val="auto"/>
                <w:sz w:val="24"/>
                <w:highlight w:val="none"/>
                <w:lang w:val="en-US" w:eastAsia="zh-CN"/>
              </w:rPr>
              <w:t>6。</w:t>
            </w:r>
          </w:p>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540" w:lineRule="exact"/>
              <w:ind w:left="0" w:leftChars="0" w:right="0" w:firstLine="0" w:firstLineChars="0"/>
              <w:jc w:val="center"/>
              <w:textAlignment w:val="auto"/>
              <w:rPr>
                <w:rFonts w:hint="default" w:ascii="Times New Roman" w:hAnsi="Times New Roman" w:eastAsia="宋体" w:cs="Times New Roman"/>
                <w:b/>
                <w:bCs w:val="0"/>
                <w:color w:val="auto"/>
                <w:kern w:val="16"/>
                <w:sz w:val="24"/>
                <w:highlight w:val="none"/>
              </w:rPr>
            </w:pPr>
            <w:r>
              <w:rPr>
                <w:rFonts w:hint="default" w:ascii="Times New Roman" w:hAnsi="Times New Roman" w:eastAsia="宋体" w:cs="Times New Roman"/>
                <w:b/>
                <w:bCs w:val="0"/>
                <w:color w:val="auto"/>
                <w:kern w:val="16"/>
                <w:sz w:val="24"/>
                <w:highlight w:val="none"/>
                <w:lang w:eastAsia="zh-CN"/>
              </w:rPr>
              <w:t>表</w:t>
            </w:r>
            <w:r>
              <w:rPr>
                <w:rFonts w:hint="default" w:ascii="Times New Roman" w:hAnsi="Times New Roman" w:eastAsia="宋体" w:cs="Times New Roman"/>
                <w:b/>
                <w:bCs w:val="0"/>
                <w:color w:val="auto"/>
                <w:kern w:val="16"/>
                <w:sz w:val="24"/>
                <w:highlight w:val="none"/>
                <w:lang w:val="en-US" w:eastAsia="zh-CN"/>
              </w:rPr>
              <w:t>1-</w:t>
            </w:r>
            <w:r>
              <w:rPr>
                <w:rFonts w:hint="eastAsia" w:cs="Times New Roman"/>
                <w:b/>
                <w:bCs w:val="0"/>
                <w:color w:val="auto"/>
                <w:kern w:val="16"/>
                <w:sz w:val="24"/>
                <w:highlight w:val="none"/>
                <w:lang w:val="en-US" w:eastAsia="zh-CN"/>
              </w:rPr>
              <w:t>4</w:t>
            </w:r>
            <w:r>
              <w:rPr>
                <w:rFonts w:hint="default" w:ascii="Times New Roman" w:hAnsi="Times New Roman" w:eastAsia="宋体" w:cs="Times New Roman"/>
                <w:b/>
                <w:bCs w:val="0"/>
                <w:color w:val="auto"/>
                <w:kern w:val="16"/>
                <w:sz w:val="24"/>
                <w:highlight w:val="none"/>
                <w:lang w:val="en-US" w:eastAsia="zh-CN"/>
              </w:rPr>
              <w:t xml:space="preserve">  </w:t>
            </w:r>
            <w:r>
              <w:rPr>
                <w:rFonts w:hint="default" w:ascii="Times New Roman" w:hAnsi="Times New Roman" w:eastAsia="宋体" w:cs="Times New Roman"/>
                <w:b/>
                <w:bCs w:val="0"/>
                <w:color w:val="auto"/>
                <w:kern w:val="16"/>
                <w:sz w:val="24"/>
                <w:highlight w:val="none"/>
              </w:rPr>
              <w:t>项目与固原市环境管控单元生态环境准入清单符合性分析</w:t>
            </w:r>
          </w:p>
          <w:tbl>
            <w:tblPr>
              <w:tblStyle w:val="22"/>
              <w:tblW w:w="793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8"/>
              <w:gridCol w:w="678"/>
              <w:gridCol w:w="376"/>
              <w:gridCol w:w="362"/>
              <w:gridCol w:w="2179"/>
              <w:gridCol w:w="1801"/>
              <w:gridCol w:w="561"/>
              <w:gridCol w:w="596"/>
              <w:gridCol w:w="9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388" w:type="dxa"/>
                  <w:vMerge w:val="restart"/>
                  <w:tcBorders>
                    <w:tl2br w:val="nil"/>
                    <w:tr2bl w:val="nil"/>
                  </w:tcBorders>
                  <w:vAlign w:val="center"/>
                </w:tcPr>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i w:val="0"/>
                      <w:iCs w:val="0"/>
                      <w:caps w:val="0"/>
                      <w:color w:val="auto"/>
                      <w:spacing w:val="0"/>
                      <w:sz w:val="21"/>
                      <w:szCs w:val="21"/>
                      <w:highlight w:val="none"/>
                    </w:rPr>
                    <w:t>序号</w:t>
                  </w:r>
                </w:p>
              </w:tc>
              <w:tc>
                <w:tcPr>
                  <w:tcW w:w="678" w:type="dxa"/>
                  <w:vMerge w:val="restart"/>
                  <w:tcBorders>
                    <w:tl2br w:val="nil"/>
                    <w:tr2bl w:val="nil"/>
                  </w:tcBorders>
                  <w:vAlign w:val="center"/>
                </w:tcPr>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i w:val="0"/>
                      <w:iCs w:val="0"/>
                      <w:caps w:val="0"/>
                      <w:color w:val="auto"/>
                      <w:spacing w:val="0"/>
                      <w:sz w:val="21"/>
                      <w:szCs w:val="21"/>
                      <w:highlight w:val="none"/>
                    </w:rPr>
                    <w:t>环境管控单元名称</w:t>
                  </w:r>
                </w:p>
              </w:tc>
              <w:tc>
                <w:tcPr>
                  <w:tcW w:w="376" w:type="dxa"/>
                  <w:vMerge w:val="restart"/>
                  <w:tcBorders>
                    <w:tl2br w:val="nil"/>
                    <w:tr2bl w:val="nil"/>
                  </w:tcBorders>
                  <w:vAlign w:val="center"/>
                </w:tcPr>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i w:val="0"/>
                      <w:iCs w:val="0"/>
                      <w:caps w:val="0"/>
                      <w:color w:val="auto"/>
                      <w:spacing w:val="0"/>
                      <w:sz w:val="21"/>
                      <w:szCs w:val="21"/>
                      <w:highlight w:val="none"/>
                    </w:rPr>
                    <w:t>要素属性</w:t>
                  </w:r>
                </w:p>
              </w:tc>
              <w:tc>
                <w:tcPr>
                  <w:tcW w:w="362" w:type="dxa"/>
                  <w:vMerge w:val="restart"/>
                  <w:tcBorders>
                    <w:tl2br w:val="nil"/>
                    <w:tr2bl w:val="nil"/>
                  </w:tcBorders>
                  <w:vAlign w:val="center"/>
                </w:tcPr>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i w:val="0"/>
                      <w:iCs w:val="0"/>
                      <w:caps w:val="0"/>
                      <w:color w:val="auto"/>
                      <w:spacing w:val="0"/>
                      <w:sz w:val="21"/>
                      <w:szCs w:val="21"/>
                      <w:highlight w:val="none"/>
                    </w:rPr>
                    <w:t>管控单元分类</w:t>
                  </w:r>
                </w:p>
              </w:tc>
              <w:tc>
                <w:tcPr>
                  <w:tcW w:w="5137" w:type="dxa"/>
                  <w:gridSpan w:val="4"/>
                  <w:tcBorders>
                    <w:tl2br w:val="nil"/>
                    <w:tr2bl w:val="nil"/>
                  </w:tcBorders>
                  <w:vAlign w:val="center"/>
                </w:tcPr>
                <w:p>
                  <w:pPr>
                    <w:pStyle w:val="2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i w:val="0"/>
                      <w:iCs w:val="0"/>
                      <w:caps w:val="0"/>
                      <w:color w:val="auto"/>
                      <w:spacing w:val="0"/>
                      <w:sz w:val="21"/>
                      <w:szCs w:val="21"/>
                      <w:highlight w:val="none"/>
                      <w:shd w:val="clear" w:fill="FFFFFF"/>
                    </w:rPr>
                    <w:t>管控要求</w:t>
                  </w:r>
                </w:p>
              </w:tc>
              <w:tc>
                <w:tcPr>
                  <w:tcW w:w="996" w:type="dxa"/>
                  <w:vMerge w:val="restart"/>
                  <w:tcBorders>
                    <w:tl2br w:val="nil"/>
                    <w:tr2bl w:val="nil"/>
                  </w:tcBorders>
                  <w:vAlign w:val="center"/>
                </w:tcPr>
                <w:p>
                  <w:pPr>
                    <w:pStyle w:val="2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shd w:val="clear" w:fill="FFFFFF"/>
                      <w:lang w:eastAsia="zh-CN"/>
                    </w:rPr>
                  </w:pPr>
                  <w:r>
                    <w:rPr>
                      <w:rFonts w:hint="default" w:ascii="Times New Roman" w:hAnsi="Times New Roman" w:eastAsia="宋体" w:cs="Times New Roman"/>
                      <w:b/>
                      <w:bCs/>
                      <w:i w:val="0"/>
                      <w:iCs w:val="0"/>
                      <w:caps w:val="0"/>
                      <w:color w:val="auto"/>
                      <w:spacing w:val="0"/>
                      <w:sz w:val="21"/>
                      <w:szCs w:val="21"/>
                      <w:highlight w:val="none"/>
                      <w:shd w:val="clear" w:fill="FFFFFF"/>
                      <w:lang w:eastAsia="zh-CN"/>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jc w:val="center"/>
              </w:trPr>
              <w:tc>
                <w:tcPr>
                  <w:tcW w:w="388" w:type="dxa"/>
                  <w:vMerge w:val="continue"/>
                  <w:tcBorders>
                    <w:tl2br w:val="nil"/>
                    <w:tr2bl w:val="nil"/>
                  </w:tcBorders>
                  <w:vAlign w:val="center"/>
                </w:tcPr>
                <w:p>
                  <w:pPr>
                    <w:pStyle w:val="2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highlight w:val="none"/>
                    </w:rPr>
                  </w:pPr>
                </w:p>
              </w:tc>
              <w:tc>
                <w:tcPr>
                  <w:tcW w:w="678" w:type="dxa"/>
                  <w:vMerge w:val="continue"/>
                  <w:tcBorders>
                    <w:tl2br w:val="nil"/>
                    <w:tr2bl w:val="nil"/>
                  </w:tcBorders>
                  <w:vAlign w:val="center"/>
                </w:tcPr>
                <w:p>
                  <w:pPr>
                    <w:pStyle w:val="2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highlight w:val="none"/>
                    </w:rPr>
                  </w:pPr>
                </w:p>
              </w:tc>
              <w:tc>
                <w:tcPr>
                  <w:tcW w:w="376" w:type="dxa"/>
                  <w:vMerge w:val="continue"/>
                  <w:tcBorders>
                    <w:tl2br w:val="nil"/>
                    <w:tr2bl w:val="nil"/>
                  </w:tcBorders>
                  <w:vAlign w:val="center"/>
                </w:tcPr>
                <w:p>
                  <w:pPr>
                    <w:pStyle w:val="2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highlight w:val="none"/>
                    </w:rPr>
                  </w:pPr>
                </w:p>
              </w:tc>
              <w:tc>
                <w:tcPr>
                  <w:tcW w:w="362" w:type="dxa"/>
                  <w:vMerge w:val="continue"/>
                  <w:tcBorders>
                    <w:tl2br w:val="nil"/>
                    <w:tr2bl w:val="nil"/>
                  </w:tcBorders>
                  <w:vAlign w:val="center"/>
                </w:tcPr>
                <w:p>
                  <w:pPr>
                    <w:pStyle w:val="2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highlight w:val="none"/>
                    </w:rPr>
                  </w:pPr>
                </w:p>
              </w:tc>
              <w:tc>
                <w:tcPr>
                  <w:tcW w:w="2179" w:type="dxa"/>
                  <w:tcBorders>
                    <w:tl2br w:val="nil"/>
                    <w:tr2bl w:val="nil"/>
                  </w:tcBorders>
                  <w:vAlign w:val="center"/>
                </w:tcPr>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i w:val="0"/>
                      <w:iCs w:val="0"/>
                      <w:caps w:val="0"/>
                      <w:color w:val="auto"/>
                      <w:spacing w:val="0"/>
                      <w:sz w:val="21"/>
                      <w:szCs w:val="21"/>
                      <w:highlight w:val="none"/>
                    </w:rPr>
                    <w:t>空间布局约束</w:t>
                  </w:r>
                </w:p>
              </w:tc>
              <w:tc>
                <w:tcPr>
                  <w:tcW w:w="1801" w:type="dxa"/>
                  <w:tcBorders>
                    <w:tl2br w:val="nil"/>
                    <w:tr2bl w:val="nil"/>
                  </w:tcBorders>
                  <w:vAlign w:val="center"/>
                </w:tcPr>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i w:val="0"/>
                      <w:iCs w:val="0"/>
                      <w:caps w:val="0"/>
                      <w:color w:val="auto"/>
                      <w:spacing w:val="0"/>
                      <w:sz w:val="21"/>
                      <w:szCs w:val="21"/>
                      <w:highlight w:val="none"/>
                    </w:rPr>
                    <w:t>污染物排放管控</w:t>
                  </w:r>
                </w:p>
              </w:tc>
              <w:tc>
                <w:tcPr>
                  <w:tcW w:w="561" w:type="dxa"/>
                  <w:tcBorders>
                    <w:tl2br w:val="nil"/>
                    <w:tr2bl w:val="nil"/>
                  </w:tcBorders>
                  <w:vAlign w:val="center"/>
                </w:tcPr>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i w:val="0"/>
                      <w:iCs w:val="0"/>
                      <w:caps w:val="0"/>
                      <w:color w:val="auto"/>
                      <w:spacing w:val="-23"/>
                      <w:sz w:val="21"/>
                      <w:szCs w:val="21"/>
                      <w:highlight w:val="none"/>
                    </w:rPr>
                    <w:t>环境风险防控</w:t>
                  </w:r>
                </w:p>
              </w:tc>
              <w:tc>
                <w:tcPr>
                  <w:tcW w:w="596" w:type="dxa"/>
                  <w:tcBorders>
                    <w:tl2br w:val="nil"/>
                    <w:tr2bl w:val="nil"/>
                  </w:tcBorders>
                  <w:vAlign w:val="center"/>
                </w:tcPr>
                <w:p>
                  <w:pPr>
                    <w:pStyle w:val="2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pacing w:val="-17"/>
                      <w:sz w:val="21"/>
                      <w:szCs w:val="21"/>
                      <w:highlight w:val="none"/>
                      <w:vertAlign w:val="baseline"/>
                    </w:rPr>
                    <w:t>资源开发效率要求</w:t>
                  </w:r>
                </w:p>
              </w:tc>
              <w:tc>
                <w:tcPr>
                  <w:tcW w:w="996" w:type="dxa"/>
                  <w:vMerge w:val="continue"/>
                  <w:tcBorders>
                    <w:tl2br w:val="nil"/>
                    <w:tr2bl w:val="nil"/>
                  </w:tcBorders>
                  <w:vAlign w:val="center"/>
                </w:tcPr>
                <w:p>
                  <w:pPr>
                    <w:pStyle w:val="2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8" w:type="dxa"/>
                  <w:tcBorders>
                    <w:tl2br w:val="nil"/>
                    <w:tr2bl w:val="nil"/>
                  </w:tcBorders>
                  <w:vAlign w:val="center"/>
                </w:tcPr>
                <w:p>
                  <w:pPr>
                    <w:pStyle w:val="2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rPr>
                    <w:t>ZH640423100</w:t>
                  </w:r>
                  <w:r>
                    <w:rPr>
                      <w:rFonts w:hint="eastAsia" w:cs="Times New Roman"/>
                      <w:color w:val="auto"/>
                      <w:sz w:val="21"/>
                      <w:szCs w:val="21"/>
                      <w:highlight w:val="none"/>
                      <w:vertAlign w:val="baseline"/>
                      <w:lang w:val="en-US" w:eastAsia="zh-CN"/>
                    </w:rPr>
                    <w:t>10</w:t>
                  </w:r>
                </w:p>
              </w:tc>
              <w:tc>
                <w:tcPr>
                  <w:tcW w:w="678" w:type="dxa"/>
                  <w:tcBorders>
                    <w:tl2br w:val="nil"/>
                    <w:tr2bl w:val="nil"/>
                  </w:tcBorders>
                  <w:vAlign w:val="center"/>
                </w:tcPr>
                <w:p>
                  <w:pPr>
                    <w:pStyle w:val="2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隆德县优先保护单元1</w:t>
                  </w:r>
                </w:p>
              </w:tc>
              <w:tc>
                <w:tcPr>
                  <w:tcW w:w="376" w:type="dxa"/>
                  <w:tcBorders>
                    <w:tl2br w:val="nil"/>
                    <w:tr2bl w:val="nil"/>
                  </w:tcBorders>
                  <w:vAlign w:val="center"/>
                </w:tcPr>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生态空间+水环境优先保护区</w:t>
                  </w:r>
                </w:p>
              </w:tc>
              <w:tc>
                <w:tcPr>
                  <w:tcW w:w="362" w:type="dxa"/>
                  <w:tcBorders>
                    <w:tl2br w:val="nil"/>
                    <w:tr2bl w:val="nil"/>
                  </w:tcBorders>
                  <w:vAlign w:val="center"/>
                </w:tcPr>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i w:val="0"/>
                      <w:iCs w:val="0"/>
                      <w:caps w:val="0"/>
                      <w:color w:val="auto"/>
                      <w:spacing w:val="0"/>
                      <w:sz w:val="21"/>
                      <w:szCs w:val="21"/>
                      <w:highlight w:val="none"/>
                    </w:rPr>
                    <w:t>优先保护单元</w:t>
                  </w:r>
                </w:p>
              </w:tc>
              <w:tc>
                <w:tcPr>
                  <w:tcW w:w="2179" w:type="dxa"/>
                  <w:tcBorders>
                    <w:tl2br w:val="nil"/>
                    <w:tr2bl w:val="nil"/>
                  </w:tcBorders>
                  <w:vAlign w:val="center"/>
                </w:tcPr>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i w:val="0"/>
                      <w:iCs w:val="0"/>
                      <w:caps w:val="0"/>
                      <w:color w:val="auto"/>
                      <w:spacing w:val="0"/>
                      <w:sz w:val="21"/>
                      <w:szCs w:val="21"/>
                      <w:highlight w:val="none"/>
                    </w:rPr>
                    <w:t>1.六盘山自治区级自然保护区等自然保护地参照相关法律法规的要求，按照禁止开发区域进行管理。2.除国家重大战略项目以及对生态功能不造成破坏的八类有限人为活动之外，严格禁止各类开发性、生产性建设活动。加快开展自然保护地内违法违规人类活动的清退工作，开展生态恢复与治理。</w:t>
                  </w:r>
                </w:p>
              </w:tc>
              <w:tc>
                <w:tcPr>
                  <w:tcW w:w="1801" w:type="dxa"/>
                  <w:tcBorders>
                    <w:tl2br w:val="nil"/>
                    <w:tr2bl w:val="nil"/>
                  </w:tcBorders>
                  <w:vAlign w:val="center"/>
                </w:tcPr>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i w:val="0"/>
                      <w:iCs w:val="0"/>
                      <w:caps w:val="0"/>
                      <w:color w:val="auto"/>
                      <w:spacing w:val="0"/>
                      <w:sz w:val="21"/>
                      <w:szCs w:val="21"/>
                      <w:highlight w:val="none"/>
                    </w:rPr>
                    <w:t>/</w:t>
                  </w:r>
                </w:p>
              </w:tc>
              <w:tc>
                <w:tcPr>
                  <w:tcW w:w="56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i w:val="0"/>
                      <w:iCs w:val="0"/>
                      <w:caps w:val="0"/>
                      <w:color w:val="auto"/>
                      <w:spacing w:val="0"/>
                      <w:sz w:val="21"/>
                      <w:szCs w:val="21"/>
                      <w:highlight w:val="none"/>
                    </w:rPr>
                    <w:t>/</w:t>
                  </w:r>
                </w:p>
              </w:tc>
              <w:tc>
                <w:tcPr>
                  <w:tcW w:w="596"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i w:val="0"/>
                      <w:iCs w:val="0"/>
                      <w:caps w:val="0"/>
                      <w:color w:val="auto"/>
                      <w:spacing w:val="0"/>
                      <w:sz w:val="21"/>
                      <w:szCs w:val="21"/>
                      <w:highlight w:val="none"/>
                    </w:rPr>
                    <w:t>/</w:t>
                  </w:r>
                </w:p>
              </w:tc>
              <w:tc>
                <w:tcPr>
                  <w:tcW w:w="996"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aps w:val="0"/>
                      <w:color w:val="auto"/>
                      <w:spacing w:val="-11"/>
                      <w:sz w:val="21"/>
                      <w:szCs w:val="21"/>
                      <w:highlight w:val="none"/>
                      <w:lang w:val="en-US" w:eastAsia="zh-CN"/>
                    </w:rPr>
                    <w:t>本项目为城市防洪排涝提升项目，</w:t>
                  </w:r>
                  <w:r>
                    <w:rPr>
                      <w:rFonts w:hint="eastAsia" w:cs="Times New Roman"/>
                      <w:i w:val="0"/>
                      <w:iCs w:val="0"/>
                      <w:caps w:val="0"/>
                      <w:color w:val="auto"/>
                      <w:spacing w:val="-11"/>
                      <w:sz w:val="21"/>
                      <w:szCs w:val="21"/>
                      <w:highlight w:val="none"/>
                      <w:lang w:val="en-US" w:eastAsia="zh-CN"/>
                    </w:rPr>
                    <w:t>属于八类有限人为活动中必要的公共设施建设项目，项目完成后对开挖的地表进行回填和植被恢复，符合管控要求。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8" w:type="dxa"/>
                  <w:tcBorders>
                    <w:tl2br w:val="nil"/>
                    <w:tr2bl w:val="nil"/>
                  </w:tcBorders>
                  <w:vAlign w:val="center"/>
                </w:tcPr>
                <w:p>
                  <w:pPr>
                    <w:pStyle w:val="2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ZH64042320002</w:t>
                  </w:r>
                </w:p>
              </w:tc>
              <w:tc>
                <w:tcPr>
                  <w:tcW w:w="678" w:type="dxa"/>
                  <w:tcBorders>
                    <w:tl2br w:val="nil"/>
                    <w:tr2bl w:val="nil"/>
                  </w:tcBorders>
                  <w:vAlign w:val="center"/>
                </w:tcPr>
                <w:p>
                  <w:pPr>
                    <w:pStyle w:val="2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隆德县重点管控单元1</w:t>
                  </w:r>
                </w:p>
              </w:tc>
              <w:tc>
                <w:tcPr>
                  <w:tcW w:w="376" w:type="dxa"/>
                  <w:tcBorders>
                    <w:tl2br w:val="nil"/>
                    <w:tr2bl w:val="nil"/>
                  </w:tcBorders>
                  <w:vAlign w:val="center"/>
                </w:tcPr>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大气环境受体敏感区＋高污染燃料禁燃区</w:t>
                  </w:r>
                </w:p>
              </w:tc>
              <w:tc>
                <w:tcPr>
                  <w:tcW w:w="362" w:type="dxa"/>
                  <w:tcBorders>
                    <w:tl2br w:val="nil"/>
                    <w:tr2bl w:val="nil"/>
                  </w:tcBorders>
                  <w:vAlign w:val="center"/>
                </w:tcPr>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rPr>
                  </w:pPr>
                  <w:r>
                    <w:rPr>
                      <w:rFonts w:hint="default" w:ascii="Times New Roman" w:hAnsi="Times New Roman" w:eastAsia="宋体" w:cs="Times New Roman"/>
                      <w:i w:val="0"/>
                      <w:iCs w:val="0"/>
                      <w:caps w:val="0"/>
                      <w:color w:val="auto"/>
                      <w:spacing w:val="0"/>
                      <w:sz w:val="21"/>
                      <w:szCs w:val="21"/>
                      <w:highlight w:val="none"/>
                    </w:rPr>
                    <w:t>重点管控单元</w:t>
                  </w:r>
                </w:p>
              </w:tc>
              <w:tc>
                <w:tcPr>
                  <w:tcW w:w="2179" w:type="dxa"/>
                  <w:tcBorders>
                    <w:tl2br w:val="nil"/>
                    <w:tr2bl w:val="nil"/>
                  </w:tcBorders>
                  <w:vAlign w:val="center"/>
                </w:tcPr>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rPr>
                  </w:pPr>
                  <w:r>
                    <w:rPr>
                      <w:rFonts w:hint="default" w:ascii="Times New Roman" w:hAnsi="Times New Roman" w:eastAsia="宋体" w:cs="Times New Roman"/>
                      <w:i w:val="0"/>
                      <w:iCs w:val="0"/>
                      <w:caps w:val="0"/>
                      <w:color w:val="auto"/>
                      <w:spacing w:val="0"/>
                      <w:sz w:val="21"/>
                      <w:szCs w:val="21"/>
                      <w:highlight w:val="none"/>
                    </w:rPr>
                    <w:t>1.禁止新建涉及大规模排放大气污染物和VOCs排放的工业项目。2.禁止新建涉及有毒有害大气污染物排放的项目。3.严格限制新建涉及恶臭污染物、颗粒物无组织排放的项目。</w:t>
                  </w:r>
                </w:p>
              </w:tc>
              <w:tc>
                <w:tcPr>
                  <w:tcW w:w="1801" w:type="dxa"/>
                  <w:tcBorders>
                    <w:tl2br w:val="nil"/>
                    <w:tr2bl w:val="nil"/>
                  </w:tcBorders>
                  <w:vAlign w:val="center"/>
                </w:tcPr>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rPr>
                  </w:pPr>
                  <w:r>
                    <w:rPr>
                      <w:rFonts w:hint="default" w:ascii="Times New Roman" w:hAnsi="Times New Roman" w:eastAsia="宋体" w:cs="Times New Roman"/>
                      <w:i w:val="0"/>
                      <w:iCs w:val="0"/>
                      <w:caps w:val="0"/>
                      <w:color w:val="auto"/>
                      <w:spacing w:val="0"/>
                      <w:sz w:val="21"/>
                      <w:szCs w:val="21"/>
                      <w:highlight w:val="none"/>
                    </w:rPr>
                    <w:t>1改建、扩建水泥、建材等行业项目应实施主要大气污染物等量替代。2.新建或改扩建畜禽规模养殖场应依法依规开展环境影响评价，配套建设粪污处理设施，提高粪污综合利用率。3.宁夏易巨能实业有限公司应采取有效措施，减小燃煤、灰渣等物料贮存转运产生的颗粒物排放。（超低排放改造）</w:t>
                  </w:r>
                </w:p>
              </w:tc>
              <w:tc>
                <w:tcPr>
                  <w:tcW w:w="56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i w:val="0"/>
                      <w:iCs w:val="0"/>
                      <w:caps w:val="0"/>
                      <w:color w:val="auto"/>
                      <w:spacing w:val="0"/>
                      <w:sz w:val="21"/>
                      <w:szCs w:val="21"/>
                      <w:highlight w:val="none"/>
                      <w:lang w:val="en-US" w:eastAsia="zh-CN"/>
                    </w:rPr>
                  </w:pPr>
                  <w:r>
                    <w:rPr>
                      <w:rFonts w:hint="eastAsia" w:cs="Times New Roman"/>
                      <w:i w:val="0"/>
                      <w:iCs w:val="0"/>
                      <w:caps w:val="0"/>
                      <w:color w:val="auto"/>
                      <w:spacing w:val="0"/>
                      <w:sz w:val="21"/>
                      <w:szCs w:val="21"/>
                      <w:highlight w:val="none"/>
                      <w:lang w:val="en-US" w:eastAsia="zh-CN"/>
                    </w:rPr>
                    <w:t>/</w:t>
                  </w:r>
                </w:p>
              </w:tc>
              <w:tc>
                <w:tcPr>
                  <w:tcW w:w="596"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i w:val="0"/>
                      <w:iCs w:val="0"/>
                      <w:caps w:val="0"/>
                      <w:color w:val="auto"/>
                      <w:spacing w:val="0"/>
                      <w:sz w:val="21"/>
                      <w:szCs w:val="21"/>
                      <w:highlight w:val="none"/>
                      <w:lang w:val="en-US" w:eastAsia="zh-CN"/>
                    </w:rPr>
                  </w:pPr>
                  <w:r>
                    <w:rPr>
                      <w:rFonts w:hint="eastAsia" w:cs="Times New Roman"/>
                      <w:i w:val="0"/>
                      <w:iCs w:val="0"/>
                      <w:caps w:val="0"/>
                      <w:color w:val="auto"/>
                      <w:spacing w:val="0"/>
                      <w:sz w:val="21"/>
                      <w:szCs w:val="21"/>
                      <w:highlight w:val="none"/>
                      <w:lang w:val="en-US" w:eastAsia="zh-CN"/>
                    </w:rPr>
                    <w:t>/</w:t>
                  </w:r>
                </w:p>
              </w:tc>
              <w:tc>
                <w:tcPr>
                  <w:tcW w:w="996"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i w:val="0"/>
                      <w:iCs w:val="0"/>
                      <w:caps w:val="0"/>
                      <w:color w:val="auto"/>
                      <w:spacing w:val="-11"/>
                      <w:sz w:val="21"/>
                      <w:szCs w:val="21"/>
                      <w:highlight w:val="none"/>
                      <w:lang w:val="en-US" w:eastAsia="zh-CN"/>
                    </w:rPr>
                  </w:pPr>
                  <w:r>
                    <w:rPr>
                      <w:rFonts w:hint="default" w:ascii="Times New Roman" w:hAnsi="Times New Roman" w:eastAsia="宋体" w:cs="Times New Roman"/>
                      <w:i w:val="0"/>
                      <w:iCs w:val="0"/>
                      <w:caps w:val="0"/>
                      <w:color w:val="auto"/>
                      <w:spacing w:val="-11"/>
                      <w:sz w:val="21"/>
                      <w:szCs w:val="21"/>
                      <w:highlight w:val="none"/>
                      <w:lang w:val="en-US" w:eastAsia="zh-CN"/>
                    </w:rPr>
                    <w:t>本项目为排洪渠建设、现状排洪渠清淤、边坡治理工程，</w:t>
                  </w:r>
                  <w:r>
                    <w:rPr>
                      <w:rFonts w:hint="eastAsia" w:cs="Times New Roman"/>
                      <w:i w:val="0"/>
                      <w:iCs w:val="0"/>
                      <w:caps w:val="0"/>
                      <w:color w:val="auto"/>
                      <w:spacing w:val="-11"/>
                      <w:sz w:val="21"/>
                      <w:szCs w:val="21"/>
                      <w:highlight w:val="none"/>
                      <w:lang w:val="en-US" w:eastAsia="zh-CN"/>
                    </w:rPr>
                    <w:t>项目实施可对整个城市雨水系统进行补充完善，增强城市防洪排涝能力，不属于工业污染类项目。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8" w:type="dxa"/>
                  <w:tcBorders>
                    <w:tl2br w:val="nil"/>
                    <w:tr2bl w:val="nil"/>
                  </w:tcBorders>
                  <w:vAlign w:val="center"/>
                </w:tcPr>
                <w:p>
                  <w:pPr>
                    <w:pStyle w:val="2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ZH64042310003</w:t>
                  </w:r>
                </w:p>
              </w:tc>
              <w:tc>
                <w:tcPr>
                  <w:tcW w:w="678" w:type="dxa"/>
                  <w:tcBorders>
                    <w:tl2br w:val="nil"/>
                    <w:tr2bl w:val="nil"/>
                  </w:tcBorders>
                  <w:vAlign w:val="center"/>
                </w:tcPr>
                <w:p>
                  <w:pPr>
                    <w:pStyle w:val="2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sz w:val="21"/>
                      <w:szCs w:val="21"/>
                      <w:highlight w:val="none"/>
                      <w:vertAlign w:val="baseline"/>
                      <w:lang w:eastAsia="zh-CN"/>
                    </w:rPr>
                  </w:pPr>
                  <w:r>
                    <w:rPr>
                      <w:rFonts w:hint="eastAsia" w:cs="Times New Roman"/>
                      <w:color w:val="auto"/>
                      <w:sz w:val="21"/>
                      <w:szCs w:val="21"/>
                      <w:highlight w:val="none"/>
                      <w:vertAlign w:val="baseline"/>
                      <w:lang w:eastAsia="zh-CN"/>
                    </w:rPr>
                    <w:t>隆德县固原清凉山自治区级森林自然公园优先保护单元</w:t>
                  </w:r>
                </w:p>
              </w:tc>
              <w:tc>
                <w:tcPr>
                  <w:tcW w:w="376" w:type="dxa"/>
                  <w:tcBorders>
                    <w:tl2br w:val="nil"/>
                    <w:tr2bl w:val="nil"/>
                  </w:tcBorders>
                  <w:vAlign w:val="center"/>
                </w:tcPr>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cs="Times New Roman"/>
                      <w:color w:val="auto"/>
                      <w:sz w:val="21"/>
                      <w:szCs w:val="21"/>
                      <w:highlight w:val="none"/>
                      <w:vertAlign w:val="baseline"/>
                      <w:lang w:eastAsia="zh-CN"/>
                    </w:rPr>
                    <w:t>清凉山</w:t>
                  </w:r>
                  <w:r>
                    <w:rPr>
                      <w:rFonts w:hint="eastAsia" w:cs="Times New Roman"/>
                      <w:color w:val="auto"/>
                      <w:sz w:val="21"/>
                      <w:szCs w:val="21"/>
                      <w:highlight w:val="none"/>
                      <w:vertAlign w:val="baseline"/>
                      <w:lang w:eastAsia="zh-CN"/>
                    </w:rPr>
                    <w:t>自治区级森林自然公园</w:t>
                  </w:r>
                </w:p>
              </w:tc>
              <w:tc>
                <w:tcPr>
                  <w:tcW w:w="362" w:type="dxa"/>
                  <w:tcBorders>
                    <w:tl2br w:val="nil"/>
                    <w:tr2bl w:val="nil"/>
                  </w:tcBorders>
                  <w:vAlign w:val="center"/>
                </w:tcPr>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aps w:val="0"/>
                      <w:color w:val="auto"/>
                      <w:spacing w:val="0"/>
                      <w:sz w:val="21"/>
                      <w:szCs w:val="21"/>
                      <w:highlight w:val="none"/>
                      <w:lang w:eastAsia="zh-CN"/>
                    </w:rPr>
                  </w:pPr>
                  <w:r>
                    <w:rPr>
                      <w:rFonts w:hint="eastAsia" w:ascii="Times New Roman" w:hAnsi="Times New Roman" w:cs="Times New Roman"/>
                      <w:i w:val="0"/>
                      <w:iCs w:val="0"/>
                      <w:caps w:val="0"/>
                      <w:color w:val="auto"/>
                      <w:spacing w:val="0"/>
                      <w:sz w:val="21"/>
                      <w:szCs w:val="21"/>
                      <w:highlight w:val="none"/>
                      <w:lang w:eastAsia="zh-CN"/>
                    </w:rPr>
                    <w:t>优先保护单元</w:t>
                  </w:r>
                </w:p>
              </w:tc>
              <w:tc>
                <w:tcPr>
                  <w:tcW w:w="2179" w:type="dxa"/>
                  <w:tcBorders>
                    <w:tl2br w:val="nil"/>
                    <w:tr2bl w:val="nil"/>
                  </w:tcBorders>
                  <w:vAlign w:val="center"/>
                </w:tcPr>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rPr>
                  </w:pPr>
                  <w:r>
                    <w:rPr>
                      <w:rFonts w:hint="eastAsia" w:ascii="Times New Roman" w:hAnsi="Times New Roman" w:cs="Times New Roman"/>
                      <w:i w:val="0"/>
                      <w:iCs w:val="0"/>
                      <w:caps w:val="0"/>
                      <w:color w:val="auto"/>
                      <w:spacing w:val="0"/>
                      <w:sz w:val="21"/>
                      <w:szCs w:val="21"/>
                      <w:highlight w:val="none"/>
                      <w:lang w:val="en-US" w:eastAsia="zh-CN"/>
                    </w:rPr>
                    <w:t>1.</w:t>
                  </w:r>
                  <w:r>
                    <w:rPr>
                      <w:rFonts w:hint="default" w:ascii="Times New Roman" w:hAnsi="Times New Roman" w:eastAsia="宋体" w:cs="Times New Roman"/>
                      <w:i w:val="0"/>
                      <w:iCs w:val="0"/>
                      <w:caps w:val="0"/>
                      <w:color w:val="auto"/>
                      <w:spacing w:val="0"/>
                      <w:sz w:val="21"/>
                      <w:szCs w:val="21"/>
                      <w:highlight w:val="none"/>
                    </w:rPr>
                    <w:t>清凉山自治区级森林自然公园参照相关法律法规的要求进行管理。2.自然公园范围内除国家重大项目外，仅允许对生态功能不造成破坏的四类有限人为活动。</w:t>
                  </w:r>
                </w:p>
              </w:tc>
              <w:tc>
                <w:tcPr>
                  <w:tcW w:w="1801" w:type="dxa"/>
                  <w:tcBorders>
                    <w:tl2br w:val="nil"/>
                    <w:tr2bl w:val="nil"/>
                  </w:tcBorders>
                  <w:vAlign w:val="center"/>
                </w:tcPr>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lang w:val="en-US" w:eastAsia="zh-CN"/>
                    </w:rPr>
                  </w:pPr>
                  <w:r>
                    <w:rPr>
                      <w:rFonts w:hint="eastAsia" w:ascii="Times New Roman" w:hAnsi="Times New Roman" w:cs="Times New Roman"/>
                      <w:i w:val="0"/>
                      <w:iCs w:val="0"/>
                      <w:caps w:val="0"/>
                      <w:color w:val="auto"/>
                      <w:spacing w:val="0"/>
                      <w:sz w:val="21"/>
                      <w:szCs w:val="21"/>
                      <w:highlight w:val="none"/>
                      <w:lang w:val="en-US" w:eastAsia="zh-CN"/>
                    </w:rPr>
                    <w:t>/</w:t>
                  </w:r>
                </w:p>
              </w:tc>
              <w:tc>
                <w:tcPr>
                  <w:tcW w:w="56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i w:val="0"/>
                      <w:iCs w:val="0"/>
                      <w:caps w:val="0"/>
                      <w:color w:val="auto"/>
                      <w:spacing w:val="0"/>
                      <w:sz w:val="21"/>
                      <w:szCs w:val="21"/>
                      <w:highlight w:val="none"/>
                      <w:lang w:val="en-US" w:eastAsia="zh-CN"/>
                    </w:rPr>
                  </w:pPr>
                  <w:r>
                    <w:rPr>
                      <w:rFonts w:hint="eastAsia" w:cs="Times New Roman"/>
                      <w:i w:val="0"/>
                      <w:iCs w:val="0"/>
                      <w:caps w:val="0"/>
                      <w:color w:val="auto"/>
                      <w:spacing w:val="0"/>
                      <w:sz w:val="21"/>
                      <w:szCs w:val="21"/>
                      <w:highlight w:val="none"/>
                      <w:lang w:val="en-US" w:eastAsia="zh-CN"/>
                    </w:rPr>
                    <w:t>/</w:t>
                  </w:r>
                </w:p>
              </w:tc>
              <w:tc>
                <w:tcPr>
                  <w:tcW w:w="596"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i w:val="0"/>
                      <w:iCs w:val="0"/>
                      <w:caps w:val="0"/>
                      <w:color w:val="auto"/>
                      <w:spacing w:val="0"/>
                      <w:sz w:val="21"/>
                      <w:szCs w:val="21"/>
                      <w:highlight w:val="none"/>
                      <w:lang w:val="en-US" w:eastAsia="zh-CN"/>
                    </w:rPr>
                  </w:pPr>
                  <w:r>
                    <w:rPr>
                      <w:rFonts w:hint="eastAsia" w:cs="Times New Roman"/>
                      <w:i w:val="0"/>
                      <w:iCs w:val="0"/>
                      <w:caps w:val="0"/>
                      <w:color w:val="auto"/>
                      <w:spacing w:val="0"/>
                      <w:sz w:val="21"/>
                      <w:szCs w:val="21"/>
                      <w:highlight w:val="none"/>
                      <w:lang w:val="en-US" w:eastAsia="zh-CN"/>
                    </w:rPr>
                    <w:t>/</w:t>
                  </w:r>
                </w:p>
              </w:tc>
              <w:tc>
                <w:tcPr>
                  <w:tcW w:w="996"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i w:val="0"/>
                      <w:iCs w:val="0"/>
                      <w:caps w:val="0"/>
                      <w:color w:val="auto"/>
                      <w:spacing w:val="-11"/>
                      <w:sz w:val="21"/>
                      <w:szCs w:val="21"/>
                      <w:highlight w:val="none"/>
                      <w:lang w:val="en-US" w:eastAsia="zh-CN"/>
                    </w:rPr>
                  </w:pPr>
                  <w:r>
                    <w:rPr>
                      <w:rFonts w:hint="default" w:ascii="Times New Roman" w:hAnsi="Times New Roman" w:eastAsia="宋体" w:cs="Times New Roman"/>
                      <w:i w:val="0"/>
                      <w:iCs w:val="0"/>
                      <w:caps w:val="0"/>
                      <w:color w:val="auto"/>
                      <w:spacing w:val="-11"/>
                      <w:sz w:val="21"/>
                      <w:szCs w:val="21"/>
                      <w:highlight w:val="none"/>
                      <w:lang w:val="en-US" w:eastAsia="zh-CN"/>
                    </w:rPr>
                    <w:t>本项目为城市防洪排涝提升项目，</w:t>
                  </w:r>
                  <w:r>
                    <w:rPr>
                      <w:rFonts w:hint="eastAsia" w:ascii="Times New Roman" w:hAnsi="Times New Roman" w:eastAsia="宋体" w:cs="Times New Roman"/>
                      <w:i w:val="0"/>
                      <w:iCs w:val="0"/>
                      <w:caps w:val="0"/>
                      <w:color w:val="auto"/>
                      <w:spacing w:val="-11"/>
                      <w:sz w:val="21"/>
                      <w:szCs w:val="21"/>
                      <w:highlight w:val="none"/>
                      <w:lang w:val="en-US" w:eastAsia="zh-CN"/>
                    </w:rPr>
                    <w:t>属于国家政策规定的9类对生态功能不造成破坏的有限人为活动第六条：必须且无法避让、符合县级以上国土空间规划的线性基础设施、通讯和防洪、供水设施建设和船舶航行、航道清淤等活动。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8" w:type="dxa"/>
                  <w:tcBorders>
                    <w:tl2br w:val="nil"/>
                    <w:tr2bl w:val="nil"/>
                  </w:tcBorders>
                  <w:vAlign w:val="center"/>
                </w:tcPr>
                <w:p>
                  <w:pPr>
                    <w:pStyle w:val="2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ZH64042310011</w:t>
                  </w:r>
                </w:p>
              </w:tc>
              <w:tc>
                <w:tcPr>
                  <w:tcW w:w="678" w:type="dxa"/>
                  <w:tcBorders>
                    <w:tl2br w:val="nil"/>
                    <w:tr2bl w:val="nil"/>
                  </w:tcBorders>
                  <w:vAlign w:val="center"/>
                </w:tcPr>
                <w:p>
                  <w:pPr>
                    <w:pStyle w:val="2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隆德县优先保护单元2</w:t>
                  </w:r>
                </w:p>
              </w:tc>
              <w:tc>
                <w:tcPr>
                  <w:tcW w:w="376" w:type="dxa"/>
                  <w:tcBorders>
                    <w:tl2br w:val="nil"/>
                    <w:tr2bl w:val="nil"/>
                  </w:tcBorders>
                  <w:vAlign w:val="center"/>
                </w:tcPr>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i w:val="0"/>
                      <w:iCs w:val="0"/>
                      <w:caps w:val="0"/>
                      <w:color w:val="auto"/>
                      <w:spacing w:val="0"/>
                      <w:sz w:val="21"/>
                      <w:szCs w:val="21"/>
                      <w:highlight w:val="none"/>
                    </w:rPr>
                    <w:t>生态空间</w:t>
                  </w:r>
                </w:p>
              </w:tc>
              <w:tc>
                <w:tcPr>
                  <w:tcW w:w="362" w:type="dxa"/>
                  <w:tcBorders>
                    <w:tl2br w:val="nil"/>
                    <w:tr2bl w:val="nil"/>
                  </w:tcBorders>
                  <w:vAlign w:val="center"/>
                </w:tcPr>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rPr>
                  </w:pPr>
                  <w:r>
                    <w:rPr>
                      <w:rFonts w:hint="default" w:ascii="Times New Roman" w:hAnsi="Times New Roman" w:eastAsia="宋体" w:cs="Times New Roman"/>
                      <w:i w:val="0"/>
                      <w:iCs w:val="0"/>
                      <w:caps w:val="0"/>
                      <w:color w:val="auto"/>
                      <w:spacing w:val="0"/>
                      <w:sz w:val="21"/>
                      <w:szCs w:val="21"/>
                      <w:highlight w:val="none"/>
                    </w:rPr>
                    <w:t>优先保为单</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rPr>
                  </w:pPr>
                  <w:r>
                    <w:rPr>
                      <w:rFonts w:hint="default" w:ascii="Times New Roman" w:hAnsi="Times New Roman" w:eastAsia="宋体" w:cs="Times New Roman"/>
                      <w:i w:val="0"/>
                      <w:iCs w:val="0"/>
                      <w:caps w:val="0"/>
                      <w:color w:val="auto"/>
                      <w:spacing w:val="0"/>
                      <w:sz w:val="21"/>
                      <w:szCs w:val="21"/>
                      <w:highlight w:val="none"/>
                    </w:rPr>
                    <w:t>衣</w:t>
                  </w:r>
                </w:p>
              </w:tc>
              <w:tc>
                <w:tcPr>
                  <w:tcW w:w="2179" w:type="dxa"/>
                  <w:tcBorders>
                    <w:tl2br w:val="nil"/>
                    <w:tr2bl w:val="nil"/>
                  </w:tcBorders>
                  <w:vAlign w:val="center"/>
                </w:tcPr>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rPr>
                  </w:pPr>
                  <w:r>
                    <w:rPr>
                      <w:rFonts w:hint="default" w:ascii="Times New Roman" w:hAnsi="Times New Roman" w:eastAsia="宋体" w:cs="Times New Roman"/>
                      <w:i w:val="0"/>
                      <w:iCs w:val="0"/>
                      <w:caps w:val="0"/>
                      <w:color w:val="auto"/>
                      <w:spacing w:val="0"/>
                      <w:sz w:val="21"/>
                      <w:szCs w:val="21"/>
                      <w:highlight w:val="none"/>
                    </w:rPr>
                    <w:t>1.禁止在二十五度以上陡坡地开垦种植农作物。2.生态保护红线内，除国家重大战略项目以及对生态功能不造成破坏的十类有限人为活动之外，严格禁止各类开发性、生产性建设活动。-般生态空间内，在生态保护红线正面清单的基础上，仅允许开展生态修复等对生态环境扰动较小、不损害或有利于提升生态功能的开发项目。生态保护红线和</w:t>
                  </w:r>
                  <w:r>
                    <w:rPr>
                      <w:rFonts w:hint="eastAsia" w:ascii="Times New Roman" w:hAnsi="Times New Roman" w:cs="Times New Roman"/>
                      <w:i w:val="0"/>
                      <w:iCs w:val="0"/>
                      <w:caps w:val="0"/>
                      <w:color w:val="auto"/>
                      <w:spacing w:val="0"/>
                      <w:sz w:val="21"/>
                      <w:szCs w:val="21"/>
                      <w:highlight w:val="none"/>
                      <w:lang w:eastAsia="zh-CN"/>
                    </w:rPr>
                    <w:t>一</w:t>
                  </w:r>
                  <w:r>
                    <w:rPr>
                      <w:rFonts w:hint="default" w:ascii="Times New Roman" w:hAnsi="Times New Roman" w:eastAsia="宋体" w:cs="Times New Roman"/>
                      <w:i w:val="0"/>
                      <w:iCs w:val="0"/>
                      <w:caps w:val="0"/>
                      <w:color w:val="auto"/>
                      <w:spacing w:val="0"/>
                      <w:sz w:val="21"/>
                      <w:szCs w:val="21"/>
                      <w:highlight w:val="none"/>
                    </w:rPr>
                    <w:t>般生态空间以外的其他区域，除国家、自治区重大战略规划项目和不可避让生态红线的十类建设项目外，禁止新建排放污染物的各类工业和规模化养殖项目。</w:t>
                  </w:r>
                </w:p>
              </w:tc>
              <w:tc>
                <w:tcPr>
                  <w:tcW w:w="1801" w:type="dxa"/>
                  <w:tcBorders>
                    <w:tl2br w:val="nil"/>
                    <w:tr2bl w:val="nil"/>
                  </w:tcBorders>
                  <w:vAlign w:val="center"/>
                </w:tcPr>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rPr>
                  </w:pPr>
                  <w:r>
                    <w:rPr>
                      <w:rFonts w:hint="eastAsia" w:ascii="Times New Roman" w:hAnsi="Times New Roman" w:cs="Times New Roman"/>
                      <w:i w:val="0"/>
                      <w:iCs w:val="0"/>
                      <w:caps w:val="0"/>
                      <w:color w:val="auto"/>
                      <w:spacing w:val="0"/>
                      <w:sz w:val="21"/>
                      <w:szCs w:val="21"/>
                      <w:highlight w:val="none"/>
                      <w:lang w:val="en-US" w:eastAsia="zh-CN"/>
                    </w:rPr>
                    <w:t>/</w:t>
                  </w:r>
                </w:p>
              </w:tc>
              <w:tc>
                <w:tcPr>
                  <w:tcW w:w="56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cs="Times New Roman"/>
                      <w:i w:val="0"/>
                      <w:iCs w:val="0"/>
                      <w:caps w:val="0"/>
                      <w:color w:val="auto"/>
                      <w:spacing w:val="0"/>
                      <w:sz w:val="21"/>
                      <w:szCs w:val="21"/>
                      <w:highlight w:val="none"/>
                      <w:lang w:val="en-US" w:eastAsia="zh-CN"/>
                    </w:rPr>
                  </w:pPr>
                  <w:r>
                    <w:rPr>
                      <w:rFonts w:hint="eastAsia" w:ascii="Times New Roman" w:hAnsi="Times New Roman" w:cs="Times New Roman"/>
                      <w:i w:val="0"/>
                      <w:iCs w:val="0"/>
                      <w:caps w:val="0"/>
                      <w:color w:val="auto"/>
                      <w:spacing w:val="0"/>
                      <w:sz w:val="21"/>
                      <w:szCs w:val="21"/>
                      <w:highlight w:val="none"/>
                      <w:lang w:val="en-US" w:eastAsia="zh-CN"/>
                    </w:rPr>
                    <w:t>/</w:t>
                  </w:r>
                </w:p>
              </w:tc>
              <w:tc>
                <w:tcPr>
                  <w:tcW w:w="596"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cs="Times New Roman"/>
                      <w:i w:val="0"/>
                      <w:iCs w:val="0"/>
                      <w:caps w:val="0"/>
                      <w:color w:val="auto"/>
                      <w:spacing w:val="0"/>
                      <w:sz w:val="21"/>
                      <w:szCs w:val="21"/>
                      <w:highlight w:val="none"/>
                      <w:lang w:val="en-US" w:eastAsia="zh-CN"/>
                    </w:rPr>
                  </w:pPr>
                  <w:r>
                    <w:rPr>
                      <w:rFonts w:hint="eastAsia" w:ascii="Times New Roman" w:hAnsi="Times New Roman" w:cs="Times New Roman"/>
                      <w:i w:val="0"/>
                      <w:iCs w:val="0"/>
                      <w:caps w:val="0"/>
                      <w:color w:val="auto"/>
                      <w:spacing w:val="0"/>
                      <w:sz w:val="21"/>
                      <w:szCs w:val="21"/>
                      <w:highlight w:val="none"/>
                      <w:lang w:val="en-US" w:eastAsia="zh-CN"/>
                    </w:rPr>
                    <w:t>/</w:t>
                  </w:r>
                </w:p>
              </w:tc>
              <w:tc>
                <w:tcPr>
                  <w:tcW w:w="996"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i w:val="0"/>
                      <w:iCs w:val="0"/>
                      <w:caps w:val="0"/>
                      <w:color w:val="auto"/>
                      <w:spacing w:val="-11"/>
                      <w:sz w:val="21"/>
                      <w:szCs w:val="21"/>
                      <w:highlight w:val="none"/>
                      <w:lang w:val="en-US" w:eastAsia="zh-CN"/>
                    </w:rPr>
                  </w:pPr>
                  <w:r>
                    <w:rPr>
                      <w:rFonts w:hint="default" w:ascii="Times New Roman" w:hAnsi="Times New Roman" w:eastAsia="宋体" w:cs="Times New Roman"/>
                      <w:i w:val="0"/>
                      <w:iCs w:val="0"/>
                      <w:caps w:val="0"/>
                      <w:color w:val="auto"/>
                      <w:spacing w:val="-11"/>
                      <w:sz w:val="21"/>
                      <w:szCs w:val="21"/>
                      <w:highlight w:val="none"/>
                      <w:lang w:val="en-US" w:eastAsia="zh-CN"/>
                    </w:rPr>
                    <w:t>本项目为排洪渠建设、现状排洪渠清淤、边坡治理工程，</w:t>
                  </w:r>
                  <w:r>
                    <w:rPr>
                      <w:rFonts w:hint="eastAsia" w:ascii="Times New Roman" w:hAnsi="Times New Roman" w:eastAsia="宋体" w:cs="Times New Roman"/>
                      <w:i w:val="0"/>
                      <w:iCs w:val="0"/>
                      <w:caps w:val="0"/>
                      <w:color w:val="auto"/>
                      <w:spacing w:val="-11"/>
                      <w:sz w:val="21"/>
                      <w:szCs w:val="21"/>
                      <w:highlight w:val="none"/>
                      <w:lang w:val="en-US" w:eastAsia="zh-CN"/>
                    </w:rPr>
                    <w:t>不涉及</w:t>
                  </w:r>
                  <w:r>
                    <w:rPr>
                      <w:rFonts w:hint="default" w:ascii="Times New Roman" w:hAnsi="Times New Roman" w:eastAsia="宋体" w:cs="Times New Roman"/>
                      <w:i w:val="0"/>
                      <w:iCs w:val="0"/>
                      <w:caps w:val="0"/>
                      <w:color w:val="auto"/>
                      <w:spacing w:val="0"/>
                      <w:sz w:val="21"/>
                      <w:szCs w:val="21"/>
                      <w:highlight w:val="none"/>
                    </w:rPr>
                    <w:t>地开垦种植农作物</w:t>
                  </w:r>
                  <w:r>
                    <w:rPr>
                      <w:rFonts w:hint="eastAsia" w:ascii="Times New Roman" w:hAnsi="Times New Roman" w:eastAsia="宋体" w:cs="Times New Roman"/>
                      <w:i w:val="0"/>
                      <w:iCs w:val="0"/>
                      <w:caps w:val="0"/>
                      <w:color w:val="auto"/>
                      <w:spacing w:val="0"/>
                      <w:sz w:val="21"/>
                      <w:szCs w:val="21"/>
                      <w:highlight w:val="none"/>
                      <w:lang w:eastAsia="zh-CN"/>
                    </w:rPr>
                    <w:t>，且对</w:t>
                  </w:r>
                  <w:r>
                    <w:rPr>
                      <w:rFonts w:hint="default" w:ascii="Times New Roman" w:hAnsi="Times New Roman" w:eastAsia="宋体" w:cs="Times New Roman"/>
                      <w:i w:val="0"/>
                      <w:iCs w:val="0"/>
                      <w:caps w:val="0"/>
                      <w:color w:val="auto"/>
                      <w:spacing w:val="0"/>
                      <w:sz w:val="21"/>
                      <w:szCs w:val="21"/>
                      <w:highlight w:val="none"/>
                    </w:rPr>
                    <w:t>生态环境扰动较小</w:t>
                  </w:r>
                  <w:r>
                    <w:rPr>
                      <w:rFonts w:hint="eastAsia" w:ascii="Times New Roman" w:hAnsi="Times New Roman" w:eastAsia="宋体" w:cs="Times New Roman"/>
                      <w:i w:val="0"/>
                      <w:iCs w:val="0"/>
                      <w:caps w:val="0"/>
                      <w:color w:val="auto"/>
                      <w:spacing w:val="0"/>
                      <w:sz w:val="21"/>
                      <w:szCs w:val="21"/>
                      <w:highlight w:val="none"/>
                      <w:lang w:eastAsia="zh-CN"/>
                    </w:rPr>
                    <w:t>、</w:t>
                  </w:r>
                  <w:r>
                    <w:rPr>
                      <w:rFonts w:hint="default" w:ascii="Times New Roman" w:hAnsi="Times New Roman" w:eastAsia="宋体" w:cs="Times New Roman"/>
                      <w:i w:val="0"/>
                      <w:iCs w:val="0"/>
                      <w:caps w:val="0"/>
                      <w:color w:val="auto"/>
                      <w:spacing w:val="0"/>
                      <w:sz w:val="21"/>
                      <w:szCs w:val="21"/>
                      <w:highlight w:val="none"/>
                    </w:rPr>
                    <w:t>有利于提升生态功能的开发项目</w:t>
                  </w:r>
                  <w:r>
                    <w:rPr>
                      <w:rFonts w:hint="eastAsia" w:ascii="Times New Roman" w:hAnsi="Times New Roman" w:eastAsia="宋体" w:cs="Times New Roman"/>
                      <w:i w:val="0"/>
                      <w:iCs w:val="0"/>
                      <w:caps w:val="0"/>
                      <w:color w:val="auto"/>
                      <w:spacing w:val="0"/>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8" w:type="dxa"/>
                  <w:tcBorders>
                    <w:tl2br w:val="nil"/>
                    <w:tr2bl w:val="nil"/>
                  </w:tcBorders>
                  <w:vAlign w:val="center"/>
                </w:tcPr>
                <w:p>
                  <w:pPr>
                    <w:pStyle w:val="2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ZH64042330002</w:t>
                  </w:r>
                </w:p>
              </w:tc>
              <w:tc>
                <w:tcPr>
                  <w:tcW w:w="678" w:type="dxa"/>
                  <w:tcBorders>
                    <w:tl2br w:val="nil"/>
                    <w:tr2bl w:val="nil"/>
                  </w:tcBorders>
                  <w:vAlign w:val="center"/>
                </w:tcPr>
                <w:p>
                  <w:pPr>
                    <w:pStyle w:val="2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隆德县</w:t>
                  </w:r>
                  <w:r>
                    <w:rPr>
                      <w:rFonts w:hint="eastAsia" w:cs="Times New Roman"/>
                      <w:color w:val="auto"/>
                      <w:sz w:val="21"/>
                      <w:szCs w:val="21"/>
                      <w:highlight w:val="none"/>
                      <w:vertAlign w:val="baseline"/>
                      <w:lang w:eastAsia="zh-CN"/>
                    </w:rPr>
                    <w:t>一</w:t>
                  </w:r>
                  <w:r>
                    <w:rPr>
                      <w:rFonts w:hint="default" w:ascii="Times New Roman" w:hAnsi="Times New Roman" w:eastAsia="宋体" w:cs="Times New Roman"/>
                      <w:color w:val="auto"/>
                      <w:sz w:val="21"/>
                      <w:szCs w:val="21"/>
                      <w:highlight w:val="none"/>
                      <w:vertAlign w:val="baseline"/>
                    </w:rPr>
                    <w:t>般管控单元2</w:t>
                  </w:r>
                </w:p>
              </w:tc>
              <w:tc>
                <w:tcPr>
                  <w:tcW w:w="376" w:type="dxa"/>
                  <w:tcBorders>
                    <w:tl2br w:val="nil"/>
                    <w:tr2bl w:val="nil"/>
                  </w:tcBorders>
                  <w:vAlign w:val="center"/>
                </w:tcPr>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cs="Times New Roman"/>
                      <w:color w:val="auto"/>
                      <w:sz w:val="21"/>
                      <w:szCs w:val="21"/>
                      <w:highlight w:val="none"/>
                      <w:vertAlign w:val="baseline"/>
                      <w:lang w:eastAsia="zh-CN"/>
                    </w:rPr>
                    <w:t>一般管控区</w:t>
                  </w:r>
                </w:p>
              </w:tc>
              <w:tc>
                <w:tcPr>
                  <w:tcW w:w="362" w:type="dxa"/>
                  <w:tcBorders>
                    <w:tl2br w:val="nil"/>
                    <w:tr2bl w:val="nil"/>
                  </w:tcBorders>
                  <w:vAlign w:val="center"/>
                </w:tcPr>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aps w:val="0"/>
                      <w:color w:val="auto"/>
                      <w:spacing w:val="0"/>
                      <w:sz w:val="21"/>
                      <w:szCs w:val="21"/>
                      <w:highlight w:val="none"/>
                      <w:lang w:eastAsia="zh-CN"/>
                    </w:rPr>
                  </w:pPr>
                  <w:r>
                    <w:rPr>
                      <w:rFonts w:hint="eastAsia" w:ascii="Times New Roman" w:hAnsi="Times New Roman" w:cs="Times New Roman"/>
                      <w:i w:val="0"/>
                      <w:iCs w:val="0"/>
                      <w:caps w:val="0"/>
                      <w:color w:val="auto"/>
                      <w:spacing w:val="0"/>
                      <w:sz w:val="21"/>
                      <w:szCs w:val="21"/>
                      <w:highlight w:val="none"/>
                      <w:lang w:eastAsia="zh-CN"/>
                    </w:rPr>
                    <w:t>一般管控单元</w:t>
                  </w:r>
                </w:p>
              </w:tc>
              <w:tc>
                <w:tcPr>
                  <w:tcW w:w="2179" w:type="dxa"/>
                  <w:tcBorders>
                    <w:tl2br w:val="nil"/>
                    <w:tr2bl w:val="nil"/>
                  </w:tcBorders>
                  <w:vAlign w:val="center"/>
                </w:tcPr>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rPr>
                  </w:pPr>
                  <w:r>
                    <w:rPr>
                      <w:rFonts w:hint="default" w:ascii="Times New Roman" w:hAnsi="Times New Roman" w:eastAsia="宋体" w:cs="Times New Roman"/>
                      <w:i w:val="0"/>
                      <w:iCs w:val="0"/>
                      <w:caps w:val="0"/>
                      <w:color w:val="auto"/>
                      <w:spacing w:val="0"/>
                      <w:sz w:val="21"/>
                      <w:szCs w:val="21"/>
                      <w:highlight w:val="none"/>
                    </w:rPr>
                    <w:t>1.禁止在二十五度以上陡坡地开垦种植农作物。2.严格限制占用林地、草地及清水河等河流沿线湿地进行开发建设活动。3.在满足产业准入、总量控制、排放标准等国家和地方相关管理制度要求的前提下，集约发展。</w:t>
                  </w:r>
                </w:p>
              </w:tc>
              <w:tc>
                <w:tcPr>
                  <w:tcW w:w="1801" w:type="dxa"/>
                  <w:tcBorders>
                    <w:tl2br w:val="nil"/>
                    <w:tr2bl w:val="nil"/>
                  </w:tcBorders>
                  <w:vAlign w:val="center"/>
                </w:tcPr>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aps w:val="0"/>
                      <w:color w:val="auto"/>
                      <w:spacing w:val="0"/>
                      <w:sz w:val="21"/>
                      <w:szCs w:val="21"/>
                      <w:highlight w:val="none"/>
                      <w:lang w:eastAsia="zh-CN"/>
                    </w:rPr>
                  </w:pPr>
                  <w:r>
                    <w:rPr>
                      <w:rFonts w:hint="eastAsia" w:ascii="Times New Roman" w:hAnsi="Times New Roman" w:cs="Times New Roman"/>
                      <w:i w:val="0"/>
                      <w:iCs w:val="0"/>
                      <w:caps w:val="0"/>
                      <w:color w:val="auto"/>
                      <w:spacing w:val="0"/>
                      <w:sz w:val="21"/>
                      <w:szCs w:val="21"/>
                      <w:highlight w:val="none"/>
                      <w:lang w:val="en-US" w:eastAsia="zh-CN"/>
                    </w:rPr>
                    <w:t>/</w:t>
                  </w:r>
                </w:p>
              </w:tc>
              <w:tc>
                <w:tcPr>
                  <w:tcW w:w="56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cs="Times New Roman"/>
                      <w:i w:val="0"/>
                      <w:iCs w:val="0"/>
                      <w:caps w:val="0"/>
                      <w:color w:val="auto"/>
                      <w:spacing w:val="0"/>
                      <w:sz w:val="21"/>
                      <w:szCs w:val="21"/>
                      <w:highlight w:val="none"/>
                      <w:lang w:val="en-US" w:eastAsia="zh-CN"/>
                    </w:rPr>
                  </w:pPr>
                  <w:r>
                    <w:rPr>
                      <w:rFonts w:hint="eastAsia" w:ascii="Times New Roman" w:hAnsi="Times New Roman" w:cs="Times New Roman"/>
                      <w:i w:val="0"/>
                      <w:iCs w:val="0"/>
                      <w:caps w:val="0"/>
                      <w:color w:val="auto"/>
                      <w:spacing w:val="0"/>
                      <w:sz w:val="21"/>
                      <w:szCs w:val="21"/>
                      <w:highlight w:val="none"/>
                      <w:lang w:val="en-US" w:eastAsia="zh-CN"/>
                    </w:rPr>
                    <w:t>/</w:t>
                  </w:r>
                </w:p>
              </w:tc>
              <w:tc>
                <w:tcPr>
                  <w:tcW w:w="596"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cs="Times New Roman"/>
                      <w:i w:val="0"/>
                      <w:iCs w:val="0"/>
                      <w:caps w:val="0"/>
                      <w:color w:val="auto"/>
                      <w:spacing w:val="0"/>
                      <w:sz w:val="21"/>
                      <w:szCs w:val="21"/>
                      <w:highlight w:val="none"/>
                      <w:lang w:val="en-US" w:eastAsia="zh-CN"/>
                    </w:rPr>
                  </w:pPr>
                  <w:r>
                    <w:rPr>
                      <w:rFonts w:hint="eastAsia" w:ascii="Times New Roman" w:hAnsi="Times New Roman" w:cs="Times New Roman"/>
                      <w:i w:val="0"/>
                      <w:iCs w:val="0"/>
                      <w:caps w:val="0"/>
                      <w:color w:val="auto"/>
                      <w:spacing w:val="0"/>
                      <w:sz w:val="21"/>
                      <w:szCs w:val="21"/>
                      <w:highlight w:val="none"/>
                      <w:lang w:val="en-US" w:eastAsia="zh-CN"/>
                    </w:rPr>
                    <w:t>/</w:t>
                  </w:r>
                </w:p>
              </w:tc>
              <w:tc>
                <w:tcPr>
                  <w:tcW w:w="996"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i w:val="0"/>
                      <w:iCs w:val="0"/>
                      <w:caps w:val="0"/>
                      <w:color w:val="auto"/>
                      <w:spacing w:val="-11"/>
                      <w:sz w:val="21"/>
                      <w:szCs w:val="21"/>
                      <w:highlight w:val="none"/>
                      <w:lang w:val="en-US" w:eastAsia="zh-CN"/>
                    </w:rPr>
                  </w:pPr>
                  <w:r>
                    <w:rPr>
                      <w:rFonts w:hint="default" w:ascii="Times New Roman" w:hAnsi="Times New Roman" w:eastAsia="宋体" w:cs="Times New Roman"/>
                      <w:i w:val="0"/>
                      <w:iCs w:val="0"/>
                      <w:caps w:val="0"/>
                      <w:color w:val="auto"/>
                      <w:spacing w:val="-11"/>
                      <w:sz w:val="21"/>
                      <w:szCs w:val="21"/>
                      <w:highlight w:val="none"/>
                      <w:lang w:val="en-US" w:eastAsia="zh-CN"/>
                    </w:rPr>
                    <w:t>本项目为排洪渠建设、现状排洪渠清淤、边坡治理工程，</w:t>
                  </w:r>
                  <w:r>
                    <w:rPr>
                      <w:rFonts w:hint="eastAsia" w:ascii="Times New Roman" w:hAnsi="Times New Roman" w:eastAsia="宋体" w:cs="Times New Roman"/>
                      <w:i w:val="0"/>
                      <w:iCs w:val="0"/>
                      <w:caps w:val="0"/>
                      <w:color w:val="auto"/>
                      <w:spacing w:val="-11"/>
                      <w:sz w:val="21"/>
                      <w:szCs w:val="21"/>
                      <w:highlight w:val="none"/>
                      <w:lang w:val="en-US" w:eastAsia="zh-CN"/>
                    </w:rPr>
                    <w:t>不涉及</w:t>
                  </w:r>
                  <w:r>
                    <w:rPr>
                      <w:rFonts w:hint="default" w:ascii="Times New Roman" w:hAnsi="Times New Roman" w:eastAsia="宋体" w:cs="Times New Roman"/>
                      <w:i w:val="0"/>
                      <w:iCs w:val="0"/>
                      <w:caps w:val="0"/>
                      <w:color w:val="auto"/>
                      <w:spacing w:val="0"/>
                      <w:sz w:val="21"/>
                      <w:szCs w:val="21"/>
                      <w:highlight w:val="none"/>
                    </w:rPr>
                    <w:t>地开垦种植农作物</w:t>
                  </w:r>
                  <w:r>
                    <w:rPr>
                      <w:rFonts w:hint="eastAsia" w:ascii="Times New Roman" w:hAnsi="Times New Roman" w:eastAsia="宋体" w:cs="Times New Roman"/>
                      <w:i w:val="0"/>
                      <w:iCs w:val="0"/>
                      <w:caps w:val="0"/>
                      <w:color w:val="auto"/>
                      <w:spacing w:val="0"/>
                      <w:sz w:val="21"/>
                      <w:szCs w:val="21"/>
                      <w:highlight w:val="none"/>
                      <w:lang w:eastAsia="zh-CN"/>
                    </w:rPr>
                    <w:t>，不占用林地</w:t>
                  </w:r>
                  <w:r>
                    <w:rPr>
                      <w:rFonts w:hint="default" w:ascii="Times New Roman" w:hAnsi="Times New Roman" w:eastAsia="宋体" w:cs="Times New Roman"/>
                      <w:i w:val="0"/>
                      <w:iCs w:val="0"/>
                      <w:caps w:val="0"/>
                      <w:color w:val="auto"/>
                      <w:spacing w:val="0"/>
                      <w:sz w:val="21"/>
                      <w:szCs w:val="21"/>
                      <w:highlight w:val="none"/>
                    </w:rPr>
                    <w:t>、草地及清水河等河流沿线湿地进行开发建设活动</w:t>
                  </w:r>
                  <w:r>
                    <w:rPr>
                      <w:rFonts w:hint="eastAsia" w:ascii="Times New Roman" w:hAnsi="Times New Roman" w:eastAsia="宋体" w:cs="Times New Roman"/>
                      <w:i w:val="0"/>
                      <w:iCs w:val="0"/>
                      <w:caps w:val="0"/>
                      <w:color w:val="auto"/>
                      <w:spacing w:val="0"/>
                      <w:sz w:val="21"/>
                      <w:szCs w:val="21"/>
                      <w:highlight w:val="none"/>
                      <w:lang w:eastAsia="zh-CN"/>
                    </w:rPr>
                    <w:t>。</w:t>
                  </w:r>
                  <w:r>
                    <w:rPr>
                      <w:rFonts w:hint="default" w:ascii="Times New Roman" w:hAnsi="Times New Roman" w:eastAsia="宋体" w:cs="Times New Roman"/>
                      <w:i w:val="0"/>
                      <w:iCs w:val="0"/>
                      <w:caps w:val="0"/>
                      <w:color w:val="auto"/>
                      <w:spacing w:val="0"/>
                      <w:sz w:val="21"/>
                      <w:szCs w:val="21"/>
                      <w:highlight w:val="none"/>
                    </w:rPr>
                    <w:t>满足产业准入、总量控制、排放标准等国家和地方相关管理制度要求</w:t>
                  </w:r>
                  <w:r>
                    <w:rPr>
                      <w:rFonts w:hint="eastAsia" w:ascii="Times New Roman" w:hAnsi="Times New Roman" w:eastAsia="宋体" w:cs="Times New Roman"/>
                      <w:i w:val="0"/>
                      <w:iCs w:val="0"/>
                      <w:caps w:val="0"/>
                      <w:color w:val="auto"/>
                      <w:spacing w:val="0"/>
                      <w:sz w:val="21"/>
                      <w:szCs w:val="21"/>
                      <w:highlight w:val="none"/>
                      <w:lang w:eastAsia="zh-CN"/>
                    </w:rPr>
                    <w:t>。</w:t>
                  </w:r>
                </w:p>
              </w:tc>
            </w:tr>
          </w:tbl>
          <w:p>
            <w:pPr>
              <w:keepNext w:val="0"/>
              <w:keepLines w:val="0"/>
              <w:pageBreakBefore w:val="0"/>
              <w:widowControl w:val="0"/>
              <w:suppressLineNumbers w:val="0"/>
              <w:kinsoku/>
              <w:wordWrap/>
              <w:topLinePunct w:val="0"/>
              <w:bidi w:val="0"/>
              <w:adjustRightInd w:val="0"/>
              <w:snapToGrid w:val="0"/>
              <w:spacing w:before="0" w:beforeAutospacing="0" w:after="0" w:afterAutospacing="0" w:line="540" w:lineRule="exact"/>
              <w:ind w:left="120" w:leftChars="50" w:right="120" w:rightChars="50" w:firstLine="480" w:firstLineChars="200"/>
              <w:textAlignment w:val="auto"/>
              <w:rPr>
                <w:rFonts w:hint="eastAsia"/>
                <w:color w:val="auto"/>
                <w:sz w:val="24"/>
                <w:highlight w:val="none"/>
              </w:rPr>
            </w:pPr>
            <w:r>
              <w:rPr>
                <w:rFonts w:hint="eastAsia"/>
                <w:color w:val="auto"/>
                <w:sz w:val="24"/>
                <w:highlight w:val="none"/>
              </w:rPr>
              <w:t>综上所述，本项目符合固原市环境管控单元生态环境准入清单要求。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120" w:leftChars="50" w:right="120" w:rightChars="50" w:firstLine="482" w:firstLineChars="200"/>
              <w:textAlignment w:val="auto"/>
              <w:rPr>
                <w:rFonts w:hint="eastAsia"/>
                <w:b/>
                <w:bCs/>
                <w:color w:val="auto"/>
                <w:sz w:val="24"/>
                <w:highlight w:val="none"/>
              </w:rPr>
            </w:pPr>
            <w:r>
              <w:rPr>
                <w:rFonts w:hint="eastAsia"/>
                <w:b/>
                <w:bCs/>
                <w:color w:val="auto"/>
                <w:sz w:val="24"/>
                <w:highlight w:val="none"/>
              </w:rPr>
              <w:t>3、本项目与《宁夏回族自治区生态保护红线管理条例》符合性分析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120" w:leftChars="50" w:right="120" w:rightChars="50" w:firstLine="480" w:firstLineChars="200"/>
              <w:textAlignment w:val="auto"/>
              <w:rPr>
                <w:rFonts w:hint="eastAsia"/>
                <w:color w:val="auto"/>
                <w:sz w:val="24"/>
                <w:highlight w:val="none"/>
              </w:rPr>
            </w:pPr>
            <w:r>
              <w:rPr>
                <w:rFonts w:hint="eastAsia"/>
                <w:color w:val="auto"/>
                <w:sz w:val="24"/>
                <w:highlight w:val="none"/>
              </w:rPr>
              <w:t>根据《宁夏回族自治区生态保护红线管理条例》第九条，“下列区域应当划入生态保护红线：</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120" w:leftChars="50" w:right="120" w:rightChars="50" w:firstLine="480" w:firstLineChars="200"/>
              <w:textAlignment w:val="auto"/>
              <w:rPr>
                <w:rFonts w:hint="eastAsia"/>
                <w:color w:val="auto"/>
                <w:sz w:val="24"/>
                <w:highlight w:val="none"/>
              </w:rPr>
            </w:pPr>
            <w:r>
              <w:rPr>
                <w:rFonts w:hint="eastAsia"/>
                <w:color w:val="auto"/>
                <w:sz w:val="24"/>
                <w:highlight w:val="none"/>
              </w:rPr>
              <w:t>（一）按照国家相关规定经评估确定的重要水源涵养、生物多样性维护、水土保持、防风固沙等生态功能极重要区域，以及水土流失、土地沙化、盐渍化等生态环境极敏感脆弱区域；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120" w:leftChars="50" w:right="120" w:rightChars="50" w:firstLine="480" w:firstLineChars="200"/>
              <w:textAlignment w:val="auto"/>
              <w:rPr>
                <w:rFonts w:hint="eastAsia"/>
                <w:color w:val="auto"/>
                <w:sz w:val="24"/>
                <w:highlight w:val="none"/>
              </w:rPr>
            </w:pPr>
            <w:r>
              <w:rPr>
                <w:rFonts w:hint="eastAsia"/>
                <w:color w:val="auto"/>
                <w:sz w:val="24"/>
                <w:highlight w:val="none"/>
              </w:rPr>
              <w:t>（二）国家级和自治区级禁止开发区域；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120" w:leftChars="50" w:right="120" w:rightChars="50" w:firstLine="480" w:firstLineChars="200"/>
              <w:textAlignment w:val="auto"/>
              <w:rPr>
                <w:rFonts w:hint="eastAsia"/>
                <w:color w:val="auto"/>
                <w:sz w:val="24"/>
                <w:highlight w:val="none"/>
              </w:rPr>
            </w:pPr>
            <w:r>
              <w:rPr>
                <w:rFonts w:hint="eastAsia"/>
                <w:color w:val="auto"/>
                <w:sz w:val="24"/>
                <w:highlight w:val="none"/>
              </w:rPr>
              <w:t>（三）其他需要纳入生态保护红线管理的保护区域。”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120" w:leftChars="50" w:right="120" w:rightChars="50" w:firstLine="480" w:firstLineChars="200"/>
              <w:textAlignment w:val="auto"/>
              <w:rPr>
                <w:rFonts w:hint="eastAsia"/>
                <w:color w:val="auto"/>
                <w:sz w:val="24"/>
                <w:highlight w:val="none"/>
              </w:rPr>
            </w:pPr>
            <w:r>
              <w:rPr>
                <w:rFonts w:hint="eastAsia"/>
                <w:color w:val="auto"/>
                <w:sz w:val="24"/>
                <w:highlight w:val="none"/>
              </w:rPr>
              <w:t>“第十九条 县级以上人民政府应当统筹各类生态保护与修复资金，实施生物多样性维护、天然林保护、防沙治沙、水土流失、盐渍化综合治理等保护与修复工程，改善和提升生态保护红线生态功能。”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120" w:leftChars="50" w:right="120" w:rightChars="50" w:firstLine="480" w:firstLineChars="200"/>
              <w:textAlignment w:val="auto"/>
              <w:rPr>
                <w:rFonts w:hint="eastAsia"/>
                <w:color w:val="auto"/>
                <w:sz w:val="24"/>
                <w:highlight w:val="none"/>
              </w:rPr>
            </w:pPr>
            <w:r>
              <w:rPr>
                <w:rFonts w:hint="eastAsia"/>
                <w:color w:val="auto"/>
                <w:sz w:val="24"/>
                <w:highlight w:val="none"/>
              </w:rPr>
              <w:t>“第二十三条 自治区人民政府生态环境主管部门应当会同相关部门，建立和完善生态保护红线生态环境质量监测网络和监管平台，组织开展生态保护红线生态环境质量监测、生态状况评估和生态环境监管。”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120" w:leftChars="50" w:right="120" w:rightChars="50" w:firstLine="480" w:firstLineChars="200"/>
              <w:textAlignment w:val="auto"/>
              <w:rPr>
                <w:rFonts w:hint="eastAsia" w:ascii="Times New Roman" w:hAnsi="Times New Roman" w:eastAsia="宋体" w:cs="宋体"/>
                <w:color w:val="auto"/>
                <w:sz w:val="24"/>
                <w:highlight w:val="none"/>
              </w:rPr>
            </w:pPr>
            <w:r>
              <w:rPr>
                <w:rFonts w:hint="eastAsia"/>
                <w:color w:val="auto"/>
                <w:sz w:val="24"/>
                <w:highlight w:val="none"/>
              </w:rPr>
              <w:t>本项目占地属于其他需要纳入生态保护红线管理的保护区域，且本项目属于排洪防涝能力提</w:t>
            </w:r>
            <w:r>
              <w:rPr>
                <w:rFonts w:hint="eastAsia" w:ascii="Times New Roman" w:hAnsi="Times New Roman" w:eastAsia="宋体" w:cs="宋体"/>
                <w:color w:val="auto"/>
                <w:sz w:val="24"/>
                <w:highlight w:val="none"/>
              </w:rPr>
              <w:t>升项目，为生态修复类项目</w:t>
            </w:r>
            <w:r>
              <w:rPr>
                <w:rFonts w:hint="eastAsia" w:ascii="Times New Roman" w:hAnsi="Times New Roman" w:eastAsia="宋体" w:cs="宋体"/>
                <w:color w:val="auto"/>
                <w:sz w:val="24"/>
                <w:highlight w:val="none"/>
                <w:lang w:eastAsia="zh-CN"/>
              </w:rPr>
              <w:t>且</w:t>
            </w:r>
            <w:r>
              <w:rPr>
                <w:rFonts w:hint="eastAsia" w:ascii="Times New Roman" w:hAnsi="Times New Roman" w:eastAsia="宋体" w:cs="宋体"/>
                <w:color w:val="auto"/>
                <w:sz w:val="24"/>
                <w:highlight w:val="none"/>
                <w:lang w:val="en-US" w:eastAsia="zh-CN"/>
              </w:rPr>
              <w:t>属于国家政策规定的9类对生态功能不造成破坏的有限人为活动第六条：必须且无法避让、符合县级以上国土空间规划的线性基础设施、通讯和防洪、供水设施建设和船舶航行、航道清淤等活动。</w:t>
            </w:r>
            <w:r>
              <w:rPr>
                <w:rFonts w:hint="eastAsia" w:ascii="Times New Roman" w:hAnsi="Times New Roman" w:eastAsia="宋体" w:cs="宋体"/>
                <w:color w:val="auto"/>
                <w:sz w:val="24"/>
                <w:highlight w:val="none"/>
              </w:rPr>
              <w:t>本项目建成后可有效缓解当地水土流失问题，对生态影响具有正效应。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120" w:leftChars="50" w:right="120" w:rightChars="50" w:firstLine="482" w:firstLineChars="200"/>
              <w:textAlignment w:val="auto"/>
              <w:rPr>
                <w:rFonts w:hint="eastAsia"/>
                <w:b/>
                <w:bCs/>
                <w:color w:val="auto"/>
                <w:sz w:val="24"/>
                <w:highlight w:val="none"/>
              </w:rPr>
            </w:pPr>
            <w:r>
              <w:rPr>
                <w:rFonts w:hint="eastAsia"/>
                <w:b/>
                <w:bCs/>
                <w:color w:val="auto"/>
                <w:sz w:val="24"/>
                <w:highlight w:val="none"/>
              </w:rPr>
              <w:t>4、与《水利建设项目（河湖整治与河湖整治工程）环境影响评价文件审批原则》符合性分析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120" w:leftChars="50" w:right="120" w:rightChars="50" w:firstLine="480" w:firstLineChars="200"/>
              <w:textAlignment w:val="auto"/>
              <w:rPr>
                <w:rFonts w:hint="eastAsia"/>
                <w:color w:val="auto"/>
                <w:sz w:val="24"/>
                <w:highlight w:val="none"/>
              </w:rPr>
            </w:pPr>
            <w:r>
              <w:rPr>
                <w:rFonts w:hint="eastAsia"/>
                <w:color w:val="auto"/>
                <w:sz w:val="24"/>
                <w:highlight w:val="none"/>
              </w:rPr>
              <w:t>根据《水利建设项目（河湖整治与河湖整治工程）环境影响评价文件审批原则》，第二条：“项目符合环境保护相关法律法规和政策要求，与主体功能区规划、生态功能区划、水环境功能区划、水功能区划、生态环境保护规划、流域综合规划、防洪规划等相协调，满足相关规划环评要求。”第三条：“工程选址选线、施工布置原则上不占用自然保护区、风景名胜区、世界文化和自然遗产地以及其他生态保护红线等环境敏感区中法律法规禁止占用的区域，并与饮用水水源保护区的保护要求相协调。法律法规、政策另有规定的从其规定。”第七条：“项目施工组织方案具有环境合理性，对料场、弃土（渣）场等施工场地提出了水土流失防治和生态修复等措施。根据环境保护相关标准和要求，对施工期各类废（污）水、扬尘、废气、噪声、固体废物等提出了防治或处置措施。”第十一条：“按相关导则及规定要求，制定了水环境、生态等环境监测计划，明确了监测网点、因子、频次等有关要求，提出了开展环境影响后评价及根据监测评估结果优化环境保护措施的要求。根据需要和相关规定，提出了环境保护设计、开展相关科学研究、环境管理等要求。”第十二条：“对环境保护措施进行了深入论证，建设单位主体责任、投资估算、时间节点、预期效果明确，确保科学有效、安全可行、绿色协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120" w:leftChars="50" w:right="120" w:rightChars="50" w:firstLine="480" w:firstLineChars="200"/>
              <w:textAlignment w:val="auto"/>
              <w:rPr>
                <w:rFonts w:hint="eastAsia"/>
                <w:color w:val="auto"/>
                <w:sz w:val="24"/>
                <w:highlight w:val="none"/>
              </w:rPr>
            </w:pPr>
            <w:r>
              <w:rPr>
                <w:rFonts w:hint="eastAsia"/>
                <w:color w:val="auto"/>
                <w:sz w:val="24"/>
                <w:highlight w:val="none"/>
              </w:rPr>
              <w:t>根据上文，本项目符合《宁夏回族自治区水安全保障“十四五”规划》及《固原市人民政府关于实施“三线一单”生态环境分区管控的意见》。本项目为防洪排涝能力提升项目，主要对隆德县的城区进行防洪排涝能力的提升，对防洪渠及排洪沟进行沟道清淤、边坡治理及城市管道建设；在原有沟道与原有沟边道路上进行施工，工程选址选线具有唯一性。项目施工组织方案具有环境合理性，对施工场地提出了水土流失防治和生态修复等措施。本项目施工现场定期洒水，运输车辆加盖篷布，施工期施工人员生活污水依托附近村民设施，施工废水经沉淀池处理后洒水降尘；项目污染物均采取合理可行的污染防治措施。符合《水利建设项目（河湖整治与河湖整治工程）环境影响评价文件审批原则》。</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120" w:leftChars="50" w:right="120" w:rightChars="50" w:firstLine="482" w:firstLineChars="200"/>
              <w:textAlignment w:val="auto"/>
              <w:rPr>
                <w:rFonts w:hint="eastAsia"/>
                <w:color w:val="auto"/>
                <w:sz w:val="24"/>
                <w:highlight w:val="none"/>
              </w:rPr>
            </w:pPr>
            <w:r>
              <w:rPr>
                <w:rFonts w:hint="eastAsia"/>
                <w:b/>
                <w:bCs/>
                <w:color w:val="auto"/>
                <w:sz w:val="24"/>
                <w:highlight w:val="none"/>
              </w:rPr>
              <w:t>5、与《宁夏回族自治区建设黄河流域生态保护和高质量发展先行区促进条例》的符合性分析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120" w:leftChars="50" w:right="120" w:rightChars="50" w:firstLine="480" w:firstLineChars="200"/>
              <w:textAlignment w:val="auto"/>
              <w:rPr>
                <w:rFonts w:hint="eastAsia"/>
                <w:color w:val="auto"/>
                <w:sz w:val="24"/>
                <w:highlight w:val="none"/>
              </w:rPr>
            </w:pPr>
            <w:r>
              <w:rPr>
                <w:rFonts w:hint="eastAsia"/>
                <w:color w:val="auto"/>
                <w:sz w:val="24"/>
                <w:highlight w:val="none"/>
              </w:rPr>
              <w:t>根据《宁夏回族自治区建设黄河流域生态保护和高质量发展先行区促进条例》（2022年1月23日）中第三章生态环境保护和治理，第十七条自治区加强生态环境保护，坚持山水林田湖草沙综合治理，实行自然恢复为主、自然恢复与人工修复相结合的系统治理，统筹推进农业、工业和城乡生活污染防治，维护生态功能稳定，提升生态环境质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120" w:leftChars="50" w:right="120" w:rightChars="50" w:firstLine="480" w:firstLineChars="200"/>
              <w:textAlignment w:val="auto"/>
              <w:rPr>
                <w:rFonts w:hint="eastAsia"/>
                <w:color w:val="auto"/>
                <w:sz w:val="24"/>
                <w:highlight w:val="none"/>
              </w:rPr>
            </w:pPr>
            <w:r>
              <w:rPr>
                <w:rFonts w:hint="eastAsia"/>
                <w:color w:val="auto"/>
                <w:sz w:val="24"/>
                <w:highlight w:val="none"/>
              </w:rPr>
              <w:t>本项目为防洪排涝能力提升项目，主要对隆德县的城区进行防洪排涝能力的提升，对防洪渠及排洪沟进行沟道清淤、边坡治理及城市管道建设，改善河湖水系周边的生态环境，保障沿线洪漫区人民的生命财产安全，符合《宁夏回族自治区建设黄河流域生态保护和高质量发展先行区促进条例》相关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120" w:leftChars="50" w:right="120" w:rightChars="50" w:firstLine="480" w:firstLineChars="200"/>
              <w:textAlignment w:val="auto"/>
              <w:rPr>
                <w:rFonts w:hint="eastAsia"/>
                <w:color w:val="auto"/>
                <w:sz w:val="24"/>
                <w:highlight w:val="none"/>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120" w:leftChars="50" w:right="120" w:rightChars="50" w:firstLine="480" w:firstLineChars="200"/>
              <w:textAlignment w:val="auto"/>
              <w:rPr>
                <w:rFonts w:hint="eastAsia"/>
                <w:color w:val="auto"/>
                <w:sz w:val="24"/>
                <w:highlight w:val="none"/>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120" w:leftChars="50" w:right="120" w:rightChars="50" w:firstLine="480" w:firstLineChars="200"/>
              <w:textAlignment w:val="auto"/>
              <w:rPr>
                <w:rFonts w:hint="eastAsia"/>
                <w:color w:val="auto"/>
                <w:sz w:val="24"/>
                <w:highlight w:val="none"/>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120" w:leftChars="50" w:right="120" w:rightChars="50" w:firstLine="480" w:firstLineChars="200"/>
              <w:textAlignment w:val="auto"/>
              <w:rPr>
                <w:rFonts w:hint="eastAsia"/>
                <w:color w:val="auto"/>
                <w:sz w:val="24"/>
                <w:highlight w:val="none"/>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leftChars="0" w:right="120" w:rightChars="50" w:firstLine="0" w:firstLineChars="0"/>
              <w:textAlignment w:val="auto"/>
              <w:rPr>
                <w:rFonts w:hint="eastAsia"/>
                <w:color w:val="auto"/>
                <w:sz w:val="24"/>
                <w:highlight w:val="none"/>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120" w:rightChars="50" w:firstLine="0" w:firstLineChars="0"/>
              <w:textAlignment w:val="auto"/>
              <w:rPr>
                <w:rFonts w:hint="default" w:ascii="Times New Roman" w:hAnsi="Times New Roman" w:eastAsia="宋体" w:cs="Times New Roman"/>
                <w:color w:val="auto"/>
                <w:kern w:val="0"/>
                <w:sz w:val="24"/>
                <w:highlight w:val="none"/>
              </w:rPr>
            </w:pPr>
          </w:p>
        </w:tc>
      </w:tr>
      <w:bookmarkEnd w:id="6"/>
    </w:tbl>
    <w:p>
      <w:pPr>
        <w:spacing w:line="360" w:lineRule="auto"/>
        <w:outlineLvl w:val="0"/>
        <w:rPr>
          <w:rFonts w:hint="default" w:ascii="Times New Roman" w:hAnsi="Times New Roman" w:eastAsia="黑体" w:cs="Times New Roman"/>
          <w:color w:val="0000FF"/>
          <w:sz w:val="30"/>
        </w:rPr>
        <w:sectPr>
          <w:footerReference r:id="rId3" w:type="default"/>
          <w:pgSz w:w="11906" w:h="16838"/>
          <w:pgMar w:top="1417" w:right="1417" w:bottom="1417" w:left="1417" w:header="851" w:footer="1077" w:gutter="0"/>
          <w:pgBorders>
            <w:top w:val="none" w:sz="0" w:space="0"/>
            <w:left w:val="none" w:sz="0" w:space="0"/>
            <w:bottom w:val="none" w:sz="0" w:space="0"/>
            <w:right w:val="none" w:sz="0" w:space="0"/>
          </w:pgBorders>
          <w:pgNumType w:fmt="numberInDash" w:start="1"/>
          <w:cols w:space="720" w:num="1"/>
          <w:docGrid w:linePitch="312" w:charSpace="0"/>
        </w:sectPr>
      </w:pPr>
    </w:p>
    <w:p>
      <w:pPr>
        <w:keepNext w:val="0"/>
        <w:keepLines w:val="0"/>
        <w:pageBreakBefore w:val="0"/>
        <w:widowControl/>
        <w:kinsoku/>
        <w:wordWrap/>
        <w:overflowPunct/>
        <w:topLinePunct w:val="0"/>
        <w:autoSpaceDE/>
        <w:autoSpaceDN/>
        <w:bidi w:val="0"/>
        <w:adjustRightInd/>
        <w:snapToGrid/>
        <w:spacing w:before="100" w:beforeAutospacing="1" w:after="100" w:afterAutospacing="1"/>
        <w:ind w:firstLine="0" w:firstLineChars="0"/>
        <w:jc w:val="center"/>
        <w:textAlignment w:val="auto"/>
        <w:outlineLvl w:val="0"/>
        <w:rPr>
          <w:rFonts w:hint="default" w:ascii="Times New Roman" w:hAnsi="Times New Roman" w:eastAsia="黑体" w:cs="Times New Roman"/>
          <w:snapToGrid w:val="0"/>
          <w:color w:val="auto"/>
          <w:kern w:val="0"/>
          <w:sz w:val="30"/>
          <w:szCs w:val="30"/>
          <w:lang w:val="en-US" w:eastAsia="zh-CN" w:bidi="ar-SA"/>
        </w:rPr>
      </w:pPr>
      <w:r>
        <w:rPr>
          <w:rFonts w:hint="default" w:ascii="Times New Roman" w:hAnsi="Times New Roman" w:eastAsia="黑体" w:cs="Times New Roman"/>
          <w:snapToGrid w:val="0"/>
          <w:color w:val="auto"/>
          <w:kern w:val="0"/>
          <w:sz w:val="30"/>
          <w:szCs w:val="30"/>
          <w:lang w:val="en-US" w:eastAsia="zh-CN" w:bidi="ar-SA"/>
        </w:rPr>
        <w:t>二、建设内容</w:t>
      </w:r>
    </w:p>
    <w:tbl>
      <w:tblPr>
        <w:tblStyle w:val="21"/>
        <w:tblW w:w="900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8"/>
        <w:gridCol w:w="82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834" w:hRule="atLeast"/>
          <w:jc w:val="center"/>
        </w:trPr>
        <w:tc>
          <w:tcPr>
            <w:tcW w:w="70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FF"/>
                <w:kern w:val="0"/>
                <w:sz w:val="24"/>
                <w:highlight w:val="none"/>
              </w:rPr>
            </w:pPr>
            <w:r>
              <w:rPr>
                <w:rFonts w:hint="default" w:ascii="Times New Roman" w:hAnsi="Times New Roman" w:eastAsia="宋体" w:cs="Times New Roman"/>
                <w:b/>
                <w:bCs/>
                <w:color w:val="auto"/>
                <w:kern w:val="0"/>
                <w:sz w:val="24"/>
                <w:highlight w:val="none"/>
              </w:rPr>
              <w:t>地理位置</w:t>
            </w:r>
          </w:p>
        </w:tc>
        <w:tc>
          <w:tcPr>
            <w:tcW w:w="8297"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jc w:val="left"/>
              <w:textAlignment w:val="auto"/>
              <w:rPr>
                <w:rFonts w:hint="eastAsia"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rPr>
              <w:t>项目</w:t>
            </w:r>
            <w:r>
              <w:rPr>
                <w:rFonts w:hint="eastAsia" w:ascii="Times New Roman" w:hAnsi="Times New Roman" w:eastAsia="宋体" w:cs="Times New Roman"/>
                <w:color w:val="auto"/>
                <w:kern w:val="0"/>
                <w:sz w:val="24"/>
                <w:highlight w:val="none"/>
                <w:lang w:val="en-US" w:eastAsia="zh-CN"/>
              </w:rPr>
              <w:t>建设地点在隆德县县城</w:t>
            </w:r>
            <w:r>
              <w:rPr>
                <w:rFonts w:hint="default" w:ascii="Times New Roman" w:hAnsi="Times New Roman" w:eastAsia="宋体" w:cs="Times New Roman"/>
                <w:color w:val="auto"/>
                <w:kern w:val="0"/>
                <w:sz w:val="24"/>
                <w:highlight w:val="none"/>
                <w:lang w:val="en-US"/>
              </w:rPr>
              <w:t>，项目中心坐标：106°7′14.260″，N35°37′26.942″</w:t>
            </w:r>
            <w:r>
              <w:rPr>
                <w:rFonts w:hint="eastAsia" w:cs="Times New Roman"/>
                <w:color w:val="auto"/>
                <w:kern w:val="0"/>
                <w:sz w:val="24"/>
                <w:highlight w:val="none"/>
                <w:lang w:val="en-US" w:eastAsia="zh-CN"/>
              </w:rPr>
              <w:t>。</w:t>
            </w:r>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540" w:lineRule="exact"/>
              <w:ind w:left="0" w:right="0" w:firstLine="480" w:firstLineChars="200"/>
              <w:jc w:val="both"/>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项目线性工程起止坐标</w:t>
            </w:r>
            <w:r>
              <w:rPr>
                <w:rFonts w:hint="eastAsia" w:cs="Times New Roman"/>
                <w:color w:val="auto"/>
                <w:kern w:val="0"/>
                <w:sz w:val="24"/>
                <w:highlight w:val="none"/>
                <w:lang w:val="en-US" w:eastAsia="zh-CN"/>
              </w:rPr>
              <w:t>具体如下</w:t>
            </w:r>
            <w:r>
              <w:rPr>
                <w:rFonts w:hint="default" w:ascii="Times New Roman" w:hAnsi="Times New Roman" w:eastAsia="宋体" w:cs="Times New Roman"/>
                <w:color w:val="auto"/>
                <w:kern w:val="0"/>
                <w:sz w:val="24"/>
                <w:highlight w:val="none"/>
                <w:lang w:val="en-US"/>
              </w:rPr>
              <w:t>：</w:t>
            </w:r>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540" w:lineRule="exact"/>
              <w:ind w:left="0" w:right="0" w:firstLine="480" w:firstLineChars="200"/>
              <w:jc w:val="both"/>
              <w:textAlignment w:val="auto"/>
              <w:rPr>
                <w:rFonts w:hint="default"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1，现状改善</w:t>
            </w:r>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540" w:lineRule="exact"/>
              <w:ind w:left="0" w:right="0" w:firstLine="480" w:firstLineChars="200"/>
              <w:jc w:val="both"/>
              <w:textAlignment w:val="auto"/>
              <w:rPr>
                <w:rFonts w:hint="eastAsia" w:cs="Times New Roman"/>
                <w:color w:val="auto"/>
                <w:kern w:val="0"/>
                <w:sz w:val="24"/>
                <w:highlight w:val="none"/>
                <w:lang w:val="en-US" w:eastAsia="zh-CN"/>
              </w:rPr>
            </w:pPr>
            <w:r>
              <w:rPr>
                <w:rFonts w:hint="eastAsia" w:cs="Times New Roman"/>
                <w:color w:val="auto"/>
                <w:kern w:val="0"/>
                <w:sz w:val="24"/>
                <w:highlight w:val="none"/>
                <w:lang w:val="en-US" w:eastAsia="zh-CN"/>
              </w:rPr>
              <w:t>行政中心北侧现状排洪渠清淤疏浚：</w:t>
            </w:r>
            <w:r>
              <w:rPr>
                <w:rFonts w:hint="default" w:ascii="Times New Roman" w:hAnsi="Times New Roman" w:eastAsia="宋体" w:cs="Times New Roman"/>
                <w:color w:val="auto"/>
                <w:kern w:val="0"/>
                <w:sz w:val="24"/>
                <w:highlight w:val="none"/>
                <w:lang w:val="en-US"/>
              </w:rPr>
              <w:t>E106°6′6.929″</w:t>
            </w:r>
            <w:r>
              <w:rPr>
                <w:rFonts w:hint="default" w:ascii="Times New Roman" w:hAnsi="Times New Roman" w:cs="Times New Roman"/>
                <w:color w:val="auto"/>
                <w:kern w:val="0"/>
                <w:sz w:val="24"/>
                <w:highlight w:val="none"/>
                <w:lang w:val="en-US" w:eastAsia="zh-CN"/>
              </w:rPr>
              <w:t>，N35°37′31.89</w:t>
            </w:r>
            <w:r>
              <w:rPr>
                <w:rFonts w:hint="eastAsia" w:cs="Times New Roman"/>
                <w:color w:val="auto"/>
                <w:kern w:val="0"/>
                <w:sz w:val="24"/>
                <w:highlight w:val="none"/>
                <w:lang w:val="en-US" w:eastAsia="zh-CN"/>
              </w:rPr>
              <w:t>4</w:t>
            </w:r>
            <w:r>
              <w:rPr>
                <w:rFonts w:hint="default" w:ascii="Times New Roman" w:hAnsi="Times New Roman" w:cs="Times New Roman"/>
                <w:color w:val="auto"/>
                <w:kern w:val="0"/>
                <w:sz w:val="24"/>
                <w:highlight w:val="none"/>
                <w:lang w:val="en-US" w:eastAsia="zh-CN"/>
              </w:rPr>
              <w:t>″</w:t>
            </w:r>
            <w:r>
              <w:rPr>
                <w:rFonts w:hint="eastAsia" w:ascii="Times New Roman" w:hAnsi="Times New Roman" w:cs="Times New Roman"/>
                <w:color w:val="auto"/>
                <w:kern w:val="0"/>
                <w:sz w:val="24"/>
                <w:highlight w:val="none"/>
                <w:lang w:val="en-US" w:eastAsia="zh-CN"/>
              </w:rPr>
              <w:t xml:space="preserve"> ~ </w:t>
            </w:r>
            <w:r>
              <w:rPr>
                <w:rFonts w:hint="default" w:ascii="Times New Roman" w:hAnsi="Times New Roman" w:eastAsia="宋体" w:cs="Times New Roman"/>
                <w:color w:val="auto"/>
                <w:kern w:val="0"/>
                <w:sz w:val="24"/>
                <w:highlight w:val="none"/>
                <w:lang w:val="en-US"/>
              </w:rPr>
              <w:t>E106°6′36.631″</w:t>
            </w:r>
            <w:r>
              <w:rPr>
                <w:rFonts w:hint="default" w:ascii="Times New Roman" w:hAnsi="Times New Roman" w:cs="Times New Roman"/>
                <w:color w:val="auto"/>
                <w:kern w:val="0"/>
                <w:sz w:val="24"/>
                <w:highlight w:val="none"/>
                <w:lang w:val="en-US" w:eastAsia="zh-CN"/>
              </w:rPr>
              <w:t>，N35°37′35.567″</w:t>
            </w:r>
            <w:r>
              <w:rPr>
                <w:rFonts w:hint="eastAsia" w:cs="Times New Roman"/>
                <w:color w:val="auto"/>
                <w:kern w:val="0"/>
                <w:sz w:val="24"/>
                <w:highlight w:val="none"/>
                <w:lang w:val="en-US" w:eastAsia="zh-CN"/>
              </w:rPr>
              <w:t>；</w:t>
            </w:r>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540" w:lineRule="exact"/>
              <w:ind w:left="0" w:right="0" w:firstLine="480" w:firstLineChars="200"/>
              <w:jc w:val="both"/>
              <w:textAlignment w:val="auto"/>
              <w:rPr>
                <w:rFonts w:hint="eastAsia"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2，新建项目</w:t>
            </w:r>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540" w:lineRule="exact"/>
              <w:ind w:left="0" w:right="0" w:firstLine="480" w:firstLineChars="200"/>
              <w:jc w:val="both"/>
              <w:textAlignment w:val="auto"/>
              <w:rPr>
                <w:rFonts w:hint="eastAsia"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北象山新建排洪渠及拦洪渠浆砌石挡土墙起止坐标：</w:t>
            </w:r>
            <w:r>
              <w:rPr>
                <w:rFonts w:hint="default" w:ascii="Times New Roman" w:hAnsi="Times New Roman" w:eastAsia="宋体" w:cs="Times New Roman"/>
                <w:color w:val="auto"/>
                <w:kern w:val="0"/>
                <w:sz w:val="24"/>
                <w:highlight w:val="none"/>
                <w:lang w:val="en-US"/>
              </w:rPr>
              <w:t>E</w:t>
            </w:r>
            <w:r>
              <w:rPr>
                <w:rFonts w:hint="default" w:ascii="Times New Roman" w:hAnsi="Times New Roman" w:cs="Times New Roman"/>
                <w:color w:val="auto"/>
                <w:kern w:val="0"/>
                <w:sz w:val="24"/>
                <w:highlight w:val="none"/>
                <w:lang w:val="en-US" w:eastAsia="zh-CN"/>
              </w:rPr>
              <w:t>106°7′3.437″，N35°37′28.593″</w:t>
            </w:r>
            <w:r>
              <w:rPr>
                <w:rFonts w:hint="eastAsia" w:ascii="Times New Roman" w:hAnsi="Times New Roman" w:cs="Times New Roman"/>
                <w:color w:val="auto"/>
                <w:kern w:val="0"/>
                <w:sz w:val="24"/>
                <w:highlight w:val="none"/>
                <w:lang w:val="en-US" w:eastAsia="zh-CN"/>
              </w:rPr>
              <w:t xml:space="preserve"> ~ </w:t>
            </w:r>
            <w:r>
              <w:rPr>
                <w:rFonts w:hint="default" w:ascii="Times New Roman" w:hAnsi="Times New Roman" w:eastAsia="宋体" w:cs="Times New Roman"/>
                <w:color w:val="auto"/>
                <w:kern w:val="0"/>
                <w:sz w:val="24"/>
                <w:highlight w:val="none"/>
                <w:lang w:val="en-US"/>
              </w:rPr>
              <w:t>E</w:t>
            </w:r>
            <w:r>
              <w:rPr>
                <w:rFonts w:hint="default" w:ascii="Times New Roman" w:hAnsi="Times New Roman" w:cs="Times New Roman"/>
                <w:color w:val="auto"/>
                <w:kern w:val="0"/>
                <w:sz w:val="24"/>
                <w:highlight w:val="none"/>
                <w:lang w:val="en-US" w:eastAsia="zh-CN"/>
              </w:rPr>
              <w:t>106°7′31.942″，N35°37′22.613″</w:t>
            </w:r>
            <w:r>
              <w:rPr>
                <w:rFonts w:hint="eastAsia" w:cs="Times New Roman"/>
                <w:color w:val="auto"/>
                <w:kern w:val="0"/>
                <w:sz w:val="24"/>
                <w:highlight w:val="none"/>
                <w:lang w:val="en-US" w:eastAsia="zh-CN"/>
              </w:rPr>
              <w:t>；</w:t>
            </w:r>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540" w:lineRule="exact"/>
              <w:ind w:left="0" w:right="0" w:firstLine="480" w:firstLineChars="200"/>
              <w:jc w:val="both"/>
              <w:textAlignment w:val="auto"/>
              <w:rPr>
                <w:rFonts w:hint="eastAsia" w:cs="Times New Roman"/>
                <w:color w:val="auto"/>
                <w:kern w:val="0"/>
                <w:sz w:val="24"/>
                <w:highlight w:val="none"/>
                <w:lang w:val="en-US" w:eastAsia="zh-CN"/>
              </w:rPr>
            </w:pPr>
            <w:r>
              <w:rPr>
                <w:rFonts w:hint="eastAsia" w:cs="Times New Roman"/>
                <w:color w:val="auto"/>
                <w:kern w:val="0"/>
                <w:sz w:val="24"/>
                <w:highlight w:val="none"/>
                <w:lang w:val="en-US" w:eastAsia="zh-CN"/>
              </w:rPr>
              <w:t>县城东侧建筑垃圾填埋场排洪渠起止坐标：</w:t>
            </w:r>
            <w:r>
              <w:rPr>
                <w:rFonts w:hint="default" w:ascii="Times New Roman" w:hAnsi="Times New Roman" w:eastAsia="宋体" w:cs="Times New Roman"/>
                <w:color w:val="auto"/>
                <w:kern w:val="0"/>
                <w:sz w:val="24"/>
                <w:highlight w:val="none"/>
                <w:lang w:val="en-US"/>
              </w:rPr>
              <w:t>E106°8′10.709″</w:t>
            </w:r>
            <w:r>
              <w:rPr>
                <w:rFonts w:hint="default" w:ascii="Times New Roman" w:hAnsi="Times New Roman" w:cs="Times New Roman"/>
                <w:color w:val="auto"/>
                <w:kern w:val="0"/>
                <w:sz w:val="24"/>
                <w:highlight w:val="none"/>
                <w:lang w:val="en-US" w:eastAsia="zh-CN"/>
              </w:rPr>
              <w:t>，N35°36′51.980″</w:t>
            </w:r>
            <w:r>
              <w:rPr>
                <w:rFonts w:hint="eastAsia" w:ascii="Times New Roman" w:hAnsi="Times New Roman" w:cs="Times New Roman"/>
                <w:color w:val="auto"/>
                <w:kern w:val="0"/>
                <w:sz w:val="24"/>
                <w:highlight w:val="none"/>
                <w:lang w:val="en-US" w:eastAsia="zh-CN"/>
              </w:rPr>
              <w:t xml:space="preserve"> ~ </w:t>
            </w:r>
            <w:r>
              <w:rPr>
                <w:rFonts w:hint="default" w:ascii="Times New Roman" w:hAnsi="Times New Roman" w:eastAsia="宋体" w:cs="Times New Roman"/>
                <w:color w:val="auto"/>
                <w:kern w:val="0"/>
                <w:sz w:val="24"/>
                <w:highlight w:val="none"/>
                <w:lang w:val="en-US"/>
              </w:rPr>
              <w:t>E106°8′20.558″</w:t>
            </w:r>
            <w:r>
              <w:rPr>
                <w:rFonts w:hint="default" w:ascii="Times New Roman" w:hAnsi="Times New Roman" w:cs="Times New Roman"/>
                <w:color w:val="auto"/>
                <w:kern w:val="0"/>
                <w:sz w:val="24"/>
                <w:highlight w:val="none"/>
                <w:lang w:val="en-US" w:eastAsia="zh-CN"/>
              </w:rPr>
              <w:t>，N35°36′44.3</w:t>
            </w:r>
            <w:r>
              <w:rPr>
                <w:rFonts w:hint="eastAsia" w:cs="Times New Roman"/>
                <w:color w:val="auto"/>
                <w:kern w:val="0"/>
                <w:sz w:val="24"/>
                <w:highlight w:val="none"/>
                <w:lang w:val="en-US" w:eastAsia="zh-CN"/>
              </w:rPr>
              <w:t>50</w:t>
            </w:r>
            <w:r>
              <w:rPr>
                <w:rFonts w:hint="default" w:ascii="Times New Roman" w:hAnsi="Times New Roman" w:cs="Times New Roman"/>
                <w:color w:val="auto"/>
                <w:kern w:val="0"/>
                <w:sz w:val="24"/>
                <w:highlight w:val="none"/>
                <w:lang w:val="en-US" w:eastAsia="zh-CN"/>
              </w:rPr>
              <w:t>″</w:t>
            </w:r>
            <w:r>
              <w:rPr>
                <w:rFonts w:hint="eastAsia" w:cs="Times New Roman"/>
                <w:color w:val="auto"/>
                <w:kern w:val="0"/>
                <w:sz w:val="24"/>
                <w:highlight w:val="none"/>
                <w:lang w:val="en-US" w:eastAsia="zh-CN"/>
              </w:rPr>
              <w:t>；</w:t>
            </w:r>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540" w:lineRule="exact"/>
              <w:ind w:left="0" w:right="0" w:firstLine="480" w:firstLineChars="200"/>
              <w:jc w:val="both"/>
              <w:textAlignment w:val="auto"/>
              <w:rPr>
                <w:rFonts w:hint="eastAsia" w:cs="Times New Roman"/>
                <w:color w:val="auto"/>
                <w:kern w:val="0"/>
                <w:sz w:val="24"/>
                <w:highlight w:val="none"/>
                <w:lang w:val="en-US" w:eastAsia="zh-CN"/>
              </w:rPr>
            </w:pPr>
            <w:r>
              <w:rPr>
                <w:rFonts w:hint="eastAsia" w:cs="Times New Roman"/>
                <w:color w:val="auto"/>
                <w:kern w:val="0"/>
                <w:sz w:val="24"/>
                <w:highlight w:val="none"/>
                <w:lang w:val="en-US" w:eastAsia="zh-CN"/>
              </w:rPr>
              <w:t>排洪沟新建浆砌石砌护起止坐标：</w:t>
            </w:r>
            <w:r>
              <w:rPr>
                <w:rFonts w:hint="default" w:ascii="Times New Roman" w:hAnsi="Times New Roman" w:eastAsia="宋体" w:cs="Times New Roman"/>
                <w:color w:val="auto"/>
                <w:kern w:val="0"/>
                <w:sz w:val="24"/>
                <w:highlight w:val="none"/>
                <w:lang w:val="en-US"/>
              </w:rPr>
              <w:t>E106°7′57.596″</w:t>
            </w:r>
            <w:r>
              <w:rPr>
                <w:rFonts w:hint="default" w:ascii="Times New Roman" w:hAnsi="Times New Roman" w:cs="Times New Roman"/>
                <w:color w:val="auto"/>
                <w:kern w:val="0"/>
                <w:sz w:val="24"/>
                <w:highlight w:val="none"/>
                <w:lang w:val="en-US" w:eastAsia="zh-CN"/>
              </w:rPr>
              <w:t>，N35°37′2.451″</w:t>
            </w:r>
            <w:r>
              <w:rPr>
                <w:rFonts w:hint="eastAsia" w:ascii="Times New Roman" w:hAnsi="Times New Roman" w:cs="Times New Roman"/>
                <w:color w:val="auto"/>
                <w:kern w:val="0"/>
                <w:sz w:val="24"/>
                <w:highlight w:val="none"/>
                <w:lang w:val="en-US" w:eastAsia="zh-CN"/>
              </w:rPr>
              <w:t xml:space="preserve"> ~ </w:t>
            </w:r>
            <w:r>
              <w:rPr>
                <w:rFonts w:hint="default" w:ascii="Times New Roman" w:hAnsi="Times New Roman" w:eastAsia="宋体" w:cs="Times New Roman"/>
                <w:color w:val="auto"/>
                <w:kern w:val="0"/>
                <w:sz w:val="24"/>
                <w:highlight w:val="none"/>
                <w:lang w:val="en-US"/>
              </w:rPr>
              <w:t>E106°8′0.300″</w:t>
            </w:r>
            <w:r>
              <w:rPr>
                <w:rFonts w:hint="default" w:ascii="Times New Roman" w:hAnsi="Times New Roman" w:cs="Times New Roman"/>
                <w:color w:val="auto"/>
                <w:kern w:val="0"/>
                <w:sz w:val="24"/>
                <w:highlight w:val="none"/>
                <w:lang w:val="en-US" w:eastAsia="zh-CN"/>
              </w:rPr>
              <w:t>，N35°37′0.630″</w:t>
            </w:r>
            <w:r>
              <w:rPr>
                <w:rFonts w:hint="eastAsia" w:cs="Times New Roman"/>
                <w:color w:val="auto"/>
                <w:kern w:val="0"/>
                <w:sz w:val="24"/>
                <w:highlight w:val="none"/>
                <w:lang w:val="en-US" w:eastAsia="zh-CN"/>
              </w:rPr>
              <w:t>；</w:t>
            </w:r>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540" w:lineRule="exact"/>
              <w:ind w:left="0" w:right="0" w:firstLine="480" w:firstLineChars="200"/>
              <w:jc w:val="both"/>
              <w:textAlignment w:val="auto"/>
              <w:rPr>
                <w:rFonts w:hint="eastAsia" w:cs="Times New Roman"/>
                <w:color w:val="auto"/>
                <w:kern w:val="0"/>
                <w:sz w:val="24"/>
                <w:highlight w:val="none"/>
                <w:lang w:val="en-US" w:eastAsia="zh-CN"/>
              </w:rPr>
            </w:pPr>
            <w:r>
              <w:rPr>
                <w:rFonts w:hint="eastAsia" w:cs="Times New Roman"/>
                <w:color w:val="auto"/>
                <w:kern w:val="0"/>
                <w:sz w:val="24"/>
                <w:highlight w:val="none"/>
                <w:lang w:val="en-US" w:eastAsia="zh-CN"/>
              </w:rPr>
              <w:t>县生活垃圾填埋场排洪渠起止坐标：</w:t>
            </w:r>
            <w:r>
              <w:rPr>
                <w:rFonts w:hint="default" w:ascii="Times New Roman" w:hAnsi="Times New Roman" w:eastAsia="宋体" w:cs="Times New Roman"/>
                <w:color w:val="auto"/>
                <w:kern w:val="0"/>
                <w:sz w:val="24"/>
                <w:highlight w:val="none"/>
                <w:lang w:val="en-US"/>
              </w:rPr>
              <w:t>E106°6′51.35</w:t>
            </w:r>
            <w:r>
              <w:rPr>
                <w:rFonts w:hint="eastAsia" w:cs="Times New Roman"/>
                <w:color w:val="auto"/>
                <w:kern w:val="0"/>
                <w:sz w:val="24"/>
                <w:highlight w:val="none"/>
                <w:lang w:val="en-US" w:eastAsia="zh-CN"/>
              </w:rPr>
              <w:t>7</w:t>
            </w:r>
            <w:r>
              <w:rPr>
                <w:rFonts w:hint="default" w:ascii="Times New Roman" w:hAnsi="Times New Roman" w:eastAsia="宋体" w:cs="Times New Roman"/>
                <w:color w:val="auto"/>
                <w:kern w:val="0"/>
                <w:sz w:val="24"/>
                <w:highlight w:val="none"/>
                <w:lang w:val="en-US"/>
              </w:rPr>
              <w:t>″</w:t>
            </w:r>
            <w:r>
              <w:rPr>
                <w:rFonts w:hint="default" w:ascii="Times New Roman" w:hAnsi="Times New Roman" w:cs="Times New Roman"/>
                <w:color w:val="auto"/>
                <w:kern w:val="0"/>
                <w:sz w:val="24"/>
                <w:highlight w:val="none"/>
                <w:lang w:val="en-US" w:eastAsia="zh-CN"/>
              </w:rPr>
              <w:t>，N35°38′15.427″</w:t>
            </w:r>
            <w:r>
              <w:rPr>
                <w:rFonts w:hint="eastAsia" w:ascii="Times New Roman" w:hAnsi="Times New Roman" w:cs="Times New Roman"/>
                <w:color w:val="auto"/>
                <w:kern w:val="0"/>
                <w:sz w:val="24"/>
                <w:highlight w:val="none"/>
                <w:lang w:val="en-US" w:eastAsia="zh-CN"/>
              </w:rPr>
              <w:t xml:space="preserve"> ~ </w:t>
            </w:r>
            <w:r>
              <w:rPr>
                <w:rFonts w:hint="default" w:ascii="Times New Roman" w:hAnsi="Times New Roman" w:eastAsia="宋体" w:cs="Times New Roman"/>
                <w:color w:val="auto"/>
                <w:kern w:val="0"/>
                <w:sz w:val="24"/>
                <w:highlight w:val="none"/>
                <w:lang w:val="en-US"/>
              </w:rPr>
              <w:t>E106°6′53.539″</w:t>
            </w:r>
            <w:r>
              <w:rPr>
                <w:rFonts w:hint="default" w:ascii="Times New Roman" w:hAnsi="Times New Roman" w:cs="Times New Roman"/>
                <w:color w:val="auto"/>
                <w:kern w:val="0"/>
                <w:sz w:val="24"/>
                <w:highlight w:val="none"/>
                <w:lang w:val="en-US" w:eastAsia="zh-CN"/>
              </w:rPr>
              <w:t>，N35°38′4.974″</w:t>
            </w:r>
            <w:r>
              <w:rPr>
                <w:rFonts w:hint="eastAsia" w:cs="Times New Roman"/>
                <w:color w:val="auto"/>
                <w:kern w:val="0"/>
                <w:sz w:val="24"/>
                <w:highlight w:val="none"/>
                <w:lang w:val="en-US" w:eastAsia="zh-CN"/>
              </w:rPr>
              <w:t>；</w:t>
            </w:r>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540" w:lineRule="exact"/>
              <w:ind w:left="0" w:right="0" w:firstLine="480" w:firstLineChars="200"/>
              <w:jc w:val="both"/>
              <w:textAlignment w:val="auto"/>
              <w:rPr>
                <w:rFonts w:hint="eastAsia" w:cs="Times New Roman"/>
                <w:color w:val="auto"/>
                <w:kern w:val="0"/>
                <w:sz w:val="24"/>
                <w:highlight w:val="none"/>
                <w:lang w:val="en-US" w:eastAsia="zh-CN"/>
              </w:rPr>
            </w:pPr>
            <w:r>
              <w:rPr>
                <w:rFonts w:hint="eastAsia" w:cs="Times New Roman"/>
                <w:color w:val="auto"/>
                <w:kern w:val="0"/>
                <w:sz w:val="24"/>
                <w:highlight w:val="none"/>
                <w:lang w:val="en-US" w:eastAsia="zh-CN"/>
              </w:rPr>
              <w:t>南河社区两侧沟道砌护起止坐标：</w:t>
            </w:r>
            <w:r>
              <w:rPr>
                <w:rFonts w:hint="default" w:ascii="Times New Roman" w:hAnsi="Times New Roman" w:eastAsia="宋体" w:cs="Times New Roman"/>
                <w:color w:val="auto"/>
                <w:kern w:val="0"/>
                <w:sz w:val="24"/>
                <w:highlight w:val="none"/>
                <w:lang w:val="en-US"/>
              </w:rPr>
              <w:t>E106°7′1.04</w:t>
            </w:r>
            <w:r>
              <w:rPr>
                <w:rFonts w:hint="eastAsia" w:cs="Times New Roman"/>
                <w:color w:val="auto"/>
                <w:kern w:val="0"/>
                <w:sz w:val="24"/>
                <w:highlight w:val="none"/>
                <w:lang w:val="en-US" w:eastAsia="zh-CN"/>
              </w:rPr>
              <w:t>2</w:t>
            </w:r>
            <w:r>
              <w:rPr>
                <w:rFonts w:hint="default" w:ascii="Times New Roman" w:hAnsi="Times New Roman" w:eastAsia="宋体" w:cs="Times New Roman"/>
                <w:color w:val="auto"/>
                <w:kern w:val="0"/>
                <w:sz w:val="24"/>
                <w:highlight w:val="none"/>
                <w:lang w:val="en-US"/>
              </w:rPr>
              <w:t>″</w:t>
            </w:r>
            <w:r>
              <w:rPr>
                <w:rFonts w:hint="default" w:ascii="Times New Roman" w:hAnsi="Times New Roman" w:cs="Times New Roman"/>
                <w:color w:val="auto"/>
                <w:kern w:val="0"/>
                <w:sz w:val="24"/>
                <w:highlight w:val="none"/>
                <w:lang w:val="en-US" w:eastAsia="zh-CN"/>
              </w:rPr>
              <w:t>，N35°36′15.75</w:t>
            </w:r>
            <w:r>
              <w:rPr>
                <w:rFonts w:hint="eastAsia" w:cs="Times New Roman"/>
                <w:color w:val="auto"/>
                <w:kern w:val="0"/>
                <w:sz w:val="24"/>
                <w:highlight w:val="none"/>
                <w:lang w:val="en-US" w:eastAsia="zh-CN"/>
              </w:rPr>
              <w:t>1</w:t>
            </w:r>
            <w:r>
              <w:rPr>
                <w:rFonts w:hint="default" w:ascii="Times New Roman" w:hAnsi="Times New Roman" w:cs="Times New Roman"/>
                <w:color w:val="auto"/>
                <w:kern w:val="0"/>
                <w:sz w:val="24"/>
                <w:highlight w:val="none"/>
                <w:lang w:val="en-US" w:eastAsia="zh-CN"/>
              </w:rPr>
              <w:t>″</w:t>
            </w:r>
            <w:r>
              <w:rPr>
                <w:rFonts w:hint="eastAsia" w:ascii="Times New Roman" w:hAnsi="Times New Roman" w:cs="Times New Roman"/>
                <w:color w:val="auto"/>
                <w:kern w:val="0"/>
                <w:sz w:val="24"/>
                <w:highlight w:val="none"/>
                <w:lang w:val="en-US" w:eastAsia="zh-CN"/>
              </w:rPr>
              <w:t xml:space="preserve"> ~ </w:t>
            </w:r>
            <w:r>
              <w:rPr>
                <w:rFonts w:hint="default" w:ascii="Times New Roman" w:hAnsi="Times New Roman" w:eastAsia="宋体" w:cs="Times New Roman"/>
                <w:color w:val="auto"/>
                <w:kern w:val="0"/>
                <w:sz w:val="24"/>
                <w:highlight w:val="none"/>
                <w:lang w:val="en-US"/>
              </w:rPr>
              <w:t>E106°7′17.843″</w:t>
            </w:r>
            <w:r>
              <w:rPr>
                <w:rFonts w:hint="default" w:ascii="Times New Roman" w:hAnsi="Times New Roman" w:cs="Times New Roman"/>
                <w:color w:val="auto"/>
                <w:kern w:val="0"/>
                <w:sz w:val="24"/>
                <w:highlight w:val="none"/>
                <w:lang w:val="en-US" w:eastAsia="zh-CN"/>
              </w:rPr>
              <w:t>，N35°35′47.863″</w:t>
            </w:r>
            <w:r>
              <w:rPr>
                <w:rFonts w:hint="eastAsia" w:cs="Times New Roman"/>
                <w:color w:val="auto"/>
                <w:kern w:val="0"/>
                <w:sz w:val="24"/>
                <w:highlight w:val="none"/>
                <w:lang w:val="en-US" w:eastAsia="zh-CN"/>
              </w:rPr>
              <w:t>；</w:t>
            </w:r>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540" w:lineRule="exact"/>
              <w:ind w:left="0" w:right="0" w:firstLine="480" w:firstLineChars="200"/>
              <w:jc w:val="both"/>
              <w:textAlignment w:val="auto"/>
              <w:rPr>
                <w:rFonts w:hint="eastAsia" w:cs="Times New Roman"/>
                <w:color w:val="auto"/>
                <w:kern w:val="0"/>
                <w:sz w:val="24"/>
                <w:highlight w:val="none"/>
                <w:lang w:val="en-US" w:eastAsia="zh-CN"/>
              </w:rPr>
            </w:pPr>
            <w:r>
              <w:rPr>
                <w:rFonts w:hint="eastAsia" w:cs="Times New Roman"/>
                <w:color w:val="auto"/>
                <w:kern w:val="0"/>
                <w:sz w:val="24"/>
                <w:highlight w:val="none"/>
                <w:lang w:val="en-US" w:eastAsia="zh-CN"/>
              </w:rPr>
              <w:t>排洪管涵起止坐标：</w:t>
            </w:r>
            <w:r>
              <w:rPr>
                <w:rFonts w:hint="default" w:ascii="Times New Roman" w:hAnsi="Times New Roman" w:eastAsia="宋体" w:cs="Times New Roman"/>
                <w:color w:val="auto"/>
                <w:kern w:val="0"/>
                <w:sz w:val="24"/>
                <w:highlight w:val="none"/>
                <w:lang w:val="en-US"/>
              </w:rPr>
              <w:t>E106°6′50.613″</w:t>
            </w:r>
            <w:r>
              <w:rPr>
                <w:rFonts w:hint="default" w:ascii="Times New Roman" w:hAnsi="Times New Roman" w:cs="Times New Roman"/>
                <w:color w:val="auto"/>
                <w:kern w:val="0"/>
                <w:sz w:val="24"/>
                <w:highlight w:val="none"/>
                <w:lang w:val="en-US" w:eastAsia="zh-CN"/>
              </w:rPr>
              <w:t>，N35°37′28.25</w:t>
            </w:r>
            <w:r>
              <w:rPr>
                <w:rFonts w:hint="eastAsia" w:cs="Times New Roman"/>
                <w:color w:val="auto"/>
                <w:kern w:val="0"/>
                <w:sz w:val="24"/>
                <w:highlight w:val="none"/>
                <w:lang w:val="en-US" w:eastAsia="zh-CN"/>
              </w:rPr>
              <w:t>2</w:t>
            </w:r>
            <w:r>
              <w:rPr>
                <w:rFonts w:hint="default" w:ascii="Times New Roman" w:hAnsi="Times New Roman" w:cs="Times New Roman"/>
                <w:color w:val="auto"/>
                <w:kern w:val="0"/>
                <w:sz w:val="24"/>
                <w:highlight w:val="none"/>
                <w:lang w:val="en-US" w:eastAsia="zh-CN"/>
              </w:rPr>
              <w:t>″</w:t>
            </w:r>
            <w:r>
              <w:rPr>
                <w:rFonts w:hint="eastAsia" w:ascii="Times New Roman" w:hAnsi="Times New Roman" w:cs="Times New Roman"/>
                <w:color w:val="auto"/>
                <w:kern w:val="0"/>
                <w:sz w:val="24"/>
                <w:highlight w:val="none"/>
                <w:lang w:val="en-US" w:eastAsia="zh-CN"/>
              </w:rPr>
              <w:t xml:space="preserve"> ~ </w:t>
            </w:r>
            <w:r>
              <w:rPr>
                <w:rFonts w:hint="default" w:ascii="Times New Roman" w:hAnsi="Times New Roman" w:eastAsia="宋体" w:cs="Times New Roman"/>
                <w:color w:val="auto"/>
                <w:kern w:val="0"/>
                <w:sz w:val="24"/>
                <w:highlight w:val="none"/>
                <w:lang w:val="en-US"/>
              </w:rPr>
              <w:t>E106°6′49.609″</w:t>
            </w:r>
            <w:r>
              <w:rPr>
                <w:rFonts w:hint="default" w:ascii="Times New Roman" w:hAnsi="Times New Roman" w:cs="Times New Roman"/>
                <w:color w:val="auto"/>
                <w:kern w:val="0"/>
                <w:sz w:val="24"/>
                <w:highlight w:val="none"/>
                <w:lang w:val="en-US" w:eastAsia="zh-CN"/>
              </w:rPr>
              <w:t>，N35°37′14.751″</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rPr>
              <w:t>E106°7′17.804″</w:t>
            </w:r>
            <w:r>
              <w:rPr>
                <w:rFonts w:hint="default" w:ascii="Times New Roman" w:hAnsi="Times New Roman" w:cs="Times New Roman"/>
                <w:color w:val="auto"/>
                <w:kern w:val="0"/>
                <w:sz w:val="24"/>
                <w:highlight w:val="none"/>
                <w:lang w:val="en-US" w:eastAsia="zh-CN"/>
              </w:rPr>
              <w:t>，N35°37′24.955″</w:t>
            </w:r>
            <w:r>
              <w:rPr>
                <w:rFonts w:hint="eastAsia" w:cs="Times New Roman"/>
                <w:color w:val="auto"/>
                <w:kern w:val="0"/>
                <w:sz w:val="24"/>
                <w:highlight w:val="none"/>
                <w:lang w:val="en-US" w:eastAsia="zh-CN"/>
              </w:rPr>
              <w:t xml:space="preserve"> </w:t>
            </w:r>
            <w:r>
              <w:rPr>
                <w:rFonts w:hint="eastAsia" w:ascii="Times New Roman" w:hAnsi="Times New Roman" w:cs="Times New Roman"/>
                <w:color w:val="auto"/>
                <w:kern w:val="0"/>
                <w:sz w:val="24"/>
                <w:highlight w:val="none"/>
                <w:lang w:val="en-US" w:eastAsia="zh-CN"/>
              </w:rPr>
              <w:t>~</w:t>
            </w:r>
            <w:r>
              <w:rPr>
                <w:rFonts w:hint="eastAsia" w:cs="Times New Roman"/>
                <w:color w:val="auto"/>
                <w:kern w:val="0"/>
                <w:sz w:val="24"/>
                <w:highlight w:val="none"/>
                <w:lang w:val="en-US" w:eastAsia="zh-CN"/>
              </w:rPr>
              <w:t xml:space="preserve"> </w:t>
            </w:r>
            <w:r>
              <w:rPr>
                <w:rFonts w:hint="default" w:ascii="Times New Roman" w:hAnsi="Times New Roman" w:eastAsia="宋体" w:cs="Times New Roman"/>
                <w:color w:val="auto"/>
                <w:kern w:val="0"/>
                <w:sz w:val="24"/>
                <w:highlight w:val="none"/>
                <w:lang w:val="en-US"/>
              </w:rPr>
              <w:t>E106°7′18.152″</w:t>
            </w:r>
            <w:r>
              <w:rPr>
                <w:rFonts w:hint="default" w:ascii="Times New Roman" w:hAnsi="Times New Roman" w:cs="Times New Roman"/>
                <w:color w:val="auto"/>
                <w:kern w:val="0"/>
                <w:sz w:val="24"/>
                <w:highlight w:val="none"/>
                <w:lang w:val="en-US" w:eastAsia="zh-CN"/>
              </w:rPr>
              <w:t>，N35°37′18.33</w:t>
            </w:r>
            <w:r>
              <w:rPr>
                <w:rFonts w:hint="eastAsia" w:cs="Times New Roman"/>
                <w:color w:val="auto"/>
                <w:kern w:val="0"/>
                <w:sz w:val="24"/>
                <w:highlight w:val="none"/>
                <w:lang w:val="en-US" w:eastAsia="zh-CN"/>
              </w:rPr>
              <w:t>1</w:t>
            </w:r>
            <w:r>
              <w:rPr>
                <w:rFonts w:hint="default" w:ascii="Times New Roman" w:hAnsi="Times New Roman" w:cs="Times New Roman"/>
                <w:color w:val="auto"/>
                <w:kern w:val="0"/>
                <w:sz w:val="24"/>
                <w:highlight w:val="none"/>
                <w:lang w:val="en-US" w:eastAsia="zh-CN"/>
              </w:rPr>
              <w:t>″</w:t>
            </w:r>
            <w:r>
              <w:rPr>
                <w:rFonts w:hint="eastAsia" w:cs="Times New Roman"/>
                <w:color w:val="auto"/>
                <w:kern w:val="0"/>
                <w:sz w:val="24"/>
                <w:highlight w:val="none"/>
                <w:lang w:val="en-US" w:eastAsia="zh-CN"/>
              </w:rPr>
              <w:t>；</w:t>
            </w:r>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540" w:lineRule="exact"/>
              <w:ind w:left="0" w:right="0" w:firstLine="480" w:firstLineChars="200"/>
              <w:jc w:val="both"/>
              <w:textAlignment w:val="auto"/>
              <w:rPr>
                <w:rFonts w:hint="default" w:ascii="Times New Roman" w:hAnsi="Times New Roman" w:eastAsia="宋体" w:cs="Times New Roman"/>
                <w:color w:val="0000FF"/>
                <w:kern w:val="0"/>
                <w:sz w:val="24"/>
                <w:highlight w:val="none"/>
                <w:lang w:val="en-US"/>
              </w:rPr>
            </w:pPr>
            <w:r>
              <w:rPr>
                <w:rFonts w:hint="default" w:ascii="Times New Roman" w:hAnsi="Times New Roman" w:eastAsia="宋体" w:cs="Times New Roman"/>
                <w:color w:val="auto"/>
                <w:kern w:val="0"/>
                <w:sz w:val="24"/>
                <w:highlight w:val="none"/>
              </w:rPr>
              <w:t>本项目地理位置</w:t>
            </w:r>
            <w:r>
              <w:rPr>
                <w:rFonts w:hint="default" w:ascii="Times New Roman" w:hAnsi="Times New Roman" w:eastAsia="宋体" w:cs="Times New Roman"/>
                <w:color w:val="auto"/>
                <w:kern w:val="0"/>
                <w:sz w:val="24"/>
                <w:highlight w:val="none"/>
                <w:lang w:val="en-US" w:eastAsia="zh-CN"/>
              </w:rPr>
              <w:t>图见</w:t>
            </w:r>
            <w:r>
              <w:rPr>
                <w:rFonts w:hint="eastAsia" w:cs="Times New Roman"/>
                <w:color w:val="auto"/>
                <w:kern w:val="0"/>
                <w:sz w:val="24"/>
                <w:highlight w:val="none"/>
                <w:lang w:val="en-US" w:eastAsia="zh-CN"/>
              </w:rPr>
              <w:t>附</w:t>
            </w:r>
            <w:r>
              <w:rPr>
                <w:rFonts w:hint="default" w:ascii="Times New Roman" w:hAnsi="Times New Roman" w:eastAsia="宋体" w:cs="Times New Roman"/>
                <w:color w:val="auto"/>
                <w:kern w:val="0"/>
                <w:sz w:val="24"/>
                <w:highlight w:val="none"/>
                <w:lang w:val="en-US" w:eastAsia="zh-CN"/>
              </w:rPr>
              <w:t>图</w:t>
            </w:r>
            <w:r>
              <w:rPr>
                <w:rFonts w:hint="eastAsia" w:cs="Times New Roman"/>
                <w:color w:val="auto"/>
                <w:kern w:val="0"/>
                <w:sz w:val="24"/>
                <w:highlight w:val="none"/>
                <w:lang w:val="en-US" w:eastAsia="zh-CN"/>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938" w:hRule="atLeast"/>
          <w:jc w:val="center"/>
        </w:trPr>
        <w:tc>
          <w:tcPr>
            <w:tcW w:w="708"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FF"/>
                <w:kern w:val="0"/>
                <w:sz w:val="24"/>
                <w:highlight w:val="none"/>
              </w:rPr>
            </w:pPr>
            <w:r>
              <w:rPr>
                <w:rFonts w:hint="default" w:ascii="Times New Roman" w:hAnsi="Times New Roman" w:eastAsia="宋体" w:cs="Times New Roman"/>
                <w:b/>
                <w:bCs/>
                <w:color w:val="auto"/>
                <w:kern w:val="0"/>
                <w:sz w:val="24"/>
                <w:highlight w:val="none"/>
              </w:rPr>
              <w:t>项目组成及规模</w:t>
            </w:r>
          </w:p>
        </w:tc>
        <w:tc>
          <w:tcPr>
            <w:tcW w:w="8297"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157" w:beforeLines="50" w:beforeAutospacing="0" w:after="0" w:afterAutospacing="0" w:line="540" w:lineRule="exact"/>
              <w:ind w:left="0" w:right="0" w:firstLine="482" w:firstLineChars="200"/>
              <w:textAlignment w:val="auto"/>
              <w:rPr>
                <w:rFonts w:hint="default" w:ascii="Times New Roman" w:hAnsi="Times New Roman" w:eastAsia="宋体" w:cs="Times New Roman"/>
                <w:b/>
                <w:color w:val="auto"/>
                <w:kern w:val="0"/>
                <w:sz w:val="24"/>
                <w:highlight w:val="none"/>
              </w:rPr>
            </w:pPr>
            <w:r>
              <w:rPr>
                <w:rFonts w:hint="eastAsia" w:cs="Times New Roman"/>
                <w:b/>
                <w:color w:val="auto"/>
                <w:kern w:val="0"/>
                <w:sz w:val="24"/>
                <w:highlight w:val="none"/>
                <w:lang w:val="en-US" w:eastAsia="zh-CN"/>
              </w:rPr>
              <w:t>1</w:t>
            </w:r>
            <w:r>
              <w:rPr>
                <w:rFonts w:hint="default" w:ascii="Times New Roman" w:hAnsi="Times New Roman" w:eastAsia="宋体" w:cs="Times New Roman"/>
                <w:b/>
                <w:color w:val="auto"/>
                <w:kern w:val="0"/>
                <w:sz w:val="24"/>
                <w:highlight w:val="none"/>
              </w:rPr>
              <w:t>、主要建设内容及建设规模</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本项目建设内容</w:t>
            </w:r>
            <w:r>
              <w:rPr>
                <w:rFonts w:hint="default" w:ascii="Times New Roman" w:hAnsi="Times New Roman" w:eastAsia="宋体" w:cs="Times New Roman"/>
                <w:color w:val="auto"/>
                <w:kern w:val="0"/>
                <w:sz w:val="24"/>
                <w:highlight w:val="none"/>
                <w:lang w:val="en-US" w:eastAsia="zh-CN"/>
              </w:rPr>
              <w:t>主要</w:t>
            </w:r>
            <w:r>
              <w:rPr>
                <w:rFonts w:hint="default" w:ascii="Times New Roman" w:hAnsi="Times New Roman" w:eastAsia="宋体" w:cs="Times New Roman"/>
                <w:color w:val="auto"/>
                <w:kern w:val="0"/>
                <w:sz w:val="24"/>
                <w:highlight w:val="none"/>
                <w:lang w:val="en-US"/>
              </w:rPr>
              <w:t>为</w:t>
            </w:r>
            <w:r>
              <w:rPr>
                <w:rFonts w:hint="default" w:ascii="Times New Roman" w:hAnsi="Times New Roman" w:eastAsia="宋体" w:cs="Times New Roman"/>
                <w:color w:val="auto"/>
                <w:kern w:val="0"/>
                <w:sz w:val="24"/>
                <w:highlight w:val="none"/>
                <w:lang w:val="en-US" w:eastAsia="zh-CN"/>
              </w:rPr>
              <w:t>建设排洪渠及现状清淤工程</w:t>
            </w:r>
            <w:r>
              <w:rPr>
                <w:rFonts w:hint="default" w:ascii="Times New Roman" w:hAnsi="Times New Roman" w:eastAsia="宋体" w:cs="Times New Roman"/>
                <w:color w:val="auto"/>
                <w:kern w:val="0"/>
                <w:sz w:val="24"/>
                <w:highlight w:val="none"/>
                <w:lang w:val="en-US"/>
              </w:rPr>
              <w:t>、</w:t>
            </w:r>
            <w:r>
              <w:rPr>
                <w:rFonts w:hint="default" w:ascii="Times New Roman" w:hAnsi="Times New Roman" w:eastAsia="宋体" w:cs="Times New Roman"/>
                <w:color w:val="auto"/>
                <w:kern w:val="0"/>
                <w:sz w:val="24"/>
                <w:highlight w:val="none"/>
                <w:lang w:val="en-US" w:eastAsia="zh-CN"/>
              </w:rPr>
              <w:t>建设山洪沟砌护</w:t>
            </w:r>
            <w:r>
              <w:rPr>
                <w:rFonts w:hint="default" w:ascii="Times New Roman" w:hAnsi="Times New Roman" w:eastAsia="宋体" w:cs="Times New Roman"/>
                <w:color w:val="auto"/>
                <w:kern w:val="0"/>
                <w:sz w:val="24"/>
                <w:highlight w:val="none"/>
                <w:lang w:val="en-US"/>
              </w:rPr>
              <w:t>、</w:t>
            </w:r>
            <w:r>
              <w:rPr>
                <w:rFonts w:hint="default" w:ascii="Times New Roman" w:hAnsi="Times New Roman" w:eastAsia="宋体" w:cs="Times New Roman"/>
                <w:color w:val="auto"/>
                <w:kern w:val="0"/>
                <w:sz w:val="24"/>
                <w:highlight w:val="none"/>
                <w:lang w:val="en-US" w:eastAsia="zh-CN"/>
              </w:rPr>
              <w:t>排洪管涵建设</w:t>
            </w:r>
            <w:r>
              <w:rPr>
                <w:rFonts w:hint="default" w:ascii="Times New Roman" w:hAnsi="Times New Roman" w:eastAsia="宋体" w:cs="Times New Roman"/>
                <w:color w:val="auto"/>
                <w:kern w:val="0"/>
                <w:sz w:val="24"/>
                <w:highlight w:val="none"/>
                <w:lang w:val="en-US"/>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1.建设排洪渠及现状清淤工程。建设排洪渠2.627km，其中北象山建设排洪渠1136m、县城东侧建筑垃圾填埋场建设排洪渠721m、县生活垃圾填埋厂建设排洪渠</w:t>
            </w:r>
            <w:r>
              <w:rPr>
                <w:rFonts w:hint="eastAsia" w:cs="Times New Roman"/>
                <w:color w:val="auto"/>
                <w:kern w:val="0"/>
                <w:sz w:val="24"/>
                <w:highlight w:val="none"/>
                <w:lang w:val="en-US" w:eastAsia="zh-CN"/>
              </w:rPr>
              <w:t>770</w:t>
            </w:r>
            <w:r>
              <w:rPr>
                <w:rFonts w:hint="default" w:ascii="Times New Roman" w:hAnsi="Times New Roman" w:eastAsia="宋体" w:cs="Times New Roman"/>
                <w:color w:val="auto"/>
                <w:kern w:val="0"/>
                <w:sz w:val="24"/>
                <w:highlight w:val="none"/>
                <w:lang w:val="en-US" w:eastAsia="zh-CN"/>
              </w:rPr>
              <w:t>m;建设浆砌石砌护180m、浆砌石挡土墙1.857km、浆砌石直墙15m;行政中心北侧现状排洪渠清淤疏浚767m;及其附属工程施工便道3.35km、临时施工堆料场4处。</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2.建设山洪沟砌护。南河社区两侧建设沟道砌护3.135km</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其中南河社区西侧建设沟道砌护单侧长度1.564km，南河社区东侧建设沟道砌护单侧长度1.081km，入河口建设沟道砌护0.49km。</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3.排洪管涵建设。建设d1500钢筋混凝土管395米，d2000钢筋混凝土管180米</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建设钢筋混凝土检査井7座</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排水口3座。</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本项目工程组成主要包括主体工程、临时工程、储运工程、公用工程以及环保工程。具体的项目工程组成情况见表2</w:t>
            </w:r>
            <w:r>
              <w:rPr>
                <w:rFonts w:hint="eastAsia" w:cs="Times New Roman"/>
                <w:color w:val="auto"/>
                <w:kern w:val="0"/>
                <w:sz w:val="24"/>
                <w:highlight w:val="none"/>
                <w:lang w:val="en-US" w:eastAsia="zh-CN"/>
              </w:rPr>
              <w:t>-1</w:t>
            </w:r>
            <w:r>
              <w:rPr>
                <w:rFonts w:hint="default" w:ascii="Times New Roman" w:hAnsi="Times New Roman" w:eastAsia="宋体" w:cs="Times New Roman"/>
                <w:color w:val="auto"/>
                <w:kern w:val="0"/>
                <w:sz w:val="24"/>
                <w:highlight w:val="none"/>
                <w:lang w:val="en-US"/>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leftChars="0" w:right="0" w:firstLine="0" w:firstLineChars="0"/>
              <w:jc w:val="center"/>
              <w:textAlignment w:val="auto"/>
              <w:rPr>
                <w:rFonts w:hint="eastAsia" w:ascii="黑体" w:hAnsi="黑体" w:eastAsia="黑体" w:cs="黑体"/>
                <w:bCs/>
                <w:color w:val="auto"/>
                <w:sz w:val="24"/>
                <w:highlight w:val="none"/>
              </w:rPr>
            </w:pPr>
            <w:r>
              <w:rPr>
                <w:rFonts w:hint="default" w:ascii="Times New Roman" w:hAnsi="Times New Roman" w:eastAsia="宋体" w:cs="Times New Roman"/>
                <w:b/>
                <w:bCs w:val="0"/>
                <w:color w:val="auto"/>
                <w:sz w:val="24"/>
                <w:szCs w:val="24"/>
                <w:highlight w:val="none"/>
              </w:rPr>
              <w:t>表2</w:t>
            </w:r>
            <w:r>
              <w:rPr>
                <w:rFonts w:hint="default" w:ascii="Times New Roman" w:hAnsi="Times New Roman" w:eastAsia="宋体" w:cs="Times New Roman"/>
                <w:b/>
                <w:bCs w:val="0"/>
                <w:color w:val="auto"/>
                <w:sz w:val="24"/>
                <w:szCs w:val="24"/>
                <w:highlight w:val="none"/>
                <w:lang w:val="en-US" w:eastAsia="zh-CN"/>
              </w:rPr>
              <w:t>-1</w:t>
            </w:r>
            <w:r>
              <w:rPr>
                <w:rFonts w:hint="default" w:ascii="Times New Roman" w:hAnsi="Times New Roman" w:eastAsia="宋体" w:cs="Times New Roman"/>
                <w:b/>
                <w:bCs w:val="0"/>
                <w:color w:val="auto"/>
                <w:sz w:val="24"/>
                <w:highlight w:val="none"/>
              </w:rPr>
              <w:t xml:space="preserve">  本项目工程组成一览</w:t>
            </w:r>
            <w:r>
              <w:rPr>
                <w:rFonts w:hint="default" w:ascii="Times New Roman" w:hAnsi="Times New Roman" w:eastAsia="宋体" w:cs="Times New Roman"/>
                <w:b/>
                <w:bCs/>
                <w:color w:val="auto"/>
                <w:sz w:val="24"/>
                <w:highlight w:val="none"/>
              </w:rPr>
              <w:t>表</w:t>
            </w:r>
          </w:p>
          <w:tbl>
            <w:tblPr>
              <w:tblStyle w:val="21"/>
              <w:tblW w:w="821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8"/>
              <w:gridCol w:w="372"/>
              <w:gridCol w:w="1296"/>
              <w:gridCol w:w="58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8"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highlight w:val="none"/>
                      <w:lang w:eastAsia="zh-CN"/>
                    </w:rPr>
                  </w:pPr>
                  <w:bookmarkStart w:id="7" w:name="OLE_LINK9"/>
                  <w:r>
                    <w:rPr>
                      <w:rFonts w:hint="default" w:ascii="Times New Roman" w:hAnsi="Times New Roman" w:eastAsia="宋体" w:cs="Times New Roman"/>
                      <w:b/>
                      <w:color w:val="auto"/>
                      <w:sz w:val="21"/>
                      <w:szCs w:val="21"/>
                      <w:highlight w:val="none"/>
                      <w:lang w:val="en-US" w:eastAsia="zh-CN"/>
                    </w:rPr>
                    <w:t>类别</w:t>
                  </w:r>
                </w:p>
              </w:tc>
              <w:tc>
                <w:tcPr>
                  <w:tcW w:w="1668" w:type="dxa"/>
                  <w:gridSpan w:val="2"/>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项目</w:t>
                  </w:r>
                  <w:r>
                    <w:rPr>
                      <w:rFonts w:hint="default" w:ascii="Times New Roman" w:hAnsi="Times New Roman" w:eastAsia="宋体" w:cs="Times New Roman"/>
                      <w:b/>
                      <w:color w:val="auto"/>
                      <w:sz w:val="21"/>
                      <w:szCs w:val="21"/>
                      <w:highlight w:val="none"/>
                    </w:rPr>
                    <w:t>名称</w:t>
                  </w:r>
                </w:p>
              </w:tc>
              <w:tc>
                <w:tcPr>
                  <w:tcW w:w="588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8" w:type="dxa"/>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主体工程</w:t>
                  </w:r>
                </w:p>
              </w:tc>
              <w:tc>
                <w:tcPr>
                  <w:tcW w:w="372" w:type="dxa"/>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cs="Times New Roman"/>
                      <w:bCs/>
                      <w:color w:val="auto"/>
                      <w:sz w:val="21"/>
                      <w:szCs w:val="21"/>
                      <w:highlight w:val="none"/>
                      <w:lang w:eastAsia="zh-CN"/>
                    </w:rPr>
                    <w:t>排洪渠工程</w:t>
                  </w:r>
                </w:p>
              </w:tc>
              <w:tc>
                <w:tcPr>
                  <w:tcW w:w="1296" w:type="dxa"/>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7"/>
                      <w:sz w:val="21"/>
                      <w:szCs w:val="21"/>
                      <w:highlight w:val="none"/>
                      <w:lang w:val="en-US" w:eastAsia="zh-CN"/>
                    </w:rPr>
                    <w:t>行政中心北侧现状排洪渠及排洪管涵工程</w:t>
                  </w:r>
                </w:p>
              </w:tc>
              <w:tc>
                <w:tcPr>
                  <w:tcW w:w="5881" w:type="dxa"/>
                  <w:tcBorders>
                    <w:tl2br w:val="nil"/>
                    <w:tr2bl w:val="nil"/>
                  </w:tcBorders>
                  <w:shd w:val="clear" w:color="auto" w:fill="auto"/>
                  <w:vAlign w:val="center"/>
                </w:tcPr>
                <w:p>
                  <w:pPr>
                    <w:keepNext w:val="0"/>
                    <w:keepLines w:val="0"/>
                    <w:pageBreakBefore w:val="0"/>
                    <w:suppressLineNumbers w:val="0"/>
                    <w:tabs>
                      <w:tab w:val="left" w:pos="556"/>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现状排洪渠长度0.767km，进行</w:t>
                  </w:r>
                  <w:r>
                    <w:rPr>
                      <w:rFonts w:hint="eastAsia" w:cs="Times New Roman"/>
                      <w:color w:val="auto"/>
                      <w:sz w:val="21"/>
                      <w:szCs w:val="21"/>
                      <w:highlight w:val="none"/>
                      <w:lang w:eastAsia="zh-CN"/>
                    </w:rPr>
                    <w:t>沙土清理</w:t>
                  </w:r>
                  <w:r>
                    <w:rPr>
                      <w:rFonts w:hint="default" w:ascii="Times New Roman" w:hAnsi="Times New Roman" w:eastAsia="宋体" w:cs="Times New Roman"/>
                      <w:color w:val="auto"/>
                      <w:sz w:val="21"/>
                      <w:szCs w:val="21"/>
                      <w:highlight w:val="none"/>
                    </w:rPr>
                    <w:t>；现状排洪管涵设计长度0.85km，进行</w:t>
                  </w:r>
                  <w:r>
                    <w:rPr>
                      <w:rFonts w:hint="eastAsia" w:cs="Times New Roman"/>
                      <w:color w:val="auto"/>
                      <w:sz w:val="21"/>
                      <w:szCs w:val="21"/>
                      <w:highlight w:val="none"/>
                      <w:lang w:eastAsia="zh-CN"/>
                    </w:rPr>
                    <w:t>沙土</w:t>
                  </w:r>
                  <w:r>
                    <w:rPr>
                      <w:rFonts w:hint="default" w:ascii="Times New Roman" w:hAnsi="Times New Roman" w:eastAsia="宋体" w:cs="Times New Roman"/>
                      <w:color w:val="auto"/>
                      <w:sz w:val="21"/>
                      <w:szCs w:val="21"/>
                      <w:highlight w:val="none"/>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8"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p>
              </w:tc>
              <w:tc>
                <w:tcPr>
                  <w:tcW w:w="372"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lang w:eastAsia="zh-CN"/>
                    </w:rPr>
                  </w:pPr>
                </w:p>
              </w:tc>
              <w:tc>
                <w:tcPr>
                  <w:tcW w:w="1296"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北象山东侧排洪渠工程</w:t>
                  </w:r>
                </w:p>
              </w:tc>
              <w:tc>
                <w:tcPr>
                  <w:tcW w:w="5881" w:type="dxa"/>
                  <w:tcBorders>
                    <w:tl2br w:val="nil"/>
                    <w:tr2bl w:val="nil"/>
                  </w:tcBorders>
                  <w:vAlign w:val="center"/>
                </w:tcPr>
                <w:p>
                  <w:pPr>
                    <w:keepNext w:val="0"/>
                    <w:keepLines w:val="0"/>
                    <w:pageBreakBefore w:val="0"/>
                    <w:suppressLineNumbers w:val="0"/>
                    <w:tabs>
                      <w:tab w:val="left" w:pos="556"/>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设计长度919m，设计渠道比降1/500～1/2000。根据分流计算渠道采用1.5m×1.5m、1.0m×1.5m两种矩形排洪渠断面，设计水深1.0m，设计渠深1.5m，采用预制C30混凝土渠道对排洪渠进行防护。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8"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p>
              </w:tc>
              <w:tc>
                <w:tcPr>
                  <w:tcW w:w="372"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p>
              </w:tc>
              <w:tc>
                <w:tcPr>
                  <w:tcW w:w="1296"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北象山中间段排洪渠工程</w:t>
                  </w:r>
                </w:p>
              </w:tc>
              <w:tc>
                <w:tcPr>
                  <w:tcW w:w="5881" w:type="dxa"/>
                  <w:tcBorders>
                    <w:tl2br w:val="nil"/>
                    <w:tr2bl w:val="nil"/>
                  </w:tcBorders>
                  <w:vAlign w:val="center"/>
                </w:tcPr>
                <w:p>
                  <w:pPr>
                    <w:keepNext w:val="0"/>
                    <w:keepLines w:val="0"/>
                    <w:pageBreakBefore w:val="0"/>
                    <w:suppressLineNumbers w:val="0"/>
                    <w:tabs>
                      <w:tab w:val="left" w:pos="556"/>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设计长度217m，设计渠道比降1/500～1/2000。根据分流计算渠道采用1.0m×1.5m 两种矩形排洪渠断面，设计水深1.0m，设计渠深1.5m，采用预制C30混凝土渠道对排洪渠进行防护。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8"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p>
              </w:tc>
              <w:tc>
                <w:tcPr>
                  <w:tcW w:w="372"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p>
              </w:tc>
              <w:tc>
                <w:tcPr>
                  <w:tcW w:w="1296"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县城东侧建筑垃圾填埋厂排洪渠</w:t>
                  </w:r>
                  <w:r>
                    <w:rPr>
                      <w:rFonts w:hint="eastAsia" w:cs="Times New Roman"/>
                      <w:color w:val="auto"/>
                      <w:spacing w:val="-17"/>
                      <w:sz w:val="21"/>
                      <w:szCs w:val="21"/>
                      <w:highlight w:val="none"/>
                      <w:lang w:val="en-US" w:eastAsia="zh-CN"/>
                    </w:rPr>
                    <w:t>工程</w:t>
                  </w:r>
                </w:p>
              </w:tc>
              <w:tc>
                <w:tcPr>
                  <w:tcW w:w="5881" w:type="dxa"/>
                  <w:tcBorders>
                    <w:tl2br w:val="nil"/>
                    <w:tr2bl w:val="nil"/>
                  </w:tcBorders>
                  <w:vAlign w:val="center"/>
                </w:tcPr>
                <w:p>
                  <w:pPr>
                    <w:keepNext w:val="0"/>
                    <w:keepLines w:val="0"/>
                    <w:pageBreakBefore w:val="0"/>
                    <w:suppressLineNumbers w:val="0"/>
                    <w:tabs>
                      <w:tab w:val="left" w:pos="556"/>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设计长度721m，设计渠道比降1/2000。根据分流计算渠道采用1.0m×1.5m矩形排洪渠断面，设计水深1.0m，设计渠深1.5m，采用预制C30混凝土渠道对排洪渠进行防护。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8"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p>
              </w:tc>
              <w:tc>
                <w:tcPr>
                  <w:tcW w:w="372"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p>
              </w:tc>
              <w:tc>
                <w:tcPr>
                  <w:tcW w:w="1296"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县城城市垃圾填埋厂排洪渠</w:t>
                  </w:r>
                </w:p>
              </w:tc>
              <w:tc>
                <w:tcPr>
                  <w:tcW w:w="5881" w:type="dxa"/>
                  <w:tcBorders>
                    <w:tl2br w:val="nil"/>
                    <w:tr2bl w:val="nil"/>
                  </w:tcBorders>
                  <w:vAlign w:val="center"/>
                </w:tcPr>
                <w:p>
                  <w:pPr>
                    <w:keepNext w:val="0"/>
                    <w:keepLines w:val="0"/>
                    <w:pageBreakBefore w:val="0"/>
                    <w:suppressLineNumbers w:val="0"/>
                    <w:tabs>
                      <w:tab w:val="left" w:pos="556"/>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设计长度</w:t>
                  </w:r>
                  <w:r>
                    <w:rPr>
                      <w:rFonts w:hint="eastAsia" w:cs="Times New Roman"/>
                      <w:color w:val="auto"/>
                      <w:sz w:val="21"/>
                      <w:szCs w:val="21"/>
                      <w:highlight w:val="none"/>
                      <w:lang w:val="en-US" w:eastAsia="zh-CN"/>
                    </w:rPr>
                    <w:t>77</w:t>
                  </w:r>
                  <w:r>
                    <w:rPr>
                      <w:rFonts w:hint="default" w:ascii="Times New Roman" w:hAnsi="Times New Roman" w:eastAsia="宋体" w:cs="Times New Roman"/>
                      <w:color w:val="auto"/>
                      <w:sz w:val="21"/>
                      <w:szCs w:val="21"/>
                      <w:highlight w:val="none"/>
                    </w:rPr>
                    <w:t>0m，设计渠道比降1/2000。根据分流计算渠道采用1.0m×1.5m矩形 排洪渠断面，设计水深1.0m，设计渠深1.5m，采用预制C30 混凝土渠道对排洪渠进行防护。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8"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0000FF"/>
                      <w:sz w:val="21"/>
                      <w:szCs w:val="21"/>
                      <w:highlight w:val="none"/>
                    </w:rPr>
                  </w:pPr>
                </w:p>
              </w:tc>
              <w:tc>
                <w:tcPr>
                  <w:tcW w:w="1668" w:type="dxa"/>
                  <w:gridSpan w:val="2"/>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山洪沟砌护</w:t>
                  </w:r>
                </w:p>
              </w:tc>
              <w:tc>
                <w:tcPr>
                  <w:tcW w:w="5881" w:type="dxa"/>
                  <w:tcBorders>
                    <w:tl2br w:val="nil"/>
                    <w:tr2bl w:val="nil"/>
                  </w:tcBorders>
                  <w:vAlign w:val="center"/>
                </w:tcPr>
                <w:p>
                  <w:pPr>
                    <w:keepNext w:val="0"/>
                    <w:keepLines w:val="0"/>
                    <w:pageBreakBefore w:val="0"/>
                    <w:suppressLineNumbers w:val="0"/>
                    <w:tabs>
                      <w:tab w:val="left" w:pos="556"/>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南河社区两侧建设沟道砌护单侧长度3.315km；其中：南河社区西侧建设沟道砌护单侧长度1.564km，南河社区东侧建设沟道砌护单侧长度1.081km，入河口建设沟道砌护0.49km。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68" w:type="dxa"/>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临时工程</w:t>
                  </w:r>
                </w:p>
              </w:tc>
              <w:tc>
                <w:tcPr>
                  <w:tcW w:w="1668" w:type="dxa"/>
                  <w:gridSpan w:val="2"/>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施工临时道路</w:t>
                  </w:r>
                </w:p>
              </w:tc>
              <w:tc>
                <w:tcPr>
                  <w:tcW w:w="588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eastAsia" w:cs="Times New Roman"/>
                      <w:bCs/>
                      <w:color w:val="auto"/>
                      <w:sz w:val="21"/>
                      <w:szCs w:val="21"/>
                      <w:highlight w:val="none"/>
                      <w:lang w:val="en-US" w:eastAsia="zh-CN"/>
                    </w:rPr>
                    <w:t>项目</w:t>
                  </w:r>
                  <w:r>
                    <w:rPr>
                      <w:rFonts w:hint="default" w:ascii="Times New Roman" w:hAnsi="Times New Roman" w:eastAsia="宋体" w:cs="Times New Roman"/>
                      <w:bCs/>
                      <w:color w:val="auto"/>
                      <w:sz w:val="21"/>
                      <w:szCs w:val="21"/>
                      <w:highlight w:val="none"/>
                      <w:lang w:val="en-US" w:eastAsia="zh-CN"/>
                    </w:rPr>
                    <w:t>临时施工道路可利用现有</w:t>
                  </w:r>
                  <w:r>
                    <w:rPr>
                      <w:rFonts w:hint="eastAsia" w:cs="Times New Roman"/>
                      <w:bCs/>
                      <w:color w:val="auto"/>
                      <w:sz w:val="21"/>
                      <w:szCs w:val="21"/>
                      <w:highlight w:val="none"/>
                      <w:lang w:val="en-US" w:eastAsia="zh-CN"/>
                    </w:rPr>
                    <w:t>周边道路，建设施工临时道路3.35km，并采取分段施工，减少对交通的影响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0000FF"/>
                      <w:sz w:val="21"/>
                      <w:szCs w:val="21"/>
                      <w:highlight w:val="none"/>
                    </w:rPr>
                  </w:pPr>
                </w:p>
              </w:tc>
              <w:tc>
                <w:tcPr>
                  <w:tcW w:w="1668" w:type="dxa"/>
                  <w:gridSpan w:val="2"/>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临时施工区</w:t>
                  </w:r>
                </w:p>
              </w:tc>
              <w:tc>
                <w:tcPr>
                  <w:tcW w:w="588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本项目</w:t>
                  </w:r>
                  <w:r>
                    <w:rPr>
                      <w:rFonts w:hint="eastAsia" w:cs="Times New Roman"/>
                      <w:bCs/>
                      <w:color w:val="auto"/>
                      <w:sz w:val="21"/>
                      <w:szCs w:val="21"/>
                      <w:highlight w:val="none"/>
                      <w:lang w:eastAsia="zh-CN"/>
                    </w:rPr>
                    <w:t>不设</w:t>
                  </w:r>
                  <w:r>
                    <w:rPr>
                      <w:rFonts w:hint="default" w:ascii="Times New Roman" w:hAnsi="Times New Roman" w:eastAsia="宋体" w:cs="Times New Roman"/>
                      <w:color w:val="auto"/>
                      <w:kern w:val="0"/>
                      <w:sz w:val="21"/>
                      <w:szCs w:val="21"/>
                      <w:highlight w:val="none"/>
                      <w:lang w:bidi="ar"/>
                    </w:rPr>
                    <w:t>施工营地</w:t>
                  </w:r>
                  <w:r>
                    <w:rPr>
                      <w:rFonts w:hint="default" w:ascii="Times New Roman" w:hAnsi="Times New Roman" w:eastAsia="宋体" w:cs="Times New Roman"/>
                      <w:bCs/>
                      <w:color w:val="auto"/>
                      <w:sz w:val="21"/>
                      <w:szCs w:val="21"/>
                      <w:highlight w:val="none"/>
                    </w:rPr>
                    <w:t>；项目施工期较短，施工期施工人员依托周边村庄居住</w:t>
                  </w:r>
                  <w:r>
                    <w:rPr>
                      <w:rFonts w:hint="default" w:ascii="Times New Roman" w:hAnsi="Times New Roman" w:eastAsia="宋体" w:cs="Times New Roman"/>
                      <w:bCs/>
                      <w:color w:val="auto"/>
                      <w:sz w:val="21"/>
                      <w:szCs w:val="21"/>
                      <w:highlight w:val="none"/>
                      <w:lang w:val="en-US" w:eastAsia="zh-CN"/>
                    </w:rPr>
                    <w:t>；施工结束后对临时施工区进行土地平整</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播撒草籽</w:t>
                  </w:r>
                  <w:r>
                    <w:rPr>
                      <w:rFonts w:hint="default" w:ascii="Times New Roman" w:hAnsi="Times New Roman" w:eastAsia="宋体" w:cs="Times New Roman"/>
                      <w:bCs/>
                      <w:color w:val="auto"/>
                      <w:sz w:val="21"/>
                      <w:szCs w:val="21"/>
                      <w:highlight w:val="none"/>
                      <w:lang w:val="en-US" w:eastAsia="zh-CN"/>
                    </w:rPr>
                    <w:t>，施工过程中采取洒水降尘、彩钢板拦挡等措施。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p>
              </w:tc>
              <w:tc>
                <w:tcPr>
                  <w:tcW w:w="1668" w:type="dxa"/>
                  <w:gridSpan w:val="2"/>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cs="Times New Roman"/>
                      <w:bCs/>
                      <w:color w:val="auto"/>
                      <w:sz w:val="21"/>
                      <w:szCs w:val="21"/>
                      <w:highlight w:val="none"/>
                      <w:lang w:eastAsia="zh-CN"/>
                    </w:rPr>
                    <w:t>临时堆土场</w:t>
                  </w:r>
                </w:p>
              </w:tc>
              <w:tc>
                <w:tcPr>
                  <w:tcW w:w="588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本项目</w:t>
                  </w:r>
                  <w:r>
                    <w:rPr>
                      <w:rFonts w:hint="eastAsia" w:cs="Times New Roman"/>
                      <w:bCs/>
                      <w:color w:val="auto"/>
                      <w:sz w:val="21"/>
                      <w:szCs w:val="21"/>
                      <w:highlight w:val="none"/>
                      <w:lang w:eastAsia="zh-CN"/>
                    </w:rPr>
                    <w:t>不设置临时堆土场</w:t>
                  </w:r>
                  <w:r>
                    <w:rPr>
                      <w:rFonts w:hint="default" w:ascii="Times New Roman" w:hAnsi="Times New Roman" w:eastAsia="宋体" w:cs="Times New Roman"/>
                      <w:bCs/>
                      <w:color w:val="auto"/>
                      <w:sz w:val="21"/>
                      <w:szCs w:val="21"/>
                      <w:highlight w:val="none"/>
                    </w:rPr>
                    <w:t>，设置</w:t>
                  </w:r>
                  <w:r>
                    <w:rPr>
                      <w:rFonts w:hint="eastAsia" w:cs="Times New Roman"/>
                      <w:bCs/>
                      <w:color w:val="auto"/>
                      <w:sz w:val="21"/>
                      <w:szCs w:val="21"/>
                      <w:highlight w:val="none"/>
                      <w:lang w:val="en-US" w:eastAsia="zh-CN"/>
                    </w:rPr>
                    <w:t>4</w:t>
                  </w:r>
                  <w:r>
                    <w:rPr>
                      <w:rFonts w:hint="default" w:ascii="Times New Roman" w:hAnsi="Times New Roman" w:eastAsia="宋体" w:cs="Times New Roman"/>
                      <w:bCs/>
                      <w:color w:val="auto"/>
                      <w:sz w:val="21"/>
                      <w:szCs w:val="21"/>
                      <w:highlight w:val="none"/>
                    </w:rPr>
                    <w:t>个临时堆</w:t>
                  </w:r>
                  <w:r>
                    <w:rPr>
                      <w:rFonts w:hint="eastAsia" w:cs="Times New Roman"/>
                      <w:bCs/>
                      <w:color w:val="auto"/>
                      <w:sz w:val="21"/>
                      <w:szCs w:val="21"/>
                      <w:highlight w:val="none"/>
                      <w:lang w:eastAsia="zh-CN"/>
                    </w:rPr>
                    <w:t>料</w:t>
                  </w:r>
                  <w:r>
                    <w:rPr>
                      <w:rFonts w:hint="default" w:ascii="Times New Roman" w:hAnsi="Times New Roman" w:eastAsia="宋体" w:cs="Times New Roman"/>
                      <w:bCs/>
                      <w:color w:val="auto"/>
                      <w:sz w:val="21"/>
                      <w:szCs w:val="21"/>
                      <w:highlight w:val="none"/>
                    </w:rPr>
                    <w:t>场</w:t>
                  </w:r>
                  <w:r>
                    <w:rPr>
                      <w:rFonts w:hint="eastAsia"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工程施工沟渠挖出的</w:t>
                  </w:r>
                  <w:r>
                    <w:rPr>
                      <w:rFonts w:hint="eastAsia" w:cs="Times New Roman"/>
                      <w:bCs/>
                      <w:color w:val="auto"/>
                      <w:sz w:val="21"/>
                      <w:szCs w:val="21"/>
                      <w:highlight w:val="none"/>
                      <w:lang w:eastAsia="zh-CN"/>
                    </w:rPr>
                    <w:t>泥沙</w:t>
                  </w:r>
                  <w:r>
                    <w:rPr>
                      <w:rFonts w:hint="default" w:ascii="Times New Roman" w:hAnsi="Times New Roman" w:eastAsia="宋体" w:cs="Times New Roman"/>
                      <w:bCs/>
                      <w:color w:val="auto"/>
                      <w:sz w:val="21"/>
                      <w:szCs w:val="21"/>
                      <w:highlight w:val="none"/>
                    </w:rPr>
                    <w:t>堆在</w:t>
                  </w:r>
                  <w:r>
                    <w:rPr>
                      <w:rFonts w:hint="eastAsia" w:cs="Times New Roman"/>
                      <w:bCs/>
                      <w:color w:val="auto"/>
                      <w:sz w:val="21"/>
                      <w:szCs w:val="21"/>
                      <w:highlight w:val="none"/>
                      <w:lang w:eastAsia="zh-CN"/>
                    </w:rPr>
                    <w:t>临时堆料场，按照原有处理计划，及时运走弃土</w:t>
                  </w:r>
                  <w:r>
                    <w:rPr>
                      <w:rFonts w:hint="default" w:ascii="Times New Roman" w:hAnsi="Times New Roman" w:eastAsia="宋体" w:cs="Times New Roman"/>
                      <w:bCs/>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8" w:type="dxa"/>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公用工程</w:t>
                  </w:r>
                </w:p>
              </w:tc>
              <w:tc>
                <w:tcPr>
                  <w:tcW w:w="1668" w:type="dxa"/>
                  <w:gridSpan w:val="2"/>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给水</w:t>
                  </w:r>
                </w:p>
              </w:tc>
              <w:tc>
                <w:tcPr>
                  <w:tcW w:w="588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施工用水就近取用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p>
              </w:tc>
              <w:tc>
                <w:tcPr>
                  <w:tcW w:w="1668" w:type="dxa"/>
                  <w:gridSpan w:val="2"/>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排水</w:t>
                  </w:r>
                </w:p>
              </w:tc>
              <w:tc>
                <w:tcPr>
                  <w:tcW w:w="588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rPr>
                    <w:t>施工废水沉淀后用于场地泼洒抑尘；生活污水排放依托</w:t>
                  </w:r>
                  <w:r>
                    <w:rPr>
                      <w:rFonts w:hint="default" w:ascii="Times New Roman" w:hAnsi="Times New Roman" w:eastAsia="宋体" w:cs="Times New Roman"/>
                      <w:color w:val="auto"/>
                      <w:kern w:val="0"/>
                      <w:sz w:val="21"/>
                      <w:szCs w:val="21"/>
                      <w:highlight w:val="none"/>
                      <w:lang w:val="en-US" w:eastAsia="zh-CN"/>
                    </w:rPr>
                    <w:t>附近</w:t>
                  </w:r>
                  <w:r>
                    <w:rPr>
                      <w:rFonts w:hint="default" w:ascii="Times New Roman" w:hAnsi="Times New Roman" w:eastAsia="宋体" w:cs="Times New Roman"/>
                      <w:color w:val="auto"/>
                      <w:kern w:val="0"/>
                      <w:sz w:val="21"/>
                      <w:szCs w:val="21"/>
                      <w:highlight w:val="none"/>
                    </w:rPr>
                    <w:t>租用民房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p>
              </w:tc>
              <w:tc>
                <w:tcPr>
                  <w:tcW w:w="1668" w:type="dxa"/>
                  <w:gridSpan w:val="2"/>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供电</w:t>
                  </w:r>
                </w:p>
              </w:tc>
              <w:tc>
                <w:tcPr>
                  <w:tcW w:w="588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工程用电负荷较小，可就近接用附近电网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8" w:type="dxa"/>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0000FF"/>
                      <w:sz w:val="21"/>
                      <w:szCs w:val="21"/>
                      <w:highlight w:val="none"/>
                    </w:rPr>
                  </w:pPr>
                  <w:r>
                    <w:rPr>
                      <w:rFonts w:hint="default" w:ascii="Times New Roman" w:hAnsi="Times New Roman" w:eastAsia="宋体" w:cs="Times New Roman"/>
                      <w:b/>
                      <w:bCs w:val="0"/>
                      <w:color w:val="auto"/>
                      <w:sz w:val="21"/>
                      <w:szCs w:val="21"/>
                      <w:highlight w:val="none"/>
                    </w:rPr>
                    <w:t>环保工程</w:t>
                  </w:r>
                </w:p>
              </w:tc>
              <w:tc>
                <w:tcPr>
                  <w:tcW w:w="1668" w:type="dxa"/>
                  <w:gridSpan w:val="2"/>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废气防治措施</w:t>
                  </w:r>
                </w:p>
              </w:tc>
              <w:tc>
                <w:tcPr>
                  <w:tcW w:w="588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施工扬尘：施工场地洒水、运输车辆</w:t>
                  </w:r>
                  <w:r>
                    <w:rPr>
                      <w:rFonts w:hint="default" w:ascii="Times New Roman" w:hAnsi="Times New Roman" w:eastAsia="宋体" w:cs="Times New Roman"/>
                      <w:bCs/>
                      <w:color w:val="auto"/>
                      <w:sz w:val="21"/>
                      <w:szCs w:val="21"/>
                      <w:highlight w:val="none"/>
                      <w:lang w:eastAsia="zh-CN"/>
                    </w:rPr>
                    <w:t>盖上篷布。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66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FF"/>
                      <w:sz w:val="21"/>
                      <w:szCs w:val="21"/>
                      <w:highlight w:val="none"/>
                    </w:rPr>
                  </w:pPr>
                </w:p>
              </w:tc>
              <w:tc>
                <w:tcPr>
                  <w:tcW w:w="1668" w:type="dxa"/>
                  <w:gridSpan w:val="2"/>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p>
              </w:tc>
              <w:tc>
                <w:tcPr>
                  <w:tcW w:w="588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施工机械废气：加强施工机械的使用管理和保养维修，合理降低使用次数，优化机械设备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FF"/>
                      <w:sz w:val="21"/>
                      <w:szCs w:val="21"/>
                      <w:highlight w:val="none"/>
                    </w:rPr>
                  </w:pPr>
                </w:p>
              </w:tc>
              <w:tc>
                <w:tcPr>
                  <w:tcW w:w="1668" w:type="dxa"/>
                  <w:gridSpan w:val="2"/>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废水治理措施</w:t>
                  </w:r>
                </w:p>
              </w:tc>
              <w:tc>
                <w:tcPr>
                  <w:tcW w:w="588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施工废水沉淀后用于施工场地洒水抑尘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FF"/>
                      <w:sz w:val="21"/>
                      <w:szCs w:val="21"/>
                      <w:highlight w:val="none"/>
                    </w:rPr>
                  </w:pPr>
                </w:p>
              </w:tc>
              <w:tc>
                <w:tcPr>
                  <w:tcW w:w="1668" w:type="dxa"/>
                  <w:gridSpan w:val="2"/>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p>
              </w:tc>
              <w:tc>
                <w:tcPr>
                  <w:tcW w:w="588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施工人员居住</w:t>
                  </w:r>
                  <w:r>
                    <w:rPr>
                      <w:rFonts w:hint="eastAsia" w:cs="Times New Roman"/>
                      <w:bCs/>
                      <w:color w:val="auto"/>
                      <w:sz w:val="21"/>
                      <w:szCs w:val="21"/>
                      <w:highlight w:val="none"/>
                      <w:lang w:eastAsia="zh-CN"/>
                    </w:rPr>
                    <w:t>附近村民</w:t>
                  </w:r>
                  <w:r>
                    <w:rPr>
                      <w:rFonts w:hint="default" w:ascii="Times New Roman" w:hAnsi="Times New Roman" w:eastAsia="宋体" w:cs="Times New Roman"/>
                      <w:bCs/>
                      <w:color w:val="auto"/>
                      <w:sz w:val="21"/>
                      <w:szCs w:val="21"/>
                      <w:highlight w:val="none"/>
                    </w:rPr>
                    <w:t>民房，因此生活污水排放依托</w:t>
                  </w:r>
                  <w:r>
                    <w:rPr>
                      <w:rFonts w:hint="eastAsia" w:cs="Times New Roman"/>
                      <w:bCs/>
                      <w:color w:val="auto"/>
                      <w:sz w:val="21"/>
                      <w:szCs w:val="21"/>
                      <w:highlight w:val="none"/>
                      <w:lang w:eastAsia="zh-CN"/>
                    </w:rPr>
                    <w:t>村民</w:t>
                  </w:r>
                  <w:r>
                    <w:rPr>
                      <w:rFonts w:hint="default" w:ascii="Times New Roman" w:hAnsi="Times New Roman" w:eastAsia="宋体" w:cs="Times New Roman"/>
                      <w:bCs/>
                      <w:color w:val="auto"/>
                      <w:sz w:val="21"/>
                      <w:szCs w:val="21"/>
                      <w:highlight w:val="none"/>
                    </w:rPr>
                    <w:t>民房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FF"/>
                      <w:sz w:val="21"/>
                      <w:szCs w:val="21"/>
                      <w:highlight w:val="none"/>
                    </w:rPr>
                  </w:pPr>
                </w:p>
              </w:tc>
              <w:tc>
                <w:tcPr>
                  <w:tcW w:w="1668" w:type="dxa"/>
                  <w:gridSpan w:val="2"/>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噪声治理措施</w:t>
                  </w:r>
                </w:p>
              </w:tc>
              <w:tc>
                <w:tcPr>
                  <w:tcW w:w="588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施工期合理安排施工时间，选用低噪声设备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FF"/>
                      <w:sz w:val="21"/>
                      <w:szCs w:val="21"/>
                      <w:highlight w:val="none"/>
                    </w:rPr>
                  </w:pPr>
                </w:p>
              </w:tc>
              <w:tc>
                <w:tcPr>
                  <w:tcW w:w="1668" w:type="dxa"/>
                  <w:gridSpan w:val="2"/>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固废治理措施</w:t>
                  </w:r>
                </w:p>
              </w:tc>
              <w:tc>
                <w:tcPr>
                  <w:tcW w:w="588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开挖土石方</w:t>
                  </w:r>
                  <w:r>
                    <w:rPr>
                      <w:rFonts w:hint="eastAsia" w:cs="Times New Roman"/>
                      <w:bCs/>
                      <w:color w:val="auto"/>
                      <w:sz w:val="21"/>
                      <w:szCs w:val="21"/>
                      <w:highlight w:val="none"/>
                      <w:lang w:eastAsia="zh-CN"/>
                    </w:rPr>
                    <w:t>清理至建筑垃圾填埋场处理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FF"/>
                      <w:sz w:val="21"/>
                      <w:szCs w:val="21"/>
                      <w:highlight w:val="none"/>
                    </w:rPr>
                  </w:pPr>
                </w:p>
              </w:tc>
              <w:tc>
                <w:tcPr>
                  <w:tcW w:w="1668" w:type="dxa"/>
                  <w:gridSpan w:val="2"/>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p>
              </w:tc>
              <w:tc>
                <w:tcPr>
                  <w:tcW w:w="588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cs="Times New Roman"/>
                      <w:bCs/>
                      <w:color w:val="auto"/>
                      <w:sz w:val="21"/>
                      <w:szCs w:val="21"/>
                      <w:highlight w:val="none"/>
                      <w:lang w:eastAsia="zh-CN"/>
                    </w:rPr>
                    <w:t>清於后产生的植物枯叶和沙土，清理至建筑垃圾填埋场处理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FF"/>
                      <w:sz w:val="21"/>
                      <w:szCs w:val="21"/>
                      <w:highlight w:val="none"/>
                    </w:rPr>
                  </w:pPr>
                </w:p>
              </w:tc>
              <w:tc>
                <w:tcPr>
                  <w:tcW w:w="1668" w:type="dxa"/>
                  <w:gridSpan w:val="2"/>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生态恢复、水土保持措施</w:t>
                  </w:r>
                </w:p>
              </w:tc>
              <w:tc>
                <w:tcPr>
                  <w:tcW w:w="588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施工完毕后，对</w:t>
                  </w:r>
                  <w:r>
                    <w:rPr>
                      <w:rFonts w:hint="eastAsia" w:cs="Times New Roman"/>
                      <w:bCs/>
                      <w:color w:val="auto"/>
                      <w:sz w:val="21"/>
                      <w:szCs w:val="21"/>
                      <w:highlight w:val="none"/>
                      <w:lang w:eastAsia="zh-CN"/>
                    </w:rPr>
                    <w:t>区域</w:t>
                  </w:r>
                  <w:r>
                    <w:rPr>
                      <w:rFonts w:hint="default" w:ascii="Times New Roman" w:hAnsi="Times New Roman" w:eastAsia="宋体" w:cs="Times New Roman"/>
                      <w:bCs/>
                      <w:color w:val="auto"/>
                      <w:sz w:val="21"/>
                      <w:szCs w:val="21"/>
                      <w:highlight w:val="none"/>
                    </w:rPr>
                    <w:t>地进行恢复</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水土保持及恢复措施</w:t>
                  </w:r>
                </w:p>
              </w:tc>
            </w:tr>
            <w:bookmarkEnd w:id="7"/>
          </w:tbl>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540" w:lineRule="exact"/>
              <w:ind w:left="0" w:leftChars="0" w:right="0" w:rightChars="0"/>
              <w:textAlignment w:val="auto"/>
              <w:rPr>
                <w:rFonts w:hint="default" w:ascii="Times New Roman" w:hAnsi="Times New Roman" w:eastAsia="宋体" w:cs="Times New Roman"/>
                <w:b/>
                <w:color w:val="auto"/>
                <w:kern w:val="0"/>
                <w:sz w:val="24"/>
                <w:highlight w:val="none"/>
              </w:rPr>
            </w:pPr>
            <w:r>
              <w:rPr>
                <w:rFonts w:hint="eastAsia" w:cs="Times New Roman"/>
                <w:b/>
                <w:color w:val="auto"/>
                <w:kern w:val="0"/>
                <w:sz w:val="24"/>
                <w:highlight w:val="none"/>
                <w:lang w:val="en-US" w:eastAsia="zh-CN"/>
              </w:rPr>
              <w:t>2、排洪渠</w:t>
            </w:r>
            <w:r>
              <w:rPr>
                <w:rFonts w:hint="default" w:ascii="Times New Roman" w:hAnsi="Times New Roman" w:eastAsia="宋体" w:cs="Times New Roman"/>
                <w:b/>
                <w:color w:val="auto"/>
                <w:kern w:val="0"/>
                <w:sz w:val="24"/>
                <w:highlight w:val="none"/>
              </w:rPr>
              <w:t>工程</w:t>
            </w:r>
            <w:r>
              <w:rPr>
                <w:rFonts w:hint="default" w:ascii="Times New Roman" w:hAnsi="Times New Roman" w:eastAsia="宋体" w:cs="Times New Roman"/>
                <w:b/>
                <w:color w:val="auto"/>
                <w:kern w:val="0"/>
                <w:sz w:val="24"/>
                <w:highlight w:val="none"/>
                <w:lang w:val="en-US" w:eastAsia="zh-CN"/>
              </w:rPr>
              <w:t>设计</w:t>
            </w:r>
            <w:r>
              <w:rPr>
                <w:rFonts w:hint="default" w:ascii="Times New Roman" w:hAnsi="Times New Roman" w:eastAsia="宋体" w:cs="Times New Roman"/>
                <w:b/>
                <w:color w:val="auto"/>
                <w:kern w:val="0"/>
                <w:sz w:val="24"/>
                <w:highlight w:val="none"/>
              </w:rPr>
              <w:t>方案</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leftChars="0" w:right="0" w:rightChars="0"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rPr>
              <w:t>本次隆德县县城排水防涝能力提升项目建设排洪渠</w:t>
            </w:r>
            <w:r>
              <w:rPr>
                <w:rFonts w:hint="eastAsia" w:cs="Times New Roman"/>
                <w:color w:val="auto"/>
                <w:kern w:val="0"/>
                <w:sz w:val="24"/>
                <w:highlight w:val="none"/>
                <w:lang w:val="en-US" w:eastAsia="zh-CN"/>
              </w:rPr>
              <w:t>2.747</w:t>
            </w:r>
            <w:r>
              <w:rPr>
                <w:rFonts w:hint="default" w:ascii="Times New Roman" w:hAnsi="Times New Roman" w:eastAsia="宋体" w:cs="Times New Roman"/>
                <w:color w:val="auto"/>
                <w:kern w:val="0"/>
                <w:sz w:val="24"/>
                <w:highlight w:val="none"/>
                <w:lang w:val="en-US"/>
              </w:rPr>
              <w:t>km，其中北象山东侧建设排洪渠919m、北象山中间段建设排洪渠217m、县城东侧建筑垃圾填埋场建设排洪渠721m、县城城市垃圾填埋厂建设排洪渠</w:t>
            </w:r>
            <w:r>
              <w:rPr>
                <w:rFonts w:hint="eastAsia" w:cs="Times New Roman"/>
                <w:color w:val="auto"/>
                <w:kern w:val="0"/>
                <w:sz w:val="24"/>
                <w:highlight w:val="none"/>
                <w:lang w:val="en-US" w:eastAsia="zh-CN"/>
              </w:rPr>
              <w:t>770</w:t>
            </w:r>
            <w:r>
              <w:rPr>
                <w:rFonts w:hint="default" w:ascii="Times New Roman" w:hAnsi="Times New Roman" w:eastAsia="宋体" w:cs="Times New Roman"/>
                <w:color w:val="auto"/>
                <w:kern w:val="0"/>
                <w:sz w:val="24"/>
                <w:highlight w:val="none"/>
                <w:lang w:val="en-US"/>
              </w:rPr>
              <w:t>m</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rPr>
              <w:t>为防止因建设排洪渠造成的山体滑坡，沿排洪渠山体一侧建设浆砌石挡土墙1.857km。建设排洪渠与排洪管涵连接处浆砌石直墙15m，建设行政中心北侧现状排洪渠清淤疏浚767m。附属工程建设施工</w:t>
            </w:r>
            <w:r>
              <w:rPr>
                <w:rFonts w:hint="eastAsia" w:cs="Times New Roman"/>
                <w:color w:val="auto"/>
                <w:kern w:val="0"/>
                <w:sz w:val="24"/>
                <w:highlight w:val="none"/>
                <w:lang w:val="en-US" w:eastAsia="zh-CN"/>
              </w:rPr>
              <w:t>临时</w:t>
            </w:r>
            <w:r>
              <w:rPr>
                <w:rFonts w:hint="default" w:ascii="Times New Roman" w:hAnsi="Times New Roman" w:eastAsia="宋体" w:cs="Times New Roman"/>
                <w:color w:val="auto"/>
                <w:kern w:val="0"/>
                <w:sz w:val="24"/>
                <w:highlight w:val="none"/>
                <w:lang w:val="en-US"/>
              </w:rPr>
              <w:t>便道3.35km，建设临时施工堆料场4处</w:t>
            </w:r>
            <w:r>
              <w:rPr>
                <w:rFonts w:hint="eastAsia" w:cs="Times New Roman"/>
                <w:color w:val="auto"/>
                <w:kern w:val="0"/>
                <w:sz w:val="24"/>
                <w:highlight w:val="none"/>
                <w:lang w:val="en-US" w:eastAsia="zh-CN"/>
              </w:rPr>
              <w:t>，分别位于</w:t>
            </w:r>
            <w:r>
              <w:rPr>
                <w:rFonts w:hint="default" w:ascii="Times New Roman" w:hAnsi="Times New Roman" w:eastAsia="宋体" w:cs="Times New Roman"/>
                <w:color w:val="auto"/>
                <w:kern w:val="0"/>
                <w:sz w:val="24"/>
                <w:highlight w:val="none"/>
                <w:lang w:val="en-US"/>
              </w:rPr>
              <w:t>北象山中段</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rPr>
              <w:t>北象山东侧</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spacing w:val="-17"/>
                <w:sz w:val="21"/>
                <w:szCs w:val="21"/>
                <w:highlight w:val="none"/>
                <w:lang w:val="en-US" w:eastAsia="zh-CN"/>
              </w:rPr>
              <w:t>行政中心北侧</w:t>
            </w:r>
            <w:r>
              <w:rPr>
                <w:rFonts w:hint="eastAsia" w:cs="Times New Roman"/>
                <w:color w:val="auto"/>
                <w:spacing w:val="-17"/>
                <w:sz w:val="21"/>
                <w:szCs w:val="21"/>
                <w:highlight w:val="none"/>
                <w:lang w:val="en-US" w:eastAsia="zh-CN"/>
              </w:rPr>
              <w:t>、南河社区东北侧</w:t>
            </w:r>
            <w:r>
              <w:rPr>
                <w:rFonts w:hint="default" w:ascii="Times New Roman" w:hAnsi="Times New Roman" w:eastAsia="宋体" w:cs="Times New Roman"/>
                <w:color w:val="auto"/>
                <w:kern w:val="0"/>
                <w:sz w:val="24"/>
                <w:highlight w:val="none"/>
                <w:lang w:val="en-US"/>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rightChars="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1</w:t>
            </w:r>
            <w:r>
              <w:rPr>
                <w:rFonts w:hint="default"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rPr>
              <w:t>排洪渠工程设计</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leftChars="0" w:right="0" w:rightChars="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1</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rPr>
              <w:t>排洪渠道断面设计</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leftChars="0" w:right="0" w:rightChars="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渠道断面计算采用明渠均匀流公式：</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leftChars="0" w:right="0" w:rightChars="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 xml:space="preserve">Q=AC </w:t>
            </w:r>
            <m:oMath>
              <m:rad>
                <m:radPr>
                  <m:degHide m:val="1"/>
                  <m:ctrlPr>
                    <w:rPr>
                      <w:rFonts w:hint="default" w:ascii="Cambria Math" w:hAnsi="Cambria Math" w:cs="Times New Roman"/>
                      <w:i/>
                      <w:color w:val="auto"/>
                      <w:kern w:val="0"/>
                      <w:sz w:val="24"/>
                      <w:highlight w:val="none"/>
                      <w:lang w:val="en-US"/>
                    </w:rPr>
                  </m:ctrlPr>
                </m:radPr>
                <m:deg>
                  <m:ctrlPr>
                    <w:rPr>
                      <w:rFonts w:hint="default" w:ascii="Cambria Math" w:hAnsi="Cambria Math" w:cs="Times New Roman"/>
                      <w:i/>
                      <w:color w:val="auto"/>
                      <w:kern w:val="0"/>
                      <w:sz w:val="24"/>
                      <w:highlight w:val="none"/>
                      <w:lang w:val="en-US"/>
                    </w:rPr>
                  </m:ctrlPr>
                </m:deg>
                <m:e>
                  <m:r>
                    <w:rPr>
                      <w:rFonts w:hint="default" w:ascii="Cambria Math" w:hAnsi="Cambria Math" w:cs="Times New Roman"/>
                      <w:color w:val="auto"/>
                      <w:kern w:val="0"/>
                      <w:sz w:val="24"/>
                      <w:highlight w:val="none"/>
                      <w:lang w:val="en-US" w:eastAsia="zh-CN"/>
                    </w:rPr>
                    <m:t>Ri</m:t>
                  </m:r>
                  <m:ctrlPr>
                    <w:rPr>
                      <w:rFonts w:hint="default" w:ascii="Cambria Math" w:hAnsi="Cambria Math" w:cs="Times New Roman"/>
                      <w:i/>
                      <w:color w:val="auto"/>
                      <w:kern w:val="0"/>
                      <w:sz w:val="24"/>
                      <w:highlight w:val="none"/>
                      <w:lang w:val="en-US"/>
                    </w:rPr>
                  </m:ctrlPr>
                </m:e>
              </m:rad>
            </m:oMath>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leftChars="0" w:right="0" w:rightChars="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式中：</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leftChars="0" w:right="0" w:rightChars="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Q</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rPr>
              <w:t>设计流量；</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leftChars="0" w:right="0" w:rightChars="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A</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rPr>
              <w:t>过水断面面积（m</w:t>
            </w:r>
            <w:r>
              <w:rPr>
                <w:rFonts w:hint="default" w:ascii="Times New Roman" w:hAnsi="Times New Roman" w:eastAsia="宋体" w:cs="Times New Roman"/>
                <w:color w:val="auto"/>
                <w:kern w:val="0"/>
                <w:sz w:val="24"/>
                <w:highlight w:val="none"/>
                <w:vertAlign w:val="superscript"/>
                <w:lang w:val="en-US"/>
              </w:rPr>
              <w:t>2</w:t>
            </w:r>
            <w:r>
              <w:rPr>
                <w:rFonts w:hint="default" w:ascii="Times New Roman" w:hAnsi="Times New Roman" w:eastAsia="宋体" w:cs="Times New Roman"/>
                <w:color w:val="auto"/>
                <w:kern w:val="0"/>
                <w:sz w:val="24"/>
                <w:highlight w:val="none"/>
                <w:lang w:val="en-US"/>
              </w:rPr>
              <w:t>），A=（B+mH）H，B 为设计沟底宽；m为边坡系数，土质边坡1:0.0；</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leftChars="0" w:right="0" w:rightChars="0" w:firstLine="480" w:firstLineChars="200"/>
              <w:textAlignment w:val="auto"/>
              <w:rPr>
                <w:rFonts w:hint="eastAsia"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rPr>
              <w:t>R</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rPr>
              <w:t>水力半径（m），R=A/X，X=B+2H 设</w:t>
            </w:r>
            <w:r>
              <w:rPr>
                <w:rFonts w:hint="default" w:ascii="Times New Roman" w:hAnsi="Times New Roman" w:eastAsia="宋体" w:cs="Times New Roman"/>
                <w:color w:val="auto"/>
                <w:kern w:val="0"/>
                <w:sz w:val="24"/>
                <w:highlight w:val="none"/>
                <w:lang w:val="en-US"/>
              </w:rPr>
              <w:drawing>
                <wp:inline distT="0" distB="0" distL="0" distR="0">
                  <wp:extent cx="549275" cy="295910"/>
                  <wp:effectExtent l="0" t="0" r="3175" b="6985"/>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5"/>
                          <a:stretch>
                            <a:fillRect/>
                          </a:stretch>
                        </pic:blipFill>
                        <pic:spPr>
                          <a:xfrm>
                            <a:off x="0" y="0"/>
                            <a:ext cx="549364" cy="296361"/>
                          </a:xfrm>
                          <a:prstGeom prst="rect">
                            <a:avLst/>
                          </a:prstGeom>
                        </pic:spPr>
                      </pic:pic>
                    </a:graphicData>
                  </a:graphic>
                </wp:inline>
              </w:drawing>
            </w:r>
            <w:r>
              <w:rPr>
                <w:rFonts w:hint="eastAsia" w:cs="Times New Roman"/>
                <w:color w:val="auto"/>
                <w:kern w:val="0"/>
                <w:sz w:val="24"/>
                <w:highlight w:val="none"/>
                <w:lang w:val="en-US"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leftChars="0" w:right="0" w:rightChars="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I</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rPr>
              <w:t>沟道比降；</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leftChars="0" w:right="0" w:rightChars="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mc:AlternateContent>
                <mc:Choice Requires="wps">
                  <w:drawing>
                    <wp:anchor distT="0" distB="0" distL="114300" distR="114300" simplePos="0" relativeHeight="251659264" behindDoc="0" locked="0" layoutInCell="1" allowOverlap="1">
                      <wp:simplePos x="0" y="0"/>
                      <wp:positionH relativeFrom="column">
                        <wp:posOffset>3798570</wp:posOffset>
                      </wp:positionH>
                      <wp:positionV relativeFrom="paragraph">
                        <wp:posOffset>125095</wp:posOffset>
                      </wp:positionV>
                      <wp:extent cx="80645" cy="179070"/>
                      <wp:effectExtent l="0" t="0" r="0" b="0"/>
                      <wp:wrapNone/>
                      <wp:docPr id="1" name="文本框 1"/>
                      <wp:cNvGraphicFramePr/>
                      <a:graphic xmlns:a="http://schemas.openxmlformats.org/drawingml/2006/main">
                        <a:graphicData uri="http://schemas.microsoft.com/office/word/2010/wordprocessingShape">
                          <wps:wsp>
                            <wps:cNvSpPr txBox="1"/>
                            <wps:spPr>
                              <a:xfrm>
                                <a:off x="0" y="0"/>
                                <a:ext cx="80645" cy="179070"/>
                              </a:xfrm>
                              <a:prstGeom prst="rect">
                                <a:avLst/>
                              </a:prstGeom>
                              <a:noFill/>
                              <a:ln>
                                <a:noFill/>
                              </a:ln>
                            </wps:spPr>
                            <wps:txbx>
                              <w:txbxContent>
                                <w:p>
                                  <w:pPr>
                                    <w:pStyle w:val="11"/>
                                    <w:tabs>
                                      <w:tab w:val="left" w:pos="106"/>
                                    </w:tabs>
                                    <w:spacing w:before="20"/>
                                    <w:ind w:left="20"/>
                                  </w:pPr>
                                  <w:r>
                                    <w:rPr>
                                      <w:u w:val="single" w:color="auto"/>
                                    </w:rPr>
                                    <w:tab/>
                                  </w:r>
                                </w:p>
                              </w:txbxContent>
                            </wps:txbx>
                            <wps:bodyPr lIns="0" tIns="0" rIns="0" bIns="0" upright="1"/>
                          </wps:wsp>
                        </a:graphicData>
                      </a:graphic>
                    </wp:anchor>
                  </w:drawing>
                </mc:Choice>
                <mc:Fallback>
                  <w:pict>
                    <v:shape id="_x0000_s1026" o:spid="_x0000_s1026" o:spt="202" type="#_x0000_t202" style="position:absolute;left:0pt;margin-left:299.1pt;margin-top:9.85pt;height:14.1pt;width:6.35pt;z-index:251659264;mso-width-relative:page;mso-height-relative:page;" filled="f" stroked="f" coordsize="21600,21600" o:gfxdata="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b/mR3tgAAAAJAQAADwAAAAAAAAAB&#10;ACAAAAAiAAAAZHJzL2Rvd25yZXYueG1sUEsBAhQAFAAAAAgAh07iQKVNIQSeAQAAIgMAAA4AAAAA&#10;AAAAAQAgAAAAJwEAAGRycy9lMm9Eb2MueG1sUEsFBgAAAAAGAAYAWQEAADcFAAAAAA==&#10;">
                      <v:fill on="f" focussize="0,0"/>
                      <v:stroke on="f"/>
                      <v:imagedata o:title=""/>
                      <o:lock v:ext="edit" aspectratio="f"/>
                      <v:textbox inset="0mm,0mm,0mm,0mm">
                        <w:txbxContent>
                          <w:p>
                            <w:pPr>
                              <w:pStyle w:val="11"/>
                              <w:tabs>
                                <w:tab w:val="left" w:pos="106"/>
                              </w:tabs>
                              <w:spacing w:before="20"/>
                              <w:ind w:left="20"/>
                            </w:pPr>
                            <w:r>
                              <w:rPr>
                                <w:u w:val="single" w:color="auto"/>
                              </w:rPr>
                              <w:tab/>
                            </w:r>
                          </w:p>
                        </w:txbxContent>
                      </v:textbox>
                    </v:shape>
                  </w:pict>
                </mc:Fallback>
              </mc:AlternateContent>
            </w:r>
            <w:r>
              <w:rPr>
                <w:rFonts w:hint="default" w:ascii="Times New Roman" w:hAnsi="Times New Roman" w:eastAsia="宋体" w:cs="Times New Roman"/>
                <w:color w:val="auto"/>
                <w:kern w:val="0"/>
                <w:sz w:val="24"/>
                <w:highlight w:val="none"/>
                <w:lang w:val="en-US"/>
              </w:rPr>
              <w:t>C</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rPr>
              <w:t>谢才系数，一般采用公式</w:t>
            </w:r>
            <w:r>
              <w:rPr>
                <w:rFonts w:hint="eastAsia" w:cs="Times New Roman"/>
                <w:color w:val="auto"/>
                <w:kern w:val="0"/>
                <w:sz w:val="24"/>
                <w:highlight w:val="none"/>
                <w:lang w:val="en-US" w:eastAsia="zh-CN"/>
              </w:rPr>
              <w:t>C=</w:t>
            </w:r>
            <m:oMath>
              <m:f>
                <m:fPr>
                  <m:ctrlPr>
                    <w:rPr>
                      <w:rFonts w:hint="default" w:ascii="Cambria Math" w:hAnsi="Cambria Math" w:cs="Times New Roman"/>
                      <w:i/>
                      <w:color w:val="auto"/>
                      <w:kern w:val="0"/>
                      <w:sz w:val="24"/>
                      <w:highlight w:val="none"/>
                      <w:lang w:val="en-US"/>
                    </w:rPr>
                  </m:ctrlPr>
                </m:fPr>
                <m:num>
                  <m:r>
                    <w:rPr>
                      <w:rFonts w:hint="default" w:ascii="Cambria Math" w:hAnsi="Cambria Math" w:cs="Times New Roman"/>
                      <w:color w:val="auto"/>
                      <w:kern w:val="0"/>
                      <w:sz w:val="24"/>
                      <w:highlight w:val="none"/>
                      <w:lang w:val="en-US" w:eastAsia="zh-CN"/>
                    </w:rPr>
                    <m:t>1</m:t>
                  </m:r>
                  <m:ctrlPr>
                    <w:rPr>
                      <w:rFonts w:hint="default" w:ascii="Cambria Math" w:hAnsi="Cambria Math" w:cs="Times New Roman"/>
                      <w:i/>
                      <w:color w:val="auto"/>
                      <w:kern w:val="0"/>
                      <w:sz w:val="24"/>
                      <w:highlight w:val="none"/>
                      <w:lang w:val="en-US"/>
                    </w:rPr>
                  </m:ctrlPr>
                </m:num>
                <m:den>
                  <m:r>
                    <w:rPr>
                      <w:rFonts w:hint="default" w:ascii="Cambria Math" w:hAnsi="Cambria Math" w:cs="Times New Roman"/>
                      <w:color w:val="auto"/>
                      <w:kern w:val="0"/>
                      <w:sz w:val="24"/>
                      <w:highlight w:val="none"/>
                      <w:lang w:val="en-US" w:eastAsia="zh-CN"/>
                    </w:rPr>
                    <m:t>n</m:t>
                  </m:r>
                  <m:ctrlPr>
                    <w:rPr>
                      <w:rFonts w:hint="default" w:ascii="Cambria Math" w:hAnsi="Cambria Math" w:cs="Times New Roman"/>
                      <w:i/>
                      <w:color w:val="auto"/>
                      <w:kern w:val="0"/>
                      <w:sz w:val="24"/>
                      <w:highlight w:val="none"/>
                      <w:lang w:val="en-US"/>
                    </w:rPr>
                  </m:ctrlPr>
                </m:den>
              </m:f>
            </m:oMath>
            <w:r>
              <w:rPr>
                <w:rFonts w:hint="eastAsia" w:cs="Times New Roman"/>
                <w:color w:val="auto"/>
                <w:kern w:val="0"/>
                <w:sz w:val="24"/>
                <w:highlight w:val="none"/>
                <w:lang w:val="en-US" w:eastAsia="zh-CN"/>
              </w:rPr>
              <w:t xml:space="preserve"> </w:t>
            </w:r>
            <m:oMath>
              <m:sSup>
                <m:sSupPr>
                  <m:ctrlPr>
                    <w:rPr>
                      <w:rFonts w:hint="default" w:ascii="Cambria Math" w:hAnsi="Cambria Math" w:cs="Times New Roman"/>
                      <w:i/>
                      <w:color w:val="auto"/>
                      <w:kern w:val="0"/>
                      <w:sz w:val="24"/>
                      <w:highlight w:val="none"/>
                      <w:lang w:val="en-US"/>
                    </w:rPr>
                  </m:ctrlPr>
                </m:sSupPr>
                <m:e>
                  <m:r>
                    <w:rPr>
                      <w:rFonts w:hint="default" w:ascii="Cambria Math" w:hAnsi="Cambria Math" w:cs="Times New Roman"/>
                      <w:color w:val="auto"/>
                      <w:kern w:val="0"/>
                      <w:sz w:val="24"/>
                      <w:highlight w:val="none"/>
                      <w:lang w:val="en-US" w:eastAsia="zh-CN"/>
                    </w:rPr>
                    <m:t>R</m:t>
                  </m:r>
                  <m:ctrlPr>
                    <w:rPr>
                      <w:rFonts w:hint="default" w:ascii="Cambria Math" w:hAnsi="Cambria Math" w:cs="Times New Roman"/>
                      <w:i/>
                      <w:color w:val="auto"/>
                      <w:kern w:val="0"/>
                      <w:sz w:val="24"/>
                      <w:highlight w:val="none"/>
                      <w:lang w:val="en-US"/>
                    </w:rPr>
                  </m:ctrlPr>
                </m:e>
                <m:sup>
                  <m:f>
                    <m:fPr>
                      <m:ctrlPr>
                        <w:rPr>
                          <w:rFonts w:hint="default" w:ascii="Cambria Math" w:hAnsi="Cambria Math" w:cs="Times New Roman"/>
                          <w:i/>
                          <w:color w:val="auto"/>
                          <w:kern w:val="0"/>
                          <w:sz w:val="24"/>
                          <w:highlight w:val="none"/>
                          <w:lang w:val="en-US"/>
                        </w:rPr>
                      </m:ctrlPr>
                    </m:fPr>
                    <m:num>
                      <m:r>
                        <w:rPr>
                          <w:rFonts w:hint="default" w:ascii="Cambria Math" w:hAnsi="Cambria Math" w:cs="Times New Roman"/>
                          <w:color w:val="auto"/>
                          <w:kern w:val="0"/>
                          <w:sz w:val="24"/>
                          <w:highlight w:val="none"/>
                          <w:lang w:val="en-US" w:eastAsia="zh-CN"/>
                        </w:rPr>
                        <m:t>1</m:t>
                      </m:r>
                      <m:ctrlPr>
                        <w:rPr>
                          <w:rFonts w:hint="default" w:ascii="Cambria Math" w:hAnsi="Cambria Math" w:cs="Times New Roman"/>
                          <w:i/>
                          <w:color w:val="auto"/>
                          <w:kern w:val="0"/>
                          <w:sz w:val="24"/>
                          <w:highlight w:val="none"/>
                          <w:lang w:val="en-US"/>
                        </w:rPr>
                      </m:ctrlPr>
                    </m:num>
                    <m:den>
                      <m:r>
                        <w:rPr>
                          <w:rFonts w:hint="default" w:ascii="Cambria Math" w:hAnsi="Cambria Math" w:cs="Times New Roman"/>
                          <w:color w:val="auto"/>
                          <w:kern w:val="0"/>
                          <w:sz w:val="24"/>
                          <w:highlight w:val="none"/>
                          <w:lang w:val="en-US" w:eastAsia="zh-CN"/>
                        </w:rPr>
                        <m:t>6</m:t>
                      </m:r>
                      <m:ctrlPr>
                        <w:rPr>
                          <w:rFonts w:hint="default" w:ascii="Cambria Math" w:hAnsi="Cambria Math" w:cs="Times New Roman"/>
                          <w:i/>
                          <w:color w:val="auto"/>
                          <w:kern w:val="0"/>
                          <w:sz w:val="24"/>
                          <w:highlight w:val="none"/>
                          <w:lang w:val="en-US"/>
                        </w:rPr>
                      </m:ctrlPr>
                    </m:den>
                  </m:f>
                  <m:ctrlPr>
                    <w:rPr>
                      <w:rFonts w:hint="default" w:ascii="Cambria Math" w:hAnsi="Cambria Math" w:cs="Times New Roman"/>
                      <w:i/>
                      <w:color w:val="auto"/>
                      <w:kern w:val="0"/>
                      <w:sz w:val="24"/>
                      <w:highlight w:val="none"/>
                      <w:lang w:val="en-US"/>
                    </w:rPr>
                  </m:ctrlPr>
                </m:sup>
              </m:sSup>
            </m:oMath>
            <w:r>
              <w:rPr>
                <w:rFonts w:hint="default" w:ascii="Times New Roman" w:hAnsi="Times New Roman" w:eastAsia="宋体" w:cs="Times New Roman"/>
                <w:color w:val="auto"/>
                <w:kern w:val="0"/>
                <w:sz w:val="24"/>
                <w:highlight w:val="none"/>
                <w:lang w:val="en-US"/>
              </w:rPr>
              <w:t>进行计算，其中，n为渠道糙率，取0.015。</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leftChars="0" w:right="0" w:rightChars="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水力计算结果具体见下表：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leftChars="0" w:right="0" w:firstLine="0" w:firstLineChars="0"/>
              <w:jc w:val="center"/>
              <w:textAlignment w:val="auto"/>
              <w:rPr>
                <w:rFonts w:hint="eastAsia" w:ascii="Times New Roman" w:hAnsi="Times New Roman" w:eastAsia="宋体" w:cs="Times New Roman"/>
                <w:b/>
                <w:bCs w:val="0"/>
                <w:color w:val="auto"/>
                <w:sz w:val="24"/>
                <w:szCs w:val="24"/>
                <w:highlight w:val="none"/>
              </w:rPr>
            </w:pPr>
            <w:r>
              <w:rPr>
                <w:rFonts w:hint="eastAsia" w:ascii="Times New Roman" w:hAnsi="Times New Roman" w:eastAsia="宋体" w:cs="Times New Roman"/>
                <w:b/>
                <w:bCs w:val="0"/>
                <w:color w:val="auto"/>
                <w:sz w:val="24"/>
                <w:szCs w:val="24"/>
                <w:highlight w:val="none"/>
                <w:lang w:eastAsia="zh-CN"/>
              </w:rPr>
              <w:t>表</w:t>
            </w:r>
            <w:r>
              <w:rPr>
                <w:rFonts w:hint="eastAsia" w:ascii="Times New Roman" w:hAnsi="Times New Roman" w:eastAsia="宋体" w:cs="Times New Roman"/>
                <w:b/>
                <w:bCs w:val="0"/>
                <w:color w:val="auto"/>
                <w:sz w:val="24"/>
                <w:szCs w:val="24"/>
                <w:highlight w:val="none"/>
                <w:lang w:val="en-US" w:eastAsia="zh-CN"/>
              </w:rPr>
              <w:t xml:space="preserve">2-2  </w:t>
            </w:r>
            <w:r>
              <w:rPr>
                <w:rFonts w:hint="eastAsia" w:ascii="Times New Roman" w:hAnsi="Times New Roman" w:eastAsia="宋体" w:cs="Times New Roman"/>
                <w:b/>
                <w:bCs w:val="0"/>
                <w:color w:val="auto"/>
                <w:sz w:val="24"/>
                <w:szCs w:val="24"/>
                <w:highlight w:val="none"/>
              </w:rPr>
              <w:t>排洪渠水力要素计算表</w:t>
            </w:r>
          </w:p>
          <w:tbl>
            <w:tblPr>
              <w:tblStyle w:val="33"/>
              <w:tblW w:w="7937"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515"/>
              <w:gridCol w:w="962"/>
              <w:gridCol w:w="774"/>
              <w:gridCol w:w="805"/>
              <w:gridCol w:w="1074"/>
              <w:gridCol w:w="758"/>
              <w:gridCol w:w="968"/>
              <w:gridCol w:w="539"/>
              <w:gridCol w:w="54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705" w:hRule="atLeast"/>
                <w:jc w:val="center"/>
              </w:trPr>
              <w:tc>
                <w:tcPr>
                  <w:tcW w:w="151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pacing w:val="-7"/>
                      <w:sz w:val="21"/>
                      <w:szCs w:val="21"/>
                      <w:highlight w:val="none"/>
                    </w:rPr>
                    <w:t>名称</w:t>
                  </w:r>
                </w:p>
              </w:tc>
              <w:tc>
                <w:tcPr>
                  <w:tcW w:w="962"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sz w:val="21"/>
                      <w:szCs w:val="21"/>
                      <w:highlight w:val="none"/>
                    </w:rPr>
                  </w:pPr>
                  <w:r>
                    <w:rPr>
                      <w:rFonts w:hint="default" w:ascii="Times New Roman" w:hAnsi="Times New Roman" w:cs="Times New Roman"/>
                      <w:b/>
                      <w:bCs/>
                      <w:spacing w:val="-5"/>
                      <w:sz w:val="21"/>
                      <w:szCs w:val="21"/>
                      <w:highlight w:val="none"/>
                    </w:rPr>
                    <w:t>底宽</w:t>
                  </w:r>
                  <w:r>
                    <w:rPr>
                      <w:rFonts w:hint="default" w:ascii="Times New Roman" w:hAnsi="Times New Roman" w:eastAsia="Times New Roman" w:cs="Times New Roman"/>
                      <w:b/>
                      <w:bCs/>
                      <w:spacing w:val="-4"/>
                      <w:sz w:val="21"/>
                      <w:szCs w:val="21"/>
                      <w:highlight w:val="none"/>
                    </w:rPr>
                    <w:t>(m)</w:t>
                  </w:r>
                </w:p>
              </w:tc>
              <w:tc>
                <w:tcPr>
                  <w:tcW w:w="774"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sz w:val="21"/>
                      <w:szCs w:val="21"/>
                      <w:highlight w:val="none"/>
                    </w:rPr>
                  </w:pPr>
                  <w:r>
                    <w:rPr>
                      <w:rFonts w:hint="default" w:ascii="Times New Roman" w:hAnsi="Times New Roman" w:cs="Times New Roman"/>
                      <w:b/>
                      <w:bCs/>
                      <w:spacing w:val="-5"/>
                      <w:sz w:val="21"/>
                      <w:szCs w:val="21"/>
                      <w:highlight w:val="none"/>
                    </w:rPr>
                    <w:t>边坡</w:t>
                  </w:r>
                  <w:r>
                    <w:rPr>
                      <w:rFonts w:hint="default" w:ascii="Times New Roman" w:hAnsi="Times New Roman" w:eastAsia="Times New Roman" w:cs="Times New Roman"/>
                      <w:b/>
                      <w:bCs/>
                      <w:sz w:val="21"/>
                      <w:szCs w:val="21"/>
                      <w:highlight w:val="none"/>
                    </w:rPr>
                    <w:t>i</w:t>
                  </w:r>
                </w:p>
              </w:tc>
              <w:tc>
                <w:tcPr>
                  <w:tcW w:w="80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sz w:val="21"/>
                      <w:szCs w:val="21"/>
                      <w:highlight w:val="none"/>
                    </w:rPr>
                  </w:pPr>
                  <w:r>
                    <w:rPr>
                      <w:rFonts w:hint="default" w:ascii="Times New Roman" w:hAnsi="Times New Roman" w:cs="Times New Roman"/>
                      <w:b/>
                      <w:bCs/>
                      <w:spacing w:val="-5"/>
                      <w:sz w:val="21"/>
                      <w:szCs w:val="21"/>
                      <w:highlight w:val="none"/>
                    </w:rPr>
                    <w:t>糙率</w:t>
                  </w:r>
                  <w:r>
                    <w:rPr>
                      <w:rFonts w:hint="default" w:ascii="Times New Roman" w:hAnsi="Times New Roman" w:eastAsia="Times New Roman" w:cs="Times New Roman"/>
                      <w:b/>
                      <w:bCs/>
                      <w:position w:val="-1"/>
                      <w:sz w:val="21"/>
                      <w:szCs w:val="21"/>
                      <w:highlight w:val="none"/>
                    </w:rPr>
                    <w:t>n</w:t>
                  </w:r>
                </w:p>
              </w:tc>
              <w:tc>
                <w:tcPr>
                  <w:tcW w:w="1074"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sz w:val="21"/>
                      <w:szCs w:val="21"/>
                      <w:highlight w:val="none"/>
                    </w:rPr>
                  </w:pPr>
                  <w:r>
                    <w:rPr>
                      <w:rFonts w:hint="default" w:ascii="Times New Roman" w:hAnsi="Times New Roman" w:cs="Times New Roman"/>
                      <w:b/>
                      <w:bCs/>
                      <w:spacing w:val="-12"/>
                      <w:sz w:val="21"/>
                      <w:szCs w:val="21"/>
                      <w:highlight w:val="none"/>
                    </w:rPr>
                    <w:t>比降</w:t>
                  </w:r>
                  <w:r>
                    <w:rPr>
                      <w:rFonts w:hint="default" w:ascii="Times New Roman" w:hAnsi="Times New Roman" w:cs="Times New Roman"/>
                      <w:b/>
                      <w:bCs/>
                      <w:spacing w:val="-54"/>
                      <w:sz w:val="21"/>
                      <w:szCs w:val="21"/>
                      <w:highlight w:val="none"/>
                    </w:rPr>
                    <w:t xml:space="preserve"> </w:t>
                  </w:r>
                  <w:r>
                    <w:rPr>
                      <w:rFonts w:hint="default" w:ascii="Times New Roman" w:hAnsi="Times New Roman" w:eastAsia="Times New Roman" w:cs="Times New Roman"/>
                      <w:b/>
                      <w:bCs/>
                      <w:spacing w:val="-12"/>
                      <w:sz w:val="21"/>
                      <w:szCs w:val="21"/>
                      <w:highlight w:val="none"/>
                    </w:rPr>
                    <w:t>i</w:t>
                  </w:r>
                </w:p>
              </w:tc>
              <w:tc>
                <w:tcPr>
                  <w:tcW w:w="758"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sz w:val="21"/>
                      <w:szCs w:val="21"/>
                      <w:highlight w:val="none"/>
                    </w:rPr>
                  </w:pPr>
                  <w:r>
                    <w:rPr>
                      <w:rFonts w:hint="default" w:ascii="Times New Roman" w:hAnsi="Times New Roman" w:cs="Times New Roman"/>
                      <w:b/>
                      <w:bCs/>
                      <w:spacing w:val="-6"/>
                      <w:sz w:val="21"/>
                      <w:szCs w:val="21"/>
                      <w:highlight w:val="none"/>
                    </w:rPr>
                    <w:t>过水面积</w:t>
                  </w:r>
                  <w:r>
                    <w:rPr>
                      <w:rFonts w:hint="default" w:ascii="Times New Roman" w:hAnsi="Times New Roman" w:eastAsia="Times New Roman" w:cs="Times New Roman"/>
                      <w:b/>
                      <w:bCs/>
                      <w:spacing w:val="5"/>
                      <w:sz w:val="21"/>
                      <w:szCs w:val="21"/>
                      <w:highlight w:val="none"/>
                    </w:rPr>
                    <w:t>(</w:t>
                  </w:r>
                  <w:r>
                    <w:rPr>
                      <w:rFonts w:hint="default" w:ascii="Times New Roman" w:hAnsi="Times New Roman" w:eastAsia="宋体" w:cs="Times New Roman"/>
                      <w:b/>
                      <w:bCs/>
                      <w:spacing w:val="5"/>
                      <w:sz w:val="21"/>
                      <w:szCs w:val="21"/>
                      <w:highlight w:val="none"/>
                      <w:lang w:eastAsia="zh-CN"/>
                    </w:rPr>
                    <w:t>㎡</w:t>
                  </w:r>
                  <w:r>
                    <w:rPr>
                      <w:rFonts w:hint="default" w:ascii="Times New Roman" w:hAnsi="Times New Roman" w:eastAsia="Times New Roman" w:cs="Times New Roman"/>
                      <w:b/>
                      <w:bCs/>
                      <w:spacing w:val="5"/>
                      <w:sz w:val="21"/>
                      <w:szCs w:val="21"/>
                      <w:highlight w:val="none"/>
                    </w:rPr>
                    <w:t>)</w:t>
                  </w:r>
                </w:p>
              </w:tc>
              <w:tc>
                <w:tcPr>
                  <w:tcW w:w="968"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sz w:val="21"/>
                      <w:szCs w:val="21"/>
                      <w:highlight w:val="none"/>
                    </w:rPr>
                  </w:pPr>
                  <w:r>
                    <w:rPr>
                      <w:rFonts w:hint="default" w:ascii="Times New Roman" w:hAnsi="Times New Roman" w:cs="Times New Roman"/>
                      <w:b/>
                      <w:bCs/>
                      <w:spacing w:val="-6"/>
                      <w:sz w:val="21"/>
                      <w:szCs w:val="21"/>
                      <w:highlight w:val="none"/>
                    </w:rPr>
                    <w:t>流速</w:t>
                  </w:r>
                  <w:r>
                    <w:rPr>
                      <w:rFonts w:hint="default" w:ascii="Times New Roman" w:hAnsi="Times New Roman" w:eastAsia="Times New Roman" w:cs="Times New Roman"/>
                      <w:b/>
                      <w:bCs/>
                      <w:sz w:val="21"/>
                      <w:szCs w:val="21"/>
                      <w:highlight w:val="none"/>
                    </w:rPr>
                    <w:t>V</w:t>
                  </w:r>
                  <w:r>
                    <w:rPr>
                      <w:rFonts w:hint="default" w:ascii="Times New Roman" w:hAnsi="Times New Roman" w:eastAsia="Times New Roman" w:cs="Times New Roman"/>
                      <w:b/>
                      <w:bCs/>
                      <w:spacing w:val="-2"/>
                      <w:sz w:val="21"/>
                      <w:szCs w:val="21"/>
                      <w:highlight w:val="none"/>
                    </w:rPr>
                    <w:t>(m/s)</w:t>
                  </w:r>
                </w:p>
              </w:tc>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sz w:val="21"/>
                      <w:szCs w:val="21"/>
                      <w:highlight w:val="none"/>
                    </w:rPr>
                  </w:pPr>
                  <w:r>
                    <w:rPr>
                      <w:rFonts w:hint="default" w:ascii="Times New Roman" w:hAnsi="Times New Roman" w:cs="Times New Roman"/>
                      <w:b/>
                      <w:bCs/>
                      <w:spacing w:val="-7"/>
                      <w:sz w:val="21"/>
                      <w:szCs w:val="21"/>
                      <w:highlight w:val="none"/>
                    </w:rPr>
                    <w:t>水深</w:t>
                  </w:r>
                  <w:r>
                    <w:rPr>
                      <w:rFonts w:hint="default" w:ascii="Times New Roman" w:hAnsi="Times New Roman" w:eastAsia="Times New Roman" w:cs="Times New Roman"/>
                      <w:b/>
                      <w:bCs/>
                      <w:spacing w:val="-4"/>
                      <w:sz w:val="21"/>
                      <w:szCs w:val="21"/>
                      <w:highlight w:val="none"/>
                    </w:rPr>
                    <w:t>(m)</w:t>
                  </w:r>
                </w:p>
              </w:tc>
              <w:tc>
                <w:tcPr>
                  <w:tcW w:w="542"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sz w:val="21"/>
                      <w:szCs w:val="21"/>
                      <w:highlight w:val="none"/>
                    </w:rPr>
                  </w:pPr>
                  <w:r>
                    <w:rPr>
                      <w:rFonts w:hint="default" w:ascii="Times New Roman" w:hAnsi="Times New Roman" w:cs="Times New Roman"/>
                      <w:b/>
                      <w:bCs/>
                      <w:spacing w:val="-6"/>
                      <w:sz w:val="21"/>
                      <w:szCs w:val="21"/>
                      <w:highlight w:val="none"/>
                    </w:rPr>
                    <w:t>渠深</w:t>
                  </w:r>
                  <w:r>
                    <w:rPr>
                      <w:rFonts w:hint="default" w:ascii="Times New Roman" w:hAnsi="Times New Roman" w:eastAsia="Times New Roman" w:cs="Times New Roman"/>
                      <w:b/>
                      <w:bCs/>
                      <w:spacing w:val="-4"/>
                      <w:sz w:val="21"/>
                      <w:szCs w:val="21"/>
                      <w:highlight w:val="none"/>
                    </w:rPr>
                    <w:t>(m)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598" w:hRule="atLeast"/>
                <w:jc w:val="center"/>
              </w:trPr>
              <w:tc>
                <w:tcPr>
                  <w:tcW w:w="151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pacing w:val="-2"/>
                      <w:sz w:val="21"/>
                      <w:szCs w:val="21"/>
                      <w:highlight w:val="none"/>
                    </w:rPr>
                    <w:t>象山东侧建设排洪渠</w:t>
                  </w:r>
                </w:p>
              </w:tc>
              <w:tc>
                <w:tcPr>
                  <w:tcW w:w="9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4"/>
                      <w:sz w:val="21"/>
                      <w:szCs w:val="21"/>
                      <w:highlight w:val="none"/>
                    </w:rPr>
                    <w:t>1.0/1.5</w:t>
                  </w:r>
                </w:p>
              </w:tc>
              <w:tc>
                <w:tcPr>
                  <w:tcW w:w="7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z w:val="21"/>
                      <w:szCs w:val="21"/>
                      <w:highlight w:val="none"/>
                    </w:rPr>
                    <w:t>0</w:t>
                  </w:r>
                </w:p>
              </w:tc>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2"/>
                      <w:sz w:val="21"/>
                      <w:szCs w:val="21"/>
                      <w:highlight w:val="none"/>
                    </w:rPr>
                    <w:t>0.015</w:t>
                  </w:r>
                </w:p>
              </w:tc>
              <w:tc>
                <w:tcPr>
                  <w:tcW w:w="1074"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3"/>
                      <w:sz w:val="21"/>
                      <w:szCs w:val="21"/>
                      <w:highlight w:val="none"/>
                    </w:rPr>
                    <w:t>1/500</w:t>
                  </w:r>
                  <w:r>
                    <w:rPr>
                      <w:rFonts w:hint="default" w:ascii="Times New Roman" w:hAnsi="Times New Roman" w:cs="Times New Roman"/>
                      <w:spacing w:val="-3"/>
                      <w:sz w:val="21"/>
                      <w:szCs w:val="21"/>
                      <w:highlight w:val="none"/>
                    </w:rPr>
                    <w:t>～</w:t>
                  </w:r>
                  <w:r>
                    <w:rPr>
                      <w:rFonts w:hint="default" w:ascii="Times New Roman" w:hAnsi="Times New Roman" w:eastAsia="Times New Roman" w:cs="Times New Roman"/>
                      <w:spacing w:val="-3"/>
                      <w:sz w:val="21"/>
                      <w:szCs w:val="21"/>
                      <w:highlight w:val="none"/>
                    </w:rPr>
                    <w:t>1/2000</w:t>
                  </w:r>
                </w:p>
              </w:tc>
              <w:tc>
                <w:tcPr>
                  <w:tcW w:w="7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10"/>
                      <w:sz w:val="21"/>
                      <w:szCs w:val="21"/>
                      <w:highlight w:val="none"/>
                    </w:rPr>
                    <w:t>1.4</w:t>
                  </w:r>
                </w:p>
              </w:tc>
              <w:tc>
                <w:tcPr>
                  <w:tcW w:w="9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8"/>
                      <w:sz w:val="21"/>
                      <w:szCs w:val="21"/>
                      <w:highlight w:val="none"/>
                    </w:rPr>
                    <w:t>1.09</w:t>
                  </w:r>
                </w:p>
              </w:tc>
              <w:tc>
                <w:tcPr>
                  <w:tcW w:w="5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3"/>
                      <w:sz w:val="21"/>
                      <w:szCs w:val="21"/>
                      <w:highlight w:val="none"/>
                    </w:rPr>
                    <w:t>0.95</w:t>
                  </w:r>
                </w:p>
              </w:tc>
              <w:tc>
                <w:tcPr>
                  <w:tcW w:w="5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8"/>
                      <w:sz w:val="21"/>
                      <w:szCs w:val="21"/>
                      <w:highlight w:val="none"/>
                    </w:rPr>
                    <w:t>1.50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674" w:hRule="atLeast"/>
                <w:jc w:val="center"/>
              </w:trPr>
              <w:tc>
                <w:tcPr>
                  <w:tcW w:w="151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pacing w:val="-2"/>
                      <w:sz w:val="21"/>
                      <w:szCs w:val="21"/>
                      <w:highlight w:val="none"/>
                    </w:rPr>
                    <w:t>象山中间段建设排洪渠</w:t>
                  </w:r>
                </w:p>
              </w:tc>
              <w:tc>
                <w:tcPr>
                  <w:tcW w:w="9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4"/>
                      <w:sz w:val="21"/>
                      <w:szCs w:val="21"/>
                      <w:highlight w:val="none"/>
                    </w:rPr>
                    <w:t>1.0/1.5</w:t>
                  </w:r>
                </w:p>
              </w:tc>
              <w:tc>
                <w:tcPr>
                  <w:tcW w:w="7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z w:val="21"/>
                      <w:szCs w:val="21"/>
                      <w:highlight w:val="none"/>
                    </w:rPr>
                    <w:t>0</w:t>
                  </w:r>
                </w:p>
              </w:tc>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2"/>
                      <w:sz w:val="21"/>
                      <w:szCs w:val="21"/>
                      <w:highlight w:val="none"/>
                    </w:rPr>
                    <w:t>0.015</w:t>
                  </w:r>
                </w:p>
              </w:tc>
              <w:tc>
                <w:tcPr>
                  <w:tcW w:w="1074"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3"/>
                      <w:sz w:val="21"/>
                      <w:szCs w:val="21"/>
                      <w:highlight w:val="none"/>
                    </w:rPr>
                    <w:t>1/500</w:t>
                  </w:r>
                  <w:r>
                    <w:rPr>
                      <w:rFonts w:hint="default" w:ascii="Times New Roman" w:hAnsi="Times New Roman" w:cs="Times New Roman"/>
                      <w:spacing w:val="-3"/>
                      <w:sz w:val="21"/>
                      <w:szCs w:val="21"/>
                      <w:highlight w:val="none"/>
                    </w:rPr>
                    <w:t>～</w:t>
                  </w:r>
                  <w:r>
                    <w:rPr>
                      <w:rFonts w:hint="default" w:ascii="Times New Roman" w:hAnsi="Times New Roman" w:eastAsia="Times New Roman" w:cs="Times New Roman"/>
                      <w:spacing w:val="-3"/>
                      <w:sz w:val="21"/>
                      <w:szCs w:val="21"/>
                      <w:highlight w:val="none"/>
                    </w:rPr>
                    <w:t>1/2000</w:t>
                  </w:r>
                </w:p>
              </w:tc>
              <w:tc>
                <w:tcPr>
                  <w:tcW w:w="7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8"/>
                      <w:sz w:val="21"/>
                      <w:szCs w:val="21"/>
                      <w:highlight w:val="none"/>
                    </w:rPr>
                    <w:t>1.32</w:t>
                  </w:r>
                </w:p>
              </w:tc>
              <w:tc>
                <w:tcPr>
                  <w:tcW w:w="9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3"/>
                      <w:sz w:val="21"/>
                      <w:szCs w:val="21"/>
                      <w:highlight w:val="none"/>
                    </w:rPr>
                    <w:t>0.89</w:t>
                  </w:r>
                </w:p>
              </w:tc>
              <w:tc>
                <w:tcPr>
                  <w:tcW w:w="5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3"/>
                      <w:sz w:val="21"/>
                      <w:szCs w:val="21"/>
                      <w:highlight w:val="none"/>
                    </w:rPr>
                    <w:t>0.94</w:t>
                  </w:r>
                </w:p>
              </w:tc>
              <w:tc>
                <w:tcPr>
                  <w:tcW w:w="5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8"/>
                      <w:sz w:val="21"/>
                      <w:szCs w:val="21"/>
                      <w:highlight w:val="none"/>
                    </w:rPr>
                    <w:t>1.50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678" w:hRule="atLeast"/>
                <w:jc w:val="center"/>
              </w:trPr>
              <w:tc>
                <w:tcPr>
                  <w:tcW w:w="151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pacing w:val="-1"/>
                      <w:sz w:val="21"/>
                      <w:szCs w:val="21"/>
                      <w:highlight w:val="none"/>
                    </w:rPr>
                    <w:t>县城东侧建筑垃圾填埋厂</w:t>
                  </w:r>
                  <w:r>
                    <w:rPr>
                      <w:rFonts w:hint="default" w:ascii="Times New Roman" w:hAnsi="Times New Roman" w:cs="Times New Roman"/>
                      <w:b/>
                      <w:bCs/>
                      <w:spacing w:val="-3"/>
                      <w:sz w:val="21"/>
                      <w:szCs w:val="21"/>
                      <w:highlight w:val="none"/>
                    </w:rPr>
                    <w:t>建设排洪渠</w:t>
                  </w:r>
                </w:p>
              </w:tc>
              <w:tc>
                <w:tcPr>
                  <w:tcW w:w="9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10"/>
                      <w:sz w:val="21"/>
                      <w:szCs w:val="21"/>
                      <w:highlight w:val="none"/>
                    </w:rPr>
                    <w:t>1.0</w:t>
                  </w:r>
                </w:p>
              </w:tc>
              <w:tc>
                <w:tcPr>
                  <w:tcW w:w="7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z w:val="21"/>
                      <w:szCs w:val="21"/>
                      <w:highlight w:val="none"/>
                    </w:rPr>
                    <w:t>0</w:t>
                  </w:r>
                </w:p>
              </w:tc>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2"/>
                      <w:sz w:val="21"/>
                      <w:szCs w:val="21"/>
                      <w:highlight w:val="none"/>
                    </w:rPr>
                    <w:t>0.015</w:t>
                  </w:r>
                </w:p>
              </w:tc>
              <w:tc>
                <w:tcPr>
                  <w:tcW w:w="10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5"/>
                      <w:sz w:val="21"/>
                      <w:szCs w:val="21"/>
                      <w:highlight w:val="none"/>
                    </w:rPr>
                    <w:t>1/2000</w:t>
                  </w:r>
                </w:p>
              </w:tc>
              <w:tc>
                <w:tcPr>
                  <w:tcW w:w="7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8"/>
                      <w:sz w:val="21"/>
                      <w:szCs w:val="21"/>
                      <w:highlight w:val="none"/>
                    </w:rPr>
                    <w:t>1.25</w:t>
                  </w:r>
                </w:p>
              </w:tc>
              <w:tc>
                <w:tcPr>
                  <w:tcW w:w="9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8"/>
                      <w:sz w:val="21"/>
                      <w:szCs w:val="21"/>
                      <w:highlight w:val="none"/>
                    </w:rPr>
                    <w:t>1.14</w:t>
                  </w:r>
                </w:p>
              </w:tc>
              <w:tc>
                <w:tcPr>
                  <w:tcW w:w="5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3"/>
                      <w:sz w:val="21"/>
                      <w:szCs w:val="21"/>
                      <w:highlight w:val="none"/>
                    </w:rPr>
                    <w:t>0.85</w:t>
                  </w:r>
                </w:p>
              </w:tc>
              <w:tc>
                <w:tcPr>
                  <w:tcW w:w="5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8"/>
                      <w:sz w:val="21"/>
                      <w:szCs w:val="21"/>
                      <w:highlight w:val="none"/>
                    </w:rPr>
                    <w:t>1.50</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2</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rPr>
              <w:t>排洪渠道横断面设计</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eastAsia" w:cs="Times New Roman"/>
                <w:color w:val="auto"/>
                <w:kern w:val="0"/>
                <w:sz w:val="24"/>
                <w:highlight w:val="none"/>
                <w:lang w:val="en-US" w:eastAsia="zh-CN"/>
              </w:rPr>
              <w:t>①</w:t>
            </w:r>
            <w:r>
              <w:rPr>
                <w:rFonts w:hint="default" w:ascii="Times New Roman" w:hAnsi="Times New Roman" w:eastAsia="宋体" w:cs="Times New Roman"/>
                <w:color w:val="auto"/>
                <w:kern w:val="0"/>
                <w:sz w:val="24"/>
                <w:highlight w:val="none"/>
                <w:lang w:val="en-US"/>
              </w:rPr>
              <w:t>北象山东侧建设排洪渠</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设计长度919m，设计渠道比降1/500～1/2000。根据分流计算渠道采用1.5m×1.5m、1.0m×1.5m两种矩形排洪渠断面，设计水深1.0m，设计渠深1.5m，采用预制C30混凝土渠道对排洪渠进行防护。</w:t>
            </w:r>
          </w:p>
          <w:p>
            <w:pPr>
              <w:pStyle w:val="1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highlight w:val="none"/>
              </w:rPr>
            </w:pPr>
            <w:r>
              <w:rPr>
                <w:rFonts w:hint="default"/>
                <w:sz w:val="28"/>
                <w:highlight w:val="none"/>
              </w:rPr>
              <w:drawing>
                <wp:inline distT="0" distB="0" distL="114300" distR="114300">
                  <wp:extent cx="3568065" cy="1983740"/>
                  <wp:effectExtent l="9525" t="9525" r="22860" b="2603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6"/>
                          <a:srcRect l="19701" r="18890"/>
                          <a:stretch>
                            <a:fillRect/>
                          </a:stretch>
                        </pic:blipFill>
                        <pic:spPr>
                          <a:xfrm>
                            <a:off x="1697990" y="5184775"/>
                            <a:ext cx="3568065" cy="1983740"/>
                          </a:xfrm>
                          <a:prstGeom prst="rect">
                            <a:avLst/>
                          </a:prstGeom>
                          <a:noFill/>
                          <a:ln>
                            <a:solidFill>
                              <a:schemeClr val="tx1"/>
                            </a:solid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b/>
                <w:bCs/>
                <w:spacing w:val="-5"/>
                <w:sz w:val="24"/>
                <w:szCs w:val="24"/>
                <w:highlight w:val="none"/>
                <w:lang w:eastAsia="zh-CN"/>
              </w:rPr>
              <w:t>图</w:t>
            </w:r>
            <w:r>
              <w:rPr>
                <w:rFonts w:hint="eastAsia" w:cs="Times New Roman"/>
                <w:b/>
                <w:bCs/>
                <w:spacing w:val="-5"/>
                <w:sz w:val="24"/>
                <w:szCs w:val="24"/>
                <w:highlight w:val="none"/>
                <w:lang w:val="en-US" w:eastAsia="zh-CN"/>
              </w:rPr>
              <w:t xml:space="preserve">1 </w:t>
            </w:r>
            <w:r>
              <w:rPr>
                <w:rFonts w:hint="default" w:ascii="Times New Roman" w:hAnsi="Times New Roman" w:eastAsia="宋体" w:cs="Times New Roman"/>
                <w:b/>
                <w:bCs/>
                <w:spacing w:val="-5"/>
                <w:sz w:val="24"/>
                <w:szCs w:val="24"/>
                <w:highlight w:val="none"/>
                <w:lang w:val="en-US" w:eastAsia="zh-CN"/>
              </w:rPr>
              <w:t xml:space="preserve"> </w:t>
            </w:r>
            <w:r>
              <w:rPr>
                <w:rFonts w:hint="default" w:ascii="Times New Roman" w:hAnsi="Times New Roman" w:eastAsia="宋体" w:cs="Times New Roman"/>
                <w:b/>
                <w:bCs/>
                <w:spacing w:val="-5"/>
                <w:sz w:val="24"/>
                <w:szCs w:val="24"/>
                <w:highlight w:val="none"/>
              </w:rPr>
              <w:t>1.5m×1.5m</w:t>
            </w:r>
            <w:r>
              <w:rPr>
                <w:rFonts w:hint="default" w:ascii="Times New Roman" w:hAnsi="Times New Roman" w:eastAsia="宋体" w:cs="Times New Roman"/>
                <w:spacing w:val="-53"/>
                <w:sz w:val="24"/>
                <w:szCs w:val="24"/>
                <w:highlight w:val="none"/>
              </w:rPr>
              <w:t xml:space="preserve"> </w:t>
            </w:r>
            <w:r>
              <w:rPr>
                <w:rFonts w:hint="default" w:ascii="Times New Roman" w:hAnsi="Times New Roman" w:eastAsia="宋体" w:cs="Times New Roman"/>
                <w:b/>
                <w:bCs/>
                <w:spacing w:val="-5"/>
                <w:sz w:val="24"/>
                <w:szCs w:val="24"/>
                <w:highlight w:val="none"/>
              </w:rPr>
              <w:t>排洪渠横断面图</w:t>
            </w:r>
          </w:p>
          <w:p>
            <w:pPr>
              <w:pStyle w:val="1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highlight w:val="none"/>
              </w:rPr>
            </w:pPr>
            <w:r>
              <w:rPr>
                <w:rFonts w:hint="default"/>
                <w:sz w:val="18"/>
                <w:highlight w:val="none"/>
              </w:rPr>
              <w:drawing>
                <wp:inline distT="0" distB="0" distL="114300" distR="114300">
                  <wp:extent cx="3575685" cy="1971040"/>
                  <wp:effectExtent l="9525" t="9525" r="15240" b="1968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7"/>
                          <a:srcRect l="17628" r="18164"/>
                          <a:stretch>
                            <a:fillRect/>
                          </a:stretch>
                        </pic:blipFill>
                        <pic:spPr>
                          <a:xfrm>
                            <a:off x="1705610" y="156210"/>
                            <a:ext cx="3575685" cy="1971040"/>
                          </a:xfrm>
                          <a:prstGeom prst="rect">
                            <a:avLst/>
                          </a:prstGeom>
                          <a:noFill/>
                          <a:ln>
                            <a:solidFill>
                              <a:schemeClr val="tx1"/>
                            </a:solid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pacing w:val="-5"/>
                <w:sz w:val="24"/>
                <w:szCs w:val="24"/>
                <w:highlight w:val="none"/>
                <w:lang w:eastAsia="zh-CN"/>
              </w:rPr>
            </w:pPr>
            <w:r>
              <w:rPr>
                <w:rFonts w:hint="eastAsia" w:cs="Times New Roman"/>
                <w:b/>
                <w:bCs/>
                <w:spacing w:val="-5"/>
                <w:sz w:val="24"/>
                <w:szCs w:val="24"/>
                <w:highlight w:val="none"/>
                <w:lang w:eastAsia="zh-CN"/>
              </w:rPr>
              <w:t>图</w:t>
            </w:r>
            <w:r>
              <w:rPr>
                <w:rFonts w:hint="eastAsia" w:cs="Times New Roman"/>
                <w:b/>
                <w:bCs/>
                <w:spacing w:val="-5"/>
                <w:sz w:val="24"/>
                <w:szCs w:val="24"/>
                <w:highlight w:val="none"/>
                <w:lang w:val="en-US" w:eastAsia="zh-CN"/>
              </w:rPr>
              <w:t xml:space="preserve">2  </w:t>
            </w:r>
            <w:r>
              <w:rPr>
                <w:rFonts w:hint="default" w:ascii="Times New Roman" w:hAnsi="Times New Roman" w:eastAsia="宋体" w:cs="Times New Roman"/>
                <w:b/>
                <w:bCs/>
                <w:spacing w:val="-5"/>
                <w:sz w:val="24"/>
                <w:szCs w:val="24"/>
                <w:highlight w:val="none"/>
                <w:lang w:eastAsia="zh-CN"/>
              </w:rPr>
              <w:t>1.0m×1.5m 排洪渠横断面图</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eastAsia" w:cs="Times New Roman"/>
                <w:color w:val="auto"/>
                <w:kern w:val="0"/>
                <w:sz w:val="24"/>
                <w:highlight w:val="none"/>
                <w:lang w:val="en-US" w:eastAsia="zh-CN"/>
              </w:rPr>
              <w:t>②</w:t>
            </w:r>
            <w:r>
              <w:rPr>
                <w:rFonts w:hint="default" w:ascii="Times New Roman" w:hAnsi="Times New Roman" w:eastAsia="宋体" w:cs="Times New Roman"/>
                <w:color w:val="auto"/>
                <w:kern w:val="0"/>
                <w:sz w:val="24"/>
                <w:highlight w:val="none"/>
                <w:lang w:val="en-US"/>
              </w:rPr>
              <w:t>北象山中间段建设排洪渠</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设计长度217m，设计渠道比降1/500～1/2000。根据分流计算渠道采用1.0m×1.5m两种矩形排洪渠断面，设计水深1.0m，设计渠深1.5m，采用预制C30混凝土渠道对排洪渠进行防护。</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eastAsia" w:cs="Times New Roman"/>
                <w:color w:val="auto"/>
                <w:kern w:val="0"/>
                <w:sz w:val="24"/>
                <w:highlight w:val="none"/>
                <w:lang w:val="en-US" w:eastAsia="zh-CN"/>
              </w:rPr>
              <w:t>③</w:t>
            </w:r>
            <w:r>
              <w:rPr>
                <w:rFonts w:hint="default" w:ascii="Times New Roman" w:hAnsi="Times New Roman" w:eastAsia="宋体" w:cs="Times New Roman"/>
                <w:color w:val="auto"/>
                <w:kern w:val="0"/>
                <w:sz w:val="24"/>
                <w:highlight w:val="none"/>
                <w:lang w:val="en-US"/>
              </w:rPr>
              <w:t>县城东侧建筑垃圾填埋厂建设排洪渠</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设计长度721m，设计渠道比降1/2000。根据分流计算渠道采用1.0m×1.5m矩形排洪渠断面，设计水深1.0m，设计渠深1.5m，采用预制C30混凝土渠道对排洪渠进行防护。</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eastAsia" w:cs="Times New Roman"/>
                <w:color w:val="auto"/>
                <w:kern w:val="0"/>
                <w:sz w:val="24"/>
                <w:highlight w:val="none"/>
                <w:lang w:val="en-US" w:eastAsia="zh-CN"/>
              </w:rPr>
              <w:t>④</w:t>
            </w:r>
            <w:r>
              <w:rPr>
                <w:rFonts w:hint="default" w:ascii="Times New Roman" w:hAnsi="Times New Roman" w:eastAsia="宋体" w:cs="Times New Roman"/>
                <w:color w:val="auto"/>
                <w:kern w:val="0"/>
                <w:sz w:val="24"/>
                <w:highlight w:val="none"/>
                <w:lang w:val="en-US"/>
              </w:rPr>
              <w:t>县城</w:t>
            </w:r>
            <w:r>
              <w:rPr>
                <w:rFonts w:hint="eastAsia" w:cs="Times New Roman"/>
                <w:color w:val="auto"/>
                <w:kern w:val="0"/>
                <w:sz w:val="24"/>
                <w:highlight w:val="none"/>
                <w:lang w:val="en-US" w:eastAsia="zh-CN"/>
              </w:rPr>
              <w:t>生活</w:t>
            </w:r>
            <w:r>
              <w:rPr>
                <w:rFonts w:hint="default" w:ascii="Times New Roman" w:hAnsi="Times New Roman" w:eastAsia="宋体" w:cs="Times New Roman"/>
                <w:color w:val="auto"/>
                <w:kern w:val="0"/>
                <w:sz w:val="24"/>
                <w:highlight w:val="none"/>
                <w:lang w:val="en-US"/>
              </w:rPr>
              <w:t>垃圾填埋厂建设排洪渠</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设计长度380m，设计渠道比降1/2000。根据分流计算渠道采用1.0m×1.5m矩形排洪渠断面，设计水深1.0m，设计渠深1.5m，采用预制C30混凝土渠道对排洪渠进行防护。</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3</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rPr>
              <w:t>护岸工程顶部高程的确定</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根据排洪渠工程布置原则，排水渠道与规划道路基本保持一致为平顺渠道工程，工程顶部高程按设计洪水整治流量相应水位加超高确定，即：</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H=H 设+ΔH</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式中：H——工程顶部高程（m）；</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H设——设计整治流量相应水位（m）；</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ΔH——超高（m），根据《河道整治设计规范》（GB50707-2011）规定，渠道工程顶部高程为设计洪水位+0.5m安全超高确定。</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4</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rPr>
              <w:t>抗滑稳定计算</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基础宽度根据冲刷深度确定，一般采用1.5～2倍冲深，本设计采用2倍。基础尺寸大小直接关系到护坡的滑动稳定，因此，计算初步拟定几种厚度进行计算，直至稳定满足要求。具体计算时，考虑到护脚为被塌体，受冲下倾变形后仍有50%参与抵抗护坡滑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eastAsia" w:cs="Times New Roman"/>
                <w:color w:val="auto"/>
                <w:kern w:val="0"/>
                <w:sz w:val="24"/>
                <w:highlight w:val="none"/>
                <w:lang w:val="en-US" w:eastAsia="zh-CN"/>
              </w:rPr>
              <w:t>①</w:t>
            </w:r>
            <w:r>
              <w:rPr>
                <w:rFonts w:hint="default" w:ascii="Times New Roman" w:hAnsi="Times New Roman" w:eastAsia="宋体" w:cs="Times New Roman"/>
                <w:color w:val="auto"/>
                <w:kern w:val="0"/>
                <w:sz w:val="24"/>
                <w:highlight w:val="none"/>
                <w:lang w:val="en-US"/>
              </w:rPr>
              <w:t>土堤抗滑稳定计算</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根据《堤防工程设计规范》（GB 50286-2013）对于土堤的抗滑稳定计算可采用瑞典圆弧滑动法，对于4级土堤正常运用条件抗滑稳定安全系数为1.15，经计算，在枯水期、水位骤降期稳定安全系数均满足《堤防工程设计规范》要求。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eastAsia" w:cs="Times New Roman"/>
                <w:color w:val="auto"/>
                <w:kern w:val="0"/>
                <w:sz w:val="24"/>
                <w:highlight w:val="none"/>
                <w:lang w:val="en-US" w:eastAsia="zh-CN"/>
              </w:rPr>
              <w:t>②</w:t>
            </w:r>
            <w:r>
              <w:rPr>
                <w:rFonts w:hint="default" w:ascii="Times New Roman" w:hAnsi="Times New Roman" w:eastAsia="宋体" w:cs="Times New Roman"/>
                <w:color w:val="auto"/>
                <w:kern w:val="0"/>
                <w:sz w:val="24"/>
                <w:highlight w:val="none"/>
                <w:lang w:val="en-US"/>
              </w:rPr>
              <w:t>渠道工程抗滑稳定计算</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护岸工程抗滑稳定安全系数：</w:t>
            </w:r>
            <w:r>
              <w:rPr>
                <w:rFonts w:hint="default" w:ascii="Times New Roman" w:hAnsi="Times New Roman" w:eastAsia="宋体" w:cs="Times New Roman"/>
                <w:i/>
                <w:iCs/>
                <w:color w:val="auto"/>
                <w:kern w:val="0"/>
                <w:sz w:val="24"/>
                <w:highlight w:val="none"/>
                <w:lang w:val="en-US"/>
              </w:rPr>
              <w:t>Kc =fΣ</w:t>
            </w:r>
            <w:r>
              <w:rPr>
                <w:rFonts w:hint="default" w:ascii="Times New Roman" w:hAnsi="Times New Roman" w:eastAsia="宋体" w:cs="Times New Roman"/>
                <w:i/>
                <w:iCs/>
                <w:color w:val="auto"/>
                <w:kern w:val="0"/>
                <w:sz w:val="24"/>
                <w:highlight w:val="none"/>
                <w:vertAlign w:val="superscript"/>
                <w:lang w:val="en-US"/>
              </w:rPr>
              <w:t>G</w:t>
            </w:r>
            <w:r>
              <w:rPr>
                <w:rFonts w:hint="default" w:ascii="Times New Roman" w:hAnsi="Times New Roman" w:eastAsia="宋体" w:cs="Times New Roman"/>
                <w:i/>
                <w:iCs/>
                <w:color w:val="auto"/>
                <w:kern w:val="0"/>
                <w:sz w:val="24"/>
                <w:highlight w:val="none"/>
                <w:lang w:val="en-US"/>
              </w:rPr>
              <w:t>/Σ</w:t>
            </w:r>
            <w:r>
              <w:rPr>
                <w:rFonts w:hint="default" w:ascii="Times New Roman" w:hAnsi="Times New Roman" w:eastAsia="宋体" w:cs="Times New Roman"/>
                <w:i/>
                <w:iCs/>
                <w:color w:val="auto"/>
                <w:kern w:val="0"/>
                <w:sz w:val="24"/>
                <w:highlight w:val="none"/>
                <w:vertAlign w:val="superscript"/>
                <w:lang w:val="en-US"/>
              </w:rPr>
              <w:t>H</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其中：∑G—作用在基础上全部垂直于水平面的荷载，kN，护坡、基础采用现浇 混凝土重度γ=23.5KN/m³。</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∑H—作用在基础上全部平行于基底面的荷载，kN；</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f—基底与地基之间摩擦系数，格宾与壤土间的摩擦系数μ=0.31。</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rPr>
              <w:t>经计算，治理段基础厚0.3m，Kc=1.42&gt;[Kc]=1.15，满足抗滑稳定要求。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right="0"/>
              <w:textAlignment w:val="auto"/>
              <w:rPr>
                <w:rFonts w:hint="default" w:ascii="Times New Roman" w:hAnsi="Times New Roman" w:eastAsia="宋体" w:cs="Times New Roman"/>
                <w:b/>
                <w:color w:val="auto"/>
                <w:kern w:val="0"/>
                <w:sz w:val="24"/>
                <w:highlight w:val="none"/>
                <w:lang w:val="en-US" w:eastAsia="zh-CN"/>
              </w:rPr>
            </w:pPr>
            <w:r>
              <w:rPr>
                <w:rFonts w:hint="default" w:ascii="Times New Roman" w:hAnsi="Times New Roman" w:eastAsia="宋体" w:cs="Times New Roman"/>
                <w:b/>
                <w:color w:val="auto"/>
                <w:kern w:val="0"/>
                <w:sz w:val="24"/>
                <w:szCs w:val="24"/>
                <w:lang w:val="en-US" w:eastAsia="zh-CN" w:bidi="ar-SA"/>
              </w:rPr>
              <w:t>3、</w:t>
            </w:r>
            <w:r>
              <w:rPr>
                <w:rFonts w:hint="default" w:ascii="Times New Roman" w:hAnsi="Times New Roman" w:eastAsia="宋体" w:cs="Times New Roman"/>
                <w:b/>
                <w:color w:val="auto"/>
                <w:kern w:val="0"/>
                <w:sz w:val="24"/>
                <w:highlight w:val="none"/>
              </w:rPr>
              <w:t>排洪管涵工程设计</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（1）</w:t>
            </w:r>
            <w:r>
              <w:rPr>
                <w:rFonts w:hint="default" w:ascii="Times New Roman" w:hAnsi="Times New Roman" w:eastAsia="宋体" w:cs="Times New Roman"/>
                <w:color w:val="auto"/>
                <w:kern w:val="0"/>
                <w:sz w:val="24"/>
                <w:highlight w:val="none"/>
                <w:lang w:val="en-US" w:eastAsia="zh-CN"/>
              </w:rPr>
              <w:t>雨水管网工程设计</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eastAsia" w:cs="Times New Roman"/>
                <w:color w:val="auto"/>
                <w:kern w:val="0"/>
                <w:sz w:val="24"/>
                <w:highlight w:val="none"/>
                <w:lang w:val="en-US" w:eastAsia="zh-CN"/>
              </w:rPr>
              <w:t>1）</w:t>
            </w:r>
            <w:r>
              <w:rPr>
                <w:rFonts w:hint="default" w:ascii="Times New Roman" w:hAnsi="Times New Roman" w:eastAsia="宋体" w:cs="Times New Roman"/>
                <w:color w:val="auto"/>
                <w:kern w:val="0"/>
                <w:sz w:val="24"/>
                <w:highlight w:val="none"/>
                <w:lang w:val="en-US"/>
              </w:rPr>
              <w:t>雨水量参数确定</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雨水管道的管段设计流量与管段的汇水面积、地面覆盖情况和降雨情况有关，按下式计算：</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Q＝qψF；</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其中：Q—雨水管道设计流量(L/s)；</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q—设计暴雨强度(L/s·ha)；ψ—径流系数；</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F—设计雨水管道所服务的汇水面积(ha)</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隆德无暴雨强度公式，采用平凉暴雨强度公式。</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暴雨强度公式如下：</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q=</w:t>
            </w:r>
            <w:r>
              <w:rPr>
                <w:rFonts w:hint="default" w:ascii="Times New Roman" w:hAnsi="Times New Roman" w:eastAsia="宋体" w:cs="Times New Roman"/>
                <w:color w:val="auto"/>
                <w:kern w:val="0"/>
                <w:sz w:val="24"/>
                <w:highlight w:val="none"/>
                <w:lang w:val="en-US"/>
              </w:rPr>
              <w:drawing>
                <wp:inline distT="0" distB="0" distL="0" distR="0">
                  <wp:extent cx="995680" cy="309880"/>
                  <wp:effectExtent l="0" t="0" r="13970" b="1397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8"/>
                          <a:stretch>
                            <a:fillRect/>
                          </a:stretch>
                        </pic:blipFill>
                        <pic:spPr>
                          <a:xfrm>
                            <a:off x="0" y="0"/>
                            <a:ext cx="996238" cy="310428"/>
                          </a:xfrm>
                          <a:prstGeom prst="rect">
                            <a:avLst/>
                          </a:prstGeom>
                        </pic:spPr>
                      </pic:pic>
                    </a:graphicData>
                  </a:graphic>
                </wp:inline>
              </w:drawing>
            </w:r>
            <w:r>
              <w:rPr>
                <w:rFonts w:hint="default" w:ascii="Times New Roman" w:hAnsi="Times New Roman" w:eastAsia="宋体" w:cs="Times New Roman"/>
                <w:color w:val="auto"/>
                <w:kern w:val="0"/>
                <w:sz w:val="24"/>
                <w:highlight w:val="none"/>
                <w:lang w:val="en-US"/>
              </w:rPr>
              <w:t>(mm/min)</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其中：q—设计暴雨强度</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P—设计重现期；</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t—设计降雨历时(min)，</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eastAsia" w:cs="Times New Roman"/>
                <w:color w:val="auto"/>
                <w:kern w:val="0"/>
                <w:sz w:val="24"/>
                <w:highlight w:val="none"/>
                <w:lang w:val="en-US" w:eastAsia="zh-CN"/>
              </w:rPr>
              <w:t>2</w:t>
            </w:r>
            <w:r>
              <w:rPr>
                <w:rFonts w:hint="default" w:ascii="Times New Roman" w:hAnsi="Times New Roman" w:eastAsia="宋体" w:cs="Times New Roman"/>
                <w:color w:val="auto"/>
                <w:kern w:val="0"/>
                <w:sz w:val="24"/>
                <w:highlight w:val="none"/>
                <w:lang w:val="en-US"/>
              </w:rPr>
              <w:t>）重现期确定</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设计降雨的重现期应根据汇水面积的用地性质(广场、干道、厂区、居住区)，地形特点等因素来确定，在同一排水系统中可采用同一重现期或不同重现期。重现期</w:t>
            </w:r>
            <w:r>
              <w:rPr>
                <w:rFonts w:hint="eastAsia" w:cs="Times New Roman"/>
                <w:color w:val="auto"/>
                <w:kern w:val="0"/>
                <w:sz w:val="24"/>
                <w:highlight w:val="none"/>
                <w:lang w:val="en-US" w:eastAsia="zh-CN"/>
              </w:rPr>
              <w:t>一</w:t>
            </w:r>
            <w:r>
              <w:rPr>
                <w:rFonts w:hint="default" w:ascii="Times New Roman" w:hAnsi="Times New Roman" w:eastAsia="宋体" w:cs="Times New Roman"/>
                <w:color w:val="auto"/>
                <w:kern w:val="0"/>
                <w:sz w:val="24"/>
                <w:highlight w:val="none"/>
                <w:lang w:val="en-US"/>
              </w:rPr>
              <w:t>般选用0.5-3年，按照城市规模重现期取2年。</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A.重现期P</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重现期选择的大小对雨水量计算的有一定影响，重现期（P）与暴雨量（q）关系如下图所示。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highlight w:val="none"/>
              </w:rPr>
            </w:pPr>
            <w:r>
              <w:rPr>
                <w:rFonts w:hint="default"/>
                <w:position w:val="-57"/>
                <w:highlight w:val="none"/>
              </w:rPr>
              <w:drawing>
                <wp:inline distT="0" distB="0" distL="0" distR="0">
                  <wp:extent cx="5132070" cy="1802130"/>
                  <wp:effectExtent l="0" t="0" r="11430" b="762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9"/>
                          <a:stretch>
                            <a:fillRect/>
                          </a:stretch>
                        </pic:blipFill>
                        <pic:spPr>
                          <a:xfrm>
                            <a:off x="0" y="0"/>
                            <a:ext cx="5132070" cy="1802130"/>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firstLine="0" w:firstLineChars="0"/>
              <w:jc w:val="center"/>
              <w:textAlignment w:val="auto"/>
              <w:rPr>
                <w:rFonts w:hint="default" w:ascii="Times New Roman" w:hAnsi="Times New Roman" w:eastAsia="宋体" w:cs="Times New Roman"/>
                <w:b/>
                <w:bCs/>
                <w:spacing w:val="-5"/>
                <w:sz w:val="24"/>
                <w:szCs w:val="24"/>
                <w:highlight w:val="none"/>
                <w:lang w:val="en-US" w:eastAsia="zh-CN"/>
              </w:rPr>
            </w:pPr>
            <w:r>
              <w:rPr>
                <w:rFonts w:hint="eastAsia" w:cs="Times New Roman"/>
                <w:b/>
                <w:bCs/>
                <w:spacing w:val="-5"/>
                <w:sz w:val="24"/>
                <w:szCs w:val="24"/>
                <w:highlight w:val="none"/>
                <w:lang w:val="en-US" w:eastAsia="zh-CN"/>
              </w:rPr>
              <w:t xml:space="preserve">图3  </w:t>
            </w:r>
            <w:r>
              <w:rPr>
                <w:rFonts w:hint="default" w:ascii="Times New Roman" w:hAnsi="Times New Roman" w:eastAsia="宋体" w:cs="Times New Roman"/>
                <w:b/>
                <w:bCs/>
                <w:spacing w:val="-5"/>
                <w:sz w:val="24"/>
                <w:szCs w:val="24"/>
                <w:highlight w:val="none"/>
                <w:lang w:val="en-US" w:eastAsia="zh-CN"/>
              </w:rPr>
              <w:t>重现期（P）与暴雨量（q）关系图</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对于西北干旱地区，年降雨量较少，往往将重现期取为0.5年。另外，设计降雨的重现期还应当根据地形特点以及地区建设性质等综合确定，可以参考下表：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leftChars="0" w:right="0" w:firstLine="0" w:firstLineChars="0"/>
              <w:jc w:val="center"/>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表2-3  设计降雨重新期</w:t>
            </w:r>
          </w:p>
          <w:tbl>
            <w:tblPr>
              <w:tblStyle w:val="33"/>
              <w:tblW w:w="8220"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68"/>
              <w:gridCol w:w="3675"/>
              <w:gridCol w:w="367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66" w:hRule="atLeast"/>
                <w:jc w:val="center"/>
              </w:trPr>
              <w:tc>
                <w:tcPr>
                  <w:tcW w:w="4543" w:type="dxa"/>
                  <w:gridSpan w:val="2"/>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pacing w:val="-3"/>
                      <w:sz w:val="21"/>
                      <w:szCs w:val="21"/>
                      <w:highlight w:val="none"/>
                    </w:rPr>
                    <w:t>地形分级</w:t>
                  </w:r>
                </w:p>
              </w:tc>
              <w:tc>
                <w:tcPr>
                  <w:tcW w:w="367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pacing w:val="-2"/>
                      <w:sz w:val="21"/>
                      <w:szCs w:val="21"/>
                      <w:highlight w:val="none"/>
                    </w:rPr>
                    <w:t>重新期（P）</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9" w:hRule="atLeast"/>
                <w:jc w:val="center"/>
              </w:trPr>
              <w:tc>
                <w:tcPr>
                  <w:tcW w:w="868"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Ⅰ</w:t>
                  </w:r>
                </w:p>
              </w:tc>
              <w:tc>
                <w:tcPr>
                  <w:tcW w:w="367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平缓地区</w:t>
                  </w:r>
                </w:p>
              </w:tc>
              <w:tc>
                <w:tcPr>
                  <w:tcW w:w="367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0.5、1、2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49" w:hRule="atLeast"/>
                <w:jc w:val="center"/>
              </w:trPr>
              <w:tc>
                <w:tcPr>
                  <w:tcW w:w="868"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Ⅱ</w:t>
                  </w:r>
                </w:p>
              </w:tc>
              <w:tc>
                <w:tcPr>
                  <w:tcW w:w="367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谿谷地区</w:t>
                  </w:r>
                </w:p>
              </w:tc>
              <w:tc>
                <w:tcPr>
                  <w:tcW w:w="367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1、2、3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79" w:hRule="atLeast"/>
                <w:jc w:val="center"/>
              </w:trPr>
              <w:tc>
                <w:tcPr>
                  <w:tcW w:w="868"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Ⅲ</w:t>
                  </w:r>
                </w:p>
              </w:tc>
              <w:tc>
                <w:tcPr>
                  <w:tcW w:w="367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重要地区、封闭洼地</w:t>
                  </w:r>
                </w:p>
              </w:tc>
              <w:tc>
                <w:tcPr>
                  <w:tcW w:w="367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2、3、5、个别10、20</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当重现期采用较大时，管径势必很大，重现期（P）每增加一个单位，暴雨量（q）增加约20%。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leftChars="0" w:right="0" w:firstLine="0" w:firstLineChars="0"/>
              <w:jc w:val="center"/>
              <w:textAlignment w:val="auto"/>
              <w:rPr>
                <w:rFonts w:hint="eastAsia"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表2-4  国内各城市采用的重现期</w:t>
            </w:r>
          </w:p>
          <w:tbl>
            <w:tblPr>
              <w:tblStyle w:val="33"/>
              <w:tblW w:w="8220"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226"/>
              <w:gridCol w:w="3277"/>
              <w:gridCol w:w="1310"/>
              <w:gridCol w:w="240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2" w:hRule="atLeast"/>
                <w:jc w:val="center"/>
              </w:trPr>
              <w:tc>
                <w:tcPr>
                  <w:tcW w:w="1226"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b/>
                      <w:bCs/>
                      <w:sz w:val="21"/>
                      <w:szCs w:val="21"/>
                      <w:highlight w:val="none"/>
                    </w:rPr>
                  </w:pPr>
                  <w:r>
                    <w:rPr>
                      <w:rFonts w:ascii="Times New Roman" w:hAnsi="Times New Roman" w:eastAsia="宋体"/>
                      <w:b/>
                      <w:bCs/>
                      <w:spacing w:val="-5"/>
                      <w:sz w:val="21"/>
                      <w:szCs w:val="21"/>
                      <w:highlight w:val="none"/>
                    </w:rPr>
                    <w:t>城市</w:t>
                  </w:r>
                </w:p>
              </w:tc>
              <w:tc>
                <w:tcPr>
                  <w:tcW w:w="327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b/>
                      <w:bCs/>
                      <w:sz w:val="21"/>
                      <w:szCs w:val="21"/>
                      <w:highlight w:val="none"/>
                    </w:rPr>
                  </w:pPr>
                  <w:r>
                    <w:rPr>
                      <w:rFonts w:ascii="Times New Roman" w:hAnsi="Times New Roman" w:eastAsia="宋体"/>
                      <w:b/>
                      <w:bCs/>
                      <w:spacing w:val="-3"/>
                      <w:sz w:val="21"/>
                      <w:szCs w:val="21"/>
                      <w:highlight w:val="none"/>
                    </w:rPr>
                    <w:t>重现期（a）</w:t>
                  </w:r>
                </w:p>
              </w:tc>
              <w:tc>
                <w:tcPr>
                  <w:tcW w:w="1310"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b/>
                      <w:bCs/>
                      <w:sz w:val="21"/>
                      <w:szCs w:val="21"/>
                      <w:highlight w:val="none"/>
                    </w:rPr>
                  </w:pPr>
                  <w:r>
                    <w:rPr>
                      <w:rFonts w:ascii="Times New Roman" w:hAnsi="Times New Roman" w:eastAsia="宋体"/>
                      <w:b/>
                      <w:bCs/>
                      <w:spacing w:val="-5"/>
                      <w:sz w:val="21"/>
                      <w:szCs w:val="21"/>
                      <w:highlight w:val="none"/>
                    </w:rPr>
                    <w:t>城市</w:t>
                  </w:r>
                </w:p>
              </w:tc>
              <w:tc>
                <w:tcPr>
                  <w:tcW w:w="240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b/>
                      <w:bCs/>
                      <w:sz w:val="21"/>
                      <w:szCs w:val="21"/>
                      <w:highlight w:val="none"/>
                    </w:rPr>
                  </w:pPr>
                  <w:r>
                    <w:rPr>
                      <w:rFonts w:ascii="Times New Roman" w:hAnsi="Times New Roman" w:eastAsia="宋体"/>
                      <w:b/>
                      <w:bCs/>
                      <w:spacing w:val="-3"/>
                      <w:sz w:val="21"/>
                      <w:szCs w:val="21"/>
                      <w:highlight w:val="none"/>
                    </w:rPr>
                    <w:t>重现期（a）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5" w:hRule="atLeast"/>
                <w:jc w:val="center"/>
              </w:trPr>
              <w:tc>
                <w:tcPr>
                  <w:tcW w:w="1226"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7"/>
                      <w:sz w:val="21"/>
                      <w:szCs w:val="21"/>
                      <w:highlight w:val="none"/>
                    </w:rPr>
                    <w:t>北京</w:t>
                  </w:r>
                </w:p>
              </w:tc>
              <w:tc>
                <w:tcPr>
                  <w:tcW w:w="327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2"/>
                      <w:sz w:val="21"/>
                      <w:szCs w:val="21"/>
                      <w:highlight w:val="none"/>
                    </w:rPr>
                    <w:t>一般地形的居住区或城市</w:t>
                  </w:r>
                  <w:r>
                    <w:rPr>
                      <w:rFonts w:ascii="Times New Roman" w:hAnsi="Times New Roman" w:eastAsia="宋体"/>
                      <w:spacing w:val="-11"/>
                      <w:sz w:val="21"/>
                      <w:szCs w:val="21"/>
                      <w:highlight w:val="none"/>
                    </w:rPr>
                    <w:t>区间道路0.33～0.5，不利</w:t>
                  </w:r>
                  <w:r>
                    <w:rPr>
                      <w:rFonts w:ascii="Times New Roman" w:hAnsi="Times New Roman" w:eastAsia="宋体"/>
                      <w:spacing w:val="2"/>
                      <w:sz w:val="21"/>
                      <w:szCs w:val="21"/>
                      <w:highlight w:val="none"/>
                    </w:rPr>
                    <w:t>地形的居住区或一般城市</w:t>
                  </w:r>
                  <w:r>
                    <w:rPr>
                      <w:rFonts w:ascii="Times New Roman" w:hAnsi="Times New Roman" w:eastAsia="宋体"/>
                      <w:spacing w:val="-2"/>
                      <w:sz w:val="21"/>
                      <w:szCs w:val="21"/>
                      <w:highlight w:val="none"/>
                    </w:rPr>
                    <w:t>道路</w:t>
                  </w:r>
                  <w:r>
                    <w:rPr>
                      <w:rFonts w:ascii="Times New Roman" w:hAnsi="Times New Roman" w:eastAsia="宋体"/>
                      <w:spacing w:val="-54"/>
                      <w:sz w:val="21"/>
                      <w:szCs w:val="21"/>
                      <w:highlight w:val="none"/>
                    </w:rPr>
                    <w:t xml:space="preserve"> </w:t>
                  </w:r>
                  <w:r>
                    <w:rPr>
                      <w:rFonts w:ascii="Times New Roman" w:hAnsi="Times New Roman" w:eastAsia="宋体"/>
                      <w:spacing w:val="-2"/>
                      <w:sz w:val="21"/>
                      <w:szCs w:val="21"/>
                      <w:highlight w:val="none"/>
                    </w:rPr>
                    <w:t>0.5～1，城市干道、</w:t>
                  </w:r>
                  <w:r>
                    <w:rPr>
                      <w:rFonts w:ascii="Times New Roman" w:hAnsi="Times New Roman" w:eastAsia="宋体"/>
                      <w:spacing w:val="-3"/>
                      <w:sz w:val="21"/>
                      <w:szCs w:val="21"/>
                      <w:highlight w:val="none"/>
                    </w:rPr>
                    <w:t>中心区1～2，立交路口</w:t>
                  </w:r>
                  <w:r>
                    <w:rPr>
                      <w:rFonts w:ascii="Times New Roman" w:hAnsi="Times New Roman" w:eastAsia="宋体"/>
                      <w:spacing w:val="-64"/>
                      <w:sz w:val="21"/>
                      <w:szCs w:val="21"/>
                      <w:highlight w:val="none"/>
                    </w:rPr>
                    <w:t xml:space="preserve"> </w:t>
                  </w:r>
                  <w:r>
                    <w:rPr>
                      <w:rFonts w:ascii="Times New Roman" w:hAnsi="Times New Roman" w:eastAsia="宋体"/>
                      <w:spacing w:val="-3"/>
                      <w:sz w:val="21"/>
                      <w:szCs w:val="21"/>
                      <w:highlight w:val="none"/>
                    </w:rPr>
                    <w:t>1~</w:t>
                  </w:r>
                  <w:r>
                    <w:rPr>
                      <w:rFonts w:ascii="Times New Roman" w:hAnsi="Times New Roman" w:eastAsia="宋体"/>
                      <w:sz w:val="21"/>
                      <w:szCs w:val="21"/>
                      <w:highlight w:val="none"/>
                    </w:rPr>
                    <w:t>3</w:t>
                  </w:r>
                </w:p>
              </w:tc>
              <w:tc>
                <w:tcPr>
                  <w:tcW w:w="1310"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6"/>
                      <w:sz w:val="21"/>
                      <w:szCs w:val="21"/>
                      <w:highlight w:val="none"/>
                    </w:rPr>
                    <w:t>上海</w:t>
                  </w:r>
                </w:p>
              </w:tc>
              <w:tc>
                <w:tcPr>
                  <w:tcW w:w="240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9"/>
                      <w:sz w:val="21"/>
                      <w:szCs w:val="21"/>
                      <w:highlight w:val="none"/>
                    </w:rPr>
                    <w:t>市区</w:t>
                  </w:r>
                  <w:r>
                    <w:rPr>
                      <w:rFonts w:ascii="Times New Roman" w:hAnsi="Times New Roman" w:eastAsia="宋体"/>
                      <w:spacing w:val="-54"/>
                      <w:sz w:val="21"/>
                      <w:szCs w:val="21"/>
                      <w:highlight w:val="none"/>
                    </w:rPr>
                    <w:t xml:space="preserve"> </w:t>
                  </w:r>
                  <w:r>
                    <w:rPr>
                      <w:rFonts w:ascii="Times New Roman" w:hAnsi="Times New Roman" w:eastAsia="宋体"/>
                      <w:spacing w:val="-9"/>
                      <w:sz w:val="21"/>
                      <w:szCs w:val="21"/>
                      <w:highlight w:val="none"/>
                    </w:rPr>
                    <w:t>0.5～1，某工</w:t>
                  </w:r>
                  <w:r>
                    <w:rPr>
                      <w:rFonts w:ascii="Times New Roman" w:hAnsi="Times New Roman" w:eastAsia="宋体"/>
                      <w:spacing w:val="-6"/>
                      <w:sz w:val="21"/>
                      <w:szCs w:val="21"/>
                      <w:highlight w:val="none"/>
                    </w:rPr>
                    <w:t>业区的生活区1，</w:t>
                  </w:r>
                  <w:r>
                    <w:rPr>
                      <w:rFonts w:ascii="Times New Roman" w:hAnsi="Times New Roman" w:eastAsia="宋体"/>
                      <w:spacing w:val="-12"/>
                      <w:sz w:val="21"/>
                      <w:szCs w:val="21"/>
                      <w:highlight w:val="none"/>
                    </w:rPr>
                    <w:t>厂区一般车间</w:t>
                  </w:r>
                  <w:r>
                    <w:rPr>
                      <w:rFonts w:ascii="Times New Roman" w:hAnsi="Times New Roman" w:eastAsia="宋体"/>
                      <w:spacing w:val="-51"/>
                      <w:sz w:val="21"/>
                      <w:szCs w:val="21"/>
                      <w:highlight w:val="none"/>
                    </w:rPr>
                    <w:t xml:space="preserve"> </w:t>
                  </w:r>
                  <w:r>
                    <w:rPr>
                      <w:rFonts w:ascii="Times New Roman" w:hAnsi="Times New Roman" w:eastAsia="宋体"/>
                      <w:spacing w:val="-12"/>
                      <w:sz w:val="21"/>
                      <w:szCs w:val="21"/>
                      <w:highlight w:val="none"/>
                    </w:rPr>
                    <w:t>2，</w:t>
                  </w:r>
                  <w:r>
                    <w:rPr>
                      <w:rFonts w:ascii="Times New Roman" w:hAnsi="Times New Roman" w:eastAsia="宋体"/>
                      <w:spacing w:val="-3"/>
                      <w:sz w:val="21"/>
                      <w:szCs w:val="21"/>
                      <w:highlight w:val="none"/>
                    </w:rPr>
                    <w:t>大型重要车间</w:t>
                  </w:r>
                  <w:r>
                    <w:rPr>
                      <w:rFonts w:ascii="Times New Roman" w:hAnsi="Times New Roman" w:eastAsia="宋体"/>
                      <w:spacing w:val="-49"/>
                      <w:sz w:val="21"/>
                      <w:szCs w:val="21"/>
                      <w:highlight w:val="none"/>
                    </w:rPr>
                    <w:t xml:space="preserve"> </w:t>
                  </w:r>
                  <w:r>
                    <w:rPr>
                      <w:rFonts w:ascii="Times New Roman" w:hAnsi="Times New Roman" w:eastAsia="宋体"/>
                      <w:spacing w:val="-3"/>
                      <w:sz w:val="21"/>
                      <w:szCs w:val="21"/>
                      <w:highlight w:val="none"/>
                    </w:rPr>
                    <w:t>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23" w:hRule="atLeast"/>
                <w:jc w:val="center"/>
              </w:trPr>
              <w:tc>
                <w:tcPr>
                  <w:tcW w:w="1226"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6"/>
                      <w:sz w:val="21"/>
                      <w:szCs w:val="21"/>
                      <w:highlight w:val="none"/>
                    </w:rPr>
                    <w:t>重庆</w:t>
                  </w:r>
                </w:p>
              </w:tc>
              <w:tc>
                <w:tcPr>
                  <w:tcW w:w="327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5"/>
                      <w:sz w:val="21"/>
                      <w:szCs w:val="21"/>
                      <w:highlight w:val="none"/>
                    </w:rPr>
                    <w:t>小面积小区1～2，大面积5～10</w:t>
                  </w:r>
                </w:p>
              </w:tc>
              <w:tc>
                <w:tcPr>
                  <w:tcW w:w="1310"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8"/>
                      <w:sz w:val="21"/>
                      <w:szCs w:val="21"/>
                      <w:highlight w:val="none"/>
                    </w:rPr>
                    <w:t>西安</w:t>
                  </w:r>
                </w:p>
              </w:tc>
              <w:tc>
                <w:tcPr>
                  <w:tcW w:w="240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11"/>
                      <w:sz w:val="21"/>
                      <w:szCs w:val="21"/>
                      <w:highlight w:val="none"/>
                    </w:rPr>
                    <w:t>1～3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74" w:hRule="atLeast"/>
                <w:jc w:val="center"/>
              </w:trPr>
              <w:tc>
                <w:tcPr>
                  <w:tcW w:w="1226"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7"/>
                      <w:sz w:val="21"/>
                      <w:szCs w:val="21"/>
                      <w:highlight w:val="none"/>
                    </w:rPr>
                    <w:t>南京</w:t>
                  </w:r>
                </w:p>
              </w:tc>
              <w:tc>
                <w:tcPr>
                  <w:tcW w:w="327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3"/>
                      <w:sz w:val="21"/>
                      <w:szCs w:val="21"/>
                      <w:highlight w:val="none"/>
                    </w:rPr>
                    <w:t>0.5～1</w:t>
                  </w:r>
                </w:p>
              </w:tc>
              <w:tc>
                <w:tcPr>
                  <w:tcW w:w="1310"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6"/>
                      <w:sz w:val="21"/>
                      <w:szCs w:val="21"/>
                      <w:highlight w:val="none"/>
                    </w:rPr>
                    <w:t>唐山</w:t>
                  </w:r>
                </w:p>
              </w:tc>
              <w:tc>
                <w:tcPr>
                  <w:tcW w:w="240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z w:val="21"/>
                      <w:szCs w:val="21"/>
                      <w:highlight w:val="none"/>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00" w:hRule="atLeast"/>
                <w:jc w:val="center"/>
              </w:trPr>
              <w:tc>
                <w:tcPr>
                  <w:tcW w:w="1226"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6"/>
                      <w:sz w:val="21"/>
                      <w:szCs w:val="21"/>
                      <w:highlight w:val="none"/>
                    </w:rPr>
                    <w:t>长沙</w:t>
                  </w:r>
                </w:p>
              </w:tc>
              <w:tc>
                <w:tcPr>
                  <w:tcW w:w="327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3"/>
                      <w:sz w:val="21"/>
                      <w:szCs w:val="21"/>
                      <w:highlight w:val="none"/>
                    </w:rPr>
                    <w:t>0.5～1</w:t>
                  </w:r>
                </w:p>
              </w:tc>
              <w:tc>
                <w:tcPr>
                  <w:tcW w:w="1310"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6"/>
                      <w:sz w:val="21"/>
                      <w:szCs w:val="21"/>
                      <w:highlight w:val="none"/>
                    </w:rPr>
                    <w:t>保定</w:t>
                  </w:r>
                </w:p>
              </w:tc>
              <w:tc>
                <w:tcPr>
                  <w:tcW w:w="240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11"/>
                      <w:sz w:val="21"/>
                      <w:szCs w:val="21"/>
                      <w:highlight w:val="none"/>
                    </w:rPr>
                    <w:t>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24" w:hRule="atLeast"/>
                <w:jc w:val="center"/>
              </w:trPr>
              <w:tc>
                <w:tcPr>
                  <w:tcW w:w="1226"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6"/>
                      <w:sz w:val="21"/>
                      <w:szCs w:val="21"/>
                      <w:highlight w:val="none"/>
                    </w:rPr>
                    <w:t>成都</w:t>
                  </w:r>
                </w:p>
              </w:tc>
              <w:tc>
                <w:tcPr>
                  <w:tcW w:w="327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z w:val="21"/>
                      <w:szCs w:val="21"/>
                      <w:highlight w:val="none"/>
                    </w:rPr>
                    <w:t>1</w:t>
                  </w:r>
                </w:p>
              </w:tc>
              <w:tc>
                <w:tcPr>
                  <w:tcW w:w="1310"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22"/>
                      <w:sz w:val="21"/>
                      <w:szCs w:val="21"/>
                      <w:highlight w:val="none"/>
                    </w:rPr>
                    <w:t>昆明</w:t>
                  </w:r>
                </w:p>
              </w:tc>
              <w:tc>
                <w:tcPr>
                  <w:tcW w:w="240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4"/>
                      <w:sz w:val="21"/>
                      <w:szCs w:val="21"/>
                      <w:highlight w:val="none"/>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138" w:hRule="atLeast"/>
                <w:jc w:val="center"/>
              </w:trPr>
              <w:tc>
                <w:tcPr>
                  <w:tcW w:w="1226"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9"/>
                      <w:sz w:val="21"/>
                      <w:szCs w:val="21"/>
                      <w:highlight w:val="none"/>
                    </w:rPr>
                    <w:t>营口</w:t>
                  </w:r>
                </w:p>
              </w:tc>
              <w:tc>
                <w:tcPr>
                  <w:tcW w:w="327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3"/>
                      <w:sz w:val="21"/>
                      <w:szCs w:val="21"/>
                      <w:highlight w:val="none"/>
                    </w:rPr>
                    <w:t>郊区</w:t>
                  </w:r>
                  <w:r>
                    <w:rPr>
                      <w:rFonts w:ascii="Times New Roman" w:hAnsi="Times New Roman" w:eastAsia="宋体"/>
                      <w:spacing w:val="-53"/>
                      <w:sz w:val="21"/>
                      <w:szCs w:val="21"/>
                      <w:highlight w:val="none"/>
                    </w:rPr>
                    <w:t xml:space="preserve"> </w:t>
                  </w:r>
                  <w:r>
                    <w:rPr>
                      <w:rFonts w:ascii="Times New Roman" w:hAnsi="Times New Roman" w:eastAsia="宋体"/>
                      <w:spacing w:val="-3"/>
                      <w:sz w:val="21"/>
                      <w:szCs w:val="21"/>
                      <w:highlight w:val="none"/>
                    </w:rPr>
                    <w:t>0.5，市区</w:t>
                  </w:r>
                  <w:r>
                    <w:rPr>
                      <w:rFonts w:ascii="Times New Roman" w:hAnsi="Times New Roman" w:eastAsia="宋体"/>
                      <w:spacing w:val="-39"/>
                      <w:sz w:val="21"/>
                      <w:szCs w:val="21"/>
                      <w:highlight w:val="none"/>
                    </w:rPr>
                    <w:t xml:space="preserve"> </w:t>
                  </w:r>
                  <w:r>
                    <w:rPr>
                      <w:rFonts w:ascii="Times New Roman" w:hAnsi="Times New Roman" w:eastAsia="宋体"/>
                      <w:spacing w:val="-3"/>
                      <w:sz w:val="21"/>
                      <w:szCs w:val="21"/>
                      <w:highlight w:val="none"/>
                    </w:rPr>
                    <w:t>1</w:t>
                  </w:r>
                </w:p>
              </w:tc>
              <w:tc>
                <w:tcPr>
                  <w:tcW w:w="1310"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4"/>
                      <w:sz w:val="21"/>
                      <w:szCs w:val="21"/>
                      <w:highlight w:val="none"/>
                    </w:rPr>
                    <w:t>鞍山</w:t>
                  </w:r>
                </w:p>
              </w:tc>
              <w:tc>
                <w:tcPr>
                  <w:tcW w:w="240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4"/>
                      <w:sz w:val="21"/>
                      <w:szCs w:val="21"/>
                      <w:highlight w:val="none"/>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110" w:hRule="atLeast"/>
                <w:jc w:val="center"/>
              </w:trPr>
              <w:tc>
                <w:tcPr>
                  <w:tcW w:w="1226"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18"/>
                      <w:sz w:val="21"/>
                      <w:szCs w:val="21"/>
                      <w:highlight w:val="none"/>
                    </w:rPr>
                    <w:t>四平</w:t>
                  </w:r>
                </w:p>
              </w:tc>
              <w:tc>
                <w:tcPr>
                  <w:tcW w:w="327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z w:val="21"/>
                      <w:szCs w:val="21"/>
                      <w:highlight w:val="none"/>
                    </w:rPr>
                    <w:t>1</w:t>
                  </w:r>
                </w:p>
              </w:tc>
              <w:tc>
                <w:tcPr>
                  <w:tcW w:w="1310"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8"/>
                      <w:sz w:val="21"/>
                      <w:szCs w:val="21"/>
                      <w:highlight w:val="none"/>
                    </w:rPr>
                    <w:t>西宁</w:t>
                  </w:r>
                </w:p>
              </w:tc>
              <w:tc>
                <w:tcPr>
                  <w:tcW w:w="240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2"/>
                      <w:sz w:val="21"/>
                      <w:szCs w:val="21"/>
                      <w:highlight w:val="none"/>
                    </w:rPr>
                    <w:t>0.33～0.5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176" w:hRule="atLeast"/>
                <w:jc w:val="center"/>
              </w:trPr>
              <w:tc>
                <w:tcPr>
                  <w:tcW w:w="1226"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5"/>
                      <w:sz w:val="21"/>
                      <w:szCs w:val="21"/>
                      <w:highlight w:val="none"/>
                    </w:rPr>
                    <w:t>兰州</w:t>
                  </w:r>
                </w:p>
              </w:tc>
              <w:tc>
                <w:tcPr>
                  <w:tcW w:w="327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3"/>
                      <w:sz w:val="21"/>
                      <w:szCs w:val="21"/>
                      <w:highlight w:val="none"/>
                    </w:rPr>
                    <w:t>0.5～1</w:t>
                  </w:r>
                </w:p>
              </w:tc>
              <w:tc>
                <w:tcPr>
                  <w:tcW w:w="1310"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6"/>
                      <w:sz w:val="21"/>
                      <w:szCs w:val="21"/>
                      <w:highlight w:val="none"/>
                    </w:rPr>
                    <w:t>保定</w:t>
                  </w:r>
                </w:p>
              </w:tc>
              <w:tc>
                <w:tcPr>
                  <w:tcW w:w="240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11"/>
                      <w:sz w:val="21"/>
                      <w:szCs w:val="21"/>
                      <w:highlight w:val="none"/>
                    </w:rPr>
                    <w:t>1～2</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针对实际情况，并结合《室外排水设计规范要求》：综合考虑，最终确定重现期（P）采用2年。重要路段、区域短期积水能引起严重后果地段雨水降雨量计算的设计重现期按3年计。</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B.设计降雨历时</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根据雨水管道的极限强度理论，设计降雨历时按设计汇流时间计算，其包括地面集水时间t1和管渠内雨水流行时间t2两部分，计算公式如下：</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t=t1+t2</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其中：t——设计降雨历时(min)；</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1200" w:firstLineChars="5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t1——地面集水时间(min)；</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1200" w:firstLineChars="5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t2——管渠内流行时间(min)；</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地面集水时间主要取决于水流距离的长短和地面坡度，t2随道管道长度和管内水流速度的不同而不同。集水时间如果定的过长，将造成上游地区的地面积水，定的过短则增加不必要的投资。</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式中地面集水时间t1取5分钟。</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C.径流系数</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径流量与雨水量的比称为径流系数。影响径流系数的因素很多，最主要的是流域的地面性质。地面的种植情况对径流有很大的影响。地面上如种有植物或覆有草皮，就能截流很多雨水。土壤的渗水能力也是影响径流系数的一个因素。</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目前在雨水管道的设计中，径流系数通常采用按地面覆盖各类确定的经验数值。</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leftChars="0" w:right="0" w:firstLine="0" w:firstLineChars="0"/>
              <w:jc w:val="center"/>
              <w:textAlignment w:val="auto"/>
              <w:rPr>
                <w:rFonts w:hint="eastAsia" w:ascii="Times New Roman" w:hAnsi="Times New Roman" w:eastAsia="宋体" w:cs="Times New Roman"/>
                <w:b/>
                <w:bCs w:val="0"/>
                <w:color w:val="auto"/>
                <w:sz w:val="24"/>
                <w:szCs w:val="24"/>
                <w:highlight w:val="none"/>
              </w:rPr>
            </w:pPr>
            <w:r>
              <w:rPr>
                <w:rFonts w:hint="eastAsia" w:ascii="Times New Roman" w:hAnsi="Times New Roman" w:eastAsia="宋体" w:cs="Times New Roman"/>
                <w:b/>
                <w:bCs w:val="0"/>
                <w:color w:val="auto"/>
                <w:sz w:val="24"/>
                <w:szCs w:val="24"/>
                <w:highlight w:val="none"/>
                <w:lang w:val="en-US" w:eastAsia="zh-CN"/>
              </w:rPr>
              <w:t>表2-5  单一覆盖径流系数</w:t>
            </w:r>
          </w:p>
          <w:tbl>
            <w:tblPr>
              <w:tblStyle w:val="33"/>
              <w:tblW w:w="8220"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504"/>
              <w:gridCol w:w="271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5504"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b/>
                      <w:bCs/>
                      <w:sz w:val="21"/>
                      <w:szCs w:val="21"/>
                      <w:highlight w:val="none"/>
                    </w:rPr>
                  </w:pPr>
                  <w:r>
                    <w:rPr>
                      <w:rFonts w:ascii="Times New Roman" w:hAnsi="Times New Roman" w:eastAsia="宋体"/>
                      <w:b/>
                      <w:bCs/>
                      <w:spacing w:val="-3"/>
                      <w:sz w:val="21"/>
                      <w:szCs w:val="21"/>
                      <w:highlight w:val="none"/>
                    </w:rPr>
                    <w:t>覆盖种类</w:t>
                  </w:r>
                </w:p>
              </w:tc>
              <w:tc>
                <w:tcPr>
                  <w:tcW w:w="2716"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b/>
                      <w:bCs/>
                      <w:sz w:val="21"/>
                      <w:szCs w:val="21"/>
                      <w:highlight w:val="none"/>
                    </w:rPr>
                  </w:pPr>
                  <w:r>
                    <w:rPr>
                      <w:rFonts w:ascii="Times New Roman" w:hAnsi="Times New Roman" w:eastAsia="宋体"/>
                      <w:b/>
                      <w:bCs/>
                      <w:spacing w:val="-2"/>
                      <w:sz w:val="21"/>
                      <w:szCs w:val="21"/>
                      <w:highlight w:val="none"/>
                    </w:rPr>
                    <w:t>径流系数ψ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5504"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1"/>
                      <w:sz w:val="21"/>
                      <w:szCs w:val="21"/>
                      <w:highlight w:val="none"/>
                    </w:rPr>
                    <w:t>各种房屋面、混凝土或沥青路面</w:t>
                  </w:r>
                </w:p>
              </w:tc>
              <w:tc>
                <w:tcPr>
                  <w:tcW w:w="2716"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2"/>
                      <w:sz w:val="21"/>
                      <w:szCs w:val="21"/>
                      <w:highlight w:val="none"/>
                    </w:rPr>
                    <w:t>0.85~0.95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5504"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1"/>
                      <w:sz w:val="21"/>
                      <w:szCs w:val="21"/>
                      <w:highlight w:val="none"/>
                    </w:rPr>
                    <w:t>大块石铺砌路面或沥青表面处理的碎石</w:t>
                  </w:r>
                  <w:r>
                    <w:rPr>
                      <w:rFonts w:ascii="Times New Roman" w:hAnsi="Times New Roman" w:eastAsia="宋体"/>
                      <w:spacing w:val="-6"/>
                      <w:sz w:val="21"/>
                      <w:szCs w:val="21"/>
                      <w:highlight w:val="none"/>
                    </w:rPr>
                    <w:t>路面</w:t>
                  </w:r>
                </w:p>
              </w:tc>
              <w:tc>
                <w:tcPr>
                  <w:tcW w:w="2716"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2"/>
                      <w:sz w:val="21"/>
                      <w:szCs w:val="21"/>
                      <w:highlight w:val="none"/>
                    </w:rPr>
                    <w:t>0.55~0.65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5504"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3"/>
                      <w:sz w:val="21"/>
                      <w:szCs w:val="21"/>
                      <w:highlight w:val="none"/>
                    </w:rPr>
                    <w:t>级配碎石路面</w:t>
                  </w:r>
                </w:p>
              </w:tc>
              <w:tc>
                <w:tcPr>
                  <w:tcW w:w="2716"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2"/>
                      <w:sz w:val="21"/>
                      <w:szCs w:val="21"/>
                      <w:highlight w:val="none"/>
                    </w:rPr>
                    <w:t>0.40~0.50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5504"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1"/>
                      <w:sz w:val="21"/>
                      <w:szCs w:val="21"/>
                      <w:highlight w:val="none"/>
                    </w:rPr>
                    <w:t>干砌砖石或碎石路面</w:t>
                  </w:r>
                </w:p>
              </w:tc>
              <w:tc>
                <w:tcPr>
                  <w:tcW w:w="2716"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2"/>
                      <w:sz w:val="21"/>
                      <w:szCs w:val="21"/>
                      <w:highlight w:val="none"/>
                    </w:rPr>
                    <w:t>0.35~0.40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5504"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3"/>
                      <w:sz w:val="21"/>
                      <w:szCs w:val="21"/>
                      <w:highlight w:val="none"/>
                    </w:rPr>
                    <w:t>非铺砌土路面</w:t>
                  </w:r>
                </w:p>
              </w:tc>
              <w:tc>
                <w:tcPr>
                  <w:tcW w:w="2716"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2"/>
                      <w:sz w:val="21"/>
                      <w:szCs w:val="21"/>
                      <w:highlight w:val="none"/>
                    </w:rPr>
                    <w:t>0.25~0.35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5504"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4"/>
                      <w:sz w:val="21"/>
                      <w:szCs w:val="21"/>
                      <w:highlight w:val="none"/>
                    </w:rPr>
                    <w:t>公园或绿地</w:t>
                  </w:r>
                </w:p>
              </w:tc>
              <w:tc>
                <w:tcPr>
                  <w:tcW w:w="2716"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2"/>
                      <w:sz w:val="21"/>
                      <w:szCs w:val="21"/>
                      <w:highlight w:val="none"/>
                    </w:rPr>
                    <w:t>0.10~0.20</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各城市应参照降雨因素、地面因素等各种具体条件，根据单一覆盖径流系数用加权平均法计算综合径流系数，也可参照下表选用。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leftChars="0" w:right="0" w:firstLine="0" w:firstLineChars="0"/>
              <w:jc w:val="center"/>
              <w:textAlignment w:val="auto"/>
              <w:rPr>
                <w:rFonts w:hint="eastAsia"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表2-6  综合径流系数</w:t>
            </w:r>
          </w:p>
          <w:tbl>
            <w:tblPr>
              <w:tblStyle w:val="33"/>
              <w:tblW w:w="8220"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75"/>
              <w:gridCol w:w="4239"/>
              <w:gridCol w:w="310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77" w:hRule="atLeast"/>
                <w:jc w:val="center"/>
              </w:trPr>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b/>
                      <w:bCs/>
                      <w:sz w:val="21"/>
                      <w:szCs w:val="21"/>
                      <w:highlight w:val="none"/>
                      <w:lang w:eastAsia="zh-CN"/>
                    </w:rPr>
                  </w:pPr>
                  <w:r>
                    <w:rPr>
                      <w:rFonts w:hint="eastAsia" w:ascii="Times New Roman" w:hAnsi="Times New Roman" w:eastAsia="宋体"/>
                      <w:b/>
                      <w:bCs/>
                      <w:sz w:val="21"/>
                      <w:szCs w:val="21"/>
                      <w:highlight w:val="none"/>
                      <w:lang w:eastAsia="zh-CN"/>
                    </w:rPr>
                    <w:t>序号</w:t>
                  </w:r>
                </w:p>
              </w:tc>
              <w:tc>
                <w:tcPr>
                  <w:tcW w:w="42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宋体"/>
                      <w:b/>
                      <w:bCs/>
                      <w:sz w:val="21"/>
                      <w:szCs w:val="21"/>
                      <w:highlight w:val="none"/>
                    </w:rPr>
                  </w:pPr>
                  <w:r>
                    <w:rPr>
                      <w:rFonts w:ascii="Times New Roman" w:hAnsi="Times New Roman" w:eastAsia="宋体"/>
                      <w:b/>
                      <w:bCs/>
                      <w:spacing w:val="-8"/>
                      <w:sz w:val="21"/>
                      <w:szCs w:val="21"/>
                      <w:highlight w:val="none"/>
                    </w:rPr>
                    <w:t>区域情况</w:t>
                  </w:r>
                </w:p>
              </w:tc>
              <w:tc>
                <w:tcPr>
                  <w:tcW w:w="3106"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宋体"/>
                      <w:b/>
                      <w:bCs/>
                      <w:sz w:val="21"/>
                      <w:szCs w:val="21"/>
                      <w:highlight w:val="none"/>
                    </w:rPr>
                  </w:pPr>
                  <w:r>
                    <w:rPr>
                      <w:rFonts w:ascii="Times New Roman" w:hAnsi="Times New Roman" w:eastAsia="宋体"/>
                      <w:b/>
                      <w:bCs/>
                      <w:spacing w:val="-2"/>
                      <w:sz w:val="21"/>
                      <w:szCs w:val="21"/>
                      <w:highlight w:val="none"/>
                    </w:rPr>
                    <w:t>综合径流系数ψ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33" w:hRule="atLeast"/>
                <w:jc w:val="center"/>
              </w:trPr>
              <w:tc>
                <w:tcPr>
                  <w:tcW w:w="87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宋体"/>
                      <w:b/>
                      <w:bCs/>
                      <w:sz w:val="21"/>
                      <w:szCs w:val="21"/>
                      <w:highlight w:val="none"/>
                    </w:rPr>
                  </w:pPr>
                  <w:r>
                    <w:rPr>
                      <w:rFonts w:ascii="Times New Roman" w:hAnsi="Times New Roman" w:eastAsia="宋体"/>
                      <w:b/>
                      <w:bCs/>
                      <w:sz w:val="21"/>
                      <w:szCs w:val="21"/>
                      <w:highlight w:val="none"/>
                    </w:rPr>
                    <w:t>1</w:t>
                  </w:r>
                </w:p>
              </w:tc>
              <w:tc>
                <w:tcPr>
                  <w:tcW w:w="42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2"/>
                      <w:sz w:val="21"/>
                      <w:szCs w:val="21"/>
                      <w:highlight w:val="none"/>
                    </w:rPr>
                    <w:t>城镇建筑密集区</w:t>
                  </w:r>
                </w:p>
              </w:tc>
              <w:tc>
                <w:tcPr>
                  <w:tcW w:w="3106"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2"/>
                      <w:sz w:val="21"/>
                      <w:szCs w:val="21"/>
                      <w:highlight w:val="none"/>
                    </w:rPr>
                    <w:t>0.60~0.70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33" w:hRule="atLeast"/>
                <w:jc w:val="center"/>
              </w:trPr>
              <w:tc>
                <w:tcPr>
                  <w:tcW w:w="87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宋体"/>
                      <w:b/>
                      <w:bCs/>
                      <w:sz w:val="21"/>
                      <w:szCs w:val="21"/>
                      <w:highlight w:val="none"/>
                    </w:rPr>
                  </w:pPr>
                  <w:r>
                    <w:rPr>
                      <w:rFonts w:ascii="Times New Roman" w:hAnsi="Times New Roman" w:eastAsia="宋体"/>
                      <w:b/>
                      <w:bCs/>
                      <w:sz w:val="21"/>
                      <w:szCs w:val="21"/>
                      <w:highlight w:val="none"/>
                    </w:rPr>
                    <w:t>2</w:t>
                  </w:r>
                </w:p>
              </w:tc>
              <w:tc>
                <w:tcPr>
                  <w:tcW w:w="42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2"/>
                      <w:sz w:val="21"/>
                      <w:szCs w:val="21"/>
                      <w:highlight w:val="none"/>
                    </w:rPr>
                    <w:t>城镇建筑较密集区</w:t>
                  </w:r>
                </w:p>
              </w:tc>
              <w:tc>
                <w:tcPr>
                  <w:tcW w:w="3106"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2"/>
                      <w:sz w:val="21"/>
                      <w:szCs w:val="21"/>
                      <w:highlight w:val="none"/>
                    </w:rPr>
                    <w:t>0.40~0.60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00" w:hRule="atLeast"/>
                <w:jc w:val="center"/>
              </w:trPr>
              <w:tc>
                <w:tcPr>
                  <w:tcW w:w="87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宋体"/>
                      <w:b/>
                      <w:bCs/>
                      <w:sz w:val="21"/>
                      <w:szCs w:val="21"/>
                      <w:highlight w:val="none"/>
                    </w:rPr>
                  </w:pPr>
                  <w:r>
                    <w:rPr>
                      <w:rFonts w:ascii="Times New Roman" w:hAnsi="Times New Roman" w:eastAsia="宋体"/>
                      <w:b/>
                      <w:bCs/>
                      <w:sz w:val="21"/>
                      <w:szCs w:val="21"/>
                      <w:highlight w:val="none"/>
                    </w:rPr>
                    <w:t>3</w:t>
                  </w:r>
                </w:p>
              </w:tc>
              <w:tc>
                <w:tcPr>
                  <w:tcW w:w="42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2"/>
                      <w:sz w:val="21"/>
                      <w:szCs w:val="21"/>
                      <w:highlight w:val="none"/>
                    </w:rPr>
                    <w:t>城镇建筑稀疏区</w:t>
                  </w:r>
                </w:p>
              </w:tc>
              <w:tc>
                <w:tcPr>
                  <w:tcW w:w="3106"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2"/>
                      <w:sz w:val="21"/>
                      <w:szCs w:val="21"/>
                      <w:highlight w:val="none"/>
                    </w:rPr>
                    <w:t>0.20~0.45</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根据隆德县实际情况及远期规划，综合径流系数取0.20~0.45。本项目计算雨水量时，道路所在位置为老城区改造区域，该片区综合径流系数取0.4。</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eastAsia" w:ascii="Times New Roman" w:hAnsi="Times New Roman" w:eastAsia="宋体" w:cs="Times New Roman"/>
                <w:color w:val="auto"/>
                <w:kern w:val="0"/>
                <w:sz w:val="24"/>
                <w:highlight w:val="none"/>
                <w:lang w:val="en-US" w:eastAsia="zh-CN"/>
              </w:rPr>
              <w:t>（2）</w:t>
            </w:r>
            <w:r>
              <w:rPr>
                <w:rFonts w:hint="default" w:ascii="Times New Roman" w:hAnsi="Times New Roman" w:eastAsia="宋体" w:cs="Times New Roman"/>
                <w:color w:val="auto"/>
                <w:kern w:val="0"/>
                <w:sz w:val="24"/>
                <w:highlight w:val="none"/>
                <w:lang w:val="en-US"/>
              </w:rPr>
              <w:t>排水管道埋深</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影响排水干管起点埋深的因素很多，街坊内支管长度及排水坡度、街坊及小区的地形地貌、现有地下管(道)沟及其它隐蔽构筑物的埋深，将是主要因素，准确的排水干管起点埋深将根据每条街道的实际情况确定。本工程中根据实际地形和道路现状，雨水管道起端覆土定为1.2m。</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（3）管道水力计算</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在管道中是依靠重力作用，从高处流向低处，按照排水设计规范规定：</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1</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排水管道在设计充满度下流速不超过5m/s。</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2</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依据排水区域的划分，计算每一管段的设计流量，由上述控制数据进行管道水力计算。</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3</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根据地形特点，在满足流速要求的情况下，可以充分利用地形对管道坡度进行调整。</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（4）雨水排向</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雨水排至清流河。</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（5）雨水口的设置</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1</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采用单箅雨水口，做法详见</w:t>
            </w:r>
            <w:r>
              <w:rPr>
                <w:rFonts w:hint="eastAsia" w:cs="Times New Roman"/>
                <w:color w:val="auto"/>
                <w:kern w:val="0"/>
                <w:sz w:val="24"/>
                <w:highlight w:val="none"/>
                <w:lang w:val="en-US" w:eastAsia="zh-CN"/>
              </w:rPr>
              <w:t>北京市市政工程设计研究院有限公司《雨水口》</w:t>
            </w:r>
            <w:r>
              <w:rPr>
                <w:rFonts w:hint="eastAsia" w:ascii="Times New Roman" w:hAnsi="Times New Roman" w:eastAsia="宋体" w:cs="Times New Roman"/>
                <w:color w:val="auto"/>
                <w:kern w:val="0"/>
                <w:sz w:val="24"/>
                <w:highlight w:val="none"/>
                <w:lang w:val="en-US" w:eastAsia="zh-CN"/>
              </w:rPr>
              <w:t>16S518-36。</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2</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道路上每隔一定距离的地方。</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3</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沿街各单位出入路口上游及人行横道线上游。</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4</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十字路口处。</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5</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雨水口间距一般为25-50m，本工程按照35m。</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6</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雨水口连接管采用d300Ⅱ级钢筋混凝土排水管。</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（6）检查井的设置</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1</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检查井的设置</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管道方向转折处</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管道坡度改变处</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管道断面(尺寸、形状、材质)、基础、接口变更处</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管道交汇处</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直线管道上每隔35～50m处，本工程按照50m布置。特种用途处(跌水、截流、溢流、连通、设闸、计量</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等</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2</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检查井井筒上部采用预制钢筋混凝土检查井井筒。</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3</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检查井井盖采用Φ800mm球墨铸铁重型检查井盖，承载能力&gt;40T，检查井盖必须有清晰且永久性的标志，标志内容由甲方与管理单位统一确定。</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二、管道基础</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本次工程管道基础作法参照04S531-1-16，基础下3：7灰土垫层厚度为300mm。</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三、检查井的设置</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检查井应采用参照图集04S531-5（图集号04S531-5/15、16、17），所有检查井井壁50cm宽范围内回填30cm高3：7灰土至道路结构层，井壁和井筒周围回填土需同时回填，回填压实度不低于95%。</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right="0"/>
              <w:textAlignment w:val="auto"/>
              <w:rPr>
                <w:rFonts w:hint="default" w:ascii="Times New Roman" w:hAnsi="Times New Roman" w:eastAsia="宋体" w:cs="Times New Roman"/>
                <w:b/>
                <w:color w:val="auto"/>
                <w:kern w:val="0"/>
                <w:sz w:val="24"/>
                <w:highlight w:val="none"/>
              </w:rPr>
            </w:pPr>
            <w:r>
              <w:rPr>
                <w:rFonts w:hint="eastAsia" w:cs="Times New Roman"/>
                <w:b/>
                <w:color w:val="auto"/>
                <w:kern w:val="0"/>
                <w:sz w:val="24"/>
                <w:szCs w:val="24"/>
                <w:lang w:val="en-US" w:eastAsia="zh-CN" w:bidi="ar-SA"/>
              </w:rPr>
              <w:t>4</w:t>
            </w:r>
            <w:r>
              <w:rPr>
                <w:rFonts w:hint="default" w:ascii="Times New Roman" w:hAnsi="Times New Roman" w:eastAsia="宋体" w:cs="Times New Roman"/>
                <w:b/>
                <w:color w:val="auto"/>
                <w:kern w:val="0"/>
                <w:sz w:val="24"/>
                <w:szCs w:val="24"/>
                <w:lang w:val="en-US" w:eastAsia="zh-CN" w:bidi="ar-SA"/>
              </w:rPr>
              <w:t>、</w:t>
            </w:r>
            <w:r>
              <w:rPr>
                <w:rFonts w:hint="default" w:ascii="Times New Roman" w:hAnsi="Times New Roman" w:eastAsia="宋体" w:cs="Times New Roman"/>
                <w:b/>
                <w:color w:val="auto"/>
                <w:kern w:val="0"/>
                <w:sz w:val="24"/>
                <w:highlight w:val="none"/>
              </w:rPr>
              <w:t>山洪沟砌护</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eastAsia" w:ascii="Times New Roman" w:hAnsi="Times New Roman" w:eastAsia="宋体" w:cs="Times New Roman"/>
                <w:color w:val="auto"/>
                <w:kern w:val="0"/>
                <w:sz w:val="24"/>
                <w:highlight w:val="none"/>
                <w:lang w:val="en-US" w:eastAsia="zh-CN"/>
              </w:rPr>
              <w:t>1.</w:t>
            </w:r>
            <w:r>
              <w:rPr>
                <w:rFonts w:hint="default" w:ascii="Times New Roman" w:hAnsi="Times New Roman" w:eastAsia="宋体" w:cs="Times New Roman"/>
                <w:color w:val="auto"/>
                <w:kern w:val="0"/>
                <w:sz w:val="24"/>
                <w:highlight w:val="none"/>
                <w:lang w:val="en-US"/>
              </w:rPr>
              <w:t>石笼护坡</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南河社区两侧建设沟道砌护单侧长度3.315km；其中：南河社区西侧建设沟道砌护单侧长度1.564km，南河社区东侧建设沟道砌护单侧长度1.081km，入河口建设沟道砌护0.49km。</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（1）护坡+基础采用格宾网垫+格宾网箱砌护，格宾网丝采用锌-5%铝-稀土合金镀层低碳钢丝。为防止洪水将坝体内壤土带出，在护坡石笼与土体之间设针刺短丝无纺土工布反滤层，土工布规格为250g/m²</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rPr>
              <w:t>断裂强力≥8.0kn/m，顶破强力≥1.2KN，撕破强力≥0.2KN，厚度≥2.1mm。</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（2）基础采用格宾网箱基础。铺设宽度参考国内同类工程及相关试验数据，基础厚度多为1.5m，基础铺设宽度一般为冲刷深度（河床至设计洪水冲刷线的深度）+0.5米，设计基础厚度取1.0m。</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格宾护坡：护坡采用格宾护垫进行砌护，格宾护垫采用网格尺寸:长×宽×高=2×1.0×0.3(m)。格宾护垫沿长度方向设一个或两个隔板，分为两个或三个独立的单元，两头为1.0m；基础为1.0×1.0(m)；格宾护垫下铺设250g/m²土工布。</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根据《宁夏水利工程格宾应用技术导则》本次护脚格宾采用II类格宾(低碳钢丝+锌-5%铝-稀土合金镀层）。网丝直径选用2.7mm，边丝直径选用3.2mm，绑扎钢丝直径选用3.2mm，绞合长度不得小于50mm，所有钢丝镀层必须大于265g/㎡，格宾网片的网目尺寸采用80×100mm，网片沿纵向的抗拉强度大于30KN/m，网片应具有无断丝、破损、锈蚀，色泽均匀，镀层、覆塑层无裂痕等良好外观。网箱长为1m，网箱的填充材料粒径应满足有90%以上的粒径不小于250mm。填充材料选用块石，最小粒径大于250m、最大粒径不得超过500mm。</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position w:val="-74"/>
                <w:highlight w:val="none"/>
              </w:rPr>
            </w:pPr>
            <w:r>
              <w:rPr>
                <w:rFonts w:hint="default"/>
                <w:position w:val="-74"/>
                <w:highlight w:val="none"/>
              </w:rPr>
              <w:drawing>
                <wp:inline distT="0" distB="0" distL="0" distR="0">
                  <wp:extent cx="5082540" cy="1805940"/>
                  <wp:effectExtent l="0" t="0" r="7620" b="7620"/>
                  <wp:docPr id="4" name="IM 142"/>
                  <wp:cNvGraphicFramePr/>
                  <a:graphic xmlns:a="http://schemas.openxmlformats.org/drawingml/2006/main">
                    <a:graphicData uri="http://schemas.openxmlformats.org/drawingml/2006/picture">
                      <pic:pic xmlns:pic="http://schemas.openxmlformats.org/drawingml/2006/picture">
                        <pic:nvPicPr>
                          <pic:cNvPr id="4" name="IM 142"/>
                          <pic:cNvPicPr/>
                        </pic:nvPicPr>
                        <pic:blipFill>
                          <a:blip r:embed="rId10"/>
                          <a:srcRect l="1791" r="3285"/>
                          <a:stretch>
                            <a:fillRect/>
                          </a:stretch>
                        </pic:blipFill>
                        <pic:spPr>
                          <a:xfrm>
                            <a:off x="0" y="0"/>
                            <a:ext cx="5082540" cy="1805940"/>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position w:val="-74"/>
                <w:highlight w:val="none"/>
                <w:lang w:val="en-US" w:eastAsia="zh-CN"/>
              </w:rPr>
            </w:pPr>
            <w:r>
              <w:rPr>
                <w:rFonts w:hint="eastAsia" w:cs="Times New Roman"/>
                <w:b/>
                <w:bCs/>
                <w:spacing w:val="-5"/>
                <w:sz w:val="24"/>
                <w:szCs w:val="24"/>
                <w:highlight w:val="none"/>
                <w:lang w:eastAsia="zh-CN"/>
              </w:rPr>
              <w:t>图</w:t>
            </w:r>
            <w:r>
              <w:rPr>
                <w:rFonts w:hint="eastAsia" w:cs="Times New Roman"/>
                <w:b/>
                <w:bCs/>
                <w:spacing w:val="-5"/>
                <w:sz w:val="24"/>
                <w:szCs w:val="24"/>
                <w:highlight w:val="none"/>
                <w:lang w:val="en-US" w:eastAsia="zh-CN"/>
              </w:rPr>
              <w:t xml:space="preserve">4  </w:t>
            </w:r>
            <w:r>
              <w:rPr>
                <w:rFonts w:hint="default" w:ascii="Times New Roman" w:hAnsi="Times New Roman" w:eastAsia="宋体" w:cs="Times New Roman"/>
                <w:b/>
                <w:bCs/>
                <w:spacing w:val="-5"/>
                <w:sz w:val="24"/>
                <w:szCs w:val="24"/>
                <w:highlight w:val="none"/>
                <w:lang w:eastAsia="zh-CN"/>
              </w:rPr>
              <w:t>石笼护岸标准横断面图</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leftChars="0" w:right="0" w:firstLine="0" w:firstLineChars="0"/>
              <w:textAlignment w:val="auto"/>
              <w:rPr>
                <w:rFonts w:hint="eastAsia" w:ascii="Times New Roman" w:hAnsi="Times New Roman" w:eastAsia="宋体" w:cs="Times New Roman"/>
                <w:b/>
                <w:color w:val="auto"/>
                <w:kern w:val="0"/>
                <w:sz w:val="24"/>
                <w:highlight w:val="none"/>
                <w:lang w:eastAsia="zh-CN"/>
              </w:rPr>
            </w:pPr>
            <w:r>
              <w:rPr>
                <w:rFonts w:hint="eastAsia" w:cs="Times New Roman"/>
                <w:b/>
                <w:color w:val="auto"/>
                <w:kern w:val="0"/>
                <w:sz w:val="24"/>
                <w:highlight w:val="none"/>
                <w:lang w:val="en-US" w:eastAsia="zh-CN"/>
              </w:rPr>
              <w:t>5</w:t>
            </w:r>
            <w:r>
              <w:rPr>
                <w:rFonts w:hint="default" w:ascii="Times New Roman" w:hAnsi="Times New Roman" w:eastAsia="宋体" w:cs="Times New Roman"/>
                <w:b/>
                <w:color w:val="auto"/>
                <w:kern w:val="0"/>
                <w:sz w:val="24"/>
                <w:highlight w:val="none"/>
              </w:rPr>
              <w:t>、洪水标准及</w:t>
            </w:r>
            <w:r>
              <w:rPr>
                <w:rFonts w:hint="eastAsia" w:cs="Times New Roman"/>
                <w:b/>
                <w:color w:val="auto"/>
                <w:kern w:val="0"/>
                <w:sz w:val="24"/>
                <w:highlight w:val="none"/>
                <w:lang w:eastAsia="zh-CN"/>
              </w:rPr>
              <w:t>设计级别</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⑴洪水标准和设计级别</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工程主要保护对象是位于象山周边的居民区及农田。依据《防洪标准》（GB50201-2014）、《城市防洪工程设计规范》（GB/T50825-2012）规定，采纳《隆德县中心城区控制性规划》防洪排涝规划，结合隆德县城社会、经济、区位条件等因素，经综合分析确定，防山洪采用二十年一遇洪水标准设防。本次隆德县县城排水防 涝设计防洪标准为20年一遇，工程等别及工程规模分为小Ⅱ型工程，主要配套建筑物级别4级，次要建筑物5级。</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⑵地震设防烈度</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根据水工建筑物工程抗震设防分类和建筑物级别确定抗震设防类别属于丁类。按《中国地震动参数区划图》（GB18306-2015），确定工程区域地震基本烈度为Ⅷ度，因此，建筑物地震设防烈度为Ⅷ度，地震动峰值加速度0.20g，特征周期为0.4s。</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⑶排洪渠流量分析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rPr>
              <w:t>本次排洪渠设计依据象山暴雨形成的洪水流量确定设计排洪渠断面尺寸，采用暴雨资料推求设计洪水。其中根据水文资料从地形图上量得各沟道计算断面以上的集水面积、概化长度，分区域确定汇流面积、计算断面的洪峰流量数值。根据汇流面域及洪峰流量计算断面位置，本次排洪渠可分为三段设计，即西侧排洪渠设计排洪流量为3.79m³/s（4#计算断面+5#计算断面）、中间段排洪渠设计排洪流量为1.60m³/s（3#计算断面）、东侧排洪渠设计排洪流量为3.28m³/s（1#计算断面+2#计算断面）。</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right="0"/>
              <w:textAlignment w:val="auto"/>
              <w:rPr>
                <w:rFonts w:hint="default" w:ascii="Times New Roman" w:hAnsi="Times New Roman" w:eastAsia="宋体" w:cs="Times New Roman"/>
                <w:b/>
                <w:color w:val="auto"/>
                <w:kern w:val="0"/>
                <w:sz w:val="24"/>
                <w:highlight w:val="none"/>
              </w:rPr>
            </w:pPr>
            <w:r>
              <w:rPr>
                <w:rFonts w:hint="eastAsia" w:cs="Times New Roman"/>
                <w:b/>
                <w:color w:val="auto"/>
                <w:kern w:val="0"/>
                <w:sz w:val="24"/>
                <w:szCs w:val="24"/>
                <w:lang w:val="en-US" w:eastAsia="zh-CN" w:bidi="ar-SA"/>
              </w:rPr>
              <w:t>6</w:t>
            </w:r>
            <w:r>
              <w:rPr>
                <w:rFonts w:hint="default" w:ascii="Times New Roman" w:hAnsi="Times New Roman" w:eastAsia="宋体" w:cs="Times New Roman"/>
                <w:b/>
                <w:color w:val="auto"/>
                <w:kern w:val="0"/>
                <w:sz w:val="24"/>
                <w:szCs w:val="24"/>
                <w:lang w:val="en-US" w:eastAsia="zh-CN" w:bidi="ar-SA"/>
              </w:rPr>
              <w:t>、</w:t>
            </w:r>
            <w:r>
              <w:rPr>
                <w:rFonts w:hint="eastAsia" w:cs="Times New Roman"/>
                <w:b/>
                <w:color w:val="auto"/>
                <w:kern w:val="0"/>
                <w:sz w:val="24"/>
                <w:highlight w:val="none"/>
                <w:lang w:eastAsia="zh-CN"/>
              </w:rPr>
              <w:t>施工便道</w:t>
            </w:r>
            <w:r>
              <w:rPr>
                <w:rFonts w:hint="default" w:ascii="Times New Roman" w:hAnsi="Times New Roman" w:eastAsia="宋体" w:cs="Times New Roman"/>
                <w:b/>
                <w:color w:val="auto"/>
                <w:kern w:val="0"/>
                <w:sz w:val="24"/>
                <w:highlight w:val="none"/>
              </w:rPr>
              <w:t>设计</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北象山中段排洪渠1、2及北象山东段排洪渠2，只考虑</w:t>
            </w:r>
            <w:r>
              <w:rPr>
                <w:rFonts w:hint="eastAsia" w:cs="Times New Roman"/>
                <w:color w:val="auto"/>
                <w:kern w:val="0"/>
                <w:sz w:val="24"/>
                <w:highlight w:val="none"/>
                <w:lang w:val="en-US" w:eastAsia="zh-CN"/>
              </w:rPr>
              <w:t>施工</w:t>
            </w:r>
            <w:r>
              <w:rPr>
                <w:rFonts w:hint="default" w:ascii="Times New Roman" w:hAnsi="Times New Roman" w:eastAsia="宋体" w:cs="Times New Roman"/>
                <w:color w:val="auto"/>
                <w:kern w:val="0"/>
                <w:sz w:val="24"/>
                <w:highlight w:val="none"/>
                <w:lang w:val="en-US"/>
              </w:rPr>
              <w:t>使用，设计步道2.5米，路面采用20cm厚碎石路面；</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rPr>
              <w:t>北象山东段排洪渠1，位于北象山公园内，设计按公园游步道恢复1.5米宽，路面采用彩色沥青步道，4cm彩色沥青混凝土面层+20cm水稳碎石+18cm级配碎石。</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eastAsia="zh-CN"/>
              </w:rPr>
              <w:t>（1）</w:t>
            </w:r>
            <w:r>
              <w:rPr>
                <w:rFonts w:hint="default" w:ascii="Times New Roman" w:hAnsi="Times New Roman" w:eastAsia="宋体" w:cs="Times New Roman"/>
                <w:color w:val="auto"/>
                <w:kern w:val="0"/>
                <w:sz w:val="24"/>
                <w:highlight w:val="none"/>
                <w:lang w:val="en-US"/>
              </w:rPr>
              <w:t>路基设计</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1.道路沿线有部分临建，施工时应将拆除后的建筑垃圾全部清除。</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2.路基边坡及防护：填方路段路堤边坡按1:1.5自然放坡，挖方路段边坡按1:1自然放坡。</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3.路基填料要求：路基填料均采用天然砂砾，为了使填料能达到规定要求、应严格控制最大粒径，槽底面以下0～80cm范围内，Dmax=10cm，80cm以下，Dmax=15cm。如遇弹簧土，根据实际情况另定加固措施。</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4.路基压实度：路基压实按《城市道路工程设计规范》相应标准进行，采用重型击实标准，压实度不低于下表数值。路基压实度按下表支路要求执行。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leftChars="0" w:right="0" w:firstLine="0" w:firstLineChars="0"/>
              <w:jc w:val="center"/>
              <w:textAlignment w:val="auto"/>
              <w:rPr>
                <w:rFonts w:hint="default" w:ascii="Times New Roman" w:hAnsi="Times New Roman" w:eastAsia="宋体" w:cs="Times New Roman"/>
                <w:b/>
                <w:bCs w:val="0"/>
                <w:color w:val="auto"/>
                <w:sz w:val="24"/>
                <w:szCs w:val="24"/>
                <w:highlight w:val="none"/>
              </w:rPr>
            </w:pPr>
            <w:r>
              <w:rPr>
                <w:rFonts w:hint="eastAsia" w:ascii="Times New Roman" w:hAnsi="Times New Roman" w:eastAsia="宋体" w:cs="Times New Roman"/>
                <w:b/>
                <w:bCs w:val="0"/>
                <w:color w:val="auto"/>
                <w:sz w:val="24"/>
                <w:szCs w:val="24"/>
                <w:highlight w:val="none"/>
                <w:lang w:val="en-US" w:eastAsia="zh-CN"/>
              </w:rPr>
              <w:t>表2-7  路基填筑材料及压实度要求</w:t>
            </w:r>
          </w:p>
          <w:tbl>
            <w:tblPr>
              <w:tblStyle w:val="33"/>
              <w:tblW w:w="8220"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80"/>
              <w:gridCol w:w="1272"/>
              <w:gridCol w:w="1076"/>
              <w:gridCol w:w="946"/>
              <w:gridCol w:w="1418"/>
              <w:gridCol w:w="898"/>
              <w:gridCol w:w="900"/>
              <w:gridCol w:w="73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539" w:hRule="atLeast"/>
                <w:jc w:val="center"/>
              </w:trPr>
              <w:tc>
                <w:tcPr>
                  <w:tcW w:w="980" w:type="dxa"/>
                  <w:vMerge w:val="restar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pacing w:val="-6"/>
                      <w:sz w:val="21"/>
                      <w:szCs w:val="21"/>
                      <w:highlight w:val="none"/>
                    </w:rPr>
                    <w:t>填挖</w:t>
                  </w:r>
                  <w:r>
                    <w:rPr>
                      <w:rFonts w:hint="default" w:ascii="Times New Roman" w:hAnsi="Times New Roman" w:eastAsia="宋体" w:cs="Times New Roman"/>
                      <w:b/>
                      <w:bCs/>
                      <w:spacing w:val="-5"/>
                      <w:sz w:val="21"/>
                      <w:szCs w:val="21"/>
                      <w:highlight w:val="none"/>
                    </w:rPr>
                    <w:t>类型</w:t>
                  </w:r>
                </w:p>
              </w:tc>
              <w:tc>
                <w:tcPr>
                  <w:tcW w:w="1272" w:type="dxa"/>
                  <w:vMerge w:val="restar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pacing w:val="-4"/>
                      <w:sz w:val="21"/>
                      <w:szCs w:val="21"/>
                      <w:highlight w:val="none"/>
                    </w:rPr>
                    <w:t>路床顶面以下</w:t>
                  </w:r>
                  <w:r>
                    <w:rPr>
                      <w:rFonts w:hint="default" w:ascii="Times New Roman" w:hAnsi="Times New Roman" w:eastAsia="宋体" w:cs="Times New Roman"/>
                      <w:b/>
                      <w:bCs/>
                      <w:spacing w:val="-5"/>
                      <w:sz w:val="21"/>
                      <w:szCs w:val="21"/>
                      <w:highlight w:val="none"/>
                    </w:rPr>
                    <w:t>深度</w:t>
                  </w:r>
                </w:p>
              </w:tc>
              <w:tc>
                <w:tcPr>
                  <w:tcW w:w="2022" w:type="dxa"/>
                  <w:gridSpan w:val="2"/>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pacing w:val="-2"/>
                      <w:sz w:val="21"/>
                      <w:szCs w:val="21"/>
                      <w:highlight w:val="none"/>
                    </w:rPr>
                    <w:t>填料最小强度CBR(%)</w:t>
                  </w:r>
                </w:p>
              </w:tc>
              <w:tc>
                <w:tcPr>
                  <w:tcW w:w="1418" w:type="dxa"/>
                  <w:vMerge w:val="restar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pacing w:val="-4"/>
                      <w:sz w:val="21"/>
                      <w:szCs w:val="21"/>
                      <w:highlight w:val="none"/>
                    </w:rPr>
                    <w:t>填料最大</w:t>
                  </w:r>
                  <w:r>
                    <w:rPr>
                      <w:rFonts w:hint="default" w:ascii="Times New Roman" w:hAnsi="Times New Roman" w:eastAsia="宋体" w:cs="Times New Roman"/>
                      <w:b/>
                      <w:bCs/>
                      <w:spacing w:val="-5"/>
                      <w:sz w:val="21"/>
                      <w:szCs w:val="21"/>
                      <w:highlight w:val="none"/>
                    </w:rPr>
                    <w:t>粒径</w:t>
                  </w:r>
                  <w:r>
                    <w:rPr>
                      <w:rFonts w:hint="default" w:ascii="Times New Roman" w:hAnsi="Times New Roman" w:eastAsia="宋体" w:cs="Times New Roman"/>
                      <w:b/>
                      <w:bCs/>
                      <w:spacing w:val="-15"/>
                      <w:sz w:val="21"/>
                      <w:szCs w:val="21"/>
                      <w:highlight w:val="none"/>
                    </w:rPr>
                    <w:t>(cm)</w:t>
                  </w:r>
                </w:p>
              </w:tc>
              <w:tc>
                <w:tcPr>
                  <w:tcW w:w="2528" w:type="dxa"/>
                  <w:gridSpan w:val="3"/>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pacing w:val="-3"/>
                      <w:sz w:val="21"/>
                      <w:szCs w:val="21"/>
                      <w:highlight w:val="none"/>
                    </w:rPr>
                    <w:t>压实度（%）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9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p>
              </w:tc>
              <w:tc>
                <w:tcPr>
                  <w:tcW w:w="12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p>
              </w:tc>
              <w:tc>
                <w:tcPr>
                  <w:tcW w:w="1076"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pacing w:val="-4"/>
                      <w:sz w:val="21"/>
                      <w:szCs w:val="21"/>
                      <w:highlight w:val="none"/>
                    </w:rPr>
                    <w:t>主干路</w:t>
                  </w:r>
                </w:p>
              </w:tc>
              <w:tc>
                <w:tcPr>
                  <w:tcW w:w="946"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pacing w:val="-9"/>
                      <w:sz w:val="21"/>
                      <w:szCs w:val="21"/>
                      <w:highlight w:val="none"/>
                    </w:rPr>
                    <w:t>次干</w:t>
                  </w:r>
                </w:p>
              </w:tc>
              <w:tc>
                <w:tcPr>
                  <w:tcW w:w="141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p>
              </w:tc>
              <w:tc>
                <w:tcPr>
                  <w:tcW w:w="898"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pacing w:val="-6"/>
                      <w:sz w:val="21"/>
                      <w:szCs w:val="21"/>
                      <w:highlight w:val="none"/>
                    </w:rPr>
                    <w:t>主干</w:t>
                  </w:r>
                </w:p>
              </w:tc>
              <w:tc>
                <w:tcPr>
                  <w:tcW w:w="900"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pacing w:val="-9"/>
                      <w:sz w:val="21"/>
                      <w:szCs w:val="21"/>
                      <w:highlight w:val="none"/>
                    </w:rPr>
                    <w:t>次干</w:t>
                  </w:r>
                </w:p>
              </w:tc>
              <w:tc>
                <w:tcPr>
                  <w:tcW w:w="730"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55" w:hRule="atLeast"/>
                <w:jc w:val="center"/>
              </w:trPr>
              <w:tc>
                <w:tcPr>
                  <w:tcW w:w="980" w:type="dxa"/>
                  <w:vMerge w:val="restar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pacing w:val="-6"/>
                      <w:sz w:val="21"/>
                      <w:szCs w:val="21"/>
                      <w:highlight w:val="none"/>
                    </w:rPr>
                    <w:t>零填</w:t>
                  </w:r>
                  <w:r>
                    <w:rPr>
                      <w:rFonts w:hint="default" w:ascii="Times New Roman" w:hAnsi="Times New Roman" w:eastAsia="宋体" w:cs="Times New Roman"/>
                      <w:b/>
                      <w:bCs/>
                      <w:spacing w:val="-5"/>
                      <w:sz w:val="21"/>
                      <w:szCs w:val="21"/>
                      <w:highlight w:val="none"/>
                    </w:rPr>
                    <w:t>及挖</w:t>
                  </w:r>
                  <w:r>
                    <w:rPr>
                      <w:rFonts w:hint="default" w:ascii="Times New Roman" w:hAnsi="Times New Roman" w:eastAsia="宋体" w:cs="Times New Roman"/>
                      <w:b/>
                      <w:bCs/>
                      <w:sz w:val="21"/>
                      <w:szCs w:val="21"/>
                      <w:highlight w:val="none"/>
                    </w:rPr>
                    <w:t>方</w:t>
                  </w:r>
                </w:p>
              </w:tc>
              <w:tc>
                <w:tcPr>
                  <w:tcW w:w="1272"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0～30</w:t>
                  </w:r>
                </w:p>
              </w:tc>
              <w:tc>
                <w:tcPr>
                  <w:tcW w:w="1076"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8.0</w:t>
                  </w:r>
                </w:p>
              </w:tc>
              <w:tc>
                <w:tcPr>
                  <w:tcW w:w="946"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6.0</w:t>
                  </w:r>
                </w:p>
              </w:tc>
              <w:tc>
                <w:tcPr>
                  <w:tcW w:w="1418"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5"/>
                      <w:sz w:val="21"/>
                      <w:szCs w:val="21"/>
                      <w:highlight w:val="none"/>
                    </w:rPr>
                    <w:t>10</w:t>
                  </w:r>
                </w:p>
              </w:tc>
              <w:tc>
                <w:tcPr>
                  <w:tcW w:w="898"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2"/>
                      <w:sz w:val="21"/>
                      <w:szCs w:val="21"/>
                      <w:highlight w:val="none"/>
                    </w:rPr>
                    <w:t>≥95</w:t>
                  </w:r>
                </w:p>
              </w:tc>
              <w:tc>
                <w:tcPr>
                  <w:tcW w:w="900"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3"/>
                      <w:sz w:val="21"/>
                      <w:szCs w:val="21"/>
                      <w:highlight w:val="none"/>
                    </w:rPr>
                    <w:t>≥94</w:t>
                  </w:r>
                </w:p>
              </w:tc>
              <w:tc>
                <w:tcPr>
                  <w:tcW w:w="730"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9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p>
              </w:tc>
              <w:tc>
                <w:tcPr>
                  <w:tcW w:w="1272"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30～80</w:t>
                  </w:r>
                </w:p>
              </w:tc>
              <w:tc>
                <w:tcPr>
                  <w:tcW w:w="1076"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5.0</w:t>
                  </w:r>
                </w:p>
              </w:tc>
              <w:tc>
                <w:tcPr>
                  <w:tcW w:w="946"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4.0</w:t>
                  </w:r>
                </w:p>
              </w:tc>
              <w:tc>
                <w:tcPr>
                  <w:tcW w:w="1418"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5"/>
                      <w:sz w:val="21"/>
                      <w:szCs w:val="21"/>
                      <w:highlight w:val="none"/>
                    </w:rPr>
                    <w:t>10</w:t>
                  </w:r>
                </w:p>
              </w:tc>
              <w:tc>
                <w:tcPr>
                  <w:tcW w:w="898"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2"/>
                      <w:sz w:val="21"/>
                      <w:szCs w:val="21"/>
                      <w:highlight w:val="none"/>
                    </w:rPr>
                    <w:t>≥93</w:t>
                  </w:r>
                </w:p>
              </w:tc>
              <w:tc>
                <w:tcPr>
                  <w:tcW w:w="900"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position w:val="-5"/>
                      <w:sz w:val="21"/>
                      <w:szCs w:val="21"/>
                      <w:highlight w:val="none"/>
                    </w:rPr>
                    <w:t>-</w:t>
                  </w:r>
                </w:p>
              </w:tc>
              <w:tc>
                <w:tcPr>
                  <w:tcW w:w="730"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position w:val="-5"/>
                      <w:sz w:val="21"/>
                      <w:szCs w:val="21"/>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55" w:hRule="atLeast"/>
                <w:jc w:val="center"/>
              </w:trPr>
              <w:tc>
                <w:tcPr>
                  <w:tcW w:w="980" w:type="dxa"/>
                  <w:vMerge w:val="restar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pacing w:val="-6"/>
                      <w:sz w:val="21"/>
                      <w:szCs w:val="21"/>
                      <w:highlight w:val="none"/>
                    </w:rPr>
                    <w:t>填方</w:t>
                  </w:r>
                </w:p>
              </w:tc>
              <w:tc>
                <w:tcPr>
                  <w:tcW w:w="1272"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0～30</w:t>
                  </w:r>
                </w:p>
              </w:tc>
              <w:tc>
                <w:tcPr>
                  <w:tcW w:w="1076"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8.0</w:t>
                  </w:r>
                </w:p>
              </w:tc>
              <w:tc>
                <w:tcPr>
                  <w:tcW w:w="946"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6.0</w:t>
                  </w:r>
                </w:p>
              </w:tc>
              <w:tc>
                <w:tcPr>
                  <w:tcW w:w="1418"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5"/>
                      <w:sz w:val="21"/>
                      <w:szCs w:val="21"/>
                      <w:highlight w:val="none"/>
                    </w:rPr>
                    <w:t>10</w:t>
                  </w:r>
                </w:p>
              </w:tc>
              <w:tc>
                <w:tcPr>
                  <w:tcW w:w="898"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2"/>
                      <w:sz w:val="21"/>
                      <w:szCs w:val="21"/>
                      <w:highlight w:val="none"/>
                    </w:rPr>
                    <w:t>≥95</w:t>
                  </w:r>
                </w:p>
              </w:tc>
              <w:tc>
                <w:tcPr>
                  <w:tcW w:w="900"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3"/>
                      <w:sz w:val="21"/>
                      <w:szCs w:val="21"/>
                      <w:highlight w:val="none"/>
                    </w:rPr>
                    <w:t>≥94</w:t>
                  </w:r>
                </w:p>
              </w:tc>
              <w:tc>
                <w:tcPr>
                  <w:tcW w:w="730"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55" w:hRule="atLeast"/>
                <w:jc w:val="center"/>
              </w:trPr>
              <w:tc>
                <w:tcPr>
                  <w:tcW w:w="9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1272"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30～80</w:t>
                  </w:r>
                </w:p>
              </w:tc>
              <w:tc>
                <w:tcPr>
                  <w:tcW w:w="1076"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5.0</w:t>
                  </w:r>
                </w:p>
              </w:tc>
              <w:tc>
                <w:tcPr>
                  <w:tcW w:w="946"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4.0</w:t>
                  </w:r>
                </w:p>
              </w:tc>
              <w:tc>
                <w:tcPr>
                  <w:tcW w:w="1418"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5"/>
                      <w:sz w:val="21"/>
                      <w:szCs w:val="21"/>
                      <w:highlight w:val="none"/>
                    </w:rPr>
                    <w:t>10</w:t>
                  </w:r>
                </w:p>
              </w:tc>
              <w:tc>
                <w:tcPr>
                  <w:tcW w:w="898"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2"/>
                      <w:sz w:val="21"/>
                      <w:szCs w:val="21"/>
                      <w:highlight w:val="none"/>
                    </w:rPr>
                    <w:t>≥95</w:t>
                  </w:r>
                </w:p>
              </w:tc>
              <w:tc>
                <w:tcPr>
                  <w:tcW w:w="900"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3"/>
                      <w:sz w:val="21"/>
                      <w:szCs w:val="21"/>
                      <w:highlight w:val="none"/>
                    </w:rPr>
                    <w:t>≥94</w:t>
                  </w:r>
                </w:p>
              </w:tc>
              <w:tc>
                <w:tcPr>
                  <w:tcW w:w="730"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512" w:hRule="atLeast"/>
                <w:jc w:val="center"/>
              </w:trPr>
              <w:tc>
                <w:tcPr>
                  <w:tcW w:w="9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1272"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80～150</w:t>
                  </w:r>
                </w:p>
              </w:tc>
              <w:tc>
                <w:tcPr>
                  <w:tcW w:w="1076"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4.0</w:t>
                  </w:r>
                </w:p>
              </w:tc>
              <w:tc>
                <w:tcPr>
                  <w:tcW w:w="946"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3.0</w:t>
                  </w:r>
                </w:p>
              </w:tc>
              <w:tc>
                <w:tcPr>
                  <w:tcW w:w="1418"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5"/>
                      <w:sz w:val="21"/>
                      <w:szCs w:val="21"/>
                      <w:highlight w:val="none"/>
                    </w:rPr>
                    <w:t>15</w:t>
                  </w:r>
                </w:p>
              </w:tc>
              <w:tc>
                <w:tcPr>
                  <w:tcW w:w="898"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2"/>
                      <w:sz w:val="21"/>
                      <w:szCs w:val="21"/>
                      <w:highlight w:val="none"/>
                    </w:rPr>
                    <w:t>≥93</w:t>
                  </w:r>
                </w:p>
              </w:tc>
              <w:tc>
                <w:tcPr>
                  <w:tcW w:w="900"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3"/>
                      <w:sz w:val="21"/>
                      <w:szCs w:val="21"/>
                      <w:highlight w:val="none"/>
                    </w:rPr>
                    <w:t>≥92</w:t>
                  </w:r>
                </w:p>
              </w:tc>
              <w:tc>
                <w:tcPr>
                  <w:tcW w:w="730"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jc w:val="center"/>
              </w:trPr>
              <w:tc>
                <w:tcPr>
                  <w:tcW w:w="9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1272"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&gt;150</w:t>
                  </w:r>
                </w:p>
              </w:tc>
              <w:tc>
                <w:tcPr>
                  <w:tcW w:w="1076"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3.0</w:t>
                  </w:r>
                </w:p>
              </w:tc>
              <w:tc>
                <w:tcPr>
                  <w:tcW w:w="946"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2.0</w:t>
                  </w:r>
                </w:p>
              </w:tc>
              <w:tc>
                <w:tcPr>
                  <w:tcW w:w="1418"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5"/>
                      <w:sz w:val="21"/>
                      <w:szCs w:val="21"/>
                      <w:highlight w:val="none"/>
                    </w:rPr>
                    <w:t>15</w:t>
                  </w:r>
                </w:p>
              </w:tc>
              <w:tc>
                <w:tcPr>
                  <w:tcW w:w="898"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2"/>
                      <w:sz w:val="21"/>
                      <w:szCs w:val="21"/>
                      <w:highlight w:val="none"/>
                    </w:rPr>
                    <w:t>≥92</w:t>
                  </w:r>
                </w:p>
              </w:tc>
              <w:tc>
                <w:tcPr>
                  <w:tcW w:w="900"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3"/>
                      <w:sz w:val="21"/>
                      <w:szCs w:val="21"/>
                      <w:highlight w:val="none"/>
                    </w:rPr>
                    <w:t>≥91</w:t>
                  </w:r>
                </w:p>
              </w:tc>
              <w:tc>
                <w:tcPr>
                  <w:tcW w:w="730"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664" w:hRule="atLeast"/>
                <w:jc w:val="center"/>
              </w:trPr>
              <w:tc>
                <w:tcPr>
                  <w:tcW w:w="8220" w:type="dxa"/>
                  <w:gridSpan w:val="8"/>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424" w:firstLineChars="200"/>
                    <w:jc w:val="left"/>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注：填方高度小于</w:t>
                  </w:r>
                  <w:r>
                    <w:rPr>
                      <w:rFonts w:hint="default" w:ascii="Times New Roman" w:hAnsi="Times New Roman" w:eastAsia="宋体" w:cs="Times New Roman"/>
                      <w:spacing w:val="-58"/>
                      <w:sz w:val="21"/>
                      <w:szCs w:val="21"/>
                      <w:highlight w:val="none"/>
                    </w:rPr>
                    <w:t xml:space="preserve"> </w:t>
                  </w:r>
                  <w:r>
                    <w:rPr>
                      <w:rFonts w:hint="default" w:ascii="Times New Roman" w:hAnsi="Times New Roman" w:eastAsia="宋体" w:cs="Times New Roman"/>
                      <w:spacing w:val="1"/>
                      <w:sz w:val="21"/>
                      <w:szCs w:val="21"/>
                      <w:highlight w:val="none"/>
                    </w:rPr>
                    <w:t>80</w:t>
                  </w:r>
                  <w:r>
                    <w:rPr>
                      <w:rFonts w:hint="default" w:ascii="Times New Roman" w:hAnsi="Times New Roman" w:eastAsia="宋体" w:cs="Times New Roman"/>
                      <w:sz w:val="21"/>
                      <w:szCs w:val="21"/>
                      <w:highlight w:val="none"/>
                    </w:rPr>
                    <w:t>cm</w:t>
                  </w:r>
                  <w:r>
                    <w:rPr>
                      <w:rFonts w:hint="default" w:ascii="Times New Roman" w:hAnsi="Times New Roman" w:eastAsia="宋体" w:cs="Times New Roman"/>
                      <w:spacing w:val="-62"/>
                      <w:sz w:val="21"/>
                      <w:szCs w:val="21"/>
                      <w:highlight w:val="none"/>
                    </w:rPr>
                    <w:t xml:space="preserve"> </w:t>
                  </w:r>
                  <w:r>
                    <w:rPr>
                      <w:rFonts w:hint="default" w:ascii="Times New Roman" w:hAnsi="Times New Roman" w:eastAsia="宋体" w:cs="Times New Roman"/>
                      <w:spacing w:val="1"/>
                      <w:sz w:val="21"/>
                      <w:szCs w:val="21"/>
                      <w:highlight w:val="none"/>
                    </w:rPr>
                    <w:t>及不填不挖地段，原地面以</w:t>
                  </w:r>
                  <w:r>
                    <w:rPr>
                      <w:rFonts w:hint="default" w:ascii="Times New Roman" w:hAnsi="Times New Roman" w:eastAsia="宋体" w:cs="Times New Roman"/>
                      <w:sz w:val="21"/>
                      <w:szCs w:val="21"/>
                      <w:highlight w:val="none"/>
                    </w:rPr>
                    <w:t>下0～30cm</w:t>
                  </w:r>
                  <w:r>
                    <w:rPr>
                      <w:rFonts w:hint="default" w:ascii="Times New Roman" w:hAnsi="Times New Roman" w:eastAsia="宋体" w:cs="Times New Roman"/>
                      <w:spacing w:val="-52"/>
                      <w:sz w:val="21"/>
                      <w:szCs w:val="21"/>
                      <w:highlight w:val="none"/>
                    </w:rPr>
                    <w:t xml:space="preserve"> </w:t>
                  </w:r>
                  <w:r>
                    <w:rPr>
                      <w:rFonts w:hint="default" w:ascii="Times New Roman" w:hAnsi="Times New Roman" w:eastAsia="宋体" w:cs="Times New Roman"/>
                      <w:sz w:val="21"/>
                      <w:szCs w:val="21"/>
                      <w:highlight w:val="none"/>
                    </w:rPr>
                    <w:t>范</w:t>
                  </w:r>
                  <w:r>
                    <w:rPr>
                      <w:rFonts w:hint="default" w:ascii="Times New Roman" w:hAnsi="Times New Roman" w:eastAsia="宋体" w:cs="Times New Roman"/>
                      <w:spacing w:val="-2"/>
                      <w:sz w:val="21"/>
                      <w:szCs w:val="21"/>
                      <w:highlight w:val="none"/>
                    </w:rPr>
                    <w:t>围内土的压实度不应低于表列挖方要求。</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eastAsia" w:ascii="Times New Roman" w:hAnsi="Times New Roman" w:eastAsia="宋体" w:cs="Times New Roman"/>
                <w:color w:val="auto"/>
                <w:kern w:val="0"/>
                <w:sz w:val="24"/>
                <w:highlight w:val="none"/>
                <w:lang w:val="en-US" w:eastAsia="zh-CN"/>
              </w:rPr>
              <w:t>（2）</w:t>
            </w:r>
            <w:r>
              <w:rPr>
                <w:rFonts w:hint="default" w:ascii="Times New Roman" w:hAnsi="Times New Roman" w:eastAsia="宋体" w:cs="Times New Roman"/>
                <w:color w:val="auto"/>
                <w:kern w:val="0"/>
                <w:sz w:val="24"/>
                <w:highlight w:val="none"/>
                <w:lang w:val="en-US"/>
              </w:rPr>
              <w:t>路面设计</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本项目道路路面结构根据现状道路路面结构确定，路面面层采用4cm细粒式彩色沥青混凝土，级配类型采用细型密级配（CAC-10）。为保证沥青路面质量，设计要求面层用沥青采用90号A级沥青，要求沥青面层混合料压实度不小于95%。设计要求基层混合料集中厂拌，稳定土摊铺机摊铺施工。水泥稳定碎石基层设计配合比为水泥：碎石=5:100（重量比），施工时按规范要求增加0.5%的水泥剂量；工地实际采用的水泥剂量应比室内试验确定的剂量多0.5%-1.0%，施工时按规划要求增加0.5%的水泥剂量。考虑到本段交通量和当地的实际情况，基层7d无侧限抗压强度介于2.5-3.0MPa，压实度≥97%。</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leftChars="0" w:right="0" w:firstLine="0" w:firstLineChars="0"/>
              <w:jc w:val="center"/>
              <w:textAlignment w:val="auto"/>
              <w:rPr>
                <w:rFonts w:hint="eastAsia"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表2-8  道路结构层组合表  单位：厘米</w:t>
            </w:r>
          </w:p>
          <w:tbl>
            <w:tblPr>
              <w:tblStyle w:val="33"/>
              <w:tblW w:w="8220"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311"/>
              <w:gridCol w:w="490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3311"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b/>
                      <w:bCs/>
                      <w:sz w:val="21"/>
                      <w:szCs w:val="21"/>
                      <w:highlight w:val="none"/>
                    </w:rPr>
                  </w:pPr>
                  <w:r>
                    <w:rPr>
                      <w:rFonts w:ascii="Times New Roman" w:hAnsi="Times New Roman" w:eastAsia="宋体"/>
                      <w:b/>
                      <w:bCs/>
                      <w:spacing w:val="-6"/>
                      <w:sz w:val="21"/>
                      <w:szCs w:val="21"/>
                      <w:highlight w:val="none"/>
                    </w:rPr>
                    <w:t>等级</w:t>
                  </w:r>
                  <w:r>
                    <w:rPr>
                      <w:rFonts w:ascii="Times New Roman" w:hAnsi="Times New Roman" w:eastAsia="宋体"/>
                      <w:b/>
                      <w:bCs/>
                      <w:sz w:val="21"/>
                      <w:szCs w:val="21"/>
                      <w:highlight w:val="none"/>
                    </w:rPr>
                    <w:t xml:space="preserve"> </w:t>
                  </w:r>
                  <w:r>
                    <w:rPr>
                      <w:rFonts w:ascii="Times New Roman" w:hAnsi="Times New Roman" w:eastAsia="宋体"/>
                      <w:b/>
                      <w:bCs/>
                      <w:spacing w:val="-5"/>
                      <w:sz w:val="21"/>
                      <w:szCs w:val="21"/>
                      <w:highlight w:val="none"/>
                    </w:rPr>
                    <w:t>序号</w:t>
                  </w:r>
                </w:p>
              </w:tc>
              <w:tc>
                <w:tcPr>
                  <w:tcW w:w="490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b/>
                      <w:bCs/>
                      <w:sz w:val="21"/>
                      <w:szCs w:val="21"/>
                      <w:highlight w:val="none"/>
                    </w:rPr>
                  </w:pPr>
                  <w:r>
                    <w:rPr>
                      <w:rFonts w:ascii="Times New Roman" w:hAnsi="Times New Roman" w:eastAsia="宋体"/>
                      <w:b/>
                      <w:bCs/>
                      <w:spacing w:val="-7"/>
                      <w:sz w:val="21"/>
                      <w:szCs w:val="21"/>
                      <w:highlight w:val="none"/>
                    </w:rPr>
                    <w:t>步道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3311"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b/>
                      <w:bCs/>
                      <w:sz w:val="21"/>
                      <w:szCs w:val="21"/>
                      <w:highlight w:val="none"/>
                    </w:rPr>
                  </w:pPr>
                  <w:r>
                    <w:rPr>
                      <w:rFonts w:ascii="Times New Roman" w:hAnsi="Times New Roman" w:eastAsia="宋体"/>
                      <w:b/>
                      <w:bCs/>
                      <w:spacing w:val="-6"/>
                      <w:sz w:val="21"/>
                      <w:szCs w:val="21"/>
                      <w:highlight w:val="none"/>
                    </w:rPr>
                    <w:t>面层</w:t>
                  </w:r>
                </w:p>
              </w:tc>
              <w:tc>
                <w:tcPr>
                  <w:tcW w:w="490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3"/>
                      <w:sz w:val="21"/>
                      <w:szCs w:val="21"/>
                      <w:highlight w:val="none"/>
                    </w:rPr>
                    <w:t>（细）沥青砼</w:t>
                  </w:r>
                  <w:r>
                    <w:rPr>
                      <w:rFonts w:hint="eastAsia" w:ascii="Times New Roman" w:hAnsi="Times New Roman" w:eastAsia="宋体"/>
                      <w:spacing w:val="-3"/>
                      <w:sz w:val="21"/>
                      <w:szCs w:val="21"/>
                      <w:highlight w:val="none"/>
                      <w:lang w:val="en-US" w:eastAsia="zh-CN"/>
                    </w:rPr>
                    <w:t>4</w:t>
                  </w:r>
                  <w:r>
                    <w:rPr>
                      <w:rFonts w:ascii="Times New Roman" w:hAnsi="Times New Roman" w:eastAsia="宋体"/>
                      <w:spacing w:val="-3"/>
                      <w:sz w:val="21"/>
                      <w:szCs w:val="21"/>
                      <w:highlight w:val="none"/>
                    </w:rPr>
                    <w:t>.0沥青改色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3311"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b/>
                      <w:bCs/>
                      <w:sz w:val="21"/>
                      <w:szCs w:val="21"/>
                      <w:highlight w:val="none"/>
                    </w:rPr>
                  </w:pPr>
                  <w:r>
                    <w:rPr>
                      <w:rFonts w:ascii="Times New Roman" w:hAnsi="Times New Roman" w:eastAsia="宋体"/>
                      <w:b/>
                      <w:bCs/>
                      <w:spacing w:val="-5"/>
                      <w:sz w:val="21"/>
                      <w:szCs w:val="21"/>
                      <w:highlight w:val="none"/>
                    </w:rPr>
                    <w:t>基层</w:t>
                  </w:r>
                </w:p>
              </w:tc>
              <w:tc>
                <w:tcPr>
                  <w:tcW w:w="490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3"/>
                      <w:sz w:val="21"/>
                      <w:szCs w:val="21"/>
                      <w:highlight w:val="none"/>
                    </w:rPr>
                    <w:t>水泥稳定碎石</w:t>
                  </w:r>
                  <w:r>
                    <w:rPr>
                      <w:rFonts w:hint="eastAsia" w:ascii="Times New Roman" w:hAnsi="Times New Roman" w:eastAsia="宋体"/>
                      <w:spacing w:val="-3"/>
                      <w:sz w:val="21"/>
                      <w:szCs w:val="21"/>
                      <w:highlight w:val="none"/>
                      <w:lang w:val="en-US" w:eastAsia="zh-CN"/>
                    </w:rPr>
                    <w:t>2</w:t>
                  </w:r>
                  <w:r>
                    <w:rPr>
                      <w:rFonts w:ascii="Times New Roman" w:hAnsi="Times New Roman" w:eastAsia="宋体"/>
                      <w:spacing w:val="-3"/>
                      <w:sz w:val="21"/>
                      <w:szCs w:val="21"/>
                      <w:highlight w:val="none"/>
                    </w:rPr>
                    <w:t>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3311"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b/>
                      <w:bCs/>
                      <w:sz w:val="21"/>
                      <w:szCs w:val="21"/>
                      <w:highlight w:val="none"/>
                    </w:rPr>
                  </w:pPr>
                  <w:r>
                    <w:rPr>
                      <w:rFonts w:ascii="Times New Roman" w:hAnsi="Times New Roman" w:eastAsia="宋体"/>
                      <w:b/>
                      <w:bCs/>
                      <w:spacing w:val="-3"/>
                      <w:sz w:val="21"/>
                      <w:szCs w:val="21"/>
                      <w:highlight w:val="none"/>
                    </w:rPr>
                    <w:t>底基层</w:t>
                  </w:r>
                </w:p>
              </w:tc>
              <w:tc>
                <w:tcPr>
                  <w:tcW w:w="490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6"/>
                      <w:sz w:val="21"/>
                      <w:szCs w:val="21"/>
                      <w:highlight w:val="none"/>
                    </w:rPr>
                    <w:t>级配碎石</w:t>
                  </w:r>
                  <w:r>
                    <w:rPr>
                      <w:rFonts w:hint="eastAsia" w:ascii="Times New Roman" w:hAnsi="Times New Roman" w:eastAsia="宋体"/>
                      <w:spacing w:val="-6"/>
                      <w:sz w:val="21"/>
                      <w:szCs w:val="21"/>
                      <w:highlight w:val="none"/>
                      <w:lang w:val="en-US" w:eastAsia="zh-CN"/>
                    </w:rPr>
                    <w:t>1</w:t>
                  </w:r>
                  <w:r>
                    <w:rPr>
                      <w:rFonts w:ascii="Times New Roman" w:hAnsi="Times New Roman" w:eastAsia="宋体"/>
                      <w:spacing w:val="-6"/>
                      <w:sz w:val="21"/>
                      <w:szCs w:val="21"/>
                      <w:highlight w:val="none"/>
                    </w:rPr>
                    <w:t>8.0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3311"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b/>
                      <w:bCs/>
                      <w:sz w:val="21"/>
                      <w:szCs w:val="21"/>
                      <w:highlight w:val="none"/>
                    </w:rPr>
                  </w:pPr>
                  <w:r>
                    <w:rPr>
                      <w:rFonts w:ascii="Times New Roman" w:hAnsi="Times New Roman" w:eastAsia="宋体"/>
                      <w:b/>
                      <w:bCs/>
                      <w:spacing w:val="-6"/>
                      <w:sz w:val="21"/>
                      <w:szCs w:val="21"/>
                      <w:highlight w:val="none"/>
                    </w:rPr>
                    <w:t>总厚度</w:t>
                  </w:r>
                </w:p>
              </w:tc>
              <w:tc>
                <w:tcPr>
                  <w:tcW w:w="490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3"/>
                      <w:sz w:val="21"/>
                      <w:szCs w:val="21"/>
                      <w:highlight w:val="none"/>
                    </w:rPr>
                    <w:t>42.0</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rPr>
              <w:t>道牙、树框等附属物混凝土梯形路缘石，50x46x20cm（长x宽x高）；花岗岩平道牙，50x10x20cm（长x宽x高）</w:t>
            </w:r>
            <w:r>
              <w:rPr>
                <w:rFonts w:hint="eastAsia" w:cs="Times New Roman"/>
                <w:color w:val="auto"/>
                <w:kern w:val="0"/>
                <w:sz w:val="24"/>
                <w:highlight w:val="none"/>
                <w:lang w:val="en-US"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leftChars="0" w:right="0" w:firstLine="0" w:firstLineChars="0"/>
              <w:textAlignment w:val="auto"/>
              <w:rPr>
                <w:rFonts w:hint="default" w:cs="Times New Roman"/>
                <w:b/>
                <w:color w:val="auto"/>
                <w:kern w:val="0"/>
                <w:sz w:val="24"/>
                <w:highlight w:val="none"/>
                <w:lang w:val="en-US" w:eastAsia="zh-CN"/>
              </w:rPr>
            </w:pPr>
            <w:r>
              <w:rPr>
                <w:rFonts w:hint="eastAsia" w:cs="Times New Roman"/>
                <w:b/>
                <w:color w:val="auto"/>
                <w:kern w:val="0"/>
                <w:sz w:val="24"/>
                <w:highlight w:val="none"/>
                <w:lang w:val="en-US" w:eastAsia="zh-CN"/>
              </w:rPr>
              <w:t>7</w:t>
            </w:r>
            <w:r>
              <w:rPr>
                <w:rFonts w:hint="default" w:cs="Times New Roman"/>
                <w:b/>
                <w:color w:val="auto"/>
                <w:kern w:val="0"/>
                <w:sz w:val="24"/>
                <w:highlight w:val="none"/>
                <w:lang w:val="en-US" w:eastAsia="zh-CN"/>
              </w:rPr>
              <w:t>、主要原辅材料来源</w:t>
            </w:r>
          </w:p>
          <w:p>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szCs w:val="24"/>
                <w:lang w:val="en-US" w:eastAsia="zh-CN" w:bidi="ar"/>
              </w:rPr>
            </w:pPr>
            <w:r>
              <w:rPr>
                <w:rFonts w:hint="default" w:ascii="Times New Roman" w:hAnsi="Times New Roman" w:eastAsia="宋体" w:cs="Times New Roman"/>
                <w:color w:val="auto"/>
                <w:kern w:val="0"/>
                <w:sz w:val="24"/>
                <w:highlight w:val="none"/>
                <w:lang w:val="en-US"/>
              </w:rPr>
              <w:t>项目使用块石料、细石料均</w:t>
            </w:r>
            <w:r>
              <w:rPr>
                <w:rFonts w:hint="eastAsia" w:cs="Times New Roman"/>
                <w:color w:val="auto"/>
                <w:kern w:val="0"/>
                <w:sz w:val="24"/>
                <w:highlight w:val="none"/>
                <w:lang w:val="en-US" w:eastAsia="zh-CN"/>
              </w:rPr>
              <w:t>从</w:t>
            </w:r>
            <w:r>
              <w:rPr>
                <w:rFonts w:hint="eastAsia" w:ascii="Times New Roman" w:hAnsi="Times New Roman" w:eastAsia="宋体" w:cs="Times New Roman"/>
                <w:color w:val="auto"/>
                <w:kern w:val="0"/>
                <w:sz w:val="24"/>
                <w:highlight w:val="none"/>
                <w:lang w:val="en-US" w:eastAsia="zh-CN"/>
              </w:rPr>
              <w:t>隆德县</w:t>
            </w:r>
            <w:r>
              <w:rPr>
                <w:rFonts w:hint="eastAsia" w:cs="Times New Roman"/>
                <w:color w:val="auto"/>
                <w:kern w:val="0"/>
                <w:sz w:val="24"/>
                <w:highlight w:val="none"/>
                <w:lang w:val="en-US" w:eastAsia="zh-CN"/>
              </w:rPr>
              <w:t>合法料场采购</w:t>
            </w:r>
            <w:r>
              <w:rPr>
                <w:rFonts w:hint="default" w:ascii="Times New Roman" w:hAnsi="Times New Roman" w:eastAsia="宋体" w:cs="Times New Roman"/>
                <w:color w:val="auto"/>
                <w:kern w:val="0"/>
                <w:sz w:val="24"/>
                <w:highlight w:val="none"/>
                <w:lang w:val="en-US"/>
              </w:rPr>
              <w:t>，交通方便，来源可靠。</w:t>
            </w:r>
            <w:r>
              <w:rPr>
                <w:rFonts w:hint="eastAsia" w:cs="Times New Roman"/>
                <w:color w:val="auto"/>
                <w:kern w:val="0"/>
                <w:sz w:val="24"/>
                <w:highlight w:val="none"/>
                <w:lang w:val="en-US" w:eastAsia="zh-CN"/>
              </w:rPr>
              <w:t>项目其他施工材料以及</w:t>
            </w:r>
            <w:r>
              <w:rPr>
                <w:rFonts w:hint="eastAsia" w:ascii="宋体" w:hAnsi="宋体" w:eastAsia="宋体" w:cs="宋体"/>
                <w:color w:val="000000"/>
                <w:kern w:val="0"/>
                <w:sz w:val="24"/>
                <w:szCs w:val="24"/>
                <w:lang w:val="en-US" w:eastAsia="zh-CN" w:bidi="ar"/>
              </w:rPr>
              <w:t>砼制品全部在隆德县本地采购，施工期主要材料消耗如下表。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leftChars="0" w:right="0" w:firstLine="0" w:firstLineChars="0"/>
              <w:jc w:val="center"/>
              <w:textAlignment w:val="auto"/>
              <w:rPr>
                <w:rFonts w:hint="eastAsia"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表2-9  项目施工期主要材料消耗表</w:t>
            </w:r>
          </w:p>
          <w:tbl>
            <w:tblPr>
              <w:tblStyle w:val="22"/>
              <w:tblW w:w="8220" w:type="dxa"/>
              <w:tblInd w:w="0" w:type="dxa"/>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24"/>
              <w:gridCol w:w="2970"/>
              <w:gridCol w:w="1485"/>
              <w:gridCol w:w="1500"/>
              <w:gridCol w:w="1141"/>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12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序号</w:t>
                  </w:r>
                </w:p>
              </w:tc>
              <w:tc>
                <w:tcPr>
                  <w:tcW w:w="297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工程名称</w:t>
                  </w:r>
                </w:p>
              </w:tc>
              <w:tc>
                <w:tcPr>
                  <w:tcW w:w="148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单位</w:t>
                  </w:r>
                </w:p>
              </w:tc>
              <w:tc>
                <w:tcPr>
                  <w:tcW w:w="150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数量</w:t>
                  </w:r>
                </w:p>
              </w:tc>
              <w:tc>
                <w:tcPr>
                  <w:tcW w:w="11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备注</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12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1</w:t>
                  </w:r>
                </w:p>
              </w:tc>
              <w:tc>
                <w:tcPr>
                  <w:tcW w:w="29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color w:val="000000"/>
                      <w:kern w:val="0"/>
                      <w:sz w:val="21"/>
                      <w:szCs w:val="21"/>
                      <w:lang w:val="en-US" w:eastAsia="zh-CN" w:bidi="ar"/>
                    </w:rPr>
                    <w:t>商品混凝土</w:t>
                  </w:r>
                </w:p>
              </w:tc>
              <w:tc>
                <w:tcPr>
                  <w:tcW w:w="14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m³</w:t>
                  </w:r>
                </w:p>
              </w:tc>
              <w:tc>
                <w:tcPr>
                  <w:tcW w:w="150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950</w:t>
                  </w:r>
                </w:p>
              </w:tc>
              <w:tc>
                <w:tcPr>
                  <w:tcW w:w="11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12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2</w:t>
                  </w:r>
                </w:p>
              </w:tc>
              <w:tc>
                <w:tcPr>
                  <w:tcW w:w="29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color w:val="000000"/>
                      <w:kern w:val="0"/>
                      <w:sz w:val="21"/>
                      <w:szCs w:val="21"/>
                      <w:lang w:val="en-US" w:eastAsia="zh-CN" w:bidi="ar"/>
                    </w:rPr>
                    <w:t>沥青混凝土</w:t>
                  </w:r>
                </w:p>
              </w:tc>
              <w:tc>
                <w:tcPr>
                  <w:tcW w:w="14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m³</w:t>
                  </w:r>
                </w:p>
              </w:tc>
              <w:tc>
                <w:tcPr>
                  <w:tcW w:w="150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56.1</w:t>
                  </w:r>
                </w:p>
              </w:tc>
              <w:tc>
                <w:tcPr>
                  <w:tcW w:w="11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12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3</w:t>
                  </w:r>
                </w:p>
              </w:tc>
              <w:tc>
                <w:tcPr>
                  <w:tcW w:w="29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color w:val="000000"/>
                      <w:kern w:val="0"/>
                      <w:sz w:val="21"/>
                      <w:szCs w:val="21"/>
                      <w:lang w:val="en-US" w:eastAsia="zh-CN" w:bidi="ar"/>
                    </w:rPr>
                    <w:t>石料</w:t>
                  </w:r>
                  <w:r>
                    <w:rPr>
                      <w:rFonts w:hint="eastAsia" w:ascii="Times New Roman" w:hAnsi="Times New Roman" w:eastAsia="宋体" w:cs="Times New Roman"/>
                      <w:color w:val="000000"/>
                      <w:kern w:val="0"/>
                      <w:sz w:val="21"/>
                      <w:szCs w:val="21"/>
                      <w:lang w:val="en-US" w:eastAsia="zh-CN" w:bidi="ar"/>
                    </w:rPr>
                    <w:t>(细石料)</w:t>
                  </w:r>
                </w:p>
              </w:tc>
              <w:tc>
                <w:tcPr>
                  <w:tcW w:w="14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m³</w:t>
                  </w:r>
                </w:p>
              </w:tc>
              <w:tc>
                <w:tcPr>
                  <w:tcW w:w="150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571.3</w:t>
                  </w:r>
                </w:p>
              </w:tc>
              <w:tc>
                <w:tcPr>
                  <w:tcW w:w="11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12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4</w:t>
                  </w:r>
                </w:p>
              </w:tc>
              <w:tc>
                <w:tcPr>
                  <w:tcW w:w="29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color w:val="000000"/>
                      <w:kern w:val="0"/>
                      <w:sz w:val="21"/>
                      <w:szCs w:val="21"/>
                      <w:lang w:val="en-US" w:eastAsia="zh-CN" w:bidi="ar"/>
                    </w:rPr>
                    <w:t>HDPE 双壁波纹管（DN1500）</w:t>
                  </w:r>
                </w:p>
              </w:tc>
              <w:tc>
                <w:tcPr>
                  <w:tcW w:w="148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m</w:t>
                  </w:r>
                </w:p>
              </w:tc>
              <w:tc>
                <w:tcPr>
                  <w:tcW w:w="150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395</w:t>
                  </w:r>
                </w:p>
              </w:tc>
              <w:tc>
                <w:tcPr>
                  <w:tcW w:w="11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12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5</w:t>
                  </w:r>
                </w:p>
              </w:tc>
              <w:tc>
                <w:tcPr>
                  <w:tcW w:w="29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color w:val="000000"/>
                      <w:kern w:val="0"/>
                      <w:sz w:val="21"/>
                      <w:szCs w:val="21"/>
                      <w:lang w:val="en-US" w:eastAsia="zh-CN" w:bidi="ar"/>
                    </w:rPr>
                    <w:t>HDPE 双壁波纹管（DN2000）</w:t>
                  </w:r>
                </w:p>
              </w:tc>
              <w:tc>
                <w:tcPr>
                  <w:tcW w:w="148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m</w:t>
                  </w:r>
                </w:p>
              </w:tc>
              <w:tc>
                <w:tcPr>
                  <w:tcW w:w="150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180</w:t>
                  </w:r>
                </w:p>
              </w:tc>
              <w:tc>
                <w:tcPr>
                  <w:tcW w:w="11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12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6</w:t>
                  </w:r>
                </w:p>
              </w:tc>
              <w:tc>
                <w:tcPr>
                  <w:tcW w:w="29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color w:val="000000"/>
                      <w:kern w:val="0"/>
                      <w:sz w:val="21"/>
                      <w:szCs w:val="21"/>
                      <w:lang w:val="en-US" w:eastAsia="zh-CN" w:bidi="ar"/>
                    </w:rPr>
                    <w:t>钢材</w:t>
                  </w:r>
                </w:p>
              </w:tc>
              <w:tc>
                <w:tcPr>
                  <w:tcW w:w="148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t</w:t>
                  </w:r>
                </w:p>
              </w:tc>
              <w:tc>
                <w:tcPr>
                  <w:tcW w:w="150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2</w:t>
                  </w:r>
                </w:p>
              </w:tc>
              <w:tc>
                <w:tcPr>
                  <w:tcW w:w="11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12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7</w:t>
                  </w:r>
                </w:p>
              </w:tc>
              <w:tc>
                <w:tcPr>
                  <w:tcW w:w="29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color w:val="000000"/>
                      <w:kern w:val="0"/>
                      <w:sz w:val="21"/>
                      <w:szCs w:val="21"/>
                      <w:lang w:val="en-US" w:eastAsia="zh-CN" w:bidi="ar"/>
                    </w:rPr>
                    <w:t>水泥</w:t>
                  </w:r>
                </w:p>
              </w:tc>
              <w:tc>
                <w:tcPr>
                  <w:tcW w:w="148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t</w:t>
                  </w:r>
                </w:p>
              </w:tc>
              <w:tc>
                <w:tcPr>
                  <w:tcW w:w="150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5</w:t>
                  </w:r>
                </w:p>
              </w:tc>
              <w:tc>
                <w:tcPr>
                  <w:tcW w:w="11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12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8</w:t>
                  </w:r>
                </w:p>
              </w:tc>
              <w:tc>
                <w:tcPr>
                  <w:tcW w:w="29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color w:val="000000"/>
                      <w:kern w:val="0"/>
                      <w:sz w:val="21"/>
                      <w:szCs w:val="21"/>
                      <w:lang w:val="en-US" w:eastAsia="zh-CN" w:bidi="ar"/>
                    </w:rPr>
                    <w:t>汽油（92 号）</w:t>
                  </w:r>
                </w:p>
              </w:tc>
              <w:tc>
                <w:tcPr>
                  <w:tcW w:w="148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kg</w:t>
                  </w:r>
                </w:p>
              </w:tc>
              <w:tc>
                <w:tcPr>
                  <w:tcW w:w="150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w:t>
                  </w:r>
                </w:p>
              </w:tc>
              <w:tc>
                <w:tcPr>
                  <w:tcW w:w="11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12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9</w:t>
                  </w:r>
                </w:p>
              </w:tc>
              <w:tc>
                <w:tcPr>
                  <w:tcW w:w="29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color w:val="000000"/>
                      <w:kern w:val="0"/>
                      <w:sz w:val="21"/>
                      <w:szCs w:val="21"/>
                      <w:lang w:val="en-US" w:eastAsia="zh-CN" w:bidi="ar"/>
                    </w:rPr>
                    <w:t>柴油</w:t>
                  </w:r>
                </w:p>
              </w:tc>
              <w:tc>
                <w:tcPr>
                  <w:tcW w:w="148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kg</w:t>
                  </w:r>
                </w:p>
              </w:tc>
              <w:tc>
                <w:tcPr>
                  <w:tcW w:w="150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w:t>
                  </w:r>
                </w:p>
              </w:tc>
              <w:tc>
                <w:tcPr>
                  <w:tcW w:w="11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12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10</w:t>
                  </w:r>
                </w:p>
              </w:tc>
              <w:tc>
                <w:tcPr>
                  <w:tcW w:w="29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color w:val="000000"/>
                      <w:kern w:val="0"/>
                      <w:sz w:val="21"/>
                      <w:szCs w:val="21"/>
                      <w:lang w:val="en-US" w:eastAsia="zh-CN" w:bidi="ar"/>
                    </w:rPr>
                    <w:t>电</w:t>
                  </w:r>
                </w:p>
              </w:tc>
              <w:tc>
                <w:tcPr>
                  <w:tcW w:w="148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kWh</w:t>
                  </w:r>
                </w:p>
              </w:tc>
              <w:tc>
                <w:tcPr>
                  <w:tcW w:w="150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1000</w:t>
                  </w:r>
                </w:p>
              </w:tc>
              <w:tc>
                <w:tcPr>
                  <w:tcW w:w="11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12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11</w:t>
                  </w:r>
                </w:p>
              </w:tc>
              <w:tc>
                <w:tcPr>
                  <w:tcW w:w="29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color w:val="000000"/>
                      <w:kern w:val="0"/>
                      <w:sz w:val="21"/>
                      <w:szCs w:val="21"/>
                      <w:lang w:val="en-US" w:eastAsia="zh-CN" w:bidi="ar"/>
                    </w:rPr>
                    <w:t>水</w:t>
                  </w:r>
                </w:p>
              </w:tc>
              <w:tc>
                <w:tcPr>
                  <w:tcW w:w="148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m³</w:t>
                  </w:r>
                </w:p>
              </w:tc>
              <w:tc>
                <w:tcPr>
                  <w:tcW w:w="150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352</w:t>
                  </w:r>
                </w:p>
              </w:tc>
              <w:tc>
                <w:tcPr>
                  <w:tcW w:w="11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leftChars="0" w:right="0" w:firstLine="0" w:firstLineChars="0"/>
              <w:textAlignment w:val="auto"/>
              <w:rPr>
                <w:rFonts w:hint="default" w:ascii="Times New Roman" w:hAnsi="Times New Roman" w:eastAsia="宋体" w:cs="Times New Roman"/>
                <w:color w:val="auto"/>
                <w:kern w:val="0"/>
                <w:sz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36" w:hRule="atLeast"/>
          <w:jc w:val="center"/>
        </w:trPr>
        <w:tc>
          <w:tcPr>
            <w:tcW w:w="708"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4"/>
                <w:highlight w:val="none"/>
              </w:rPr>
            </w:pPr>
            <w:bookmarkStart w:id="8" w:name="OLE_LINK11"/>
            <w:bookmarkStart w:id="9" w:name="OLE_LINK15"/>
            <w:r>
              <w:rPr>
                <w:rFonts w:hint="default" w:ascii="Times New Roman" w:hAnsi="Times New Roman" w:eastAsia="宋体" w:cs="Times New Roman"/>
                <w:b/>
                <w:bCs/>
                <w:color w:val="auto"/>
                <w:kern w:val="0"/>
                <w:sz w:val="24"/>
                <w:highlight w:val="none"/>
              </w:rPr>
              <w:t>总平面及现场布置</w:t>
            </w:r>
            <w:bookmarkEnd w:id="8"/>
            <w:bookmarkEnd w:id="9"/>
          </w:p>
        </w:tc>
        <w:tc>
          <w:tcPr>
            <w:tcW w:w="8297"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2" w:firstLineChars="200"/>
              <w:textAlignment w:val="auto"/>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b/>
                <w:color w:val="auto"/>
                <w:kern w:val="0"/>
                <w:sz w:val="24"/>
                <w:highlight w:val="none"/>
              </w:rPr>
              <w:t>1、工程布局情况</w:t>
            </w:r>
          </w:p>
          <w:p>
            <w:pPr>
              <w:keepNext/>
              <w:keepLines/>
              <w:pageBreakBefore w:val="0"/>
              <w:widowControl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jc w:val="both"/>
              <w:textAlignment w:val="auto"/>
              <w:outlineLvl w:val="3"/>
              <w:rPr>
                <w:rFonts w:hint="default" w:ascii="Times New Roman" w:hAnsi="Times New Roman" w:eastAsia="宋体" w:cs="Times New Roman"/>
                <w:b w:val="0"/>
                <w:bCs w:val="0"/>
                <w:color w:val="auto"/>
                <w:kern w:val="0"/>
                <w:sz w:val="24"/>
                <w:szCs w:val="24"/>
                <w:highlight w:val="none"/>
                <w:lang w:val="en-US" w:eastAsia="zh-CN" w:bidi="ar"/>
              </w:rPr>
            </w:pPr>
            <w:r>
              <w:rPr>
                <w:rFonts w:hint="eastAsia" w:cs="Times New Roman"/>
                <w:b w:val="0"/>
                <w:bCs w:val="0"/>
                <w:color w:val="auto"/>
                <w:kern w:val="0"/>
                <w:sz w:val="24"/>
                <w:szCs w:val="24"/>
                <w:highlight w:val="none"/>
                <w:lang w:val="en-US" w:eastAsia="zh-CN" w:bidi="ar"/>
              </w:rPr>
              <w:t>（1）</w:t>
            </w:r>
            <w:r>
              <w:rPr>
                <w:rFonts w:hint="default" w:ascii="宋体" w:hAnsi="宋体" w:eastAsia="宋体" w:cs="宋体"/>
                <w:b w:val="0"/>
                <w:bCs w:val="0"/>
                <w:spacing w:val="-2"/>
                <w:sz w:val="24"/>
                <w:szCs w:val="24"/>
                <w:highlight w:val="none"/>
              </w:rPr>
              <w:t>排洪渠工程布置</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rPr>
              <w:t>本次排洪渠设计在隆德县城北侧沿北象山建设排洪渠、排洪管涵，山洪导流后汇入渝河，对县城东侧建筑垃圾填埋厂建设排洪渠，洪水导流后汇入现状沟道，对县城西侧行政中心北侧现状排洪渠及排洪管涵进行清淤</w:t>
            </w:r>
            <w:r>
              <w:rPr>
                <w:rFonts w:hint="eastAsia" w:cs="Times New Roman"/>
                <w:color w:val="auto"/>
                <w:kern w:val="0"/>
                <w:sz w:val="24"/>
                <w:highlight w:val="none"/>
                <w:lang w:val="en-US"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（2）</w:t>
            </w:r>
            <w:r>
              <w:rPr>
                <w:rFonts w:hint="eastAsia" w:ascii="Times New Roman" w:hAnsi="Times New Roman" w:eastAsia="宋体" w:cs="Times New Roman"/>
                <w:color w:val="auto"/>
                <w:kern w:val="0"/>
                <w:sz w:val="24"/>
                <w:highlight w:val="none"/>
                <w:lang w:val="en-US" w:eastAsia="zh-CN"/>
              </w:rPr>
              <w:t>雨水管道设置</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排水管道一般和电缆沟布于同侧，以便于电缆沟排水井可以就近接入排水检查井中。布置非机动车道或机动车道下，有利于管道疏通机械或疏通车的运行和维护。</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对于新建道路，当道路红线宽度在50米以下时，采用单侧布管，当道路红线宽度大于50米时，采用双侧布管。如管位冲突，根据具体道路情况作必要调整。对已有部分工程管线的现状道路进行改、扩建工程，应根据具体情况进行安排。</w:t>
            </w:r>
          </w:p>
          <w:p>
            <w:pPr>
              <w:keepNext w:val="0"/>
              <w:keepLines w:val="0"/>
              <w:pageBreakBefore w:val="0"/>
              <w:widowControl w:val="0"/>
              <w:numPr>
                <w:ilvl w:val="0"/>
                <w:numId w:val="1"/>
              </w:numPr>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72" w:firstLineChars="200"/>
              <w:textAlignment w:val="auto"/>
              <w:rPr>
                <w:rFonts w:hint="eastAsia" w:ascii="宋体" w:hAnsi="宋体" w:eastAsia="宋体" w:cs="宋体"/>
                <w:b w:val="0"/>
                <w:bCs w:val="0"/>
                <w:spacing w:val="-2"/>
                <w:sz w:val="24"/>
                <w:szCs w:val="24"/>
                <w:highlight w:val="none"/>
                <w:lang w:eastAsia="zh-CN"/>
              </w:rPr>
            </w:pPr>
            <w:r>
              <w:rPr>
                <w:rFonts w:hint="default" w:ascii="宋体" w:hAnsi="宋体" w:eastAsia="宋体" w:cs="宋体"/>
                <w:b w:val="0"/>
                <w:bCs w:val="0"/>
                <w:spacing w:val="-2"/>
                <w:sz w:val="24"/>
                <w:szCs w:val="24"/>
                <w:highlight w:val="none"/>
              </w:rPr>
              <w:t>排洪渠</w:t>
            </w:r>
            <w:r>
              <w:rPr>
                <w:rFonts w:hint="eastAsia" w:ascii="宋体" w:hAnsi="宋体" w:eastAsia="宋体" w:cs="宋体"/>
                <w:b w:val="0"/>
                <w:bCs w:val="0"/>
                <w:spacing w:val="-2"/>
                <w:sz w:val="24"/>
                <w:szCs w:val="24"/>
                <w:highlight w:val="none"/>
                <w:lang w:eastAsia="zh-CN"/>
              </w:rPr>
              <w:t>及管涵雨水去向</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72" w:firstLineChars="200"/>
              <w:textAlignment w:val="auto"/>
              <w:rPr>
                <w:rFonts w:hint="default" w:ascii="Times New Roman" w:hAnsi="Times New Roman" w:eastAsia="宋体" w:cs="Times New Roman"/>
                <w:color w:val="auto"/>
                <w:kern w:val="0"/>
                <w:sz w:val="24"/>
                <w:highlight w:val="none"/>
                <w:lang w:val="en-US"/>
              </w:rPr>
            </w:pPr>
            <w:r>
              <w:rPr>
                <w:rFonts w:hint="eastAsia" w:ascii="宋体" w:hAnsi="宋体" w:eastAsia="宋体" w:cs="宋体"/>
                <w:b w:val="0"/>
                <w:bCs w:val="0"/>
                <w:spacing w:val="-2"/>
                <w:sz w:val="24"/>
                <w:szCs w:val="24"/>
                <w:highlight w:val="none"/>
                <w:lang w:val="en-US" w:eastAsia="zh-CN"/>
              </w:rPr>
              <w:t>本工程县城进行雨污分流建设，对路段对应的汇水区内的雨洪进行疏导，提高排水能力，减小对隆德县城市生活污水处理厂的冲击负荷，使隆德县城市地表雨洪水资源直接进入河道水库加以利用。项目新建</w:t>
            </w:r>
            <w:r>
              <w:rPr>
                <w:rFonts w:hint="eastAsia" w:cs="Times New Roman"/>
                <w:color w:val="auto"/>
                <w:kern w:val="0"/>
                <w:sz w:val="24"/>
                <w:highlight w:val="none"/>
                <w:lang w:val="en-US" w:eastAsia="zh-CN"/>
              </w:rPr>
              <w:t>北象山新建排洪渠、县城东侧建筑垃圾填埋场排洪渠、县生活垃圾填埋场排洪渠，雨水接入清流河。</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eastAsia" w:cs="Times New Roman"/>
                <w:color w:val="auto"/>
                <w:kern w:val="0"/>
                <w:sz w:val="24"/>
                <w:highlight w:val="none"/>
                <w:lang w:val="en-US" w:eastAsia="zh-CN"/>
              </w:rPr>
              <w:t>（4）</w:t>
            </w:r>
            <w:r>
              <w:rPr>
                <w:rFonts w:hint="default" w:ascii="Times New Roman" w:hAnsi="Times New Roman" w:eastAsia="宋体" w:cs="Times New Roman"/>
                <w:color w:val="auto"/>
                <w:kern w:val="0"/>
                <w:sz w:val="24"/>
                <w:highlight w:val="none"/>
                <w:lang w:val="en-US"/>
              </w:rPr>
              <w:t>竖向布置</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竖向布置遵照《城市工程管线综合规划规范》规定的各种管线要求进行布设。如不能满足要求必须进行防护处理。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各种管线的平面位置参照“综合管网道路标准横断面图”和综合管网方案图布置。为满足道路建成后两侧地块开发建设及使用上可预见的需要，本次设计对于区域内某些路段单侧布置的管线按一定间距集中布置过街支管，过街支管应随道路一同建成，避免道路建成后再行开挖。</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竖向布置遵照《城市工程管线综合规划规范》（GB50282-98）规定的各种管线要求进行布设。如不能满足要求必须进行防护处理，管道在竖向布局上从上到下一般应为：</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1</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rPr>
              <w:t>电力电缆沟；</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2</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rPr>
              <w:t>电信、给水、燃气管道；</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3</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rPr>
              <w:t>雨水管渠；</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4</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rPr>
              <w:t>污水管道。</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雨水管线布置在各类管线倒数第二层。当管线综合在竖向上发生冲突时，宜按照下列原则进行协调：</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eastAsia" w:cs="Times New Roman"/>
                <w:color w:val="auto"/>
                <w:kern w:val="0"/>
                <w:sz w:val="24"/>
                <w:highlight w:val="none"/>
                <w:lang w:val="en-US" w:eastAsia="zh-CN"/>
              </w:rPr>
              <w:t>1)</w:t>
            </w:r>
            <w:r>
              <w:rPr>
                <w:rFonts w:hint="default" w:ascii="Times New Roman" w:hAnsi="Times New Roman" w:eastAsia="宋体" w:cs="Times New Roman"/>
                <w:color w:val="auto"/>
                <w:kern w:val="0"/>
                <w:sz w:val="24"/>
                <w:highlight w:val="none"/>
                <w:lang w:val="en-US"/>
              </w:rPr>
              <w:t>压力管线让重力自流管线；</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2</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rPr>
              <w:t>分支管线让主干管线；</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3</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rPr>
              <w:t>小管径管线让大管径管线；</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4</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rPr>
              <w:t>可弯曲管线让不易弯曲管线。</w:t>
            </w:r>
            <w:r>
              <w:rPr>
                <w:rFonts w:hint="default" w:ascii="Times New Roman" w:hAnsi="Times New Roman" w:eastAsia="宋体" w:cs="Times New Roman"/>
                <w:color w:val="auto"/>
                <w:kern w:val="0"/>
                <w:sz w:val="24"/>
                <w:highlight w:val="none"/>
                <w:lang w:val="en-US"/>
              </w:rPr>
              <w:br w:type="column"/>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竖向设计：</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各类管线过街时应尽量采用净厚度较小的管材，并采取技术措施，减小总构造厚度。其中：电力过街管：净厚不大于400mm，通信过街管（包括电信、联信等）：净厚不大于400mm。</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2" w:firstLineChars="200"/>
              <w:textAlignment w:val="auto"/>
              <w:rPr>
                <w:rFonts w:hint="default" w:ascii="Times New Roman" w:hAnsi="Times New Roman" w:eastAsia="宋体" w:cs="Times New Roman"/>
                <w:b/>
                <w:color w:val="auto"/>
                <w:kern w:val="0"/>
                <w:sz w:val="24"/>
                <w:highlight w:val="none"/>
                <w:lang w:val="en-US"/>
              </w:rPr>
            </w:pPr>
            <w:r>
              <w:rPr>
                <w:rFonts w:hint="default" w:ascii="Times New Roman" w:hAnsi="Times New Roman" w:eastAsia="宋体" w:cs="Times New Roman"/>
                <w:b/>
                <w:color w:val="auto"/>
                <w:kern w:val="0"/>
                <w:sz w:val="24"/>
                <w:highlight w:val="none"/>
                <w:lang w:val="en-US"/>
              </w:rPr>
              <w:t>2、施工布置情况</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本项目</w:t>
            </w:r>
            <w:r>
              <w:rPr>
                <w:rFonts w:hint="eastAsia" w:ascii="Times New Roman" w:hAnsi="Times New Roman" w:eastAsia="宋体" w:cs="Times New Roman"/>
                <w:color w:val="auto"/>
                <w:kern w:val="0"/>
                <w:sz w:val="24"/>
                <w:highlight w:val="none"/>
                <w:lang w:val="en-US" w:eastAsia="zh-CN"/>
              </w:rPr>
              <w:t>不设置</w:t>
            </w:r>
            <w:r>
              <w:rPr>
                <w:rFonts w:hint="default" w:ascii="Times New Roman" w:hAnsi="Times New Roman" w:eastAsia="宋体" w:cs="Times New Roman"/>
                <w:color w:val="auto"/>
                <w:kern w:val="0"/>
                <w:sz w:val="24"/>
                <w:highlight w:val="none"/>
                <w:lang w:val="en-US"/>
              </w:rPr>
              <w:t>施工营地，</w:t>
            </w:r>
            <w:r>
              <w:rPr>
                <w:rFonts w:hint="eastAsia" w:ascii="Times New Roman" w:hAnsi="Times New Roman" w:eastAsia="宋体" w:cs="Times New Roman"/>
                <w:color w:val="auto"/>
                <w:kern w:val="0"/>
                <w:sz w:val="24"/>
                <w:highlight w:val="none"/>
                <w:lang w:val="en-US" w:eastAsia="zh-CN"/>
              </w:rPr>
              <w:t>建设排洪渠及现状清淤工程设置临时施工堆料场4处</w:t>
            </w:r>
            <w:r>
              <w:rPr>
                <w:rFonts w:hint="default" w:ascii="Times New Roman" w:hAnsi="Times New Roman" w:eastAsia="宋体" w:cs="Times New Roman"/>
                <w:color w:val="auto"/>
                <w:kern w:val="0"/>
                <w:sz w:val="24"/>
                <w:highlight w:val="none"/>
                <w:lang w:val="en-US"/>
              </w:rPr>
              <w:t>；项目施工期较短，施工期施工人员依托周边村庄居住；施工结束后对临时施工生产生活区进行土地平整、播撒草籽，施工过程中采取洒水降尘、彩钢板拦挡等措施。</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rPr>
              <w:t>项</w:t>
            </w:r>
            <w:r>
              <w:rPr>
                <w:rFonts w:hint="default" w:ascii="Times New Roman" w:hAnsi="Times New Roman" w:eastAsia="宋体" w:cs="Times New Roman"/>
                <w:color w:val="auto"/>
                <w:kern w:val="0"/>
                <w:sz w:val="24"/>
                <w:highlight w:val="none"/>
                <w:lang w:val="en-US" w:eastAsia="zh-CN"/>
              </w:rPr>
              <w:t>目总平面布局依据沟道走向，严格规范施工红线，</w:t>
            </w:r>
            <w:r>
              <w:rPr>
                <w:rFonts w:hint="default" w:ascii="Times New Roman" w:hAnsi="Times New Roman" w:eastAsia="宋体" w:cs="Times New Roman"/>
                <w:color w:val="auto"/>
                <w:kern w:val="0"/>
                <w:sz w:val="24"/>
                <w:highlight w:val="none"/>
                <w:lang w:val="en-US"/>
              </w:rPr>
              <w:t>项目分段施工，布局紧凑，施工临时占地面积小，有利于缩短施工时间，做到各段施工互不干扰，</w:t>
            </w:r>
            <w:r>
              <w:rPr>
                <w:rFonts w:hint="eastAsia" w:ascii="Times New Roman" w:hAnsi="Times New Roman" w:eastAsia="宋体" w:cs="Times New Roman"/>
                <w:color w:val="auto"/>
                <w:kern w:val="0"/>
                <w:sz w:val="24"/>
                <w:highlight w:val="none"/>
                <w:lang w:val="en-US" w:eastAsia="zh-CN"/>
              </w:rPr>
              <w:t>施工场地</w:t>
            </w:r>
            <w:r>
              <w:rPr>
                <w:rFonts w:hint="default" w:ascii="Times New Roman" w:hAnsi="Times New Roman" w:eastAsia="宋体" w:cs="Times New Roman"/>
                <w:color w:val="auto"/>
                <w:kern w:val="0"/>
                <w:sz w:val="24"/>
                <w:highlight w:val="none"/>
                <w:lang w:val="en-US"/>
              </w:rPr>
              <w:t>配套的环保设施齐全，有利于进一步</w:t>
            </w:r>
            <w:r>
              <w:rPr>
                <w:rFonts w:hint="default" w:ascii="Times New Roman" w:hAnsi="Times New Roman" w:eastAsia="宋体" w:cs="Times New Roman"/>
                <w:color w:val="auto"/>
                <w:kern w:val="0"/>
                <w:sz w:val="24"/>
                <w:highlight w:val="none"/>
                <w:lang w:val="en-US" w:eastAsia="zh-CN"/>
              </w:rPr>
              <w:t>地</w:t>
            </w:r>
            <w:r>
              <w:rPr>
                <w:rFonts w:hint="default" w:ascii="Times New Roman" w:hAnsi="Times New Roman" w:eastAsia="宋体" w:cs="Times New Roman"/>
                <w:color w:val="auto"/>
                <w:kern w:val="0"/>
                <w:sz w:val="24"/>
                <w:highlight w:val="none"/>
                <w:lang w:val="en-US"/>
              </w:rPr>
              <w:t>控制施工扬尘、废水、固废对环境的影响。施工段沿线分布</w:t>
            </w:r>
            <w:r>
              <w:rPr>
                <w:rFonts w:hint="eastAsia" w:cs="Times New Roman"/>
                <w:color w:val="auto"/>
                <w:kern w:val="0"/>
                <w:sz w:val="24"/>
                <w:highlight w:val="none"/>
                <w:lang w:val="en-US" w:eastAsia="zh-CN"/>
              </w:rPr>
              <w:t>居住区</w:t>
            </w:r>
            <w:r>
              <w:rPr>
                <w:rFonts w:hint="default" w:ascii="Times New Roman" w:hAnsi="Times New Roman" w:eastAsia="宋体" w:cs="Times New Roman"/>
                <w:color w:val="auto"/>
                <w:kern w:val="0"/>
                <w:sz w:val="24"/>
                <w:highlight w:val="none"/>
                <w:lang w:val="en-US"/>
              </w:rPr>
              <w:t>，可满足施工用水用电需求，因此，从环保角度考虑，项目施工平面布置合理。</w:t>
            </w:r>
            <w:r>
              <w:rPr>
                <w:rFonts w:hint="eastAsia" w:cs="Times New Roman"/>
                <w:color w:val="auto"/>
                <w:kern w:val="0"/>
                <w:sz w:val="24"/>
                <w:highlight w:val="none"/>
                <w:lang w:val="en-US" w:eastAsia="zh-CN"/>
              </w:rPr>
              <w:t>本项目总平面布置图见附图8。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10" w:hRule="atLeast"/>
          <w:jc w:val="center"/>
        </w:trPr>
        <w:tc>
          <w:tcPr>
            <w:tcW w:w="708"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FF"/>
                <w:kern w:val="0"/>
                <w:sz w:val="24"/>
                <w:highlight w:val="none"/>
              </w:rPr>
            </w:pPr>
            <w:r>
              <w:rPr>
                <w:rFonts w:hint="default" w:ascii="Times New Roman" w:hAnsi="Times New Roman" w:eastAsia="宋体" w:cs="Times New Roman"/>
                <w:b/>
                <w:bCs/>
                <w:color w:val="auto"/>
                <w:kern w:val="0"/>
                <w:sz w:val="24"/>
                <w:highlight w:val="none"/>
              </w:rPr>
              <w:t>施工方案</w:t>
            </w:r>
          </w:p>
        </w:tc>
        <w:tc>
          <w:tcPr>
            <w:tcW w:w="829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2"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1.主体工程施工</w:t>
            </w:r>
          </w:p>
          <w:p>
            <w:pPr>
              <w:keepNext w:val="0"/>
              <w:keepLines w:val="0"/>
              <w:widowControl/>
              <w:suppressLineNumbers w:val="0"/>
              <w:spacing w:before="0" w:beforeAutospacing="0" w:after="0" w:afterAutospacing="0"/>
              <w:ind w:left="0" w:right="0"/>
              <w:jc w:val="left"/>
              <w:rPr>
                <w:rFonts w:hint="default"/>
              </w:rPr>
            </w:pPr>
            <w:r>
              <w:rPr>
                <w:rFonts w:hint="eastAsia" w:ascii="宋体" w:hAnsi="宋体" w:eastAsia="宋体" w:cs="宋体"/>
                <w:color w:val="000000"/>
                <w:kern w:val="0"/>
                <w:sz w:val="24"/>
                <w:szCs w:val="24"/>
                <w:lang w:val="en-US" w:eastAsia="zh-CN" w:bidi="ar"/>
              </w:rPr>
              <w:t>本项目属于城市</w:t>
            </w:r>
            <w:r>
              <w:rPr>
                <w:rFonts w:hint="default" w:ascii="Times New Roman" w:hAnsi="Times New Roman" w:eastAsia="宋体" w:cs="Times New Roman"/>
                <w:color w:val="auto"/>
                <w:kern w:val="2"/>
                <w:sz w:val="24"/>
                <w:szCs w:val="24"/>
                <w:highlight w:val="none"/>
                <w:lang w:val="en-US" w:eastAsia="zh-CN" w:bidi="ar-SA"/>
              </w:rPr>
              <w:t>建设排洪渠及现状清淤工程</w:t>
            </w:r>
            <w:r>
              <w:rPr>
                <w:rFonts w:hint="eastAsia" w:cs="Times New Roman"/>
                <w:color w:val="auto"/>
                <w:kern w:val="2"/>
                <w:sz w:val="24"/>
                <w:szCs w:val="24"/>
                <w:highlight w:val="none"/>
                <w:lang w:val="en-US" w:eastAsia="zh-CN" w:bidi="ar-SA"/>
              </w:rPr>
              <w:t>、建设山洪沟砌护工程和排洪管涵建设工程</w:t>
            </w:r>
            <w:r>
              <w:rPr>
                <w:rFonts w:hint="default" w:ascii="Times New Roman" w:hAnsi="Times New Roman" w:eastAsia="宋体" w:cs="Times New Roman"/>
                <w:color w:val="auto"/>
                <w:kern w:val="2"/>
                <w:sz w:val="24"/>
                <w:szCs w:val="24"/>
                <w:highlight w:val="none"/>
                <w:lang w:val="en-US" w:eastAsia="zh-CN" w:bidi="ar-SA"/>
              </w:rPr>
              <w:t>组成</w:t>
            </w:r>
            <w:r>
              <w:rPr>
                <w:rFonts w:hint="eastAsia" w:cs="Times New Roman"/>
                <w:color w:val="auto"/>
                <w:kern w:val="2"/>
                <w:sz w:val="24"/>
                <w:szCs w:val="24"/>
                <w:highlight w:val="none"/>
                <w:lang w:val="en-US" w:eastAsia="zh-CN" w:bidi="ar-SA"/>
              </w:rPr>
              <w:t>，涉及多条山洪沟，</w:t>
            </w:r>
            <w:r>
              <w:rPr>
                <w:rFonts w:hint="eastAsia" w:ascii="宋体" w:hAnsi="宋体" w:eastAsia="宋体" w:cs="宋体"/>
                <w:color w:val="000000"/>
                <w:kern w:val="0"/>
                <w:sz w:val="24"/>
                <w:szCs w:val="24"/>
                <w:lang w:val="en-US" w:eastAsia="zh-CN" w:bidi="ar"/>
              </w:rPr>
              <w:t>无特别难点、采用相关技术均比较成熟， 不涉及技术方案专利或关键核心技术。污染影响时段主要为施工期。各分项工程之间相对独立，可分区分项同步展开施工。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以土方开挖与填筑为主，施工线路较长，适合分段同时施工，施工时以机械化施工为主、人工为辅。</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⑴土方开挖</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本项目土方开挖主要是：</w:t>
            </w:r>
            <w:r>
              <w:rPr>
                <w:rFonts w:hint="eastAsia" w:cs="Times New Roman"/>
                <w:color w:val="auto"/>
                <w:kern w:val="2"/>
                <w:sz w:val="24"/>
                <w:szCs w:val="24"/>
                <w:highlight w:val="none"/>
                <w:lang w:val="en-US" w:eastAsia="zh-CN" w:bidi="ar-SA"/>
              </w:rPr>
              <w:t>排洪沟道工程、洪管涵建设、山洪沟砌护工程</w:t>
            </w:r>
            <w:r>
              <w:rPr>
                <w:rFonts w:hint="default" w:ascii="Times New Roman" w:hAnsi="Times New Roman" w:eastAsia="宋体" w:cs="Times New Roman"/>
                <w:color w:val="auto"/>
                <w:kern w:val="2"/>
                <w:sz w:val="24"/>
                <w:szCs w:val="24"/>
                <w:highlight w:val="none"/>
                <w:lang w:val="en-US" w:eastAsia="zh-CN" w:bidi="ar-SA"/>
              </w:rPr>
              <w:t>。采用机械开挖为主，人工开挖为辅，推土机推运和自卸车转运的方法。人工开挖主要是边坡整修，基础开挖等。建筑物基础开挖至设计高程后，应由甲方代表、设计代表和工程监理人员共同检查，核实地质状况与图纸是否相符，由设计代表提出补充整改意见。回填土采用人工和蛙式打夯机相结合的施工方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土方开挖采用2m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挖掘机挖土，15t自卸汽车运输，利用料就近堆放，直接用于土方回填。</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⑵土方填筑</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回填、夯填土方前，应彻底清除基地表面草皮、垃圾、树根、表面浮土、孔洞、裂隙、井等，应对填方基地和已完成隐蔽工程进行检查和中间验收。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土方回填采用2m³挖掘机挖装，15t自卸汽车运输至工作面，74kw推土机铺土，14t振动碾碾压，对于面积窄小的边角部位，机械碾压困难时，可采用机械铺料2.8kw蛙夯夯实。</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⑶格宾网垫施工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①施工工序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格宾网垫、网箱应在坡面整修和基槽开挖验收合格后进行铺设安装，其工序流程详见下图。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drawing>
                <wp:inline distT="0" distB="0" distL="114300" distR="114300">
                  <wp:extent cx="2912110" cy="743585"/>
                  <wp:effectExtent l="0" t="0" r="2540" b="18415"/>
                  <wp:docPr id="144" name="图片 147" descr="QQ截图2018061013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7" descr="QQ截图20180610134449"/>
                          <pic:cNvPicPr>
                            <a:picLocks noChangeAspect="1"/>
                          </pic:cNvPicPr>
                        </pic:nvPicPr>
                        <pic:blipFill>
                          <a:blip r:embed="rId11"/>
                          <a:stretch>
                            <a:fillRect/>
                          </a:stretch>
                        </pic:blipFill>
                        <pic:spPr>
                          <a:xfrm>
                            <a:off x="0" y="0"/>
                            <a:ext cx="2912110" cy="743585"/>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b/>
                <w:bCs/>
                <w:spacing w:val="-5"/>
                <w:sz w:val="24"/>
                <w:szCs w:val="24"/>
                <w:highlight w:val="none"/>
                <w:lang w:val="en-US" w:eastAsia="zh-CN"/>
              </w:rPr>
            </w:pPr>
            <w:r>
              <w:rPr>
                <w:rFonts w:hint="default" w:cs="Times New Roman"/>
                <w:b/>
                <w:bCs/>
                <w:spacing w:val="-5"/>
                <w:sz w:val="24"/>
                <w:szCs w:val="24"/>
                <w:highlight w:val="none"/>
                <w:lang w:val="en-US" w:eastAsia="zh-CN"/>
              </w:rPr>
              <w:t>图</w:t>
            </w:r>
            <w:r>
              <w:rPr>
                <w:rFonts w:hint="eastAsia" w:cs="Times New Roman"/>
                <w:b/>
                <w:bCs/>
                <w:spacing w:val="-5"/>
                <w:sz w:val="24"/>
                <w:szCs w:val="24"/>
                <w:highlight w:val="none"/>
                <w:lang w:val="en-US" w:eastAsia="zh-CN"/>
              </w:rPr>
              <w:t>5</w:t>
            </w:r>
            <w:r>
              <w:rPr>
                <w:rFonts w:hint="default" w:cs="Times New Roman"/>
                <w:b/>
                <w:bCs/>
                <w:spacing w:val="-5"/>
                <w:sz w:val="24"/>
                <w:szCs w:val="24"/>
                <w:highlight w:val="none"/>
                <w:lang w:val="en-US" w:eastAsia="zh-CN"/>
              </w:rPr>
              <w:t xml:space="preserve">  格宾网垫（网箱）安装流程图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②网垫施工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网垫组装：首先在河道工程的坡面地基上，或坡面附近的场地上，将网垫半成品的隔片与网身调整成90°，其次按规定的绑扎间距要求用绑扎丝绑扎，在设计坡面位置上组装成单个网垫，详见下图。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3"/>
                <w:szCs w:val="23"/>
                <w:highlight w:val="none"/>
                <w:lang w:val="en-US" w:eastAsia="zh-CN" w:bidi="ar-SA"/>
              </w:rPr>
              <w:drawing>
                <wp:inline distT="0" distB="0" distL="114300" distR="114300">
                  <wp:extent cx="3594100" cy="1717040"/>
                  <wp:effectExtent l="0" t="0" r="6350" b="16510"/>
                  <wp:docPr id="145"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8"/>
                          <pic:cNvPicPr>
                            <a:picLocks noChangeAspect="1"/>
                          </pic:cNvPicPr>
                        </pic:nvPicPr>
                        <pic:blipFill>
                          <a:blip r:embed="rId12"/>
                          <a:srcRect l="16345" t="8318" r="14996" b="20747"/>
                          <a:stretch>
                            <a:fillRect/>
                          </a:stretch>
                        </pic:blipFill>
                        <pic:spPr>
                          <a:xfrm>
                            <a:off x="0" y="0"/>
                            <a:ext cx="3594100" cy="1717040"/>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pacing w:val="-5"/>
                <w:sz w:val="24"/>
                <w:szCs w:val="24"/>
                <w:highlight w:val="none"/>
                <w:lang w:val="en-US" w:eastAsia="zh-CN"/>
              </w:rPr>
            </w:pPr>
            <w:r>
              <w:rPr>
                <w:rFonts w:hint="default" w:ascii="Times New Roman" w:hAnsi="Times New Roman" w:eastAsia="宋体" w:cs="Times New Roman"/>
                <w:b/>
                <w:bCs/>
                <w:spacing w:val="-5"/>
                <w:sz w:val="24"/>
                <w:szCs w:val="24"/>
                <w:highlight w:val="none"/>
                <w:lang w:val="en-US" w:eastAsia="zh-CN"/>
              </w:rPr>
              <w:t>图</w:t>
            </w:r>
            <w:r>
              <w:rPr>
                <w:rFonts w:hint="eastAsia" w:cs="Times New Roman"/>
                <w:b/>
                <w:bCs/>
                <w:spacing w:val="-5"/>
                <w:sz w:val="24"/>
                <w:szCs w:val="24"/>
                <w:highlight w:val="none"/>
                <w:lang w:val="en-US" w:eastAsia="zh-CN"/>
              </w:rPr>
              <w:t>6</w:t>
            </w:r>
            <w:r>
              <w:rPr>
                <w:rFonts w:hint="default" w:ascii="Times New Roman" w:hAnsi="Times New Roman" w:eastAsia="宋体" w:cs="Times New Roman"/>
                <w:b/>
                <w:bCs/>
                <w:spacing w:val="-5"/>
                <w:sz w:val="24"/>
                <w:szCs w:val="24"/>
                <w:highlight w:val="none"/>
                <w:lang w:val="en-US" w:eastAsia="zh-CN"/>
              </w:rPr>
              <w:t xml:space="preserve">  格宾网垫展开图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绑扎要求：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ⅰ 在隔网与网身的四处交角各绑扎一道；</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ⅱ 在隔网与网身交接处，每间隔15cm绑扎一道。</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网垫集成：宁夏水利工程格宾在顺水流方向（B向）的单个网垫宽度一般为200cm，在其按设计要求摆放到位后，要将相邻（左、右）网垫的边丝按规定的间距用绑扎丝绑扎，组成坡面的连续网垫。</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网垫填料：</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ⅰ 由于网垫厚度一般为30cm，为了保证施工质量，坡面网垫宜采用人工方式摆放填料。若格宾网垫质量能够达到设计要求，在周密的施工质量有效控制下，可以采用人工与机械相结合的方式摆放填料。</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ⅱ 网垫填料时，应由网垫下部向上部逐一向各网格内填料。</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ⅲ 填料粒径大小要均匀摆放，相互搭接平稳，以满足填充料密度要求。填料预留压缩变形高度一般取3cm（高出网垫）。</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ⅳ 网垫填料施工中的要点是网垫填料密度与网垫变形的控制。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网垫封盖：当单个网垫填料完成后，要即刻将网盖与网垫边丝、相邻（左、右）网垫之间的边丝按要求相互绑扎在一起，绑扎间距15～20cm，详见下图。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drawing>
                <wp:inline distT="0" distB="0" distL="114300" distR="114300">
                  <wp:extent cx="2889885" cy="1674495"/>
                  <wp:effectExtent l="0" t="0" r="5715" b="1905"/>
                  <wp:docPr id="146"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9"/>
                          <pic:cNvPicPr>
                            <a:picLocks noChangeAspect="1"/>
                          </pic:cNvPicPr>
                        </pic:nvPicPr>
                        <pic:blipFill>
                          <a:blip r:embed="rId13"/>
                          <a:srcRect l="604" t="-4564" r="4063"/>
                          <a:stretch>
                            <a:fillRect/>
                          </a:stretch>
                        </pic:blipFill>
                        <pic:spPr>
                          <a:xfrm>
                            <a:off x="0" y="0"/>
                            <a:ext cx="2889885" cy="1674495"/>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pacing w:val="-5"/>
                <w:sz w:val="24"/>
                <w:szCs w:val="24"/>
                <w:highlight w:val="none"/>
                <w:lang w:val="en-US" w:eastAsia="zh-CN"/>
              </w:rPr>
            </w:pPr>
            <w:r>
              <w:rPr>
                <w:rFonts w:hint="default" w:ascii="Times New Roman" w:hAnsi="Times New Roman" w:eastAsia="宋体" w:cs="Times New Roman"/>
                <w:b/>
                <w:bCs/>
                <w:spacing w:val="-5"/>
                <w:sz w:val="24"/>
                <w:szCs w:val="24"/>
                <w:highlight w:val="none"/>
                <w:lang w:val="en-US" w:eastAsia="zh-CN"/>
              </w:rPr>
              <w:t>图</w:t>
            </w:r>
            <w:r>
              <w:rPr>
                <w:rFonts w:hint="eastAsia" w:cs="Times New Roman"/>
                <w:b/>
                <w:bCs/>
                <w:spacing w:val="-5"/>
                <w:sz w:val="24"/>
                <w:szCs w:val="24"/>
                <w:highlight w:val="none"/>
                <w:lang w:val="en-US" w:eastAsia="zh-CN"/>
              </w:rPr>
              <w:t>7</w:t>
            </w:r>
            <w:r>
              <w:rPr>
                <w:rFonts w:hint="default" w:ascii="Times New Roman" w:hAnsi="Times New Roman" w:eastAsia="宋体" w:cs="Times New Roman"/>
                <w:b/>
                <w:bCs/>
                <w:spacing w:val="-5"/>
                <w:sz w:val="24"/>
                <w:szCs w:val="24"/>
                <w:highlight w:val="none"/>
                <w:lang w:val="en-US" w:eastAsia="zh-CN"/>
              </w:rPr>
              <w:t xml:space="preserve">  格宾网垫铺设示意图</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③网箱施工</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网箱组成：在前述网垫施工前，先要完成网垫基础网箱的施工。一般先在河道、沟道、渠道、水库、湖泊等网垫的基础槽内，或附近的场地上，将网箱半成品的隔片与网身调整成90°，之后按规定的绑扎间距用绑扎丝绑扎，组装成网箱。</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绑扎要求：</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ⅰ 隔网与网身的四处交角各绑扎一道。</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ⅱ 隔网与网身交接处，每间隔15cm绑扎一道。</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ⅲ 网箱水平拉丝按照本《导则》前述规定设置。</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网箱集成：宁夏水利工程格宾在顺水流方向的单个网箱长度一般为100～200cm、埋深100～150cm，在其按设计要求摆放到位后，要将相邻（上、下，左、右）网箱的边丝按规定的间距用绑扎丝绑扎，拼装成基础的连续网箱。</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网箱填料：网箱填料除满足前述网垫填料的基本要求外，还应符合以下要求：</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ⅰ 应依次、均匀、分批向各网箱内填料，严禁将单个网箱一次性填满。</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ⅱ 对于高度≥100cm的网箱，要结合设置的水平拉丝，采用分层填料的方式填筑，避免网箱产生超规定的变形。</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ⅲ 为了使外露格宾网箱工程的外观平顺、美观，对有特殊要求的网箱，施工时应在有防变形支撑措施下对网箱填充石料。</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网箱封盖：当单个网箱按照要求完成填料后，要即刻将网盖与网箱边丝、相邻（上、下，左、右）网箱之间的边丝按要求相互绑扎在一起，绑扎间距15-20cm。</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2" w:firstLineChars="2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2</w:t>
            </w:r>
            <w:r>
              <w:rPr>
                <w:rFonts w:hint="eastAsia" w:ascii="Times New Roman" w:hAnsi="Times New Roman" w:eastAsia="宋体" w:cs="Times New Roman"/>
                <w:b/>
                <w:bCs/>
                <w:color w:val="auto"/>
                <w:kern w:val="2"/>
                <w:sz w:val="24"/>
                <w:szCs w:val="24"/>
                <w:highlight w:val="none"/>
                <w:lang w:val="en-US" w:eastAsia="zh-CN" w:bidi="ar-SA"/>
              </w:rPr>
              <w:t>.</w:t>
            </w:r>
            <w:r>
              <w:rPr>
                <w:rFonts w:hint="default" w:ascii="Times New Roman" w:hAnsi="Times New Roman" w:eastAsia="宋体" w:cs="Times New Roman"/>
                <w:b/>
                <w:bCs/>
                <w:color w:val="auto"/>
                <w:kern w:val="2"/>
                <w:sz w:val="24"/>
                <w:szCs w:val="24"/>
                <w:highlight w:val="none"/>
                <w:lang w:val="en-US" w:eastAsia="zh-CN" w:bidi="ar-SA"/>
              </w:rPr>
              <w:t xml:space="preserve"> 施工总体布置</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本工程是线性布置，</w:t>
            </w:r>
            <w:r>
              <w:rPr>
                <w:rFonts w:hint="eastAsia" w:cs="Times New Roman"/>
                <w:color w:val="auto"/>
                <w:kern w:val="2"/>
                <w:sz w:val="24"/>
                <w:szCs w:val="24"/>
                <w:highlight w:val="none"/>
                <w:lang w:val="en-US" w:eastAsia="zh-CN" w:bidi="ar-SA"/>
              </w:rPr>
              <w:t>项目不设置</w:t>
            </w:r>
            <w:r>
              <w:rPr>
                <w:rFonts w:hint="default" w:ascii="Times New Roman" w:hAnsi="Times New Roman" w:eastAsia="宋体" w:cs="Times New Roman"/>
                <w:color w:val="auto"/>
                <w:kern w:val="2"/>
                <w:sz w:val="24"/>
                <w:szCs w:val="24"/>
                <w:highlight w:val="none"/>
                <w:lang w:val="en-US" w:eastAsia="zh-CN" w:bidi="ar-SA"/>
              </w:rPr>
              <w:t>施工营地，结合工程区地形和交通条件等方面分析，本项目施工</w:t>
            </w:r>
            <w:r>
              <w:rPr>
                <w:rFonts w:hint="eastAsia" w:cs="Times New Roman"/>
                <w:color w:val="auto"/>
                <w:kern w:val="2"/>
                <w:sz w:val="24"/>
                <w:szCs w:val="24"/>
                <w:highlight w:val="none"/>
                <w:lang w:val="en-US" w:eastAsia="zh-CN" w:bidi="ar-SA"/>
              </w:rPr>
              <w:t>设施</w:t>
            </w:r>
            <w:r>
              <w:rPr>
                <w:rFonts w:hint="default" w:ascii="Times New Roman" w:hAnsi="Times New Roman" w:eastAsia="宋体" w:cs="Times New Roman"/>
                <w:color w:val="auto"/>
                <w:kern w:val="2"/>
                <w:sz w:val="24"/>
                <w:szCs w:val="24"/>
                <w:highlight w:val="none"/>
                <w:lang w:val="en-US" w:eastAsia="zh-CN" w:bidi="ar-SA"/>
              </w:rPr>
              <w:t>通过租用施工现场周边闲置房屋，包括机械停放区、仓库、沉淀池等；项目施工期较短，施工期施工人员依托周边村庄居住；施工结束后对</w:t>
            </w:r>
            <w:r>
              <w:rPr>
                <w:rFonts w:hint="eastAsia" w:cs="Times New Roman"/>
                <w:color w:val="auto"/>
                <w:kern w:val="2"/>
                <w:sz w:val="24"/>
                <w:szCs w:val="24"/>
                <w:highlight w:val="none"/>
                <w:lang w:val="en-US" w:eastAsia="zh-CN" w:bidi="ar-SA"/>
              </w:rPr>
              <w:t>施工场地</w:t>
            </w:r>
            <w:r>
              <w:rPr>
                <w:rFonts w:hint="default" w:ascii="Times New Roman" w:hAnsi="Times New Roman" w:eastAsia="宋体" w:cs="Times New Roman"/>
                <w:color w:val="auto"/>
                <w:kern w:val="2"/>
                <w:sz w:val="24"/>
                <w:szCs w:val="24"/>
                <w:highlight w:val="none"/>
                <w:lang w:val="en-US" w:eastAsia="zh-CN" w:bidi="ar-SA"/>
              </w:rPr>
              <w:t>进行土地平整、播撒草籽，施工过程中采取洒水降尘、彩钢板拦挡等措施</w:t>
            </w:r>
            <w:r>
              <w:rPr>
                <w:rFonts w:hint="eastAsia" w:cs="Times New Roman"/>
                <w:color w:val="auto"/>
                <w:kern w:val="2"/>
                <w:sz w:val="24"/>
                <w:szCs w:val="24"/>
                <w:highlight w:val="none"/>
                <w:lang w:val="en-US" w:eastAsia="zh-CN" w:bidi="ar-SA"/>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2" w:firstLineChars="2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3</w:t>
            </w:r>
            <w:r>
              <w:rPr>
                <w:rFonts w:hint="eastAsia" w:ascii="Times New Roman" w:hAnsi="Times New Roman" w:eastAsia="宋体" w:cs="Times New Roman"/>
                <w:b/>
                <w:bCs/>
                <w:color w:val="auto"/>
                <w:kern w:val="2"/>
                <w:sz w:val="24"/>
                <w:szCs w:val="24"/>
                <w:highlight w:val="none"/>
                <w:lang w:val="en-US" w:eastAsia="zh-CN" w:bidi="ar-SA"/>
              </w:rPr>
              <w:t>.</w:t>
            </w:r>
            <w:r>
              <w:rPr>
                <w:rFonts w:hint="default" w:ascii="Times New Roman" w:hAnsi="Times New Roman" w:eastAsia="宋体" w:cs="Times New Roman"/>
                <w:b/>
                <w:bCs/>
                <w:color w:val="auto"/>
                <w:kern w:val="2"/>
                <w:sz w:val="24"/>
                <w:szCs w:val="24"/>
                <w:highlight w:val="none"/>
                <w:lang w:val="en-US" w:eastAsia="zh-CN" w:bidi="ar-SA"/>
              </w:rPr>
              <w:t xml:space="preserve"> 施工时序及周期</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本项目计划于2024年</w:t>
            </w:r>
            <w:r>
              <w:rPr>
                <w:rFonts w:hint="eastAsia" w:cs="Times New Roman"/>
                <w:color w:val="auto"/>
                <w:kern w:val="2"/>
                <w:sz w:val="24"/>
                <w:szCs w:val="24"/>
                <w:highlight w:val="none"/>
                <w:lang w:val="en-US" w:eastAsia="zh-CN" w:bidi="ar-SA"/>
              </w:rPr>
              <w:t>10</w:t>
            </w:r>
            <w:r>
              <w:rPr>
                <w:rFonts w:hint="default" w:ascii="Times New Roman" w:hAnsi="Times New Roman" w:eastAsia="宋体" w:cs="Times New Roman"/>
                <w:color w:val="auto"/>
                <w:kern w:val="2"/>
                <w:sz w:val="24"/>
                <w:szCs w:val="24"/>
                <w:highlight w:val="none"/>
                <w:lang w:val="en-US" w:eastAsia="zh-CN" w:bidi="ar-SA"/>
              </w:rPr>
              <w:t>月开工，2025年1</w:t>
            </w:r>
            <w:r>
              <w:rPr>
                <w:rFonts w:hint="eastAsia"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月竣工，总工期</w:t>
            </w:r>
            <w:r>
              <w:rPr>
                <w:rFonts w:hint="eastAsia" w:cs="Times New Roman"/>
                <w:color w:val="auto"/>
                <w:kern w:val="2"/>
                <w:sz w:val="24"/>
                <w:szCs w:val="24"/>
                <w:highlight w:val="none"/>
                <w:lang w:val="en-US" w:eastAsia="zh-CN" w:bidi="ar-SA"/>
              </w:rPr>
              <w:t>15</w:t>
            </w:r>
            <w:r>
              <w:rPr>
                <w:rFonts w:hint="default" w:ascii="Times New Roman" w:hAnsi="Times New Roman" w:eastAsia="宋体" w:cs="Times New Roman"/>
                <w:color w:val="auto"/>
                <w:kern w:val="2"/>
                <w:sz w:val="24"/>
                <w:szCs w:val="24"/>
                <w:highlight w:val="none"/>
                <w:lang w:val="en-US" w:eastAsia="zh-CN" w:bidi="ar-SA"/>
              </w:rPr>
              <w:t>个月。</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2" w:firstLineChars="2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4</w:t>
            </w:r>
            <w:r>
              <w:rPr>
                <w:rFonts w:hint="eastAsia" w:ascii="Times New Roman" w:hAnsi="Times New Roman" w:eastAsia="宋体" w:cs="Times New Roman"/>
                <w:b/>
                <w:bCs/>
                <w:color w:val="auto"/>
                <w:kern w:val="2"/>
                <w:sz w:val="24"/>
                <w:szCs w:val="24"/>
                <w:highlight w:val="none"/>
                <w:lang w:val="en-US" w:eastAsia="zh-CN" w:bidi="ar-SA"/>
              </w:rPr>
              <w:t>.</w:t>
            </w:r>
            <w:r>
              <w:rPr>
                <w:rFonts w:hint="default" w:ascii="Times New Roman" w:hAnsi="Times New Roman" w:eastAsia="宋体" w:cs="Times New Roman"/>
                <w:b/>
                <w:bCs/>
                <w:color w:val="auto"/>
                <w:kern w:val="2"/>
                <w:sz w:val="24"/>
                <w:szCs w:val="24"/>
                <w:highlight w:val="none"/>
                <w:lang w:val="en-US" w:eastAsia="zh-CN" w:bidi="ar-SA"/>
              </w:rPr>
              <w:t xml:space="preserve"> 建筑材料来源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宋体" w:hAnsi="宋体" w:cs="宋体"/>
                <w:color w:val="000000"/>
                <w:kern w:val="0"/>
                <w:sz w:val="24"/>
                <w:szCs w:val="24"/>
                <w:lang w:val="en-US" w:eastAsia="zh-CN" w:bidi="ar"/>
              </w:rPr>
            </w:pPr>
            <w:r>
              <w:rPr>
                <w:rFonts w:hint="default" w:ascii="Times New Roman" w:hAnsi="Times New Roman" w:eastAsia="宋体" w:cs="Times New Roman"/>
                <w:color w:val="auto"/>
                <w:kern w:val="0"/>
                <w:sz w:val="24"/>
                <w:highlight w:val="none"/>
                <w:lang w:val="en-US"/>
              </w:rPr>
              <w:t>项目使用块石料、细石料均来源于</w:t>
            </w:r>
            <w:r>
              <w:rPr>
                <w:rFonts w:hint="eastAsia" w:ascii="Times New Roman" w:hAnsi="Times New Roman" w:eastAsia="宋体" w:cs="Times New Roman"/>
                <w:color w:val="auto"/>
                <w:kern w:val="0"/>
                <w:sz w:val="24"/>
                <w:highlight w:val="none"/>
                <w:lang w:val="en-US" w:eastAsia="zh-CN"/>
              </w:rPr>
              <w:t>隆德县</w:t>
            </w:r>
            <w:r>
              <w:rPr>
                <w:rFonts w:hint="default" w:ascii="Times New Roman" w:hAnsi="Times New Roman" w:eastAsia="宋体" w:cs="Times New Roman"/>
                <w:color w:val="auto"/>
                <w:kern w:val="0"/>
                <w:sz w:val="24"/>
                <w:highlight w:val="none"/>
                <w:lang w:val="en-US" w:eastAsia="zh-CN"/>
              </w:rPr>
              <w:t>石</w:t>
            </w:r>
            <w:r>
              <w:rPr>
                <w:rFonts w:hint="default" w:ascii="Times New Roman" w:hAnsi="Times New Roman" w:eastAsia="宋体" w:cs="Times New Roman"/>
                <w:color w:val="auto"/>
                <w:kern w:val="0"/>
                <w:sz w:val="24"/>
                <w:highlight w:val="none"/>
                <w:lang w:val="en-US"/>
              </w:rPr>
              <w:t>料场，交通方便，来源可靠。</w:t>
            </w:r>
            <w:r>
              <w:rPr>
                <w:rFonts w:hint="eastAsia" w:cs="Times New Roman"/>
                <w:color w:val="auto"/>
                <w:kern w:val="0"/>
                <w:sz w:val="24"/>
                <w:highlight w:val="none"/>
                <w:lang w:val="en-US" w:eastAsia="zh-CN"/>
              </w:rPr>
              <w:t>项目其他施工材料以及</w:t>
            </w:r>
            <w:r>
              <w:rPr>
                <w:rFonts w:hint="eastAsia" w:ascii="宋体" w:hAnsi="宋体" w:eastAsia="宋体" w:cs="宋体"/>
                <w:color w:val="000000"/>
                <w:kern w:val="0"/>
                <w:sz w:val="24"/>
                <w:szCs w:val="24"/>
                <w:lang w:val="en-US" w:eastAsia="zh-CN" w:bidi="ar"/>
              </w:rPr>
              <w:t>砼制品全部在隆德县本地采购</w:t>
            </w:r>
            <w:r>
              <w:rPr>
                <w:rFonts w:hint="eastAsia" w:ascii="宋体" w:hAnsi="宋体" w:cs="宋体"/>
                <w:color w:val="000000"/>
                <w:kern w:val="0"/>
                <w:sz w:val="24"/>
                <w:szCs w:val="24"/>
                <w:lang w:val="en-US" w:eastAsia="zh-CN" w:bidi="ar"/>
              </w:rPr>
              <w:t>。</w:t>
            </w:r>
          </w:p>
        </w:tc>
      </w:tr>
    </w:tbl>
    <w:p>
      <w:pPr>
        <w:widowControl/>
        <w:spacing w:before="100" w:beforeAutospacing="1" w:after="100" w:afterAutospacing="1"/>
        <w:jc w:val="center"/>
        <w:outlineLvl w:val="0"/>
        <w:rPr>
          <w:rFonts w:hint="default" w:ascii="Times New Roman" w:hAnsi="Times New Roman" w:eastAsia="黑体" w:cs="Times New Roman"/>
          <w:snapToGrid w:val="0"/>
          <w:color w:val="auto"/>
          <w:kern w:val="0"/>
          <w:sz w:val="30"/>
          <w:szCs w:val="30"/>
          <w:lang w:val="en-US" w:eastAsia="zh-CN" w:bidi="ar-SA"/>
        </w:rPr>
      </w:pPr>
      <w:r>
        <w:rPr>
          <w:rFonts w:hint="default" w:ascii="Times New Roman" w:hAnsi="Times New Roman" w:eastAsia="仿宋_GB2312" w:cs="Times New Roman"/>
          <w:b/>
          <w:bCs/>
          <w:color w:val="0000FF"/>
          <w:kern w:val="0"/>
          <w:sz w:val="24"/>
          <w:szCs w:val="24"/>
          <w:lang w:val="en-US" w:eastAsia="zh-CN" w:bidi="ar-SA"/>
        </w:rPr>
        <w:br w:type="page"/>
      </w:r>
      <w:r>
        <w:rPr>
          <w:rFonts w:hint="default" w:ascii="Times New Roman" w:hAnsi="Times New Roman" w:eastAsia="黑体" w:cs="Times New Roman"/>
          <w:snapToGrid w:val="0"/>
          <w:color w:val="auto"/>
          <w:kern w:val="0"/>
          <w:sz w:val="30"/>
          <w:szCs w:val="30"/>
          <w:lang w:val="en-US" w:eastAsia="zh-CN" w:bidi="ar-SA"/>
        </w:rPr>
        <w:t>三、</w:t>
      </w:r>
      <w:bookmarkStart w:id="10" w:name="OLE_LINK21"/>
      <w:bookmarkStart w:id="11" w:name="OLE_LINK20"/>
      <w:r>
        <w:rPr>
          <w:rFonts w:hint="default" w:ascii="Times New Roman" w:hAnsi="Times New Roman" w:eastAsia="黑体" w:cs="Times New Roman"/>
          <w:snapToGrid w:val="0"/>
          <w:color w:val="auto"/>
          <w:kern w:val="0"/>
          <w:sz w:val="30"/>
          <w:szCs w:val="30"/>
          <w:lang w:val="en-US" w:eastAsia="zh-CN" w:bidi="ar-SA"/>
        </w:rPr>
        <w:t>生态环境现状、保护目标及评价标准</w:t>
      </w:r>
      <w:bookmarkEnd w:id="10"/>
      <w:bookmarkEnd w:id="11"/>
    </w:p>
    <w:tbl>
      <w:tblPr>
        <w:tblStyle w:val="21"/>
        <w:tblW w:w="901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8"/>
        <w:gridCol w:w="4113"/>
        <w:gridCol w:w="39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77" w:hRule="atLeast"/>
          <w:jc w:val="center"/>
        </w:trPr>
        <w:tc>
          <w:tcPr>
            <w:tcW w:w="98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FF"/>
                <w:kern w:val="0"/>
                <w:sz w:val="24"/>
                <w:highlight w:val="none"/>
              </w:rPr>
            </w:pPr>
            <w:r>
              <w:rPr>
                <w:rFonts w:hint="default" w:ascii="Times New Roman" w:hAnsi="Times New Roman" w:eastAsia="宋体" w:cs="Times New Roman"/>
                <w:b/>
                <w:bCs/>
                <w:color w:val="auto"/>
                <w:kern w:val="0"/>
                <w:sz w:val="24"/>
                <w:highlight w:val="none"/>
              </w:rPr>
              <w:t>生态环境现状</w:t>
            </w:r>
          </w:p>
        </w:tc>
        <w:tc>
          <w:tcPr>
            <w:tcW w:w="8026"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2" w:firstLineChars="200"/>
              <w:textAlignment w:val="auto"/>
              <w:rPr>
                <w:rFonts w:hint="eastAsia" w:ascii="Times New Roman" w:hAnsi="Times New Roman" w:eastAsia="宋体" w:cs="Times New Roman"/>
                <w:b/>
                <w:color w:val="auto"/>
                <w:kern w:val="0"/>
                <w:sz w:val="24"/>
                <w:highlight w:val="none"/>
                <w:lang w:eastAsia="zh-CN"/>
              </w:rPr>
            </w:pPr>
            <w:r>
              <w:rPr>
                <w:rFonts w:hint="default" w:ascii="Times New Roman" w:hAnsi="Times New Roman" w:eastAsia="宋体" w:cs="Times New Roman"/>
                <w:b/>
                <w:color w:val="auto"/>
                <w:kern w:val="0"/>
                <w:sz w:val="24"/>
                <w:highlight w:val="none"/>
              </w:rPr>
              <w:t>1、生态环境现状</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⑴主体功能区规划</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eastAsia"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rPr>
              <w:t>根据《宁夏回族自治区主体功能区规划》，本项目治理段属于国家</w:t>
            </w:r>
            <w:r>
              <w:rPr>
                <w:rFonts w:hint="eastAsia" w:cs="Times New Roman"/>
                <w:color w:val="auto"/>
                <w:kern w:val="0"/>
                <w:sz w:val="24"/>
                <w:highlight w:val="none"/>
                <w:lang w:eastAsia="zh-CN"/>
              </w:rPr>
              <w:t>重点生态功能区</w:t>
            </w:r>
            <w:r>
              <w:rPr>
                <w:rFonts w:hint="default" w:ascii="Times New Roman" w:hAnsi="Times New Roman" w:eastAsia="宋体" w:cs="Times New Roman"/>
                <w:color w:val="auto"/>
                <w:kern w:val="0"/>
                <w:sz w:val="24"/>
                <w:highlight w:val="none"/>
              </w:rPr>
              <w:t>，该区域要求：“生态服务功能增强生态环境质量改善。地表水水质明显改善主要河流径流量基本稳定并有所增加。水土流失和荒漠化得到有效控制沙化土地面积持续减少，草原面积保持稳定，草原植被得到恢复。天然林面积扩大，森林覆盖率提高，森林蓄积量增加。野生动植物物种得到恢复和增加”</w:t>
            </w:r>
            <w:r>
              <w:rPr>
                <w:rFonts w:hint="eastAsia" w:cs="Times New Roman"/>
                <w:color w:val="auto"/>
                <w:kern w:val="0"/>
                <w:sz w:val="24"/>
                <w:highlight w:val="none"/>
                <w:lang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kern w:val="0"/>
                <w:sz w:val="24"/>
                <w:highlight w:val="none"/>
              </w:rPr>
              <w:t>本项目为县城排水防涝能力提升项目建设排洪渠</w:t>
            </w:r>
            <w:r>
              <w:rPr>
                <w:rFonts w:hint="eastAsia" w:cs="Times New Roman"/>
                <w:color w:val="auto"/>
                <w:kern w:val="0"/>
                <w:sz w:val="24"/>
                <w:highlight w:val="none"/>
                <w:lang w:eastAsia="zh-CN"/>
              </w:rPr>
              <w:t>2.747</w:t>
            </w:r>
            <w:r>
              <w:rPr>
                <w:rFonts w:hint="default" w:ascii="Times New Roman" w:hAnsi="Times New Roman" w:eastAsia="宋体" w:cs="Times New Roman"/>
                <w:color w:val="auto"/>
                <w:kern w:val="0"/>
                <w:sz w:val="24"/>
                <w:highlight w:val="none"/>
              </w:rPr>
              <w:t>km，其中北象山东侧建设排洪渠919m、北象山中间段建设排洪渠217m、县城东侧建筑垃圾填埋场建设排洪渠721m、县城城市垃圾填埋厂建设排洪渠</w:t>
            </w:r>
            <w:r>
              <w:rPr>
                <w:rFonts w:hint="eastAsia" w:cs="Times New Roman"/>
                <w:color w:val="auto"/>
                <w:kern w:val="0"/>
                <w:sz w:val="24"/>
                <w:highlight w:val="none"/>
                <w:lang w:val="en-US" w:eastAsia="zh-CN"/>
              </w:rPr>
              <w:t>770</w:t>
            </w:r>
            <w:r>
              <w:rPr>
                <w:rFonts w:hint="default" w:ascii="Times New Roman" w:hAnsi="Times New Roman" w:eastAsia="宋体" w:cs="Times New Roman"/>
                <w:color w:val="auto"/>
                <w:kern w:val="0"/>
                <w:sz w:val="24"/>
                <w:highlight w:val="none"/>
              </w:rPr>
              <w:t>m。为防止因建设排洪渠造成的山体滑坡，沿排洪渠山体一侧建设浆砌石挡土墙1.857km。</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0000FF"/>
                <w:kern w:val="0"/>
                <w:sz w:val="24"/>
                <w:highlight w:val="none"/>
              </w:rPr>
            </w:pPr>
            <w:r>
              <w:rPr>
                <w:rFonts w:hint="default" w:ascii="Times New Roman" w:hAnsi="Times New Roman" w:eastAsia="宋体" w:cs="Times New Roman"/>
                <w:color w:val="auto"/>
                <w:kern w:val="0"/>
                <w:sz w:val="24"/>
                <w:highlight w:val="none"/>
                <w:lang w:val="en-US" w:eastAsia="zh-CN"/>
              </w:rPr>
              <w:t>施工结束后在工程</w:t>
            </w:r>
            <w:r>
              <w:rPr>
                <w:rFonts w:hint="eastAsia" w:cs="Times New Roman"/>
                <w:color w:val="auto"/>
                <w:kern w:val="0"/>
                <w:sz w:val="24"/>
                <w:highlight w:val="none"/>
                <w:lang w:val="en-US" w:eastAsia="zh-CN"/>
              </w:rPr>
              <w:t>边</w:t>
            </w:r>
            <w:r>
              <w:rPr>
                <w:rFonts w:hint="default" w:ascii="Times New Roman" w:hAnsi="Times New Roman" w:eastAsia="宋体" w:cs="Times New Roman"/>
                <w:color w:val="auto"/>
                <w:kern w:val="0"/>
                <w:sz w:val="24"/>
                <w:highlight w:val="none"/>
                <w:lang w:val="en-US" w:eastAsia="zh-CN"/>
              </w:rPr>
              <w:t>坡处</w:t>
            </w:r>
            <w:r>
              <w:rPr>
                <w:rFonts w:hint="default" w:ascii="Times New Roman" w:hAnsi="Times New Roman" w:eastAsia="宋体" w:cs="Times New Roman"/>
                <w:color w:val="auto"/>
                <w:kern w:val="0"/>
                <w:sz w:val="24"/>
                <w:highlight w:val="none"/>
              </w:rPr>
              <w:t>种植</w:t>
            </w:r>
            <w:r>
              <w:rPr>
                <w:rFonts w:hint="default" w:ascii="Times New Roman" w:hAnsi="Times New Roman" w:eastAsia="宋体" w:cs="Times New Roman"/>
                <w:color w:val="auto"/>
                <w:kern w:val="0"/>
                <w:sz w:val="24"/>
                <w:highlight w:val="none"/>
                <w:lang w:val="en-US" w:eastAsia="zh-CN"/>
              </w:rPr>
              <w:t>绿化</w:t>
            </w:r>
            <w:r>
              <w:rPr>
                <w:rFonts w:hint="default" w:ascii="Times New Roman" w:hAnsi="Times New Roman" w:eastAsia="宋体" w:cs="Times New Roman"/>
                <w:color w:val="auto"/>
                <w:kern w:val="0"/>
                <w:sz w:val="24"/>
                <w:highlight w:val="none"/>
              </w:rPr>
              <w:t>，提高区域植被面积，恢复</w:t>
            </w:r>
            <w:r>
              <w:rPr>
                <w:rFonts w:hint="eastAsia" w:cs="Times New Roman"/>
                <w:color w:val="auto"/>
                <w:kern w:val="0"/>
                <w:sz w:val="24"/>
                <w:highlight w:val="none"/>
                <w:lang w:eastAsia="zh-CN"/>
              </w:rPr>
              <w:t>排洪渠和砌护</w:t>
            </w:r>
            <w:r>
              <w:rPr>
                <w:rFonts w:hint="default" w:ascii="Times New Roman" w:hAnsi="Times New Roman" w:eastAsia="宋体" w:cs="Times New Roman"/>
                <w:color w:val="auto"/>
                <w:kern w:val="0"/>
                <w:sz w:val="24"/>
                <w:highlight w:val="none"/>
              </w:rPr>
              <w:t>两侧的土地利用类型，提高绿化植被的覆盖率，具有加强水土保持的作用，符合《宁夏回族自治区主体功能区规划》要求。项目与宁夏主体功能区划分的位置关系图见</w:t>
            </w:r>
            <w:r>
              <w:rPr>
                <w:rFonts w:hint="eastAsia" w:cs="Times New Roman"/>
                <w:color w:val="auto"/>
                <w:kern w:val="0"/>
                <w:sz w:val="24"/>
                <w:highlight w:val="none"/>
                <w:lang w:eastAsia="zh-CN"/>
              </w:rPr>
              <w:t>附图</w:t>
            </w:r>
            <w:r>
              <w:rPr>
                <w:rFonts w:hint="eastAsia" w:cs="Times New Roman"/>
                <w:color w:val="auto"/>
                <w:kern w:val="0"/>
                <w:sz w:val="24"/>
                <w:highlight w:val="none"/>
                <w:lang w:val="en-US" w:eastAsia="zh-CN"/>
              </w:rPr>
              <w:t>9</w:t>
            </w:r>
            <w:r>
              <w:rPr>
                <w:rFonts w:hint="default" w:ascii="Times New Roman" w:hAnsi="Times New Roman" w:eastAsia="宋体" w:cs="Times New Roman"/>
                <w:color w:val="auto"/>
                <w:kern w:val="0"/>
                <w:sz w:val="24"/>
                <w:highlight w:val="none"/>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⑵生态功能区划</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eastAsia" w:ascii="黑体" w:hAnsi="黑体" w:eastAsia="黑体" w:cs="黑体"/>
                <w:b/>
                <w:bCs/>
                <w:spacing w:val="-5"/>
                <w:sz w:val="24"/>
                <w:szCs w:val="24"/>
                <w:highlight w:val="none"/>
                <w:lang w:val="en-US" w:eastAsia="zh-CN"/>
              </w:rPr>
            </w:pPr>
            <w:r>
              <w:rPr>
                <w:rFonts w:hint="default" w:ascii="Times New Roman" w:hAnsi="Times New Roman" w:eastAsia="宋体" w:cs="Times New Roman"/>
                <w:color w:val="auto"/>
                <w:kern w:val="0"/>
                <w:sz w:val="24"/>
                <w:highlight w:val="none"/>
              </w:rPr>
              <w:t>根据《宁夏生态功能区划》（2003.10），宁夏生态功能区划共划分为3个一级区，10个二级区，37个三级区。本项目位于Ⅰ1-1六盘山南段水源涵养林生态功能区，该区域的主要问题为水土流失，主要环境问题的治理措施：“除了河谷川地及缓坡地外，应大力采取工程措施和生物措施，搞好山水、田、林、路、小流域综合治理建立坡改梯的隔坡返坡梯田，乔灌、草合理配置，建立健全森林生态系统、草原生态系统。切实搞好水土保持工作。对于河谷川地和沟台地，要充分利用雨量比较充沛的优势，大搞基本农田建设。提高保灌能力，建立功能完善的农田生态系统，提高本区的生态服务功能。具体见表</w:t>
            </w:r>
            <w:r>
              <w:rPr>
                <w:rFonts w:hint="eastAsia" w:cs="Times New Roman"/>
                <w:color w:val="auto"/>
                <w:kern w:val="0"/>
                <w:sz w:val="24"/>
                <w:highlight w:val="none"/>
                <w:lang w:val="en-US" w:eastAsia="zh-CN"/>
              </w:rPr>
              <w:t>3-1</w:t>
            </w:r>
            <w:r>
              <w:rPr>
                <w:rFonts w:hint="default" w:ascii="Times New Roman" w:hAnsi="Times New Roman" w:eastAsia="宋体" w:cs="Times New Roman"/>
                <w:color w:val="auto"/>
                <w:kern w:val="0"/>
                <w:sz w:val="24"/>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firstLine="0" w:firstLineChars="0"/>
              <w:jc w:val="center"/>
              <w:textAlignment w:val="auto"/>
              <w:rPr>
                <w:rFonts w:hint="default" w:cs="Times New Roman"/>
                <w:b/>
                <w:bCs/>
                <w:spacing w:val="-5"/>
                <w:sz w:val="24"/>
                <w:szCs w:val="24"/>
                <w:highlight w:val="none"/>
                <w:lang w:val="en-US" w:eastAsia="zh-CN"/>
              </w:rPr>
            </w:pPr>
            <w:r>
              <w:rPr>
                <w:rFonts w:hint="eastAsia" w:ascii="宋体" w:hAnsi="宋体" w:eastAsia="宋体" w:cs="宋体"/>
                <w:b/>
                <w:bCs/>
                <w:spacing w:val="-5"/>
                <w:sz w:val="24"/>
                <w:szCs w:val="24"/>
                <w:highlight w:val="none"/>
                <w:lang w:val="en-US" w:eastAsia="zh-CN"/>
              </w:rPr>
              <w:t>表</w:t>
            </w:r>
            <w:r>
              <w:rPr>
                <w:rFonts w:hint="default" w:ascii="Times New Roman" w:hAnsi="Times New Roman" w:eastAsia="宋体" w:cs="Times New Roman"/>
                <w:b/>
                <w:bCs/>
                <w:spacing w:val="-5"/>
                <w:sz w:val="24"/>
                <w:szCs w:val="24"/>
                <w:highlight w:val="none"/>
                <w:lang w:val="en-US" w:eastAsia="zh-CN"/>
              </w:rPr>
              <w:t>3-1</w:t>
            </w:r>
            <w:r>
              <w:rPr>
                <w:rFonts w:hint="eastAsia" w:ascii="宋体" w:hAnsi="宋体" w:eastAsia="宋体" w:cs="宋体"/>
                <w:b/>
                <w:bCs/>
                <w:spacing w:val="-5"/>
                <w:sz w:val="24"/>
                <w:szCs w:val="24"/>
                <w:highlight w:val="none"/>
                <w:lang w:val="en-US" w:eastAsia="zh-CN"/>
              </w:rPr>
              <w:t xml:space="preserve">  生态功能区分区特征表</w:t>
            </w:r>
          </w:p>
          <w:tbl>
            <w:tblPr>
              <w:tblStyle w:val="21"/>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965"/>
              <w:gridCol w:w="1332"/>
              <w:gridCol w:w="49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13"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一级区</w:t>
                  </w:r>
                </w:p>
              </w:tc>
              <w:tc>
                <w:tcPr>
                  <w:tcW w:w="965"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二级区</w:t>
                  </w:r>
                </w:p>
              </w:tc>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功能区代号及名称</w:t>
                  </w:r>
                </w:p>
              </w:tc>
              <w:tc>
                <w:tcPr>
                  <w:tcW w:w="491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主要生态特点、问题及措施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13"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南部黄土丘陵水土流失生态区</w:t>
                  </w:r>
                </w:p>
              </w:tc>
              <w:tc>
                <w:tcPr>
                  <w:tcW w:w="965"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六盘山南段水源涵养林生态功能区</w:t>
                  </w:r>
                </w:p>
              </w:tc>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Ⅰ</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-1六盘山南段水源涵养林生态功能区</w:t>
                  </w:r>
                </w:p>
              </w:tc>
              <w:tc>
                <w:tcPr>
                  <w:tcW w:w="491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本生态功能区位于六盘山南段，大部分是国家级自然保护区，林地面积约占50%，主要林种有天然次生阔叶林、人工林和天然木组成。林下还分布有中旱生或旱生草甸植被</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在山顶部位分布有苔草、紫色</w:t>
                  </w:r>
                  <w:r>
                    <w:rPr>
                      <w:rFonts w:hint="default" w:ascii="Times New Roman" w:hAnsi="Times New Roman" w:eastAsia="宋体" w:cs="Times New Roman"/>
                      <w:color w:val="auto"/>
                      <w:sz w:val="21"/>
                      <w:szCs w:val="21"/>
                      <w:highlight w:val="none"/>
                      <w:lang w:eastAsia="zh-CN"/>
                    </w:rPr>
                    <w:t>凤毛菊</w:t>
                  </w:r>
                  <w:r>
                    <w:rPr>
                      <w:rFonts w:hint="default" w:ascii="Times New Roman" w:hAnsi="Times New Roman" w:eastAsia="宋体" w:cs="Times New Roman"/>
                      <w:color w:val="auto"/>
                      <w:sz w:val="21"/>
                      <w:szCs w:val="21"/>
                      <w:highlight w:val="none"/>
                    </w:rPr>
                    <w:t>、紫羊茅、鬼箭锦鸡儿</w:t>
                  </w:r>
                  <w:r>
                    <w:rPr>
                      <w:rFonts w:hint="default" w:ascii="Times New Roman" w:hAnsi="Times New Roman" w:eastAsia="宋体" w:cs="Times New Roman"/>
                      <w:color w:val="auto"/>
                      <w:sz w:val="21"/>
                      <w:szCs w:val="21"/>
                      <w:highlight w:val="none"/>
                      <w:lang w:eastAsia="zh-CN"/>
                    </w:rPr>
                    <w:t>和其他</w:t>
                  </w:r>
                  <w:r>
                    <w:rPr>
                      <w:rFonts w:hint="default" w:ascii="Times New Roman" w:hAnsi="Times New Roman" w:eastAsia="宋体" w:cs="Times New Roman"/>
                      <w:color w:val="auto"/>
                      <w:sz w:val="21"/>
                      <w:szCs w:val="21"/>
                      <w:highlight w:val="none"/>
                    </w:rPr>
                    <w:t>亚高山草甸植被。</w:t>
                  </w:r>
                </w:p>
              </w:tc>
            </w:tr>
          </w:tbl>
          <w:p>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0000FF"/>
                <w:kern w:val="0"/>
                <w:sz w:val="24"/>
                <w:highlight w:val="none"/>
              </w:rPr>
            </w:pPr>
            <w:r>
              <w:rPr>
                <w:rFonts w:hint="default" w:cs="Times New Roman"/>
                <w:kern w:val="0"/>
                <w:highlight w:val="none"/>
              </w:rPr>
              <w:t>本项目严格控制项目施工用地范围，避免越界施工，避免对原有植被的破坏；建筑垃圾应及时清理，同时做好水土流失防护工作，同时做好水土流失防护工作，符合《宁夏生态功能区划》功能区生态保护措施要求</w:t>
            </w:r>
            <w:r>
              <w:rPr>
                <w:rFonts w:hint="default" w:ascii="Times New Roman" w:hAnsi="Times New Roman" w:eastAsia="宋体" w:cs="Times New Roman"/>
                <w:color w:val="auto"/>
                <w:kern w:val="0"/>
                <w:sz w:val="24"/>
                <w:highlight w:val="none"/>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2" w:firstLineChars="200"/>
              <w:textAlignment w:val="auto"/>
              <w:rPr>
                <w:rFonts w:hint="eastAsia" w:cs="Times New Roman"/>
                <w:b/>
                <w:color w:val="auto"/>
                <w:kern w:val="0"/>
                <w:sz w:val="24"/>
                <w:highlight w:val="none"/>
                <w:lang w:val="en-US" w:eastAsia="zh-CN"/>
              </w:rPr>
            </w:pPr>
            <w:r>
              <w:rPr>
                <w:rFonts w:hint="eastAsia" w:cs="Times New Roman"/>
                <w:b/>
                <w:color w:val="auto"/>
                <w:kern w:val="0"/>
                <w:sz w:val="24"/>
                <w:highlight w:val="none"/>
                <w:lang w:val="en-US" w:eastAsia="zh-CN"/>
              </w:rPr>
              <w:t>2、生态环境现状调查</w:t>
            </w:r>
          </w:p>
          <w:p>
            <w:pPr>
              <w:keepNext w:val="0"/>
              <w:keepLines w:val="0"/>
              <w:pageBreakBefore w:val="0"/>
              <w:widowControl w:val="0"/>
              <w:suppressLineNumbers w:val="0"/>
              <w:kinsoku/>
              <w:overflowPunct/>
              <w:topLinePunct w:val="0"/>
              <w:bidi w:val="0"/>
              <w:adjustRightInd w:val="0"/>
              <w:snapToGrid w:val="0"/>
              <w:spacing w:before="120" w:beforeLines="50" w:beforeAutospacing="0" w:after="0" w:afterAutospacing="0" w:line="540" w:lineRule="exact"/>
              <w:ind w:left="0" w:right="0" w:firstLine="480"/>
              <w:textAlignment w:val="auto"/>
              <w:rPr>
                <w:rFonts w:hint="default" w:cs="Times New Roman"/>
                <w:bCs/>
                <w:highlight w:val="none"/>
              </w:rPr>
            </w:pPr>
            <w:r>
              <w:rPr>
                <w:rFonts w:hint="eastAsia" w:cs="Times New Roman"/>
                <w:bCs/>
                <w:highlight w:val="none"/>
                <w:lang w:eastAsia="zh-CN"/>
              </w:rPr>
              <w:t>（</w:t>
            </w:r>
            <w:r>
              <w:rPr>
                <w:rFonts w:hint="eastAsia" w:cs="Times New Roman"/>
                <w:bCs/>
                <w:highlight w:val="none"/>
                <w:lang w:val="en-US" w:eastAsia="zh-CN"/>
              </w:rPr>
              <w:t>1</w:t>
            </w:r>
            <w:r>
              <w:rPr>
                <w:rFonts w:hint="eastAsia" w:cs="Times New Roman"/>
                <w:bCs/>
                <w:highlight w:val="none"/>
                <w:lang w:eastAsia="zh-CN"/>
              </w:rPr>
              <w:t>）</w:t>
            </w:r>
            <w:r>
              <w:rPr>
                <w:rFonts w:hint="default" w:cs="Times New Roman"/>
                <w:bCs/>
                <w:highlight w:val="none"/>
              </w:rPr>
              <w:t>土壤现状</w:t>
            </w:r>
          </w:p>
          <w:p>
            <w:pPr>
              <w:keepNext w:val="0"/>
              <w:keepLines w:val="0"/>
              <w:pageBreakBefore w:val="0"/>
              <w:widowControl w:val="0"/>
              <w:suppressLineNumbers w:val="0"/>
              <w:kinsoku/>
              <w:overflowPunct/>
              <w:topLinePunct w:val="0"/>
              <w:bidi w:val="0"/>
              <w:adjustRightInd w:val="0"/>
              <w:snapToGrid w:val="0"/>
              <w:spacing w:before="0" w:beforeAutospacing="0" w:after="0" w:afterAutospacing="0" w:line="540" w:lineRule="exact"/>
              <w:ind w:left="0" w:right="0" w:firstLine="480"/>
              <w:textAlignment w:val="auto"/>
              <w:rPr>
                <w:rFonts w:hint="default" w:cs="Times New Roman"/>
                <w:bCs/>
                <w:color w:val="auto"/>
                <w:highlight w:val="none"/>
              </w:rPr>
            </w:pPr>
            <w:r>
              <w:rPr>
                <w:rFonts w:hint="default" w:cs="Times New Roman"/>
                <w:bCs/>
                <w:color w:val="auto"/>
                <w:highlight w:val="none"/>
              </w:rPr>
              <w:t>本项目区域</w:t>
            </w:r>
            <w:bookmarkStart w:id="12" w:name="OLE_LINK10"/>
            <w:r>
              <w:rPr>
                <w:rFonts w:hint="default" w:cs="Times New Roman"/>
                <w:bCs/>
                <w:color w:val="auto"/>
                <w:highlight w:val="none"/>
              </w:rPr>
              <w:t>土壤类型</w:t>
            </w:r>
            <w:bookmarkEnd w:id="12"/>
            <w:r>
              <w:rPr>
                <w:rFonts w:hint="default" w:cs="Times New Roman"/>
                <w:bCs/>
                <w:color w:val="auto"/>
                <w:highlight w:val="none"/>
              </w:rPr>
              <w:t>主要为</w:t>
            </w:r>
            <w:bookmarkStart w:id="13" w:name="OLE_LINK12"/>
            <w:r>
              <w:rPr>
                <w:rFonts w:hint="eastAsia" w:cs="Times New Roman"/>
                <w:bCs/>
                <w:color w:val="auto"/>
                <w:highlight w:val="none"/>
              </w:rPr>
              <w:t>灰褐土</w:t>
            </w:r>
            <w:r>
              <w:rPr>
                <w:rFonts w:hint="default" w:cs="Times New Roman"/>
                <w:bCs/>
                <w:color w:val="auto"/>
                <w:highlight w:val="none"/>
              </w:rPr>
              <w:t>和</w:t>
            </w:r>
            <w:r>
              <w:rPr>
                <w:rFonts w:hint="eastAsia" w:cs="Times New Roman"/>
                <w:bCs/>
                <w:color w:val="auto"/>
                <w:highlight w:val="none"/>
              </w:rPr>
              <w:t>暗黑垆土</w:t>
            </w:r>
            <w:bookmarkEnd w:id="13"/>
            <w:r>
              <w:rPr>
                <w:rFonts w:hint="default" w:cs="Times New Roman"/>
                <w:bCs/>
                <w:color w:val="auto"/>
                <w:highlight w:val="none"/>
              </w:rPr>
              <w:t>，土层较深厚，土体干燥。由于受洪积和冲积的影响，土壤剖面有明显的层性，土壤有机质含量低，盐碱含量</w:t>
            </w:r>
            <w:r>
              <w:rPr>
                <w:rFonts w:hint="eastAsia" w:cs="Times New Roman"/>
                <w:bCs/>
                <w:color w:val="auto"/>
                <w:highlight w:val="none"/>
                <w:lang w:eastAsia="zh-CN"/>
              </w:rPr>
              <w:t>低</w:t>
            </w:r>
            <w:r>
              <w:rPr>
                <w:rFonts w:hint="default" w:cs="Times New Roman"/>
                <w:bCs/>
                <w:color w:val="auto"/>
                <w:highlight w:val="none"/>
              </w:rPr>
              <w:t>。项目区风沙土厚度在50cm~300cm之间，土层较厚，下部为钙积层，呈暗灰褐色至黑褐色。</w:t>
            </w:r>
          </w:p>
          <w:p>
            <w:pPr>
              <w:keepNext w:val="0"/>
              <w:keepLines w:val="0"/>
              <w:pageBreakBefore w:val="0"/>
              <w:widowControl w:val="0"/>
              <w:suppressLineNumbers w:val="0"/>
              <w:kinsoku/>
              <w:overflowPunct/>
              <w:topLinePunct w:val="0"/>
              <w:bidi w:val="0"/>
              <w:adjustRightInd w:val="0"/>
              <w:snapToGrid w:val="0"/>
              <w:spacing w:before="0" w:beforeAutospacing="0" w:after="0" w:afterAutospacing="0" w:line="540" w:lineRule="exact"/>
              <w:ind w:left="0" w:right="0" w:firstLine="480"/>
              <w:textAlignment w:val="auto"/>
              <w:rPr>
                <w:rFonts w:hint="default" w:cs="Times New Roman"/>
                <w:bCs/>
                <w:highlight w:val="none"/>
              </w:rPr>
            </w:pPr>
            <w:r>
              <w:rPr>
                <w:rFonts w:hint="default" w:cs="Times New Roman"/>
                <w:bCs/>
                <w:highlight w:val="none"/>
              </w:rPr>
              <w:t>（</w:t>
            </w:r>
            <w:r>
              <w:rPr>
                <w:rFonts w:hint="eastAsia" w:cs="Times New Roman"/>
                <w:bCs/>
                <w:highlight w:val="none"/>
                <w:lang w:val="en-US" w:eastAsia="zh-CN"/>
              </w:rPr>
              <w:t>2</w:t>
            </w:r>
            <w:r>
              <w:rPr>
                <w:rFonts w:hint="default" w:cs="Times New Roman"/>
                <w:bCs/>
                <w:highlight w:val="none"/>
              </w:rPr>
              <w:t>）植被现状</w:t>
            </w:r>
          </w:p>
          <w:p>
            <w:pPr>
              <w:keepNext w:val="0"/>
              <w:keepLines w:val="0"/>
              <w:pageBreakBefore w:val="0"/>
              <w:widowControl w:val="0"/>
              <w:suppressLineNumbers w:val="0"/>
              <w:kinsoku/>
              <w:overflowPunct/>
              <w:topLinePunct w:val="0"/>
              <w:bidi w:val="0"/>
              <w:adjustRightInd w:val="0"/>
              <w:snapToGrid w:val="0"/>
              <w:spacing w:before="0" w:beforeAutospacing="0" w:after="0" w:afterAutospacing="0" w:line="540" w:lineRule="exact"/>
              <w:ind w:left="0" w:right="0" w:firstLine="480"/>
              <w:textAlignment w:val="auto"/>
              <w:rPr>
                <w:rFonts w:hint="eastAsia" w:cs="Times New Roman"/>
                <w:bCs/>
                <w:highlight w:val="none"/>
              </w:rPr>
            </w:pPr>
            <w:r>
              <w:rPr>
                <w:rFonts w:hint="default" w:cs="Times New Roman"/>
                <w:bCs/>
                <w:highlight w:val="none"/>
              </w:rPr>
              <w:t>根据《隆德县志》记载，隆德县境内植物共113科788种，其中药用90科618种。列名苔植物41种，藤类植物18种，藤类植物18种，裸子、被子植物729种。被子植物为优势种群，分86科，337属，占全国被子植物总科数的28.5%，占总属数的11.3%，占总种数的2.9%。788种植物中，资源植物322种11类。国家重点保护的稀有植物桃儿七、黄芹2种，造林树种及经济植物45种，油料植物50种，淀粉植物14种，纤维植物20种，单宁植物36种，牧草24种，花卉观赏植物18种，食用菌、藻类21种，食用菌、藻类21种，野生果菜类29种。渝河水生植物有香蒲、鸢尾、菖蒲、水葱、芦苇等</w:t>
            </w:r>
            <w:r>
              <w:rPr>
                <w:rFonts w:hint="eastAsia" w:cs="Times New Roman"/>
                <w:bCs/>
                <w:highlight w:val="none"/>
              </w:rPr>
              <w:t>。</w:t>
            </w:r>
          </w:p>
          <w:p>
            <w:pPr>
              <w:keepNext w:val="0"/>
              <w:keepLines w:val="0"/>
              <w:pageBreakBefore w:val="0"/>
              <w:widowControl w:val="0"/>
              <w:suppressLineNumbers w:val="0"/>
              <w:kinsoku/>
              <w:overflowPunct/>
              <w:topLinePunct w:val="0"/>
              <w:bidi w:val="0"/>
              <w:adjustRightInd w:val="0"/>
              <w:snapToGrid w:val="0"/>
              <w:spacing w:before="0" w:beforeAutospacing="0" w:after="0" w:afterAutospacing="0" w:line="540" w:lineRule="exact"/>
              <w:ind w:left="0" w:right="0" w:firstLine="480"/>
              <w:textAlignment w:val="auto"/>
              <w:rPr>
                <w:rFonts w:hint="default" w:cs="Times New Roman"/>
                <w:bCs/>
                <w:highlight w:val="none"/>
              </w:rPr>
            </w:pPr>
            <w:r>
              <w:rPr>
                <w:rFonts w:hint="default"/>
                <w:color w:val="auto"/>
                <w:sz w:val="24"/>
              </w:rPr>
              <w:t>根据《宁夏植被区划图》，项目所在区域植被区划属于宁南黄土高原南部森林草原化森林草原及栽培植被小区。主要生态系统类型有旱地、稀疏草地、落叶灌木林、裸土地等。其中落叶灌木林包括冷蒿和柠条，草本植被有短花针茅、牛枝子、耆状亚菊、漠蒿。草地有小灌木猫头刺、川青景鸡儿、荒漠景鸡儿等。</w:t>
            </w:r>
            <w:r>
              <w:rPr>
                <w:rFonts w:hint="default"/>
                <w:color w:val="auto"/>
                <w:sz w:val="24"/>
                <w:lang w:val="zh-CN"/>
              </w:rPr>
              <w:t>农田植被类型以</w:t>
            </w:r>
            <w:r>
              <w:rPr>
                <w:rFonts w:hint="default"/>
                <w:color w:val="auto"/>
                <w:sz w:val="24"/>
              </w:rPr>
              <w:t>春小麦</w:t>
            </w:r>
            <w:r>
              <w:rPr>
                <w:rFonts w:hint="default"/>
                <w:color w:val="auto"/>
                <w:sz w:val="24"/>
                <w:lang w:val="zh-CN"/>
              </w:rPr>
              <w:t>为主，含</w:t>
            </w:r>
            <w:r>
              <w:rPr>
                <w:rFonts w:hint="default"/>
                <w:color w:val="auto"/>
                <w:sz w:val="24"/>
              </w:rPr>
              <w:t>洋芋</w:t>
            </w:r>
            <w:r>
              <w:rPr>
                <w:rFonts w:hint="default"/>
                <w:color w:val="auto"/>
                <w:sz w:val="24"/>
                <w:lang w:val="zh-CN"/>
              </w:rPr>
              <w:t>、</w:t>
            </w:r>
            <w:r>
              <w:rPr>
                <w:rFonts w:hint="default"/>
                <w:color w:val="auto"/>
                <w:sz w:val="24"/>
              </w:rPr>
              <w:t>糜谷</w:t>
            </w:r>
            <w:r>
              <w:rPr>
                <w:rFonts w:hint="default"/>
                <w:color w:val="auto"/>
                <w:sz w:val="24"/>
                <w:lang w:val="zh-CN"/>
              </w:rPr>
              <w:t>、</w:t>
            </w:r>
            <w:r>
              <w:rPr>
                <w:rFonts w:hint="default"/>
                <w:color w:val="auto"/>
                <w:sz w:val="24"/>
              </w:rPr>
              <w:t>豆类、油料三年二熟作物。</w:t>
            </w:r>
            <w:r>
              <w:rPr>
                <w:rFonts w:hint="default" w:cs="Times New Roman"/>
                <w:bCs/>
                <w:highlight w:val="none"/>
              </w:rPr>
              <w:t>本项目在宁夏回族自治区植被分布图中位置</w:t>
            </w:r>
            <w:r>
              <w:rPr>
                <w:rFonts w:hint="default" w:cs="Times New Roman"/>
                <w:bCs/>
                <w:color w:val="auto"/>
                <w:highlight w:val="none"/>
              </w:rPr>
              <w:t>见附图</w:t>
            </w:r>
            <w:r>
              <w:rPr>
                <w:rFonts w:hint="eastAsia" w:cs="Times New Roman"/>
                <w:bCs/>
                <w:color w:val="auto"/>
                <w:highlight w:val="none"/>
                <w:lang w:val="en-US" w:eastAsia="zh-CN"/>
              </w:rPr>
              <w:t>10</w:t>
            </w:r>
            <w:r>
              <w:rPr>
                <w:rFonts w:hint="default" w:cs="Times New Roman"/>
                <w:bCs/>
                <w:color w:val="auto"/>
                <w:highlight w:val="none"/>
              </w:rPr>
              <w:t>。</w:t>
            </w:r>
          </w:p>
          <w:p>
            <w:pPr>
              <w:keepNext w:val="0"/>
              <w:keepLines w:val="0"/>
              <w:pageBreakBefore w:val="0"/>
              <w:widowControl w:val="0"/>
              <w:suppressLineNumbers w:val="0"/>
              <w:kinsoku/>
              <w:overflowPunct/>
              <w:topLinePunct w:val="0"/>
              <w:bidi w:val="0"/>
              <w:adjustRightInd w:val="0"/>
              <w:snapToGrid w:val="0"/>
              <w:spacing w:before="0" w:beforeAutospacing="0" w:after="0" w:afterAutospacing="0" w:line="540" w:lineRule="exact"/>
              <w:ind w:left="0" w:right="0" w:firstLine="480"/>
              <w:textAlignment w:val="auto"/>
              <w:rPr>
                <w:rFonts w:hint="default" w:cs="Times New Roman"/>
                <w:bCs/>
                <w:highlight w:val="none"/>
              </w:rPr>
            </w:pPr>
            <w:r>
              <w:rPr>
                <w:rFonts w:hint="default" w:cs="Times New Roman"/>
                <w:bCs/>
                <w:highlight w:val="none"/>
              </w:rPr>
              <w:t>（</w:t>
            </w:r>
            <w:r>
              <w:rPr>
                <w:rFonts w:hint="eastAsia" w:cs="Times New Roman"/>
                <w:bCs/>
                <w:highlight w:val="none"/>
                <w:lang w:val="en-US" w:eastAsia="zh-CN"/>
              </w:rPr>
              <w:t>3</w:t>
            </w:r>
            <w:r>
              <w:rPr>
                <w:rFonts w:hint="default" w:cs="Times New Roman"/>
                <w:bCs/>
                <w:highlight w:val="none"/>
              </w:rPr>
              <w:t>）动物现状</w:t>
            </w:r>
          </w:p>
          <w:p>
            <w:pPr>
              <w:keepNext w:val="0"/>
              <w:keepLines w:val="0"/>
              <w:pageBreakBefore w:val="0"/>
              <w:widowControl w:val="0"/>
              <w:suppressLineNumbers w:val="0"/>
              <w:kinsoku/>
              <w:overflowPunct/>
              <w:topLinePunct w:val="0"/>
              <w:bidi w:val="0"/>
              <w:adjustRightInd w:val="0"/>
              <w:snapToGrid w:val="0"/>
              <w:spacing w:before="0" w:beforeAutospacing="0" w:after="0" w:afterAutospacing="0" w:line="540" w:lineRule="exact"/>
              <w:ind w:left="0" w:right="0" w:firstLine="480"/>
              <w:textAlignment w:val="auto"/>
              <w:rPr>
                <w:rFonts w:hint="default" w:cs="Times New Roman"/>
                <w:bCs/>
                <w:highlight w:val="none"/>
              </w:rPr>
            </w:pPr>
            <w:r>
              <w:rPr>
                <w:rFonts w:hint="default" w:cs="Times New Roman"/>
                <w:bCs/>
                <w:highlight w:val="none"/>
              </w:rPr>
              <w:t>根据《隆德县志》记载，陆栖脊椎动物分森林动物群、灌丛草地动物群、河谷动物群和田舍动物群4类，隶属24目60科。载入名目207种，2个亚种。其中国家保护动物有金钱豹、麝、红腹锦鸡、勺鸡、金雕5种列为“濒危野生动植物国际贸易公约”保护的有狼豺和豹、猫3种，列为“中日候乌保护协定”的鸟有草警、鹤钨、燕隼、鹤剪、滨鹂、丘鹳、杜鹃、夜鹰、白腰雨燕、百灵、灰沙燕、家燕、毛脚燕、白鹤钨、田鹗、水鹗、树鹤、柏劳、黄鹂、寒鸦、够、石聘、地鹅、苇营、黄眉、寿带、山麻雀、朱雀、锡嘴雀、凫等36种。实齿蟾为六盘山独有动物，为中国特有珍稀动物品目之一。</w:t>
            </w:r>
          </w:p>
          <w:p>
            <w:pPr>
              <w:keepNext w:val="0"/>
              <w:keepLines w:val="0"/>
              <w:pageBreakBefore w:val="0"/>
              <w:widowControl w:val="0"/>
              <w:suppressLineNumbers w:val="0"/>
              <w:kinsoku/>
              <w:overflowPunct/>
              <w:topLinePunct w:val="0"/>
              <w:bidi w:val="0"/>
              <w:adjustRightInd w:val="0"/>
              <w:snapToGrid w:val="0"/>
              <w:spacing w:before="0" w:beforeAutospacing="0" w:after="0" w:afterAutospacing="0" w:line="540" w:lineRule="exact"/>
              <w:ind w:left="0" w:right="0" w:firstLine="480"/>
              <w:textAlignment w:val="auto"/>
              <w:rPr>
                <w:rFonts w:hint="default" w:cs="Times New Roman"/>
                <w:bCs/>
                <w:highlight w:val="none"/>
              </w:rPr>
            </w:pPr>
            <w:r>
              <w:rPr>
                <w:rFonts w:hint="default" w:cs="Times New Roman"/>
                <w:bCs/>
                <w:highlight w:val="none"/>
              </w:rPr>
              <w:t>水生动物中鱼类6种，鲤科3种、链鱼1种、瞅科2种。水生无脊椎动物45科85属，109种。摇蚊科动虫5种，26种为国内新记录。浮游动物17种，其中原生2种，轮虫7种，梳足虫2种，枝角类6种。</w:t>
            </w:r>
          </w:p>
          <w:p>
            <w:pPr>
              <w:keepNext w:val="0"/>
              <w:keepLines w:val="0"/>
              <w:pageBreakBefore w:val="0"/>
              <w:widowControl w:val="0"/>
              <w:suppressLineNumbers w:val="0"/>
              <w:kinsoku/>
              <w:overflowPunct/>
              <w:topLinePunct w:val="0"/>
              <w:bidi w:val="0"/>
              <w:adjustRightInd w:val="0"/>
              <w:snapToGrid w:val="0"/>
              <w:spacing w:before="0" w:beforeAutospacing="0" w:after="0" w:afterAutospacing="0" w:line="540" w:lineRule="exact"/>
              <w:ind w:left="0" w:right="0" w:firstLine="480"/>
              <w:textAlignment w:val="auto"/>
              <w:rPr>
                <w:rFonts w:hint="default" w:cs="Times New Roman"/>
                <w:bCs/>
                <w:highlight w:val="none"/>
              </w:rPr>
            </w:pPr>
            <w:r>
              <w:rPr>
                <w:rFonts w:hint="default" w:cs="Times New Roman"/>
                <w:bCs/>
                <w:highlight w:val="none"/>
              </w:rPr>
              <w:t>本项目区域不涉及保护动物栖息地，根据现场勘探，项目区域多为人类活动区域，无大型野生动物分布，主要为小型爬行类动物、小型哺乳类动物及鸟类。其中爬行类动物主要有沙晰、麻晰、壁虎和蛇类；哺乳类动物主要有田鼠、黄鼠、跳鼠沙鼠、野兔等；鸟类主要有乌鸦、喜鹊、麻雀、燕子等，无国家及地方珍稀保护动物在项目建设区域分布。</w:t>
            </w:r>
          </w:p>
          <w:p>
            <w:pPr>
              <w:keepNext w:val="0"/>
              <w:keepLines w:val="0"/>
              <w:pageBreakBefore w:val="0"/>
              <w:widowControl w:val="0"/>
              <w:suppressLineNumbers w:val="0"/>
              <w:kinsoku/>
              <w:overflowPunct/>
              <w:topLinePunct w:val="0"/>
              <w:bidi w:val="0"/>
              <w:adjustRightInd w:val="0"/>
              <w:snapToGrid w:val="0"/>
              <w:spacing w:before="0" w:beforeAutospacing="0" w:after="0" w:afterAutospacing="0" w:line="540" w:lineRule="exact"/>
              <w:ind w:left="0" w:right="0" w:firstLine="480"/>
              <w:textAlignment w:val="auto"/>
              <w:rPr>
                <w:rFonts w:hint="default" w:cs="Times New Roman"/>
                <w:bCs/>
                <w:color w:val="auto"/>
                <w:highlight w:val="none"/>
              </w:rPr>
            </w:pPr>
            <w:r>
              <w:rPr>
                <w:rFonts w:hint="default" w:cs="Times New Roman"/>
                <w:bCs/>
                <w:color w:val="auto"/>
                <w:highlight w:val="none"/>
              </w:rPr>
              <w:t>（</w:t>
            </w:r>
            <w:r>
              <w:rPr>
                <w:rFonts w:hint="eastAsia" w:cs="Times New Roman"/>
                <w:bCs/>
                <w:color w:val="auto"/>
                <w:highlight w:val="none"/>
                <w:lang w:val="en-US" w:eastAsia="zh-CN"/>
              </w:rPr>
              <w:t>4</w:t>
            </w:r>
            <w:r>
              <w:rPr>
                <w:rFonts w:hint="default" w:cs="Times New Roman"/>
                <w:bCs/>
                <w:color w:val="auto"/>
                <w:highlight w:val="none"/>
              </w:rPr>
              <w:t>）流域现状</w:t>
            </w:r>
          </w:p>
          <w:p>
            <w:pPr>
              <w:keepNext w:val="0"/>
              <w:keepLines w:val="0"/>
              <w:suppressLineNumbers w:val="0"/>
              <w:bidi w:val="0"/>
              <w:spacing w:before="0" w:beforeAutospacing="0" w:after="0" w:afterAutospacing="0"/>
              <w:ind w:left="0" w:right="0"/>
              <w:rPr>
                <w:rFonts w:hint="default" w:asciiTheme="minorAscii" w:hAnsiTheme="minorAscii"/>
                <w:color w:val="000000" w:themeColor="text1"/>
                <w14:textFill>
                  <w14:solidFill>
                    <w14:schemeClr w14:val="tx1"/>
                  </w14:solidFill>
                </w14:textFill>
              </w:rPr>
            </w:pPr>
            <w:r>
              <w:rPr>
                <w:rFonts w:hint="default" w:asciiTheme="minorAscii" w:hAnsiTheme="minorAscii"/>
                <w:color w:val="000000" w:themeColor="text1"/>
                <w14:textFill>
                  <w14:solidFill>
                    <w14:schemeClr w14:val="tx1"/>
                  </w14:solidFill>
                </w14:textFill>
              </w:rPr>
              <w:t>隆德县属渭河流域葫芦河上游东侧，全县从北向南依次有唐家河、什字河、好水川河、渝河、甘渭河、庄浪河、水洛河7条支流，自东向西流经全县，隆德县境内河流概况见表</w:t>
            </w:r>
            <w:r>
              <w:rPr>
                <w:rFonts w:hint="eastAsia" w:asciiTheme="minorAscii" w:hAnsiTheme="minorAscii"/>
                <w:color w:val="000000" w:themeColor="text1"/>
                <w:lang w:val="en-US" w:eastAsia="zh-CN"/>
                <w14:textFill>
                  <w14:solidFill>
                    <w14:schemeClr w14:val="tx1"/>
                  </w14:solidFill>
                </w14:textFill>
              </w:rPr>
              <w:t>3-2</w:t>
            </w:r>
            <w:r>
              <w:rPr>
                <w:rFonts w:hint="default" w:asciiTheme="minorAscii" w:hAnsiTheme="minorAscii"/>
                <w:color w:val="000000" w:themeColor="text1"/>
                <w14:textFill>
                  <w14:solidFill>
                    <w14:schemeClr w14:val="tx1"/>
                  </w14:solidFill>
                </w14:textFill>
              </w:rPr>
              <w:t>，境内水系情况见图</w:t>
            </w:r>
            <w:r>
              <w:rPr>
                <w:rFonts w:hint="default" w:ascii="Times New Roman" w:hAnsi="Times New Roman" w:cs="Times New Roman"/>
                <w:color w:val="000000" w:themeColor="text1"/>
                <w:lang w:val="en-US" w:eastAsia="zh-CN"/>
                <w14:textFill>
                  <w14:solidFill>
                    <w14:schemeClr w14:val="tx1"/>
                  </w14:solidFill>
                </w14:textFill>
              </w:rPr>
              <w:t>3-</w:t>
            </w:r>
            <w:r>
              <w:rPr>
                <w:rFonts w:hint="eastAsia"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p>
          <w:p>
            <w:pPr>
              <w:keepNext w:val="0"/>
              <w:keepLines w:val="0"/>
              <w:suppressLineNumbers w:val="0"/>
              <w:bidi w:val="0"/>
              <w:spacing w:before="0" w:beforeAutospacing="0" w:after="0" w:afterAutospacing="0"/>
              <w:ind w:left="0" w:right="0"/>
              <w:jc w:val="center"/>
              <w:rPr>
                <w:rFonts w:hint="default" w:asciiTheme="minorAscii" w:hAnsiTheme="minorAscii"/>
                <w:color w:val="000000" w:themeColor="text1"/>
                <w14:textFill>
                  <w14:solidFill>
                    <w14:schemeClr w14:val="tx1"/>
                  </w14:solidFill>
                </w14:textFill>
              </w:rPr>
            </w:pPr>
            <w:r>
              <w:rPr>
                <w:rFonts w:hint="eastAsia" w:ascii="宋体" w:hAnsi="宋体" w:eastAsia="宋体" w:cs="宋体"/>
                <w:b/>
                <w:bCs/>
                <w:spacing w:val="-5"/>
                <w:sz w:val="24"/>
                <w:szCs w:val="24"/>
                <w:highlight w:val="none"/>
                <w:lang w:val="en-US" w:eastAsia="zh-CN"/>
              </w:rPr>
              <w:t>表</w:t>
            </w:r>
            <w:r>
              <w:rPr>
                <w:rFonts w:hint="default" w:ascii="Times New Roman" w:hAnsi="Times New Roman" w:eastAsia="宋体" w:cs="Times New Roman"/>
                <w:b/>
                <w:bCs/>
                <w:spacing w:val="-5"/>
                <w:sz w:val="24"/>
                <w:szCs w:val="24"/>
                <w:highlight w:val="none"/>
                <w:lang w:val="en-US" w:eastAsia="zh-CN"/>
              </w:rPr>
              <w:t>3-</w:t>
            </w:r>
            <w:r>
              <w:rPr>
                <w:rFonts w:hint="eastAsia" w:ascii="Times New Roman" w:hAnsi="Times New Roman" w:eastAsia="宋体" w:cs="Times New Roman"/>
                <w:b/>
                <w:bCs/>
                <w:spacing w:val="-5"/>
                <w:sz w:val="24"/>
                <w:szCs w:val="24"/>
                <w:highlight w:val="none"/>
                <w:lang w:val="en-US" w:eastAsia="zh-CN"/>
              </w:rPr>
              <w:t>2</w:t>
            </w:r>
            <w:r>
              <w:rPr>
                <w:rFonts w:hint="eastAsia" w:ascii="宋体" w:hAnsi="宋体" w:eastAsia="宋体" w:cs="宋体"/>
                <w:b/>
                <w:bCs/>
                <w:spacing w:val="-5"/>
                <w:sz w:val="24"/>
                <w:szCs w:val="24"/>
                <w:highlight w:val="none"/>
                <w:lang w:val="en-US" w:eastAsia="zh-CN"/>
              </w:rPr>
              <w:t xml:space="preserve">  隆德县境内各河流概况表</w:t>
            </w:r>
          </w:p>
          <w:tbl>
            <w:tblPr>
              <w:tblStyle w:val="21"/>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1599"/>
              <w:gridCol w:w="1477"/>
              <w:gridCol w:w="1627"/>
              <w:gridCol w:w="23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2"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河流名称</w:t>
                  </w:r>
                </w:p>
              </w:tc>
              <w:tc>
                <w:tcPr>
                  <w:tcW w:w="159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流域面积（</w:t>
                  </w:r>
                  <w:r>
                    <w:rPr>
                      <w:rFonts w:hint="default" w:ascii="Times New Roman" w:hAnsi="Times New Roman" w:cs="Times New Roman"/>
                      <w:b/>
                      <w:bCs/>
                      <w:color w:val="auto"/>
                      <w:sz w:val="21"/>
                      <w:szCs w:val="21"/>
                      <w:highlight w:val="none"/>
                      <w:lang w:val="en-US" w:eastAsia="zh-CN"/>
                    </w:rPr>
                    <w:t>km</w:t>
                  </w:r>
                  <w:r>
                    <w:rPr>
                      <w:rFonts w:hint="default" w:ascii="Times New Roman" w:hAnsi="Times New Roman" w:cs="Times New Roman"/>
                      <w:b/>
                      <w:bCs/>
                      <w:color w:val="auto"/>
                      <w:sz w:val="21"/>
                      <w:szCs w:val="21"/>
                      <w:highlight w:val="none"/>
                      <w:vertAlign w:val="superscript"/>
                      <w:lang w:val="en-US" w:eastAsia="zh-CN"/>
                    </w:rPr>
                    <w:t>2</w:t>
                  </w:r>
                  <w:r>
                    <w:rPr>
                      <w:rFonts w:hint="default" w:ascii="Times New Roman" w:hAnsi="Times New Roman" w:cs="Times New Roman"/>
                      <w:b/>
                      <w:bCs/>
                      <w:color w:val="auto"/>
                      <w:sz w:val="21"/>
                      <w:szCs w:val="21"/>
                      <w:highlight w:val="none"/>
                      <w:lang w:eastAsia="zh-CN"/>
                    </w:rPr>
                    <w:t>）</w:t>
                  </w:r>
                </w:p>
              </w:tc>
              <w:tc>
                <w:tcPr>
                  <w:tcW w:w="1477"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总长度（</w:t>
                  </w:r>
                  <w:r>
                    <w:rPr>
                      <w:rFonts w:hint="default" w:ascii="Times New Roman" w:hAnsi="Times New Roman" w:cs="Times New Roman"/>
                      <w:b/>
                      <w:bCs/>
                      <w:color w:val="auto"/>
                      <w:sz w:val="21"/>
                      <w:szCs w:val="21"/>
                      <w:highlight w:val="none"/>
                      <w:lang w:val="en-US" w:eastAsia="zh-CN"/>
                    </w:rPr>
                    <w:t>km</w:t>
                  </w:r>
                  <w:r>
                    <w:rPr>
                      <w:rFonts w:hint="default" w:ascii="Times New Roman" w:hAnsi="Times New Roman" w:cs="Times New Roman"/>
                      <w:b/>
                      <w:bCs/>
                      <w:color w:val="auto"/>
                      <w:sz w:val="21"/>
                      <w:szCs w:val="21"/>
                      <w:highlight w:val="none"/>
                      <w:lang w:eastAsia="zh-CN"/>
                    </w:rPr>
                    <w:t>）</w:t>
                  </w:r>
                </w:p>
              </w:tc>
              <w:tc>
                <w:tcPr>
                  <w:tcW w:w="1627"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河道比降（</w:t>
                  </w:r>
                  <w:r>
                    <w:rPr>
                      <w:rFonts w:hint="default" w:ascii="Times New Roman" w:hAnsi="Times New Roman"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eastAsia="zh-CN"/>
                    </w:rPr>
                    <w:t>）</w:t>
                  </w:r>
                </w:p>
              </w:tc>
              <w:tc>
                <w:tcPr>
                  <w:tcW w:w="2385"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2" w:type="dxa"/>
                  <w:tcBorders>
                    <w:tl2br w:val="nil"/>
                    <w:tr2bl w:val="nil"/>
                  </w:tcBorders>
                  <w:shd w:val="clear" w:color="auto" w:fill="auto"/>
                  <w:vAlign w:val="center"/>
                </w:tcPr>
                <w:p>
                  <w:pPr>
                    <w:pStyle w:val="35"/>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b/>
                      <w:bCs/>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唐家河</w:t>
                  </w:r>
                </w:p>
              </w:tc>
              <w:tc>
                <w:tcPr>
                  <w:tcW w:w="1599" w:type="dxa"/>
                  <w:tcBorders>
                    <w:tl2br w:val="nil"/>
                    <w:tr2bl w:val="nil"/>
                  </w:tcBorders>
                  <w:shd w:val="clear" w:color="auto" w:fill="auto"/>
                  <w:vAlign w:val="center"/>
                </w:tcPr>
                <w:p>
                  <w:pPr>
                    <w:pStyle w:val="35"/>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13</w:t>
                  </w:r>
                </w:p>
              </w:tc>
              <w:tc>
                <w:tcPr>
                  <w:tcW w:w="1477" w:type="dxa"/>
                  <w:tcBorders>
                    <w:tl2br w:val="nil"/>
                    <w:tr2bl w:val="nil"/>
                  </w:tcBorders>
                  <w:shd w:val="clear" w:color="auto" w:fill="auto"/>
                  <w:vAlign w:val="center"/>
                </w:tcPr>
                <w:p>
                  <w:pPr>
                    <w:pStyle w:val="35"/>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w:t>
                  </w:r>
                </w:p>
              </w:tc>
              <w:tc>
                <w:tcPr>
                  <w:tcW w:w="1627" w:type="dxa"/>
                  <w:tcBorders>
                    <w:tl2br w:val="nil"/>
                    <w:tr2bl w:val="nil"/>
                  </w:tcBorders>
                  <w:shd w:val="clear" w:color="auto" w:fill="auto"/>
                  <w:vAlign w:val="center"/>
                </w:tcPr>
                <w:p>
                  <w:pPr>
                    <w:pStyle w:val="35"/>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31</w:t>
                  </w:r>
                </w:p>
              </w:tc>
              <w:tc>
                <w:tcPr>
                  <w:tcW w:w="2385" w:type="dxa"/>
                  <w:tcBorders>
                    <w:tl2br w:val="nil"/>
                    <w:tr2bl w:val="nil"/>
                  </w:tcBorders>
                  <w:shd w:val="clear" w:color="auto" w:fill="auto"/>
                  <w:vAlign w:val="center"/>
                </w:tcPr>
                <w:p>
                  <w:pPr>
                    <w:pStyle w:val="35"/>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黄土丘陵区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2" w:type="dxa"/>
                  <w:tcBorders>
                    <w:tl2br w:val="nil"/>
                    <w:tr2bl w:val="nil"/>
                  </w:tcBorders>
                  <w:shd w:val="clear" w:color="auto" w:fill="auto"/>
                  <w:vAlign w:val="center"/>
                </w:tcPr>
                <w:p>
                  <w:pPr>
                    <w:pStyle w:val="35"/>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b/>
                      <w:bCs/>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什字路河</w:t>
                  </w:r>
                </w:p>
              </w:tc>
              <w:tc>
                <w:tcPr>
                  <w:tcW w:w="1599" w:type="dxa"/>
                  <w:tcBorders>
                    <w:tl2br w:val="nil"/>
                    <w:tr2bl w:val="nil"/>
                  </w:tcBorders>
                  <w:shd w:val="clear" w:color="auto" w:fill="auto"/>
                  <w:vAlign w:val="center"/>
                </w:tcPr>
                <w:p>
                  <w:pPr>
                    <w:pStyle w:val="35"/>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140.3</w:t>
                  </w:r>
                </w:p>
              </w:tc>
              <w:tc>
                <w:tcPr>
                  <w:tcW w:w="1477" w:type="dxa"/>
                  <w:tcBorders>
                    <w:tl2br w:val="nil"/>
                    <w:tr2bl w:val="nil"/>
                  </w:tcBorders>
                  <w:shd w:val="clear" w:color="auto" w:fill="auto"/>
                  <w:vAlign w:val="center"/>
                </w:tcPr>
                <w:p>
                  <w:pPr>
                    <w:pStyle w:val="35"/>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29.0</w:t>
                  </w:r>
                </w:p>
              </w:tc>
              <w:tc>
                <w:tcPr>
                  <w:tcW w:w="1627" w:type="dxa"/>
                  <w:tcBorders>
                    <w:tl2br w:val="nil"/>
                    <w:tr2bl w:val="nil"/>
                  </w:tcBorders>
                  <w:shd w:val="clear" w:color="auto" w:fill="auto"/>
                  <w:vAlign w:val="center"/>
                </w:tcPr>
                <w:p>
                  <w:pPr>
                    <w:pStyle w:val="35"/>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9.68</w:t>
                  </w:r>
                </w:p>
              </w:tc>
              <w:tc>
                <w:tcPr>
                  <w:tcW w:w="2385" w:type="dxa"/>
                  <w:tcBorders>
                    <w:tl2br w:val="nil"/>
                    <w:tr2bl w:val="nil"/>
                  </w:tcBorders>
                  <w:shd w:val="clear" w:color="auto" w:fill="auto"/>
                  <w:vAlign w:val="center"/>
                </w:tcPr>
                <w:p>
                  <w:pPr>
                    <w:pStyle w:val="35"/>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土石山区及黄土丘陵区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2" w:type="dxa"/>
                  <w:tcBorders>
                    <w:tl2br w:val="nil"/>
                    <w:tr2bl w:val="nil"/>
                  </w:tcBorders>
                  <w:shd w:val="clear" w:color="auto" w:fill="auto"/>
                  <w:vAlign w:val="center"/>
                </w:tcPr>
                <w:p>
                  <w:pPr>
                    <w:pStyle w:val="35"/>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b/>
                      <w:bCs/>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好水河</w:t>
                  </w:r>
                </w:p>
              </w:tc>
              <w:tc>
                <w:tcPr>
                  <w:tcW w:w="1599" w:type="dxa"/>
                  <w:tcBorders>
                    <w:tl2br w:val="nil"/>
                    <w:tr2bl w:val="nil"/>
                  </w:tcBorders>
                  <w:shd w:val="clear" w:color="auto" w:fill="auto"/>
                  <w:vAlign w:val="center"/>
                </w:tcPr>
                <w:p>
                  <w:pPr>
                    <w:pStyle w:val="35"/>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138</w:t>
                  </w:r>
                </w:p>
              </w:tc>
              <w:tc>
                <w:tcPr>
                  <w:tcW w:w="1477" w:type="dxa"/>
                  <w:tcBorders>
                    <w:tl2br w:val="nil"/>
                    <w:tr2bl w:val="nil"/>
                  </w:tcBorders>
                  <w:shd w:val="clear" w:color="auto" w:fill="auto"/>
                  <w:vAlign w:val="center"/>
                </w:tcPr>
                <w:p>
                  <w:pPr>
                    <w:pStyle w:val="35"/>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27.0</w:t>
                  </w:r>
                </w:p>
              </w:tc>
              <w:tc>
                <w:tcPr>
                  <w:tcW w:w="1627" w:type="dxa"/>
                  <w:tcBorders>
                    <w:tl2br w:val="nil"/>
                    <w:tr2bl w:val="nil"/>
                  </w:tcBorders>
                  <w:shd w:val="clear" w:color="auto" w:fill="auto"/>
                  <w:vAlign w:val="center"/>
                </w:tcPr>
                <w:p>
                  <w:pPr>
                    <w:pStyle w:val="35"/>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22</w:t>
                  </w:r>
                </w:p>
              </w:tc>
              <w:tc>
                <w:tcPr>
                  <w:tcW w:w="2385" w:type="dxa"/>
                  <w:tcBorders>
                    <w:tl2br w:val="nil"/>
                    <w:tr2bl w:val="nil"/>
                  </w:tcBorders>
                  <w:shd w:val="clear" w:color="auto" w:fill="auto"/>
                  <w:vAlign w:val="center"/>
                </w:tcPr>
                <w:p>
                  <w:pPr>
                    <w:pStyle w:val="35"/>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土石山区及黄土丘陵区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2" w:type="dxa"/>
                  <w:tcBorders>
                    <w:tl2br w:val="nil"/>
                    <w:tr2bl w:val="nil"/>
                  </w:tcBorders>
                  <w:shd w:val="clear" w:color="auto" w:fill="auto"/>
                  <w:vAlign w:val="center"/>
                </w:tcPr>
                <w:p>
                  <w:pPr>
                    <w:pStyle w:val="35"/>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b/>
                      <w:bCs/>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渝  河</w:t>
                  </w:r>
                </w:p>
              </w:tc>
              <w:tc>
                <w:tcPr>
                  <w:tcW w:w="1599" w:type="dxa"/>
                  <w:tcBorders>
                    <w:tl2br w:val="nil"/>
                    <w:tr2bl w:val="nil"/>
                  </w:tcBorders>
                  <w:shd w:val="clear" w:color="auto" w:fill="auto"/>
                  <w:vAlign w:val="center"/>
                </w:tcPr>
                <w:p>
                  <w:pPr>
                    <w:pStyle w:val="35"/>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462.6</w:t>
                  </w:r>
                </w:p>
              </w:tc>
              <w:tc>
                <w:tcPr>
                  <w:tcW w:w="1477" w:type="dxa"/>
                  <w:tcBorders>
                    <w:tl2br w:val="nil"/>
                    <w:tr2bl w:val="nil"/>
                  </w:tcBorders>
                  <w:shd w:val="clear" w:color="auto" w:fill="auto"/>
                  <w:vAlign w:val="center"/>
                </w:tcPr>
                <w:p>
                  <w:pPr>
                    <w:pStyle w:val="35"/>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47.1</w:t>
                  </w:r>
                </w:p>
              </w:tc>
              <w:tc>
                <w:tcPr>
                  <w:tcW w:w="1627" w:type="dxa"/>
                  <w:tcBorders>
                    <w:tl2br w:val="nil"/>
                    <w:tr2bl w:val="nil"/>
                  </w:tcBorders>
                  <w:shd w:val="clear" w:color="auto" w:fill="auto"/>
                  <w:vAlign w:val="center"/>
                </w:tcPr>
                <w:p>
                  <w:pPr>
                    <w:pStyle w:val="35"/>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w:t>
                  </w:r>
                </w:p>
              </w:tc>
              <w:tc>
                <w:tcPr>
                  <w:tcW w:w="2385" w:type="dxa"/>
                  <w:tcBorders>
                    <w:tl2br w:val="nil"/>
                    <w:tr2bl w:val="nil"/>
                  </w:tcBorders>
                  <w:shd w:val="clear" w:color="auto" w:fill="auto"/>
                  <w:vAlign w:val="center"/>
                </w:tcPr>
                <w:p>
                  <w:pPr>
                    <w:pStyle w:val="35"/>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土石山区及黄土丘陵区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2" w:type="dxa"/>
                  <w:tcBorders>
                    <w:tl2br w:val="nil"/>
                    <w:tr2bl w:val="nil"/>
                  </w:tcBorders>
                  <w:shd w:val="clear" w:color="auto" w:fill="auto"/>
                  <w:vAlign w:val="center"/>
                </w:tcPr>
                <w:p>
                  <w:pPr>
                    <w:pStyle w:val="35"/>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b/>
                      <w:bCs/>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甘渭河</w:t>
                  </w:r>
                </w:p>
              </w:tc>
              <w:tc>
                <w:tcPr>
                  <w:tcW w:w="1599" w:type="dxa"/>
                  <w:tcBorders>
                    <w:tl2br w:val="nil"/>
                    <w:tr2bl w:val="nil"/>
                  </w:tcBorders>
                  <w:shd w:val="clear" w:color="auto" w:fill="auto"/>
                  <w:vAlign w:val="center"/>
                </w:tcPr>
                <w:p>
                  <w:pPr>
                    <w:pStyle w:val="35"/>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113</w:t>
                  </w:r>
                </w:p>
              </w:tc>
              <w:tc>
                <w:tcPr>
                  <w:tcW w:w="1477" w:type="dxa"/>
                  <w:tcBorders>
                    <w:tl2br w:val="nil"/>
                    <w:tr2bl w:val="nil"/>
                  </w:tcBorders>
                  <w:shd w:val="clear" w:color="auto" w:fill="auto"/>
                  <w:vAlign w:val="center"/>
                </w:tcPr>
                <w:p>
                  <w:pPr>
                    <w:pStyle w:val="35"/>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35.1</w:t>
                  </w:r>
                </w:p>
              </w:tc>
              <w:tc>
                <w:tcPr>
                  <w:tcW w:w="1627" w:type="dxa"/>
                  <w:tcBorders>
                    <w:tl2br w:val="nil"/>
                    <w:tr2bl w:val="nil"/>
                  </w:tcBorders>
                  <w:shd w:val="clear" w:color="auto" w:fill="auto"/>
                  <w:vAlign w:val="center"/>
                </w:tcPr>
                <w:p>
                  <w:pPr>
                    <w:pStyle w:val="35"/>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21</w:t>
                  </w:r>
                </w:p>
              </w:tc>
              <w:tc>
                <w:tcPr>
                  <w:tcW w:w="2385" w:type="dxa"/>
                  <w:tcBorders>
                    <w:tl2br w:val="nil"/>
                    <w:tr2bl w:val="nil"/>
                  </w:tcBorders>
                  <w:shd w:val="clear" w:color="auto" w:fill="auto"/>
                  <w:vAlign w:val="center"/>
                </w:tcPr>
                <w:p>
                  <w:pPr>
                    <w:pStyle w:val="35"/>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土石山区及黄土丘陵区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2" w:type="dxa"/>
                  <w:tcBorders>
                    <w:tl2br w:val="nil"/>
                    <w:tr2bl w:val="nil"/>
                  </w:tcBorders>
                  <w:shd w:val="clear" w:color="auto" w:fill="auto"/>
                  <w:vAlign w:val="center"/>
                </w:tcPr>
                <w:p>
                  <w:pPr>
                    <w:pStyle w:val="35"/>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b/>
                      <w:bCs/>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庄浪河</w:t>
                  </w:r>
                </w:p>
              </w:tc>
              <w:tc>
                <w:tcPr>
                  <w:tcW w:w="1599" w:type="dxa"/>
                  <w:tcBorders>
                    <w:tl2br w:val="nil"/>
                    <w:tr2bl w:val="nil"/>
                  </w:tcBorders>
                  <w:shd w:val="clear" w:color="auto" w:fill="auto"/>
                  <w:vAlign w:val="center"/>
                </w:tcPr>
                <w:p>
                  <w:pPr>
                    <w:pStyle w:val="35"/>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94.2</w:t>
                  </w:r>
                </w:p>
              </w:tc>
              <w:tc>
                <w:tcPr>
                  <w:tcW w:w="1477" w:type="dxa"/>
                  <w:tcBorders>
                    <w:tl2br w:val="nil"/>
                    <w:tr2bl w:val="nil"/>
                  </w:tcBorders>
                  <w:shd w:val="clear" w:color="auto" w:fill="auto"/>
                  <w:vAlign w:val="center"/>
                </w:tcPr>
                <w:p>
                  <w:pPr>
                    <w:pStyle w:val="35"/>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17.5</w:t>
                  </w:r>
                </w:p>
              </w:tc>
              <w:tc>
                <w:tcPr>
                  <w:tcW w:w="1627" w:type="dxa"/>
                  <w:tcBorders>
                    <w:tl2br w:val="nil"/>
                    <w:tr2bl w:val="nil"/>
                  </w:tcBorders>
                  <w:shd w:val="clear" w:color="auto" w:fill="auto"/>
                  <w:vAlign w:val="center"/>
                </w:tcPr>
                <w:p>
                  <w:pPr>
                    <w:pStyle w:val="35"/>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w:t>
                  </w:r>
                </w:p>
              </w:tc>
              <w:tc>
                <w:tcPr>
                  <w:tcW w:w="2385" w:type="dxa"/>
                  <w:tcBorders>
                    <w:tl2br w:val="nil"/>
                    <w:tr2bl w:val="nil"/>
                  </w:tcBorders>
                  <w:shd w:val="clear" w:color="auto" w:fill="auto"/>
                  <w:vAlign w:val="center"/>
                </w:tcPr>
                <w:p>
                  <w:pPr>
                    <w:pStyle w:val="35"/>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土石山区及黄土丘陵区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2" w:type="dxa"/>
                  <w:tcBorders>
                    <w:tl2br w:val="nil"/>
                    <w:tr2bl w:val="nil"/>
                  </w:tcBorders>
                  <w:shd w:val="clear" w:color="auto" w:fill="auto"/>
                  <w:vAlign w:val="center"/>
                </w:tcPr>
                <w:p>
                  <w:pPr>
                    <w:pStyle w:val="35"/>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b/>
                      <w:bCs/>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水洛河</w:t>
                  </w:r>
                </w:p>
              </w:tc>
              <w:tc>
                <w:tcPr>
                  <w:tcW w:w="1599" w:type="dxa"/>
                  <w:tcBorders>
                    <w:tl2br w:val="nil"/>
                    <w:tr2bl w:val="nil"/>
                  </w:tcBorders>
                  <w:shd w:val="clear" w:color="auto" w:fill="auto"/>
                  <w:vAlign w:val="center"/>
                </w:tcPr>
                <w:p>
                  <w:pPr>
                    <w:pStyle w:val="35"/>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43.9</w:t>
                  </w:r>
                </w:p>
              </w:tc>
              <w:tc>
                <w:tcPr>
                  <w:tcW w:w="1477" w:type="dxa"/>
                  <w:tcBorders>
                    <w:tl2br w:val="nil"/>
                    <w:tr2bl w:val="nil"/>
                  </w:tcBorders>
                  <w:shd w:val="clear" w:color="auto" w:fill="auto"/>
                  <w:vAlign w:val="center"/>
                </w:tcPr>
                <w:p>
                  <w:pPr>
                    <w:pStyle w:val="35"/>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w:t>
                  </w:r>
                </w:p>
              </w:tc>
              <w:tc>
                <w:tcPr>
                  <w:tcW w:w="1627" w:type="dxa"/>
                  <w:tcBorders>
                    <w:tl2br w:val="nil"/>
                    <w:tr2bl w:val="nil"/>
                  </w:tcBorders>
                  <w:shd w:val="clear" w:color="auto" w:fill="auto"/>
                  <w:vAlign w:val="center"/>
                </w:tcPr>
                <w:p>
                  <w:pPr>
                    <w:pStyle w:val="35"/>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27</w:t>
                  </w:r>
                </w:p>
              </w:tc>
              <w:tc>
                <w:tcPr>
                  <w:tcW w:w="2385" w:type="dxa"/>
                  <w:tcBorders>
                    <w:tl2br w:val="nil"/>
                    <w:tr2bl w:val="nil"/>
                  </w:tcBorders>
                  <w:shd w:val="clear" w:color="auto" w:fill="auto"/>
                  <w:vAlign w:val="center"/>
                </w:tcPr>
                <w:p>
                  <w:pPr>
                    <w:pStyle w:val="35"/>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土石山区及黄土丘陵区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2" w:type="dxa"/>
                  <w:tcBorders>
                    <w:tl2br w:val="nil"/>
                    <w:tr2bl w:val="nil"/>
                  </w:tcBorders>
                  <w:shd w:val="clear" w:color="auto" w:fill="auto"/>
                  <w:vAlign w:val="center"/>
                </w:tcPr>
                <w:p>
                  <w:pPr>
                    <w:pStyle w:val="35"/>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合  计</w:t>
                  </w:r>
                </w:p>
              </w:tc>
              <w:tc>
                <w:tcPr>
                  <w:tcW w:w="1599" w:type="dxa"/>
                  <w:tcBorders>
                    <w:tl2br w:val="nil"/>
                    <w:tr2bl w:val="nil"/>
                  </w:tcBorders>
                  <w:shd w:val="clear" w:color="auto" w:fill="auto"/>
                  <w:vAlign w:val="center"/>
                </w:tcPr>
                <w:p>
                  <w:pPr>
                    <w:pStyle w:val="35"/>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1005</w:t>
                  </w:r>
                </w:p>
              </w:tc>
              <w:tc>
                <w:tcPr>
                  <w:tcW w:w="1477" w:type="dxa"/>
                  <w:tcBorders>
                    <w:tl2br w:val="nil"/>
                    <w:tr2bl w:val="nil"/>
                  </w:tcBorders>
                  <w:shd w:val="clear" w:color="auto" w:fill="auto"/>
                  <w:vAlign w:val="center"/>
                </w:tcPr>
                <w:p>
                  <w:pPr>
                    <w:pStyle w:val="35"/>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162.70</w:t>
                  </w:r>
                </w:p>
              </w:tc>
              <w:tc>
                <w:tcPr>
                  <w:tcW w:w="1627" w:type="dxa"/>
                  <w:tcBorders>
                    <w:tl2br w:val="nil"/>
                    <w:tr2bl w:val="nil"/>
                  </w:tcBorders>
                  <w:shd w:val="clear" w:color="auto" w:fill="auto"/>
                  <w:vAlign w:val="center"/>
                </w:tcPr>
                <w:p>
                  <w:pPr>
                    <w:pStyle w:val="35"/>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p>
              </w:tc>
              <w:tc>
                <w:tcPr>
                  <w:tcW w:w="2385" w:type="dxa"/>
                  <w:tcBorders>
                    <w:tl2br w:val="nil"/>
                    <w:tr2bl w:val="nil"/>
                  </w:tcBorders>
                  <w:shd w:val="clear" w:color="auto" w:fill="auto"/>
                  <w:vAlign w:val="center"/>
                </w:tcPr>
                <w:p>
                  <w:pPr>
                    <w:pStyle w:val="35"/>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p>
              </w:tc>
            </w:tr>
          </w:tbl>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240" w:lineRule="auto"/>
              <w:ind w:left="0" w:leftChars="0" w:right="0" w:firstLine="0" w:firstLineChars="0"/>
              <w:jc w:val="center"/>
              <w:textAlignment w:val="auto"/>
              <w:rPr>
                <w:rFonts w:hint="eastAsia" w:eastAsia="宋体" w:asciiTheme="minorAscii" w:hAnsiTheme="minorAscii"/>
                <w:color w:val="000000" w:themeColor="text1"/>
                <w:lang w:eastAsia="zh-CN"/>
                <w14:textFill>
                  <w14:solidFill>
                    <w14:schemeClr w14:val="tx1"/>
                  </w14:solidFill>
                </w14:textFill>
              </w:rPr>
            </w:pPr>
            <w:r>
              <w:rPr>
                <w:rFonts w:hint="eastAsia" w:eastAsia="宋体" w:asciiTheme="minorAscii" w:hAnsiTheme="minorAscii"/>
                <w:color w:val="000000" w:themeColor="text1"/>
                <w:lang w:eastAsia="zh-CN"/>
                <w14:textFill>
                  <w14:solidFill>
                    <w14:schemeClr w14:val="tx1"/>
                  </w14:solidFill>
                </w14:textFill>
              </w:rPr>
              <w:drawing>
                <wp:inline distT="0" distB="0" distL="114300" distR="114300">
                  <wp:extent cx="3855720" cy="4304665"/>
                  <wp:effectExtent l="0" t="0" r="11430" b="635"/>
                  <wp:docPr id="8" name="图片 8" descr="隆德县水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隆德县水系图"/>
                          <pic:cNvPicPr>
                            <a:picLocks noChangeAspect="1"/>
                          </pic:cNvPicPr>
                        </pic:nvPicPr>
                        <pic:blipFill>
                          <a:blip r:embed="rId14"/>
                          <a:stretch>
                            <a:fillRect/>
                          </a:stretch>
                        </pic:blipFill>
                        <pic:spPr>
                          <a:xfrm>
                            <a:off x="0" y="0"/>
                            <a:ext cx="3855720" cy="4304665"/>
                          </a:xfrm>
                          <a:prstGeom prst="rect">
                            <a:avLst/>
                          </a:prstGeom>
                        </pic:spPr>
                      </pic:pic>
                    </a:graphicData>
                  </a:graphic>
                </wp:inline>
              </w:drawing>
            </w:r>
          </w:p>
          <w:p>
            <w:pPr>
              <w:keepNext w:val="0"/>
              <w:keepLines w:val="0"/>
              <w:suppressLineNumbers w:val="0"/>
              <w:bidi w:val="0"/>
              <w:spacing w:before="0" w:beforeAutospacing="0" w:after="0" w:afterAutospacing="0"/>
              <w:ind w:left="0" w:right="0"/>
              <w:jc w:val="center"/>
              <w:rPr>
                <w:rFonts w:hint="default" w:asciiTheme="minorAscii" w:hAnsiTheme="minorAscii"/>
                <w:color w:val="000000" w:themeColor="text1"/>
                <w14:textFill>
                  <w14:solidFill>
                    <w14:schemeClr w14:val="tx1"/>
                  </w14:solidFill>
                </w14:textFill>
              </w:rPr>
            </w:pPr>
            <w:r>
              <w:rPr>
                <w:rFonts w:hint="eastAsia" w:ascii="Times New Roman" w:hAnsi="Times New Roman" w:eastAsia="宋体" w:cs="Times New Roman"/>
                <w:b/>
                <w:bCs/>
                <w:spacing w:val="-5"/>
                <w:sz w:val="24"/>
                <w:szCs w:val="24"/>
                <w:highlight w:val="none"/>
                <w:lang w:val="en-US" w:eastAsia="zh-CN"/>
              </w:rPr>
              <w:t>图7</w:t>
            </w:r>
            <w:r>
              <w:rPr>
                <w:rFonts w:hint="eastAsia" w:ascii="宋体" w:hAnsi="宋体" w:eastAsia="宋体" w:cs="宋体"/>
                <w:b/>
                <w:bCs/>
                <w:spacing w:val="-5"/>
                <w:sz w:val="24"/>
                <w:szCs w:val="24"/>
                <w:highlight w:val="none"/>
                <w:lang w:val="en-US" w:eastAsia="zh-CN"/>
              </w:rPr>
              <w:t xml:space="preserve">  隆德县水系图</w:t>
            </w:r>
          </w:p>
          <w:p>
            <w:pPr>
              <w:keepNext w:val="0"/>
              <w:keepLines w:val="0"/>
              <w:pageBreakBefore w:val="0"/>
              <w:widowControl w:val="0"/>
              <w:suppressLineNumbers w:val="0"/>
              <w:kinsoku/>
              <w:overflowPunct/>
              <w:topLinePunct w:val="0"/>
              <w:bidi w:val="0"/>
              <w:adjustRightInd w:val="0"/>
              <w:snapToGrid w:val="0"/>
              <w:spacing w:before="0" w:beforeAutospacing="0" w:after="0" w:afterAutospacing="0" w:line="540" w:lineRule="exact"/>
              <w:ind w:left="0" w:right="0" w:firstLine="480"/>
              <w:textAlignment w:val="auto"/>
              <w:rPr>
                <w:rFonts w:hint="default" w:cs="Times New Roman"/>
                <w:bCs/>
                <w:color w:val="auto"/>
                <w:highlight w:val="none"/>
              </w:rPr>
            </w:pPr>
            <w:r>
              <w:rPr>
                <w:rFonts w:hint="default" w:cs="Times New Roman"/>
                <w:bCs/>
                <w:color w:val="auto"/>
                <w:highlight w:val="none"/>
              </w:rPr>
              <w:t>本项目涉及流域为渝河。黄河三级支流，葫芦河的一级支流，全长47.1km，自东向西流经隆德县城关、沙塘、神林、联财4个乡镇后，进入甘肃省静宁县，汇入葫芦河。流域总面积481km</w:t>
            </w:r>
            <w:r>
              <w:rPr>
                <w:rFonts w:hint="default" w:cs="Times New Roman"/>
                <w:bCs/>
                <w:color w:val="auto"/>
                <w:highlight w:val="none"/>
                <w:vertAlign w:val="superscript"/>
              </w:rPr>
              <w:t>2</w:t>
            </w:r>
            <w:r>
              <w:rPr>
                <w:rFonts w:hint="default" w:cs="Times New Roman"/>
                <w:bCs/>
                <w:color w:val="auto"/>
                <w:highlight w:val="none"/>
              </w:rPr>
              <w:t>，年均流量8.24m</w:t>
            </w:r>
            <w:r>
              <w:rPr>
                <w:rFonts w:hint="default" w:cs="Times New Roman"/>
                <w:bCs/>
                <w:color w:val="auto"/>
                <w:highlight w:val="none"/>
                <w:vertAlign w:val="superscript"/>
              </w:rPr>
              <w:t>3</w:t>
            </w:r>
            <w:r>
              <w:rPr>
                <w:rFonts w:hint="default" w:cs="Times New Roman"/>
                <w:bCs/>
                <w:color w:val="auto"/>
                <w:highlight w:val="none"/>
              </w:rPr>
              <w:t>/s，主要支流有朱庄河、甜水河、筛子河、清流河、清凉河等。本项目在宁夏回族自治区水系</w:t>
            </w:r>
            <w:r>
              <w:rPr>
                <w:rFonts w:hint="eastAsia" w:cs="Times New Roman"/>
                <w:bCs/>
                <w:color w:val="auto"/>
                <w:highlight w:val="none"/>
                <w:lang w:eastAsia="zh-CN"/>
              </w:rPr>
              <w:t>分布</w:t>
            </w:r>
            <w:r>
              <w:rPr>
                <w:rFonts w:hint="default" w:cs="Times New Roman"/>
                <w:bCs/>
                <w:color w:val="auto"/>
                <w:highlight w:val="none"/>
              </w:rPr>
              <w:t>图中位置</w:t>
            </w:r>
            <w:r>
              <w:rPr>
                <w:rFonts w:hint="eastAsia" w:cs="Times New Roman"/>
                <w:bCs/>
                <w:color w:val="auto"/>
                <w:highlight w:val="none"/>
                <w:lang w:eastAsia="zh-CN"/>
              </w:rPr>
              <w:t>关系</w:t>
            </w:r>
            <w:r>
              <w:rPr>
                <w:rFonts w:hint="default" w:cs="Times New Roman"/>
                <w:bCs/>
                <w:color w:val="auto"/>
                <w:highlight w:val="none"/>
              </w:rPr>
              <w:t>见附图</w:t>
            </w:r>
            <w:r>
              <w:rPr>
                <w:rFonts w:hint="eastAsia" w:cs="Times New Roman"/>
                <w:bCs/>
                <w:color w:val="auto"/>
                <w:highlight w:val="none"/>
                <w:lang w:val="en-US" w:eastAsia="zh-CN"/>
              </w:rPr>
              <w:t>11</w:t>
            </w:r>
            <w:r>
              <w:rPr>
                <w:rFonts w:hint="default" w:cs="Times New Roman"/>
                <w:bCs/>
                <w:color w:val="auto"/>
                <w:highlight w:val="none"/>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2" w:firstLineChars="200"/>
              <w:textAlignment w:val="auto"/>
              <w:rPr>
                <w:rFonts w:hint="eastAsia" w:cs="Times New Roman"/>
                <w:b/>
                <w:color w:val="auto"/>
                <w:kern w:val="0"/>
                <w:sz w:val="24"/>
                <w:highlight w:val="none"/>
                <w:lang w:val="en-US" w:eastAsia="zh-CN"/>
              </w:rPr>
            </w:pPr>
            <w:r>
              <w:rPr>
                <w:rFonts w:hint="eastAsia" w:cs="Times New Roman"/>
                <w:b/>
                <w:color w:val="auto"/>
                <w:kern w:val="0"/>
                <w:sz w:val="24"/>
                <w:highlight w:val="none"/>
                <w:lang w:val="en-US" w:eastAsia="zh-CN"/>
              </w:rPr>
              <w:t>3、环境空气质量现状</w:t>
            </w:r>
          </w:p>
          <w:p>
            <w:pPr>
              <w:keepNext w:val="0"/>
              <w:keepLines w:val="0"/>
              <w:pageBreakBefore w:val="0"/>
              <w:widowControl w:val="0"/>
              <w:suppressLineNumbers w:val="0"/>
              <w:kinsoku/>
              <w:overflowPunct/>
              <w:topLinePunct w:val="0"/>
              <w:bidi w:val="0"/>
              <w:adjustRightInd w:val="0"/>
              <w:snapToGrid w:val="0"/>
              <w:spacing w:before="0" w:beforeAutospacing="0" w:after="0" w:afterAutospacing="0" w:line="540" w:lineRule="exact"/>
              <w:ind w:left="0" w:right="0" w:firstLine="480"/>
              <w:textAlignment w:val="auto"/>
              <w:rPr>
                <w:rFonts w:hint="default" w:cs="Times New Roman"/>
                <w:highlight w:val="none"/>
              </w:rPr>
            </w:pPr>
            <w:r>
              <w:rPr>
                <w:rFonts w:hint="default" w:cs="Times New Roman"/>
                <w:highlight w:val="none"/>
              </w:rPr>
              <w:t>本项目位于固原市隆德县，根据《</w:t>
            </w:r>
            <w:bookmarkStart w:id="14" w:name="OLE_LINK5"/>
            <w:r>
              <w:rPr>
                <w:rFonts w:hint="default" w:cs="Times New Roman"/>
                <w:highlight w:val="none"/>
              </w:rPr>
              <w:t>202</w:t>
            </w:r>
            <w:r>
              <w:rPr>
                <w:rFonts w:hint="eastAsia" w:cs="Times New Roman"/>
                <w:highlight w:val="none"/>
                <w:lang w:val="en-US" w:eastAsia="zh-CN"/>
              </w:rPr>
              <w:t>3</w:t>
            </w:r>
            <w:r>
              <w:rPr>
                <w:rFonts w:hint="default" w:cs="Times New Roman"/>
                <w:highlight w:val="none"/>
              </w:rPr>
              <w:t>年宁夏生态环境质量状况</w:t>
            </w:r>
            <w:bookmarkEnd w:id="14"/>
            <w:r>
              <w:rPr>
                <w:rFonts w:hint="default" w:cs="Times New Roman"/>
                <w:highlight w:val="none"/>
              </w:rPr>
              <w:t>》公布的固原市隆德县202</w:t>
            </w:r>
            <w:r>
              <w:rPr>
                <w:rFonts w:hint="eastAsia" w:cs="Times New Roman"/>
                <w:highlight w:val="none"/>
              </w:rPr>
              <w:t>3</w:t>
            </w:r>
            <w:r>
              <w:rPr>
                <w:rFonts w:hint="default" w:cs="Times New Roman"/>
                <w:highlight w:val="none"/>
              </w:rPr>
              <w:t>年剔除沙尘天气后的环境质量数据，固原市隆德县环境空气质量状况见表3-</w:t>
            </w:r>
            <w:r>
              <w:rPr>
                <w:rFonts w:hint="eastAsia" w:cs="Times New Roman"/>
                <w:highlight w:val="none"/>
                <w:lang w:val="en-US" w:eastAsia="zh-CN"/>
              </w:rPr>
              <w:t>3</w:t>
            </w:r>
            <w:r>
              <w:rPr>
                <w:rFonts w:hint="default" w:cs="Times New Roman"/>
                <w:highlight w:val="none"/>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0" w:firstLineChars="0"/>
              <w:jc w:val="center"/>
              <w:textAlignment w:val="auto"/>
              <w:rPr>
                <w:rFonts w:hint="default" w:eastAsia="黑体" w:cs="Times New Roman"/>
                <w:highlight w:val="none"/>
              </w:rPr>
            </w:pPr>
            <w:r>
              <w:rPr>
                <w:rFonts w:hint="eastAsia" w:ascii="宋体" w:hAnsi="宋体" w:eastAsia="宋体" w:cs="宋体"/>
                <w:b/>
                <w:bCs/>
                <w:highlight w:val="none"/>
              </w:rPr>
              <w:t>表</w:t>
            </w:r>
            <w:r>
              <w:rPr>
                <w:rFonts w:hint="default" w:ascii="Times New Roman" w:hAnsi="Times New Roman" w:eastAsia="宋体" w:cs="Times New Roman"/>
                <w:b/>
                <w:bCs/>
                <w:highlight w:val="none"/>
              </w:rPr>
              <w:t>3-</w:t>
            </w:r>
            <w:r>
              <w:rPr>
                <w:rFonts w:hint="eastAsia" w:cs="Times New Roman"/>
                <w:b/>
                <w:bCs/>
                <w:highlight w:val="none"/>
                <w:lang w:val="en-US" w:eastAsia="zh-CN"/>
              </w:rPr>
              <w:t>3</w:t>
            </w:r>
            <w:r>
              <w:rPr>
                <w:rFonts w:hint="eastAsia" w:ascii="宋体" w:hAnsi="宋体" w:eastAsia="宋体" w:cs="宋体"/>
                <w:b/>
                <w:bCs/>
                <w:highlight w:val="none"/>
              </w:rPr>
              <w:t xml:space="preserve">  区域空气质量现状评价表</w:t>
            </w:r>
          </w:p>
          <w:tbl>
            <w:tblPr>
              <w:tblStyle w:val="21"/>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0"/>
              <w:gridCol w:w="2577"/>
              <w:gridCol w:w="1290"/>
              <w:gridCol w:w="1290"/>
              <w:gridCol w:w="1046"/>
              <w:gridCol w:w="11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sz w:val="21"/>
                      <w:szCs w:val="21"/>
                      <w:highlight w:val="none"/>
                    </w:rPr>
                  </w:pPr>
                  <w:r>
                    <w:rPr>
                      <w:rFonts w:hint="default" w:cs="Times New Roman"/>
                      <w:b/>
                      <w:sz w:val="21"/>
                      <w:szCs w:val="21"/>
                      <w:highlight w:val="none"/>
                    </w:rPr>
                    <w:t>污染物</w:t>
                  </w:r>
                </w:p>
              </w:tc>
              <w:tc>
                <w:tcPr>
                  <w:tcW w:w="2577"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sz w:val="21"/>
                      <w:szCs w:val="21"/>
                      <w:highlight w:val="none"/>
                    </w:rPr>
                  </w:pPr>
                  <w:r>
                    <w:rPr>
                      <w:rFonts w:hint="default" w:cs="Times New Roman"/>
                      <w:b/>
                      <w:sz w:val="21"/>
                      <w:szCs w:val="21"/>
                      <w:highlight w:val="none"/>
                    </w:rPr>
                    <w:t>年评价指标</w:t>
                  </w:r>
                </w:p>
              </w:tc>
              <w:tc>
                <w:tcPr>
                  <w:tcW w:w="129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sz w:val="21"/>
                      <w:szCs w:val="21"/>
                      <w:highlight w:val="none"/>
                    </w:rPr>
                  </w:pPr>
                  <w:r>
                    <w:rPr>
                      <w:rFonts w:hint="default" w:cs="Times New Roman"/>
                      <w:b/>
                      <w:sz w:val="21"/>
                      <w:szCs w:val="21"/>
                      <w:highlight w:val="none"/>
                    </w:rPr>
                    <w:t>现状值（μg/m</w:t>
                  </w:r>
                  <w:r>
                    <w:rPr>
                      <w:rFonts w:hint="default" w:cs="Times New Roman"/>
                      <w:b/>
                      <w:sz w:val="21"/>
                      <w:szCs w:val="21"/>
                      <w:highlight w:val="none"/>
                      <w:vertAlign w:val="superscript"/>
                    </w:rPr>
                    <w:t>3</w:t>
                  </w:r>
                  <w:r>
                    <w:rPr>
                      <w:rFonts w:hint="default" w:cs="Times New Roman"/>
                      <w:b/>
                      <w:sz w:val="21"/>
                      <w:szCs w:val="21"/>
                      <w:highlight w:val="none"/>
                    </w:rPr>
                    <w:t>）</w:t>
                  </w:r>
                </w:p>
              </w:tc>
              <w:tc>
                <w:tcPr>
                  <w:tcW w:w="129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sz w:val="21"/>
                      <w:szCs w:val="21"/>
                      <w:highlight w:val="none"/>
                    </w:rPr>
                  </w:pPr>
                  <w:r>
                    <w:rPr>
                      <w:rFonts w:hint="default" w:cs="Times New Roman"/>
                      <w:b/>
                      <w:sz w:val="21"/>
                      <w:szCs w:val="21"/>
                      <w:highlight w:val="none"/>
                    </w:rPr>
                    <w:t>标准值（μg/m</w:t>
                  </w:r>
                  <w:r>
                    <w:rPr>
                      <w:rFonts w:hint="default" w:cs="Times New Roman"/>
                      <w:b/>
                      <w:sz w:val="21"/>
                      <w:szCs w:val="21"/>
                      <w:highlight w:val="none"/>
                      <w:vertAlign w:val="superscript"/>
                    </w:rPr>
                    <w:t>3</w:t>
                  </w:r>
                  <w:r>
                    <w:rPr>
                      <w:rFonts w:hint="default" w:cs="Times New Roman"/>
                      <w:b/>
                      <w:sz w:val="21"/>
                      <w:szCs w:val="21"/>
                      <w:highlight w:val="none"/>
                    </w:rPr>
                    <w:t>）</w:t>
                  </w:r>
                </w:p>
              </w:tc>
              <w:tc>
                <w:tcPr>
                  <w:tcW w:w="1046"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sz w:val="21"/>
                      <w:szCs w:val="21"/>
                      <w:highlight w:val="none"/>
                    </w:rPr>
                  </w:pPr>
                  <w:r>
                    <w:rPr>
                      <w:rFonts w:hint="default" w:cs="Times New Roman"/>
                      <w:b/>
                      <w:sz w:val="21"/>
                      <w:szCs w:val="21"/>
                      <w:highlight w:val="none"/>
                    </w:rPr>
                    <w:t>占标率（%）</w:t>
                  </w:r>
                </w:p>
              </w:tc>
              <w:tc>
                <w:tcPr>
                  <w:tcW w:w="1127"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sz w:val="21"/>
                      <w:szCs w:val="21"/>
                      <w:highlight w:val="none"/>
                    </w:rPr>
                  </w:pPr>
                  <w:r>
                    <w:rPr>
                      <w:rFonts w:hint="default" w:cs="Times New Roman"/>
                      <w:b/>
                      <w:sz w:val="21"/>
                      <w:szCs w:val="21"/>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PM</w:t>
                  </w:r>
                  <w:r>
                    <w:rPr>
                      <w:rFonts w:hint="default" w:cs="Times New Roman"/>
                      <w:sz w:val="21"/>
                      <w:szCs w:val="21"/>
                      <w:highlight w:val="none"/>
                      <w:vertAlign w:val="subscript"/>
                    </w:rPr>
                    <w:t>10</w:t>
                  </w:r>
                </w:p>
              </w:tc>
              <w:tc>
                <w:tcPr>
                  <w:tcW w:w="2577"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年平均质量浓度</w:t>
                  </w:r>
                </w:p>
              </w:tc>
              <w:tc>
                <w:tcPr>
                  <w:tcW w:w="129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31</w:t>
                  </w:r>
                </w:p>
              </w:tc>
              <w:tc>
                <w:tcPr>
                  <w:tcW w:w="129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70</w:t>
                  </w:r>
                </w:p>
              </w:tc>
              <w:tc>
                <w:tcPr>
                  <w:tcW w:w="1046"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44.29</w:t>
                  </w:r>
                </w:p>
              </w:tc>
              <w:tc>
                <w:tcPr>
                  <w:tcW w:w="1127"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PM</w:t>
                  </w:r>
                  <w:r>
                    <w:rPr>
                      <w:rFonts w:hint="default" w:cs="Times New Roman"/>
                      <w:sz w:val="21"/>
                      <w:szCs w:val="21"/>
                      <w:highlight w:val="none"/>
                      <w:vertAlign w:val="subscript"/>
                    </w:rPr>
                    <w:t>2.5</w:t>
                  </w:r>
                </w:p>
              </w:tc>
              <w:tc>
                <w:tcPr>
                  <w:tcW w:w="2577"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年平均质量浓度</w:t>
                  </w:r>
                </w:p>
              </w:tc>
              <w:tc>
                <w:tcPr>
                  <w:tcW w:w="129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15</w:t>
                  </w:r>
                </w:p>
              </w:tc>
              <w:tc>
                <w:tcPr>
                  <w:tcW w:w="129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35</w:t>
                  </w:r>
                </w:p>
              </w:tc>
              <w:tc>
                <w:tcPr>
                  <w:tcW w:w="1046"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42.86</w:t>
                  </w:r>
                </w:p>
              </w:tc>
              <w:tc>
                <w:tcPr>
                  <w:tcW w:w="1127"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SO</w:t>
                  </w:r>
                  <w:r>
                    <w:rPr>
                      <w:rFonts w:hint="default" w:cs="Times New Roman"/>
                      <w:sz w:val="21"/>
                      <w:szCs w:val="21"/>
                      <w:highlight w:val="none"/>
                      <w:vertAlign w:val="subscript"/>
                    </w:rPr>
                    <w:t>2</w:t>
                  </w:r>
                </w:p>
              </w:tc>
              <w:tc>
                <w:tcPr>
                  <w:tcW w:w="2577"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年平均质量浓度</w:t>
                  </w:r>
                </w:p>
              </w:tc>
              <w:tc>
                <w:tcPr>
                  <w:tcW w:w="129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6</w:t>
                  </w:r>
                </w:p>
              </w:tc>
              <w:tc>
                <w:tcPr>
                  <w:tcW w:w="129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60</w:t>
                  </w:r>
                </w:p>
              </w:tc>
              <w:tc>
                <w:tcPr>
                  <w:tcW w:w="1046"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eastAsia="宋体" w:cs="Times New Roman"/>
                      <w:sz w:val="21"/>
                      <w:szCs w:val="21"/>
                      <w:highlight w:val="none"/>
                      <w:lang w:val="en-US" w:eastAsia="zh-CN"/>
                    </w:rPr>
                  </w:pPr>
                  <w:r>
                    <w:rPr>
                      <w:rFonts w:hint="default" w:cs="Times New Roman"/>
                      <w:sz w:val="21"/>
                      <w:szCs w:val="21"/>
                      <w:highlight w:val="none"/>
                    </w:rPr>
                    <w:t>1</w:t>
                  </w:r>
                  <w:r>
                    <w:rPr>
                      <w:rFonts w:hint="eastAsia" w:cs="Times New Roman"/>
                      <w:sz w:val="21"/>
                      <w:szCs w:val="21"/>
                      <w:highlight w:val="none"/>
                      <w:lang w:val="en-US" w:eastAsia="zh-CN"/>
                    </w:rPr>
                    <w:t>0</w:t>
                  </w:r>
                </w:p>
              </w:tc>
              <w:tc>
                <w:tcPr>
                  <w:tcW w:w="1127"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NO</w:t>
                  </w:r>
                  <w:r>
                    <w:rPr>
                      <w:rFonts w:hint="default" w:cs="Times New Roman"/>
                      <w:sz w:val="21"/>
                      <w:szCs w:val="21"/>
                      <w:highlight w:val="none"/>
                      <w:vertAlign w:val="subscript"/>
                    </w:rPr>
                    <w:t>2</w:t>
                  </w:r>
                </w:p>
              </w:tc>
              <w:tc>
                <w:tcPr>
                  <w:tcW w:w="2577"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年平均质量浓度</w:t>
                  </w:r>
                </w:p>
              </w:tc>
              <w:tc>
                <w:tcPr>
                  <w:tcW w:w="129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10</w:t>
                  </w:r>
                </w:p>
              </w:tc>
              <w:tc>
                <w:tcPr>
                  <w:tcW w:w="129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40</w:t>
                  </w:r>
                </w:p>
              </w:tc>
              <w:tc>
                <w:tcPr>
                  <w:tcW w:w="1046"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25</w:t>
                  </w:r>
                </w:p>
              </w:tc>
              <w:tc>
                <w:tcPr>
                  <w:tcW w:w="1127"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jc w:val="center"/>
              </w:trPr>
              <w:tc>
                <w:tcPr>
                  <w:tcW w:w="89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CO</w:t>
                  </w:r>
                </w:p>
              </w:tc>
              <w:tc>
                <w:tcPr>
                  <w:tcW w:w="2577"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日平均第95百分位数</w:t>
                  </w:r>
                </w:p>
              </w:tc>
              <w:tc>
                <w:tcPr>
                  <w:tcW w:w="129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0.9mg/m</w:t>
                  </w:r>
                  <w:r>
                    <w:rPr>
                      <w:rFonts w:hint="default" w:cs="Times New Roman"/>
                      <w:sz w:val="21"/>
                      <w:szCs w:val="21"/>
                      <w:highlight w:val="none"/>
                      <w:vertAlign w:val="superscript"/>
                    </w:rPr>
                    <w:t>3</w:t>
                  </w:r>
                </w:p>
              </w:tc>
              <w:tc>
                <w:tcPr>
                  <w:tcW w:w="129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4mg/m</w:t>
                  </w:r>
                  <w:r>
                    <w:rPr>
                      <w:rFonts w:hint="default" w:cs="Times New Roman"/>
                      <w:sz w:val="21"/>
                      <w:szCs w:val="21"/>
                      <w:highlight w:val="none"/>
                      <w:vertAlign w:val="superscript"/>
                    </w:rPr>
                    <w:t>3</w:t>
                  </w:r>
                </w:p>
              </w:tc>
              <w:tc>
                <w:tcPr>
                  <w:tcW w:w="1046"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22.5</w:t>
                  </w:r>
                </w:p>
              </w:tc>
              <w:tc>
                <w:tcPr>
                  <w:tcW w:w="1127"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O</w:t>
                  </w:r>
                  <w:r>
                    <w:rPr>
                      <w:rFonts w:hint="default" w:cs="Times New Roman"/>
                      <w:sz w:val="21"/>
                      <w:szCs w:val="21"/>
                      <w:highlight w:val="none"/>
                      <w:vertAlign w:val="subscript"/>
                    </w:rPr>
                    <w:t>3</w:t>
                  </w:r>
                </w:p>
              </w:tc>
              <w:tc>
                <w:tcPr>
                  <w:tcW w:w="2577" w:type="dxa"/>
                  <w:tcBorders>
                    <w:tl2br w:val="nil"/>
                    <w:tr2bl w:val="nil"/>
                  </w:tcBorders>
                  <w:vAlign w:val="center"/>
                </w:tcPr>
                <w:p>
                  <w:pPr>
                    <w:pStyle w:val="11"/>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kern w:val="2"/>
                      <w:sz w:val="21"/>
                      <w:szCs w:val="21"/>
                      <w:highlight w:val="none"/>
                    </w:rPr>
                  </w:pPr>
                  <w:r>
                    <w:rPr>
                      <w:rFonts w:hint="default" w:cs="Times New Roman"/>
                      <w:kern w:val="2"/>
                      <w:sz w:val="21"/>
                      <w:szCs w:val="21"/>
                      <w:highlight w:val="none"/>
                    </w:rPr>
                    <w:t>日最大8小时平均值</w:t>
                  </w:r>
                </w:p>
              </w:tc>
              <w:tc>
                <w:tcPr>
                  <w:tcW w:w="1290" w:type="dxa"/>
                  <w:tcBorders>
                    <w:tl2br w:val="nil"/>
                    <w:tr2bl w:val="nil"/>
                  </w:tcBorders>
                  <w:vAlign w:val="center"/>
                </w:tcPr>
                <w:p>
                  <w:pPr>
                    <w:pStyle w:val="11"/>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kern w:val="2"/>
                      <w:sz w:val="21"/>
                      <w:szCs w:val="21"/>
                      <w:highlight w:val="none"/>
                    </w:rPr>
                  </w:pPr>
                  <w:r>
                    <w:rPr>
                      <w:rFonts w:hint="default" w:cs="Times New Roman"/>
                      <w:kern w:val="2"/>
                      <w:sz w:val="21"/>
                      <w:szCs w:val="21"/>
                      <w:highlight w:val="none"/>
                    </w:rPr>
                    <w:t>134</w:t>
                  </w:r>
                </w:p>
              </w:tc>
              <w:tc>
                <w:tcPr>
                  <w:tcW w:w="1290" w:type="dxa"/>
                  <w:tcBorders>
                    <w:tl2br w:val="nil"/>
                    <w:tr2bl w:val="nil"/>
                  </w:tcBorders>
                  <w:vAlign w:val="center"/>
                </w:tcPr>
                <w:p>
                  <w:pPr>
                    <w:pStyle w:val="11"/>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kern w:val="2"/>
                      <w:sz w:val="21"/>
                      <w:szCs w:val="21"/>
                      <w:highlight w:val="none"/>
                    </w:rPr>
                  </w:pPr>
                  <w:r>
                    <w:rPr>
                      <w:rFonts w:hint="default" w:cs="Times New Roman"/>
                      <w:kern w:val="2"/>
                      <w:sz w:val="21"/>
                      <w:szCs w:val="21"/>
                      <w:highlight w:val="none"/>
                    </w:rPr>
                    <w:t>160</w:t>
                  </w:r>
                </w:p>
              </w:tc>
              <w:tc>
                <w:tcPr>
                  <w:tcW w:w="1046" w:type="dxa"/>
                  <w:tcBorders>
                    <w:tl2br w:val="nil"/>
                    <w:tr2bl w:val="nil"/>
                  </w:tcBorders>
                  <w:vAlign w:val="center"/>
                </w:tcPr>
                <w:p>
                  <w:pPr>
                    <w:pStyle w:val="11"/>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kern w:val="2"/>
                      <w:sz w:val="21"/>
                      <w:szCs w:val="21"/>
                      <w:highlight w:val="none"/>
                    </w:rPr>
                  </w:pPr>
                  <w:r>
                    <w:rPr>
                      <w:rFonts w:hint="default" w:cs="Times New Roman"/>
                      <w:kern w:val="2"/>
                      <w:sz w:val="21"/>
                      <w:szCs w:val="21"/>
                      <w:highlight w:val="none"/>
                    </w:rPr>
                    <w:t>83.75</w:t>
                  </w:r>
                </w:p>
              </w:tc>
              <w:tc>
                <w:tcPr>
                  <w:tcW w:w="1127" w:type="dxa"/>
                  <w:tcBorders>
                    <w:tl2br w:val="nil"/>
                    <w:tr2bl w:val="nil"/>
                  </w:tcBorders>
                  <w:vAlign w:val="center"/>
                </w:tcPr>
                <w:p>
                  <w:pPr>
                    <w:pStyle w:val="11"/>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kern w:val="2"/>
                      <w:sz w:val="21"/>
                      <w:szCs w:val="21"/>
                      <w:highlight w:val="none"/>
                    </w:rPr>
                  </w:pPr>
                  <w:r>
                    <w:rPr>
                      <w:rFonts w:hint="default" w:cs="Times New Roman"/>
                      <w:kern w:val="2"/>
                      <w:sz w:val="21"/>
                      <w:szCs w:val="21"/>
                      <w:highlight w:val="none"/>
                    </w:rPr>
                    <w:t>达标</w:t>
                  </w:r>
                </w:p>
              </w:tc>
            </w:tr>
          </w:tbl>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540" w:lineRule="exact"/>
              <w:ind w:left="0" w:right="0" w:firstLine="480"/>
              <w:textAlignment w:val="auto"/>
              <w:rPr>
                <w:rFonts w:hint="default" w:cs="Times New Roman"/>
                <w:highlight w:val="none"/>
              </w:rPr>
            </w:pPr>
            <w:r>
              <w:rPr>
                <w:rFonts w:hint="default" w:cs="Times New Roman"/>
                <w:kern w:val="0"/>
                <w:highlight w:val="none"/>
              </w:rPr>
              <w:t>固原市隆德县202</w:t>
            </w:r>
            <w:r>
              <w:rPr>
                <w:rFonts w:hint="eastAsia" w:cs="Times New Roman"/>
                <w:kern w:val="0"/>
                <w:highlight w:val="none"/>
              </w:rPr>
              <w:t>3</w:t>
            </w:r>
            <w:r>
              <w:rPr>
                <w:rFonts w:hint="default" w:cs="Times New Roman"/>
                <w:kern w:val="0"/>
                <w:highlight w:val="none"/>
              </w:rPr>
              <w:t>年剔除沙尘天气后的监测数据均满足《环境空气质量标准》（GB3095-2012）及其2018年修改单中二级标准，属于达标区。</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2" w:firstLineChars="200"/>
              <w:textAlignment w:val="auto"/>
              <w:rPr>
                <w:rFonts w:hint="eastAsia" w:cs="Times New Roman"/>
                <w:b/>
                <w:color w:val="auto"/>
                <w:kern w:val="0"/>
                <w:sz w:val="24"/>
                <w:highlight w:val="none"/>
                <w:lang w:val="en-US" w:eastAsia="zh-CN"/>
              </w:rPr>
            </w:pPr>
            <w:r>
              <w:rPr>
                <w:rFonts w:hint="eastAsia" w:cs="Times New Roman"/>
                <w:b/>
                <w:color w:val="auto"/>
                <w:kern w:val="0"/>
                <w:sz w:val="24"/>
                <w:highlight w:val="none"/>
                <w:lang w:val="en-US" w:eastAsia="zh-CN"/>
              </w:rPr>
              <w:t>4、地表水环境质量现状</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rPr>
            </w:pPr>
            <w:r>
              <w:rPr>
                <w:rFonts w:hint="default" w:cs="Times New Roman"/>
                <w:bCs/>
                <w:highlight w:val="none"/>
              </w:rPr>
              <w:t>本项目所在区域地表水为渝河，</w:t>
            </w:r>
            <w:r>
              <w:rPr>
                <w:rFonts w:hint="eastAsia" w:ascii="Times New Roman" w:hAnsi="Times New Roman" w:eastAsia="宋体" w:cs="Times New Roman"/>
                <w:bCs/>
                <w:highlight w:val="none"/>
                <w:lang w:eastAsia="zh-CN"/>
              </w:rPr>
              <w:t>根据</w:t>
            </w:r>
            <w:r>
              <w:rPr>
                <w:rFonts w:hint="default" w:ascii="Times New Roman" w:hAnsi="Times New Roman" w:eastAsia="宋体" w:cs="Times New Roman"/>
                <w:bCs/>
                <w:highlight w:val="none"/>
              </w:rPr>
              <w:t>《地表水环境质量标准》(GB3838-2002)</w:t>
            </w:r>
            <w:r>
              <w:rPr>
                <w:rFonts w:hint="eastAsia" w:ascii="Times New Roman" w:hAnsi="Times New Roman" w:eastAsia="宋体" w:cs="Times New Roman"/>
                <w:bCs/>
                <w:highlight w:val="none"/>
                <w:lang w:eastAsia="zh-CN"/>
              </w:rPr>
              <w:t>水体功能为</w:t>
            </w:r>
            <w:r>
              <w:rPr>
                <w:rFonts w:hint="default" w:ascii="Times New Roman" w:hAnsi="Times New Roman" w:eastAsia="宋体" w:cs="Times New Roman"/>
                <w:bCs/>
                <w:highlight w:val="none"/>
                <w:lang w:val="en-US" w:eastAsia="zh-CN"/>
              </w:rPr>
              <w:t>Ⅲ</w:t>
            </w:r>
            <w:r>
              <w:rPr>
                <w:rFonts w:hint="eastAsia" w:ascii="Times New Roman" w:hAnsi="Times New Roman" w:eastAsia="宋体" w:cs="Times New Roman"/>
                <w:bCs/>
                <w:highlight w:val="none"/>
                <w:lang w:eastAsia="zh-CN"/>
              </w:rPr>
              <w:t>类。根据</w:t>
            </w:r>
            <w:r>
              <w:rPr>
                <w:rFonts w:hint="default" w:ascii="Times New Roman" w:hAnsi="Times New Roman" w:eastAsia="宋体" w:cs="Times New Roman"/>
                <w:bCs/>
                <w:highlight w:val="none"/>
              </w:rPr>
              <w:t>《202</w:t>
            </w:r>
            <w:r>
              <w:rPr>
                <w:rFonts w:hint="eastAsia" w:ascii="Times New Roman" w:hAnsi="Times New Roman" w:eastAsia="宋体" w:cs="Times New Roman"/>
                <w:bCs/>
                <w:highlight w:val="none"/>
                <w:lang w:val="en-US" w:eastAsia="zh-CN"/>
              </w:rPr>
              <w:t>3</w:t>
            </w:r>
            <w:r>
              <w:rPr>
                <w:rFonts w:hint="default" w:ascii="Times New Roman" w:hAnsi="Times New Roman" w:eastAsia="宋体" w:cs="Times New Roman"/>
                <w:bCs/>
                <w:highlight w:val="none"/>
              </w:rPr>
              <w:t>年宁夏生态环境质</w:t>
            </w:r>
            <w:r>
              <w:rPr>
                <w:rFonts w:hint="default" w:cs="Times New Roman"/>
                <w:bCs/>
                <w:highlight w:val="none"/>
              </w:rPr>
              <w:t>量状况》公布的渝河峰台断面（上游源头）交界的监测结果，渝河监测的峰台（上游源头）为Ⅱ类水质、联财省界（宁夏－甘肃）为Ⅱ类水质。与上年相比，峰台断面水质有所下降，联财断面水质无明显变化。</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2" w:firstLineChars="200"/>
              <w:textAlignment w:val="auto"/>
              <w:rPr>
                <w:rFonts w:hint="eastAsia" w:ascii="宋体" w:hAnsi="宋体" w:eastAsia="宋体" w:cs="宋体"/>
                <w:color w:val="FF0000"/>
                <w:kern w:val="0"/>
                <w:sz w:val="24"/>
                <w:szCs w:val="24"/>
                <w:lang w:val="en-US" w:eastAsia="zh-CN" w:bidi="ar"/>
              </w:rPr>
            </w:pPr>
            <w:r>
              <w:rPr>
                <w:rFonts w:hint="eastAsia" w:cs="Times New Roman"/>
                <w:b/>
                <w:color w:val="auto"/>
                <w:kern w:val="0"/>
                <w:sz w:val="24"/>
                <w:highlight w:val="none"/>
                <w:lang w:val="en-US" w:eastAsia="zh-CN"/>
              </w:rPr>
              <w:t>5</w:t>
            </w:r>
            <w:r>
              <w:rPr>
                <w:rFonts w:hint="default" w:ascii="Times New Roman" w:hAnsi="Times New Roman" w:eastAsia="宋体" w:cs="Times New Roman"/>
                <w:b/>
                <w:color w:val="auto"/>
                <w:kern w:val="0"/>
                <w:sz w:val="24"/>
                <w:highlight w:val="none"/>
              </w:rPr>
              <w:t>、</w:t>
            </w:r>
            <w:bookmarkStart w:id="15" w:name="OLE_LINK13"/>
            <w:r>
              <w:rPr>
                <w:rFonts w:hint="default" w:ascii="Times New Roman" w:hAnsi="Times New Roman" w:eastAsia="宋体" w:cs="Times New Roman"/>
                <w:b/>
                <w:color w:val="auto"/>
                <w:kern w:val="0"/>
                <w:sz w:val="24"/>
                <w:highlight w:val="none"/>
              </w:rPr>
              <w:t>声环境质量现状</w:t>
            </w:r>
            <w:bookmarkEnd w:id="15"/>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为了了解评价区内声环境质量现状，本次评价委托</w:t>
            </w:r>
            <w:r>
              <w:rPr>
                <w:rFonts w:hint="default" w:ascii="Times New Roman" w:hAnsi="Times New Roman" w:cs="Times New Roman"/>
                <w:color w:val="auto"/>
                <w:kern w:val="0"/>
                <w:sz w:val="24"/>
                <w:szCs w:val="24"/>
                <w:lang w:val="en-US" w:eastAsia="zh-CN" w:bidi="ar"/>
              </w:rPr>
              <w:t>宁夏盛博智环境检测有限公司于2025年4月7日对项目所在地声环境现状质量进行了监测。具体监测点位见表3-4，项目监测点位图见图8，</w:t>
            </w:r>
            <w:r>
              <w:rPr>
                <w:rFonts w:hint="default" w:ascii="Times New Roman" w:hAnsi="Times New Roman" w:eastAsia="宋体" w:cs="Times New Roman"/>
                <w:color w:val="auto"/>
                <w:kern w:val="0"/>
                <w:sz w:val="24"/>
                <w:szCs w:val="24"/>
                <w:lang w:val="en-US" w:eastAsia="zh-CN" w:bidi="ar"/>
              </w:rPr>
              <w:t>声环境质量现状检测与评价结果见表</w:t>
            </w:r>
            <w:r>
              <w:rPr>
                <w:rFonts w:hint="default" w:ascii="Times New Roman" w:hAnsi="Times New Roman" w:cs="Times New Roman"/>
                <w:color w:val="auto"/>
                <w:kern w:val="0"/>
                <w:sz w:val="24"/>
                <w:szCs w:val="24"/>
                <w:lang w:val="en-US" w:eastAsia="zh-CN" w:bidi="ar"/>
              </w:rPr>
              <w:t>3-5</w:t>
            </w:r>
            <w:r>
              <w:rPr>
                <w:rFonts w:hint="default" w:ascii="Times New Roman" w:hAnsi="Times New Roman" w:eastAsia="宋体" w:cs="Times New Roman"/>
                <w:color w:val="auto"/>
                <w:kern w:val="0"/>
                <w:sz w:val="24"/>
                <w:szCs w:val="24"/>
                <w:lang w:val="en-US" w:eastAsia="zh-CN" w:bidi="ar"/>
              </w:rPr>
              <w:t>。</w:t>
            </w:r>
          </w:p>
          <w:p>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kern w:val="0"/>
                <w:sz w:val="24"/>
                <w:szCs w:val="24"/>
                <w:lang w:val="en-US" w:eastAsia="zh-CN" w:bidi="ar"/>
              </w:rPr>
            </w:pPr>
            <w:r>
              <w:rPr>
                <w:rFonts w:hint="default" w:ascii="Times New Roman" w:hAnsi="Times New Roman" w:cs="Times New Roman"/>
                <w:b/>
                <w:bCs/>
                <w:color w:val="auto"/>
                <w:kern w:val="0"/>
                <w:sz w:val="24"/>
                <w:szCs w:val="24"/>
                <w:lang w:val="en-US" w:eastAsia="zh-CN" w:bidi="ar"/>
              </w:rPr>
              <w:t>表3-4  声环境现状监测点位一览表</w:t>
            </w:r>
          </w:p>
          <w:tbl>
            <w:tblPr>
              <w:tblStyle w:val="22"/>
              <w:tblW w:w="822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3036"/>
              <w:gridCol w:w="2056"/>
              <w:gridCol w:w="205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7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bCs/>
                      <w:color w:val="auto"/>
                      <w:kern w:val="0"/>
                      <w:sz w:val="21"/>
                      <w:szCs w:val="21"/>
                      <w:vertAlign w:val="baseline"/>
                      <w:lang w:val="en-US" w:eastAsia="zh-CN" w:bidi="ar"/>
                    </w:rPr>
                  </w:pPr>
                  <w:r>
                    <w:rPr>
                      <w:rFonts w:hint="eastAsia" w:ascii="宋体" w:hAnsi="宋体" w:cs="宋体"/>
                      <w:b/>
                      <w:bCs/>
                      <w:color w:val="auto"/>
                      <w:kern w:val="0"/>
                      <w:sz w:val="21"/>
                      <w:szCs w:val="21"/>
                      <w:vertAlign w:val="baseline"/>
                      <w:lang w:val="en-US" w:eastAsia="zh-CN" w:bidi="ar"/>
                    </w:rPr>
                    <w:t>监测内容</w:t>
                  </w:r>
                </w:p>
              </w:tc>
              <w:tc>
                <w:tcPr>
                  <w:tcW w:w="303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bCs/>
                      <w:color w:val="auto"/>
                      <w:kern w:val="0"/>
                      <w:sz w:val="21"/>
                      <w:szCs w:val="21"/>
                      <w:vertAlign w:val="baseline"/>
                      <w:lang w:val="en-US" w:eastAsia="zh-CN" w:bidi="ar"/>
                    </w:rPr>
                  </w:pPr>
                  <w:r>
                    <w:rPr>
                      <w:rFonts w:hint="eastAsia" w:ascii="宋体" w:hAnsi="宋体" w:cs="宋体"/>
                      <w:b/>
                      <w:bCs/>
                      <w:color w:val="auto"/>
                      <w:kern w:val="0"/>
                      <w:sz w:val="21"/>
                      <w:szCs w:val="21"/>
                      <w:vertAlign w:val="baseline"/>
                      <w:lang w:val="en-US" w:eastAsia="zh-CN" w:bidi="ar"/>
                    </w:rPr>
                    <w:t>监测点位名称</w:t>
                  </w:r>
                </w:p>
              </w:tc>
              <w:tc>
                <w:tcPr>
                  <w:tcW w:w="20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bCs/>
                      <w:color w:val="auto"/>
                      <w:kern w:val="0"/>
                      <w:sz w:val="21"/>
                      <w:szCs w:val="21"/>
                      <w:vertAlign w:val="baseline"/>
                      <w:lang w:val="en-US" w:eastAsia="zh-CN" w:bidi="ar"/>
                    </w:rPr>
                  </w:pPr>
                  <w:r>
                    <w:rPr>
                      <w:rFonts w:hint="eastAsia" w:ascii="宋体" w:hAnsi="宋体" w:cs="宋体"/>
                      <w:b/>
                      <w:bCs/>
                      <w:color w:val="auto"/>
                      <w:kern w:val="0"/>
                      <w:sz w:val="21"/>
                      <w:szCs w:val="21"/>
                      <w:vertAlign w:val="baseline"/>
                      <w:lang w:val="en-US" w:eastAsia="zh-CN" w:bidi="ar"/>
                    </w:rPr>
                    <w:t>监测点位编号</w:t>
                  </w:r>
                </w:p>
              </w:tc>
              <w:tc>
                <w:tcPr>
                  <w:tcW w:w="20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bCs/>
                      <w:color w:val="auto"/>
                      <w:kern w:val="0"/>
                      <w:sz w:val="21"/>
                      <w:szCs w:val="21"/>
                      <w:vertAlign w:val="baseline"/>
                      <w:lang w:val="en-US" w:eastAsia="zh-CN" w:bidi="ar"/>
                    </w:rPr>
                  </w:pPr>
                  <w:r>
                    <w:rPr>
                      <w:rFonts w:hint="eastAsia" w:ascii="宋体" w:hAnsi="宋体" w:cs="宋体"/>
                      <w:b/>
                      <w:bCs/>
                      <w:color w:val="auto"/>
                      <w:kern w:val="0"/>
                      <w:sz w:val="21"/>
                      <w:szCs w:val="21"/>
                      <w:vertAlign w:val="baseline"/>
                      <w:lang w:val="en-US" w:eastAsia="zh-CN" w:bidi="ar"/>
                    </w:rPr>
                    <w:t>监测频次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72"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bCs/>
                      <w:color w:val="auto"/>
                      <w:kern w:val="0"/>
                      <w:sz w:val="21"/>
                      <w:szCs w:val="21"/>
                      <w:vertAlign w:val="baseline"/>
                      <w:lang w:val="en-US" w:eastAsia="zh-CN" w:bidi="ar"/>
                    </w:rPr>
                  </w:pPr>
                  <w:r>
                    <w:rPr>
                      <w:rFonts w:hint="eastAsia" w:ascii="宋体" w:hAnsi="宋体" w:cs="宋体"/>
                      <w:b/>
                      <w:bCs/>
                      <w:color w:val="auto"/>
                      <w:kern w:val="0"/>
                      <w:sz w:val="21"/>
                      <w:szCs w:val="21"/>
                      <w:vertAlign w:val="baseline"/>
                      <w:lang w:val="en-US" w:eastAsia="zh-CN" w:bidi="ar"/>
                    </w:rPr>
                    <w:t>声环境</w:t>
                  </w:r>
                </w:p>
              </w:tc>
              <w:tc>
                <w:tcPr>
                  <w:tcW w:w="303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color w:val="auto"/>
                      <w:kern w:val="0"/>
                      <w:sz w:val="21"/>
                      <w:szCs w:val="21"/>
                      <w:vertAlign w:val="baseline"/>
                      <w:lang w:val="en-US" w:eastAsia="zh-CN" w:bidi="ar"/>
                    </w:rPr>
                  </w:pPr>
                  <w:r>
                    <w:rPr>
                      <w:rFonts w:hint="eastAsia" w:ascii="宋体" w:hAnsi="宋体" w:cs="宋体"/>
                      <w:b w:val="0"/>
                      <w:bCs w:val="0"/>
                      <w:color w:val="auto"/>
                      <w:kern w:val="0"/>
                      <w:sz w:val="21"/>
                      <w:szCs w:val="21"/>
                      <w:vertAlign w:val="baseline"/>
                      <w:lang w:val="en-US" w:eastAsia="zh-CN" w:bidi="ar"/>
                    </w:rPr>
                    <w:t>隆德县公安消防大队</w:t>
                  </w:r>
                </w:p>
              </w:tc>
              <w:tc>
                <w:tcPr>
                  <w:tcW w:w="2056" w:type="dxa"/>
                  <w:tcBorders>
                    <w:tl2br w:val="nil"/>
                    <w:tr2bl w:val="nil"/>
                  </w:tcBorders>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2"/>
                      <w:sz w:val="21"/>
                      <w:szCs w:val="21"/>
                      <w:lang w:val="en-US" w:eastAsia="zh-CN" w:bidi="ar"/>
                    </w:rPr>
                    <w:t>ZS-2504-07-1-1</w:t>
                  </w:r>
                </w:p>
              </w:tc>
              <w:tc>
                <w:tcPr>
                  <w:tcW w:w="205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宋体" w:hAnsi="宋体" w:cs="宋体"/>
                      <w:b/>
                      <w:bCs/>
                      <w:color w:val="auto"/>
                      <w:kern w:val="0"/>
                      <w:sz w:val="21"/>
                      <w:szCs w:val="21"/>
                      <w:vertAlign w:val="baseline"/>
                      <w:lang w:val="en-US" w:eastAsia="zh-CN" w:bidi="ar"/>
                    </w:rPr>
                  </w:pPr>
                  <w:r>
                    <w:rPr>
                      <w:rFonts w:hint="eastAsia" w:ascii="宋体" w:hAnsi="宋体" w:cs="宋体"/>
                      <w:b w:val="0"/>
                      <w:bCs w:val="0"/>
                      <w:color w:val="auto"/>
                      <w:kern w:val="0"/>
                      <w:sz w:val="21"/>
                      <w:szCs w:val="21"/>
                      <w:vertAlign w:val="baseline"/>
                      <w:lang w:val="en-US" w:eastAsia="zh-CN" w:bidi="ar"/>
                    </w:rPr>
                    <w:t>2次/1天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7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b/>
                      <w:bCs/>
                      <w:color w:val="auto"/>
                      <w:kern w:val="0"/>
                      <w:sz w:val="21"/>
                      <w:szCs w:val="21"/>
                      <w:vertAlign w:val="baseline"/>
                      <w:lang w:val="en-US" w:eastAsia="zh-CN" w:bidi="ar"/>
                    </w:rPr>
                  </w:pPr>
                </w:p>
              </w:tc>
              <w:tc>
                <w:tcPr>
                  <w:tcW w:w="303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color w:val="auto"/>
                      <w:kern w:val="0"/>
                      <w:sz w:val="21"/>
                      <w:szCs w:val="21"/>
                      <w:vertAlign w:val="baseline"/>
                      <w:lang w:val="en-US" w:eastAsia="zh-CN" w:bidi="ar"/>
                    </w:rPr>
                  </w:pPr>
                  <w:r>
                    <w:rPr>
                      <w:rFonts w:hint="eastAsia" w:ascii="宋体" w:hAnsi="宋体" w:cs="宋体"/>
                      <w:b w:val="0"/>
                      <w:bCs w:val="0"/>
                      <w:color w:val="auto"/>
                      <w:kern w:val="0"/>
                      <w:sz w:val="21"/>
                      <w:szCs w:val="21"/>
                      <w:vertAlign w:val="baseline"/>
                      <w:lang w:val="en-US" w:eastAsia="zh-CN" w:bidi="ar"/>
                    </w:rPr>
                    <w:t>隆德县职业技术学院</w:t>
                  </w:r>
                </w:p>
              </w:tc>
              <w:tc>
                <w:tcPr>
                  <w:tcW w:w="20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2"/>
                      <w:sz w:val="21"/>
                      <w:szCs w:val="21"/>
                      <w:lang w:val="en-US" w:eastAsia="zh-CN" w:bidi="ar"/>
                    </w:rPr>
                    <w:t>ZS-2504-07-2-1</w:t>
                  </w:r>
                </w:p>
              </w:tc>
              <w:tc>
                <w:tcPr>
                  <w:tcW w:w="205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b/>
                      <w:bCs/>
                      <w:color w:val="auto"/>
                      <w:kern w:val="0"/>
                      <w:sz w:val="21"/>
                      <w:szCs w:val="21"/>
                      <w:vertAlign w:val="baseline"/>
                      <w:lang w:val="en-US" w:eastAsia="zh-CN"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7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b/>
                      <w:bCs/>
                      <w:color w:val="auto"/>
                      <w:kern w:val="0"/>
                      <w:sz w:val="21"/>
                      <w:szCs w:val="21"/>
                      <w:vertAlign w:val="baseline"/>
                      <w:lang w:val="en-US" w:eastAsia="zh-CN" w:bidi="ar"/>
                    </w:rPr>
                  </w:pPr>
                </w:p>
              </w:tc>
              <w:tc>
                <w:tcPr>
                  <w:tcW w:w="303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color w:val="auto"/>
                      <w:kern w:val="0"/>
                      <w:sz w:val="21"/>
                      <w:szCs w:val="21"/>
                      <w:vertAlign w:val="baseline"/>
                      <w:lang w:val="en-US" w:eastAsia="zh-CN" w:bidi="ar"/>
                    </w:rPr>
                  </w:pPr>
                  <w:r>
                    <w:rPr>
                      <w:rFonts w:hint="eastAsia" w:ascii="宋体" w:hAnsi="宋体" w:cs="宋体"/>
                      <w:b w:val="0"/>
                      <w:bCs w:val="0"/>
                      <w:color w:val="auto"/>
                      <w:kern w:val="0"/>
                      <w:sz w:val="21"/>
                      <w:szCs w:val="21"/>
                      <w:vertAlign w:val="baseline"/>
                      <w:lang w:val="en-US" w:eastAsia="zh-CN" w:bidi="ar"/>
                    </w:rPr>
                    <w:t>林业家属院</w:t>
                  </w:r>
                </w:p>
              </w:tc>
              <w:tc>
                <w:tcPr>
                  <w:tcW w:w="2056" w:type="dxa"/>
                  <w:tcBorders>
                    <w:tl2br w:val="nil"/>
                    <w:tr2bl w:val="nil"/>
                  </w:tcBorders>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2"/>
                      <w:sz w:val="21"/>
                      <w:szCs w:val="21"/>
                      <w:lang w:val="en-US" w:eastAsia="zh-CN" w:bidi="ar"/>
                    </w:rPr>
                    <w:t>ZS-2504-07-3-1</w:t>
                  </w:r>
                </w:p>
              </w:tc>
              <w:tc>
                <w:tcPr>
                  <w:tcW w:w="205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b/>
                      <w:bCs/>
                      <w:color w:val="auto"/>
                      <w:kern w:val="0"/>
                      <w:sz w:val="21"/>
                      <w:szCs w:val="21"/>
                      <w:vertAlign w:val="baseline"/>
                      <w:lang w:val="en-US" w:eastAsia="zh-CN"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7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b/>
                      <w:bCs/>
                      <w:color w:val="auto"/>
                      <w:kern w:val="0"/>
                      <w:sz w:val="21"/>
                      <w:szCs w:val="21"/>
                      <w:vertAlign w:val="baseline"/>
                      <w:lang w:val="en-US" w:eastAsia="zh-CN" w:bidi="ar"/>
                    </w:rPr>
                  </w:pPr>
                </w:p>
              </w:tc>
              <w:tc>
                <w:tcPr>
                  <w:tcW w:w="303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color w:val="auto"/>
                      <w:kern w:val="0"/>
                      <w:sz w:val="21"/>
                      <w:szCs w:val="21"/>
                      <w:vertAlign w:val="baseline"/>
                      <w:lang w:val="en-US" w:eastAsia="zh-CN" w:bidi="ar"/>
                    </w:rPr>
                  </w:pPr>
                  <w:r>
                    <w:rPr>
                      <w:rFonts w:hint="eastAsia" w:ascii="宋体" w:hAnsi="宋体" w:cs="宋体"/>
                      <w:b w:val="0"/>
                      <w:bCs w:val="0"/>
                      <w:color w:val="auto"/>
                      <w:kern w:val="0"/>
                      <w:sz w:val="21"/>
                      <w:szCs w:val="21"/>
                      <w:vertAlign w:val="baseline"/>
                      <w:lang w:val="en-US" w:eastAsia="zh-CN" w:bidi="ar"/>
                    </w:rPr>
                    <w:t>大华授权产品体验中心</w:t>
                  </w:r>
                </w:p>
              </w:tc>
              <w:tc>
                <w:tcPr>
                  <w:tcW w:w="2056" w:type="dxa"/>
                  <w:tcBorders>
                    <w:tl2br w:val="nil"/>
                    <w:tr2bl w:val="nil"/>
                  </w:tcBorders>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2"/>
                      <w:sz w:val="21"/>
                      <w:szCs w:val="21"/>
                      <w:lang w:val="en-US" w:eastAsia="zh-CN" w:bidi="ar"/>
                    </w:rPr>
                    <w:t>ZS-2504-07-4-1</w:t>
                  </w:r>
                </w:p>
              </w:tc>
              <w:tc>
                <w:tcPr>
                  <w:tcW w:w="205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b/>
                      <w:bCs/>
                      <w:color w:val="auto"/>
                      <w:kern w:val="0"/>
                      <w:sz w:val="21"/>
                      <w:szCs w:val="21"/>
                      <w:vertAlign w:val="baseline"/>
                      <w:lang w:val="en-US" w:eastAsia="zh-CN"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7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b/>
                      <w:bCs/>
                      <w:color w:val="auto"/>
                      <w:kern w:val="0"/>
                      <w:sz w:val="21"/>
                      <w:szCs w:val="21"/>
                      <w:vertAlign w:val="baseline"/>
                      <w:lang w:val="en-US" w:eastAsia="zh-CN" w:bidi="ar"/>
                    </w:rPr>
                  </w:pPr>
                </w:p>
              </w:tc>
              <w:tc>
                <w:tcPr>
                  <w:tcW w:w="303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color w:val="auto"/>
                      <w:kern w:val="0"/>
                      <w:sz w:val="21"/>
                      <w:szCs w:val="21"/>
                      <w:vertAlign w:val="baseline"/>
                      <w:lang w:val="en-US" w:eastAsia="zh-CN" w:bidi="ar"/>
                    </w:rPr>
                  </w:pPr>
                  <w:r>
                    <w:rPr>
                      <w:rFonts w:hint="eastAsia" w:ascii="宋体" w:hAnsi="宋体" w:cs="宋体"/>
                      <w:b w:val="0"/>
                      <w:bCs w:val="0"/>
                      <w:color w:val="auto"/>
                      <w:kern w:val="0"/>
                      <w:sz w:val="21"/>
                      <w:szCs w:val="21"/>
                      <w:vertAlign w:val="baseline"/>
                      <w:lang w:val="en-US" w:eastAsia="zh-CN" w:bidi="ar"/>
                    </w:rPr>
                    <w:t>南河社区</w:t>
                  </w:r>
                </w:p>
              </w:tc>
              <w:tc>
                <w:tcPr>
                  <w:tcW w:w="2056" w:type="dxa"/>
                  <w:tcBorders>
                    <w:tl2br w:val="nil"/>
                    <w:tr2bl w:val="nil"/>
                  </w:tcBorders>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2"/>
                      <w:sz w:val="21"/>
                      <w:szCs w:val="21"/>
                      <w:lang w:val="en-US" w:eastAsia="zh-CN" w:bidi="ar"/>
                    </w:rPr>
                    <w:t>ZS-2504-07-5-1</w:t>
                  </w:r>
                </w:p>
              </w:tc>
              <w:tc>
                <w:tcPr>
                  <w:tcW w:w="205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b/>
                      <w:bCs/>
                      <w:color w:val="auto"/>
                      <w:kern w:val="0"/>
                      <w:sz w:val="21"/>
                      <w:szCs w:val="21"/>
                      <w:vertAlign w:val="baseline"/>
                      <w:lang w:val="en-US" w:eastAsia="zh-CN" w:bidi="ar"/>
                    </w:rPr>
                  </w:pPr>
                </w:p>
              </w:tc>
            </w:tr>
          </w:tbl>
          <w:p>
            <w:pPr>
              <w:keepNext w:val="0"/>
              <w:keepLines w:val="0"/>
              <w:pageBreakBefore w:val="0"/>
              <w:widowControl/>
              <w:suppressLineNumbers w:val="0"/>
              <w:kinsoku/>
              <w:wordWrap/>
              <w:overflowPunct/>
              <w:topLinePunct w:val="0"/>
              <w:autoSpaceDE/>
              <w:autoSpaceDN/>
              <w:bidi w:val="0"/>
              <w:adjustRightInd/>
              <w:snapToGrid/>
              <w:spacing w:before="157" w:beforeLines="50" w:beforeAutospacing="0" w:after="0" w:afterAutospacing="0" w:line="240" w:lineRule="auto"/>
              <w:ind w:left="0" w:leftChars="0" w:right="0"/>
              <w:jc w:val="center"/>
              <w:textAlignment w:val="auto"/>
              <w:rPr>
                <w:rFonts w:hint="eastAsia" w:ascii="宋体" w:hAnsi="宋体" w:cs="宋体"/>
                <w:b/>
                <w:bCs/>
                <w:color w:val="FF0000"/>
                <w:kern w:val="0"/>
                <w:sz w:val="24"/>
                <w:szCs w:val="24"/>
                <w:lang w:val="en-US" w:eastAsia="zh-CN" w:bidi="ar"/>
              </w:rPr>
            </w:pPr>
            <w:r>
              <w:rPr>
                <w:rFonts w:hint="eastAsia" w:ascii="宋体" w:hAnsi="宋体" w:cs="宋体"/>
                <w:b/>
                <w:bCs/>
                <w:color w:val="FF0000"/>
                <w:kern w:val="0"/>
                <w:sz w:val="24"/>
                <w:szCs w:val="24"/>
                <w:lang w:val="en-US" w:eastAsia="zh-CN" w:bidi="ar"/>
              </w:rPr>
              <w:drawing>
                <wp:inline distT="0" distB="0" distL="114300" distR="114300">
                  <wp:extent cx="4592955" cy="3825240"/>
                  <wp:effectExtent l="0" t="0" r="17145" b="3810"/>
                  <wp:docPr id="5" name="图片 5" descr="声环境检测布点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声环境检测布点图_00"/>
                          <pic:cNvPicPr>
                            <a:picLocks noChangeAspect="1"/>
                          </pic:cNvPicPr>
                        </pic:nvPicPr>
                        <pic:blipFill>
                          <a:blip r:embed="rId15"/>
                          <a:stretch>
                            <a:fillRect/>
                          </a:stretch>
                        </pic:blipFill>
                        <pic:spPr>
                          <a:xfrm>
                            <a:off x="0" y="0"/>
                            <a:ext cx="4592955" cy="3825240"/>
                          </a:xfrm>
                          <a:prstGeom prst="rect">
                            <a:avLst/>
                          </a:prstGeom>
                        </pic:spPr>
                      </pic:pic>
                    </a:graphicData>
                  </a:graphic>
                </wp:inline>
              </w:drawing>
            </w:r>
          </w:p>
          <w:p>
            <w:pPr>
              <w:keepNext w:val="0"/>
              <w:keepLines w:val="0"/>
              <w:widowControl/>
              <w:suppressLineNumbers w:val="0"/>
              <w:spacing w:before="0" w:beforeAutospacing="0" w:after="0" w:afterAutospacing="0" w:line="240" w:lineRule="auto"/>
              <w:ind w:left="0" w:leftChars="0" w:right="0"/>
              <w:jc w:val="center"/>
              <w:rPr>
                <w:rFonts w:hint="default" w:ascii="宋体" w:hAnsi="宋体" w:cs="宋体"/>
                <w:b/>
                <w:bCs/>
                <w:color w:val="FF0000"/>
                <w:kern w:val="0"/>
                <w:sz w:val="24"/>
                <w:szCs w:val="24"/>
                <w:lang w:val="en-US" w:eastAsia="zh-CN" w:bidi="ar"/>
              </w:rPr>
            </w:pPr>
            <w:r>
              <w:rPr>
                <w:rFonts w:hint="eastAsia" w:ascii="宋体" w:hAnsi="宋体" w:cs="宋体"/>
                <w:b/>
                <w:bCs/>
                <w:color w:val="auto"/>
                <w:kern w:val="0"/>
                <w:sz w:val="24"/>
                <w:szCs w:val="24"/>
                <w:lang w:val="en-US" w:eastAsia="zh-CN" w:bidi="ar"/>
              </w:rPr>
              <w:t>图8  项目声环境监测点位示意图</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cs="Times New Roman"/>
                <w:b/>
                <w:bCs/>
                <w:color w:val="auto"/>
                <w:kern w:val="0"/>
                <w:sz w:val="24"/>
                <w:szCs w:val="24"/>
                <w:lang w:val="en-US" w:eastAsia="zh-CN" w:bidi="ar"/>
              </w:rPr>
              <w:t>表3-5  监测结果一览表</w:t>
            </w:r>
          </w:p>
          <w:tbl>
            <w:tblPr>
              <w:tblStyle w:val="22"/>
              <w:tblW w:w="8220" w:type="dxa"/>
              <w:jc w:val="center"/>
              <w:tblInd w:w="0" w:type="dxa"/>
              <w:tblBorders>
                <w:top w:val="single" w:color="auto" w:sz="4" w:space="0"/>
                <w:left w:val="none" w:color="auto" w:sz="4" w:space="0"/>
                <w:bottom w:val="single" w:color="auto" w:sz="4" w:space="0"/>
                <w:right w:val="non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8"/>
              <w:gridCol w:w="1951"/>
              <w:gridCol w:w="1736"/>
              <w:gridCol w:w="806"/>
              <w:gridCol w:w="693"/>
              <w:gridCol w:w="898"/>
              <w:gridCol w:w="826"/>
              <w:gridCol w:w="652"/>
            </w:tblGrid>
            <w:tr>
              <w:tblPrEx>
                <w:tblBorders>
                  <w:top w:val="single" w:color="auto" w:sz="4" w:space="0"/>
                  <w:left w:val="none" w:color="auto" w:sz="4" w:space="0"/>
                  <w:bottom w:val="single" w:color="auto" w:sz="4" w:space="0"/>
                  <w:right w:val="non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40" w:hRule="atLeast"/>
                <w:jc w:val="center"/>
              </w:trPr>
              <w:tc>
                <w:tcPr>
                  <w:tcW w:w="2609"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项目名称</w:t>
                  </w:r>
                </w:p>
              </w:tc>
              <w:tc>
                <w:tcPr>
                  <w:tcW w:w="5611" w:type="dxa"/>
                  <w:gridSpan w:val="6"/>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隆德县县城排水防涝能力提升项目</w:t>
                  </w:r>
                  <w:r>
                    <w:rPr>
                      <w:rFonts w:hint="default" w:ascii="Times New Roman" w:hAnsi="Times New Roman" w:eastAsia="宋体" w:cs="Times New Roman"/>
                      <w:b/>
                      <w:bCs/>
                      <w:kern w:val="2"/>
                      <w:sz w:val="21"/>
                      <w:szCs w:val="21"/>
                      <w:lang w:val="en-US" w:eastAsia="zh-CN" w:bidi="ar"/>
                    </w:rPr>
                    <w:t>-</w:t>
                  </w:r>
                  <w:r>
                    <w:rPr>
                      <w:rFonts w:hint="eastAsia" w:ascii="宋体" w:hAnsi="宋体" w:eastAsia="宋体" w:cs="宋体"/>
                      <w:b/>
                      <w:bCs/>
                      <w:kern w:val="2"/>
                      <w:sz w:val="21"/>
                      <w:szCs w:val="21"/>
                      <w:lang w:val="en-US" w:eastAsia="zh-CN" w:bidi="ar"/>
                    </w:rPr>
                    <w:t>声环境现状</w:t>
                  </w:r>
                </w:p>
              </w:tc>
            </w:tr>
            <w:tr>
              <w:tblPrEx>
                <w:tblBorders>
                  <w:top w:val="single" w:color="auto" w:sz="4" w:space="0"/>
                  <w:left w:val="none" w:color="auto" w:sz="4" w:space="0"/>
                  <w:bottom w:val="single" w:color="auto" w:sz="4" w:space="0"/>
                  <w:right w:val="non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40" w:hRule="atLeast"/>
                <w:jc w:val="center"/>
              </w:trPr>
              <w:tc>
                <w:tcPr>
                  <w:tcW w:w="2609"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监测内容</w:t>
                  </w:r>
                </w:p>
              </w:tc>
              <w:tc>
                <w:tcPr>
                  <w:tcW w:w="5611" w:type="dxa"/>
                  <w:gridSpan w:val="6"/>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环境噪声</w:t>
                  </w:r>
                </w:p>
              </w:tc>
            </w:tr>
            <w:tr>
              <w:tblPrEx>
                <w:tblBorders>
                  <w:top w:val="single" w:color="auto" w:sz="4" w:space="0"/>
                  <w:left w:val="none" w:color="auto" w:sz="4" w:space="0"/>
                  <w:bottom w:val="single" w:color="auto" w:sz="4" w:space="0"/>
                  <w:right w:val="non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40" w:hRule="atLeast"/>
                <w:jc w:val="center"/>
              </w:trPr>
              <w:tc>
                <w:tcPr>
                  <w:tcW w:w="2609"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执行标准</w:t>
                  </w:r>
                </w:p>
              </w:tc>
              <w:tc>
                <w:tcPr>
                  <w:tcW w:w="5611" w:type="dxa"/>
                  <w:gridSpan w:val="6"/>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《声环境质量标准》</w:t>
                  </w:r>
                  <w:r>
                    <w:rPr>
                      <w:rFonts w:hint="default" w:ascii="Times New Roman" w:hAnsi="Times New Roman" w:eastAsia="宋体" w:cs="Times New Roman"/>
                      <w:b/>
                      <w:bCs/>
                      <w:kern w:val="2"/>
                      <w:sz w:val="21"/>
                      <w:szCs w:val="21"/>
                      <w:lang w:val="en-US" w:eastAsia="zh-CN" w:bidi="ar"/>
                    </w:rPr>
                    <w:t>(GB 3096-2008)</w:t>
                  </w:r>
                </w:p>
              </w:tc>
            </w:tr>
            <w:tr>
              <w:tblPrEx>
                <w:tblBorders>
                  <w:top w:val="single" w:color="auto" w:sz="4" w:space="0"/>
                  <w:left w:val="none" w:color="auto" w:sz="4" w:space="0"/>
                  <w:bottom w:val="single" w:color="auto" w:sz="4" w:space="0"/>
                  <w:right w:val="non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40" w:hRule="atLeast"/>
                <w:jc w:val="center"/>
              </w:trPr>
              <w:tc>
                <w:tcPr>
                  <w:tcW w:w="658" w:type="dxa"/>
                  <w:vMerge w:val="restart"/>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监测日期</w:t>
                  </w:r>
                </w:p>
              </w:tc>
              <w:tc>
                <w:tcPr>
                  <w:tcW w:w="1951"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样品编号</w:t>
                  </w:r>
                </w:p>
              </w:tc>
              <w:tc>
                <w:tcPr>
                  <w:tcW w:w="173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检测点位坐标</w:t>
                  </w:r>
                </w:p>
              </w:tc>
              <w:tc>
                <w:tcPr>
                  <w:tcW w:w="149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等效声级</w:t>
                  </w:r>
                </w:p>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kern w:val="2"/>
                      <w:sz w:val="21"/>
                      <w:szCs w:val="21"/>
                    </w:rPr>
                  </w:pPr>
                  <w:r>
                    <w:rPr>
                      <w:rFonts w:hint="default" w:ascii="Times New Roman" w:hAnsi="Times New Roman" w:eastAsia="宋体" w:cs="Times New Roman"/>
                      <w:b/>
                      <w:bCs/>
                      <w:kern w:val="2"/>
                      <w:sz w:val="21"/>
                      <w:szCs w:val="21"/>
                      <w:lang w:val="en-US" w:eastAsia="zh-CN" w:bidi="ar"/>
                    </w:rPr>
                    <w:t>Leq[dB(A)]</w:t>
                  </w:r>
                </w:p>
              </w:tc>
              <w:tc>
                <w:tcPr>
                  <w:tcW w:w="172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标准限值</w:t>
                  </w:r>
                </w:p>
              </w:tc>
              <w:tc>
                <w:tcPr>
                  <w:tcW w:w="652" w:type="dxa"/>
                  <w:vMerge w:val="restart"/>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2"/>
                      <w:sz w:val="21"/>
                      <w:szCs w:val="21"/>
                    </w:rPr>
                  </w:pPr>
                  <w:r>
                    <w:rPr>
                      <w:rFonts w:hint="eastAsia" w:ascii="宋体" w:hAnsi="宋体" w:eastAsia="宋体" w:cs="宋体"/>
                      <w:b/>
                      <w:bCs/>
                      <w:kern w:val="2"/>
                      <w:sz w:val="21"/>
                      <w:szCs w:val="21"/>
                      <w:lang w:val="en-US" w:eastAsia="zh-CN" w:bidi="ar"/>
                    </w:rPr>
                    <w:t>达标情况</w:t>
                  </w:r>
                </w:p>
              </w:tc>
            </w:tr>
            <w:tr>
              <w:tblPrEx>
                <w:tblBorders>
                  <w:top w:val="single" w:color="auto" w:sz="4" w:space="0"/>
                  <w:left w:val="none" w:color="auto" w:sz="4" w:space="0"/>
                  <w:bottom w:val="single" w:color="auto" w:sz="4" w:space="0"/>
                  <w:right w:val="non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40" w:hRule="atLeast"/>
                <w:jc w:val="center"/>
              </w:trPr>
              <w:tc>
                <w:tcPr>
                  <w:tcW w:w="658"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cs="Times New Roman"/>
                      <w:sz w:val="20"/>
                      <w:szCs w:val="20"/>
                    </w:rPr>
                  </w:pPr>
                </w:p>
              </w:tc>
              <w:tc>
                <w:tcPr>
                  <w:tcW w:w="195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cs="Times New Roman"/>
                      <w:sz w:val="20"/>
                      <w:szCs w:val="20"/>
                    </w:rPr>
                  </w:pPr>
                </w:p>
              </w:tc>
              <w:tc>
                <w:tcPr>
                  <w:tcW w:w="173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cs="Times New Roman"/>
                      <w:sz w:val="20"/>
                      <w:szCs w:val="20"/>
                    </w:rPr>
                  </w:pPr>
                </w:p>
              </w:tc>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昼间</w:t>
                  </w:r>
                </w:p>
              </w:tc>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夜间</w:t>
                  </w:r>
                </w:p>
              </w:tc>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昼间</w:t>
                  </w:r>
                </w:p>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kern w:val="2"/>
                      <w:sz w:val="21"/>
                      <w:szCs w:val="21"/>
                    </w:rPr>
                  </w:pPr>
                  <w:r>
                    <w:rPr>
                      <w:rFonts w:hint="default" w:ascii="Times New Roman" w:hAnsi="Times New Roman" w:eastAsia="宋体" w:cs="Times New Roman"/>
                      <w:b/>
                      <w:bCs/>
                      <w:kern w:val="2"/>
                      <w:sz w:val="21"/>
                      <w:szCs w:val="21"/>
                      <w:lang w:val="en-US" w:eastAsia="zh-CN" w:bidi="ar"/>
                    </w:rPr>
                    <w:t>dB(A)</w:t>
                  </w:r>
                </w:p>
              </w:tc>
              <w:tc>
                <w:tcPr>
                  <w:tcW w:w="8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夜间</w:t>
                  </w:r>
                </w:p>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kern w:val="2"/>
                      <w:sz w:val="21"/>
                      <w:szCs w:val="21"/>
                    </w:rPr>
                  </w:pPr>
                  <w:r>
                    <w:rPr>
                      <w:rFonts w:hint="default" w:ascii="Times New Roman" w:hAnsi="Times New Roman" w:eastAsia="宋体" w:cs="Times New Roman"/>
                      <w:b/>
                      <w:bCs/>
                      <w:kern w:val="2"/>
                      <w:sz w:val="21"/>
                      <w:szCs w:val="21"/>
                      <w:lang w:val="en-US" w:eastAsia="zh-CN" w:bidi="ar"/>
                    </w:rPr>
                    <w:t>dB(A)</w:t>
                  </w:r>
                </w:p>
              </w:tc>
              <w:tc>
                <w:tcPr>
                  <w:tcW w:w="652" w:type="dxa"/>
                  <w:vMerge w:val="continue"/>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cs="Times New Roman"/>
                      <w:sz w:val="20"/>
                      <w:szCs w:val="20"/>
                    </w:rPr>
                  </w:pPr>
                </w:p>
              </w:tc>
            </w:tr>
            <w:tr>
              <w:tblPrEx>
                <w:tblBorders>
                  <w:top w:val="single" w:color="auto" w:sz="4" w:space="0"/>
                  <w:left w:val="none" w:color="auto" w:sz="4" w:space="0"/>
                  <w:bottom w:val="single" w:color="auto" w:sz="4" w:space="0"/>
                  <w:right w:val="non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40" w:hRule="atLeast"/>
                <w:jc w:val="center"/>
              </w:trPr>
              <w:tc>
                <w:tcPr>
                  <w:tcW w:w="658" w:type="dxa"/>
                  <w:vMerge w:val="restart"/>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kern w:val="2"/>
                      <w:sz w:val="21"/>
                      <w:szCs w:val="21"/>
                    </w:rPr>
                  </w:pPr>
                  <w:r>
                    <w:rPr>
                      <w:rFonts w:hint="default" w:ascii="Times New Roman" w:hAnsi="Times New Roman" w:eastAsia="宋体" w:cs="Times New Roman"/>
                      <w:b/>
                      <w:bCs/>
                      <w:kern w:val="2"/>
                      <w:sz w:val="21"/>
                      <w:szCs w:val="21"/>
                      <w:lang w:val="en-US" w:eastAsia="zh-CN" w:bidi="ar"/>
                    </w:rPr>
                    <w:t>4</w:t>
                  </w:r>
                  <w:r>
                    <w:rPr>
                      <w:rFonts w:hint="eastAsia" w:ascii="宋体" w:hAnsi="宋体" w:eastAsia="宋体" w:cs="宋体"/>
                      <w:b/>
                      <w:bCs/>
                      <w:kern w:val="2"/>
                      <w:sz w:val="21"/>
                      <w:szCs w:val="21"/>
                      <w:lang w:val="en-US" w:eastAsia="zh-CN" w:bidi="ar"/>
                    </w:rPr>
                    <w:t>月</w:t>
                  </w:r>
                  <w:r>
                    <w:rPr>
                      <w:rFonts w:hint="default" w:ascii="Times New Roman" w:hAnsi="Times New Roman" w:eastAsia="宋体" w:cs="Times New Roman"/>
                      <w:b/>
                      <w:bCs/>
                      <w:kern w:val="2"/>
                      <w:sz w:val="21"/>
                      <w:szCs w:val="21"/>
                      <w:lang w:val="en-US" w:eastAsia="zh-CN" w:bidi="ar"/>
                    </w:rPr>
                    <w:t>7</w:t>
                  </w:r>
                  <w:r>
                    <w:rPr>
                      <w:rFonts w:hint="eastAsia" w:ascii="宋体" w:hAnsi="宋体" w:eastAsia="宋体" w:cs="宋体"/>
                      <w:b/>
                      <w:bCs/>
                      <w:kern w:val="2"/>
                      <w:sz w:val="21"/>
                      <w:szCs w:val="21"/>
                      <w:lang w:val="en-US" w:eastAsia="zh-CN" w:bidi="ar"/>
                    </w:rPr>
                    <w:t>号</w:t>
                  </w:r>
                </w:p>
              </w:tc>
              <w:tc>
                <w:tcPr>
                  <w:tcW w:w="19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kern w:val="2"/>
                      <w:sz w:val="21"/>
                      <w:szCs w:val="21"/>
                      <w:lang w:val="en-US" w:eastAsia="zh-CN" w:bidi="ar"/>
                    </w:rPr>
                  </w:pPr>
                  <w:r>
                    <w:rPr>
                      <w:rFonts w:hint="default" w:ascii="Times New Roman" w:hAnsi="Times New Roman" w:eastAsia="宋体" w:cs="Times New Roman"/>
                      <w:b/>
                      <w:bCs/>
                      <w:kern w:val="2"/>
                      <w:sz w:val="21"/>
                      <w:szCs w:val="21"/>
                      <w:lang w:val="en-US" w:eastAsia="zh-CN" w:bidi="ar"/>
                    </w:rPr>
                    <w:t>ZS-2504-07-1-1</w:t>
                  </w:r>
                </w:p>
              </w:tc>
              <w:tc>
                <w:tcPr>
                  <w:tcW w:w="17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kern w:val="2"/>
                      <w:sz w:val="21"/>
                      <w:szCs w:val="21"/>
                    </w:rPr>
                  </w:pPr>
                  <w:r>
                    <w:rPr>
                      <w:rFonts w:hint="default" w:ascii="Times New Roman" w:hAnsi="Times New Roman" w:eastAsia="宋体" w:cs="Times New Roman"/>
                      <w:b w:val="0"/>
                      <w:bCs w:val="0"/>
                      <w:kern w:val="2"/>
                      <w:sz w:val="21"/>
                      <w:szCs w:val="21"/>
                      <w:lang w:val="en-US" w:eastAsia="zh-CN" w:bidi="ar"/>
                    </w:rPr>
                    <w:t>E</w:t>
                  </w:r>
                  <w:r>
                    <w:rPr>
                      <w:rFonts w:hint="eastAsia" w:ascii="宋体" w:hAnsi="宋体" w:eastAsia="宋体" w:cs="宋体"/>
                      <w:b w:val="0"/>
                      <w:bCs w:val="0"/>
                      <w:kern w:val="2"/>
                      <w:sz w:val="21"/>
                      <w:szCs w:val="21"/>
                      <w:lang w:val="en-US" w:eastAsia="zh-CN" w:bidi="ar"/>
                    </w:rPr>
                    <w:t>：</w:t>
                  </w:r>
                  <w:r>
                    <w:rPr>
                      <w:rFonts w:hint="default" w:ascii="Times New Roman" w:hAnsi="Times New Roman" w:eastAsia="宋体" w:cs="Times New Roman"/>
                      <w:b w:val="0"/>
                      <w:bCs w:val="0"/>
                      <w:kern w:val="2"/>
                      <w:sz w:val="21"/>
                      <w:szCs w:val="21"/>
                      <w:lang w:val="en-US" w:eastAsia="zh-CN" w:bidi="ar"/>
                    </w:rPr>
                    <w:t>106.102384</w:t>
                  </w:r>
                </w:p>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2"/>
                      <w:sz w:val="21"/>
                      <w:szCs w:val="21"/>
                    </w:rPr>
                  </w:pPr>
                  <w:r>
                    <w:rPr>
                      <w:rFonts w:hint="default" w:ascii="Times New Roman" w:hAnsi="Times New Roman" w:eastAsia="宋体" w:cs="Times New Roman"/>
                      <w:b w:val="0"/>
                      <w:bCs w:val="0"/>
                      <w:kern w:val="2"/>
                      <w:sz w:val="21"/>
                      <w:szCs w:val="21"/>
                      <w:lang w:val="en-US" w:eastAsia="zh-CN" w:bidi="ar"/>
                    </w:rPr>
                    <w:t>N</w:t>
                  </w:r>
                  <w:r>
                    <w:rPr>
                      <w:rFonts w:hint="eastAsia" w:ascii="宋体" w:hAnsi="宋体" w:eastAsia="宋体" w:cs="宋体"/>
                      <w:b w:val="0"/>
                      <w:bCs w:val="0"/>
                      <w:kern w:val="2"/>
                      <w:sz w:val="21"/>
                      <w:szCs w:val="21"/>
                      <w:lang w:val="en-US" w:eastAsia="zh-CN" w:bidi="ar"/>
                    </w:rPr>
                    <w:t>：</w:t>
                  </w:r>
                  <w:r>
                    <w:rPr>
                      <w:rFonts w:hint="default" w:ascii="Times New Roman" w:hAnsi="Times New Roman" w:eastAsia="宋体" w:cs="Times New Roman"/>
                      <w:b w:val="0"/>
                      <w:bCs w:val="0"/>
                      <w:kern w:val="2"/>
                      <w:sz w:val="21"/>
                      <w:szCs w:val="21"/>
                      <w:lang w:val="en-US" w:eastAsia="zh-CN" w:bidi="ar"/>
                    </w:rPr>
                    <w:t>35.625037</w:t>
                  </w:r>
                </w:p>
              </w:tc>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2"/>
                      <w:sz w:val="21"/>
                      <w:szCs w:val="21"/>
                    </w:rPr>
                  </w:pPr>
                  <w:r>
                    <w:rPr>
                      <w:rFonts w:hint="default" w:ascii="Times New Roman" w:hAnsi="Times New Roman" w:eastAsia="宋体" w:cs="Times New Roman"/>
                      <w:b w:val="0"/>
                      <w:bCs w:val="0"/>
                      <w:kern w:val="2"/>
                      <w:sz w:val="21"/>
                      <w:szCs w:val="21"/>
                      <w:lang w:val="en-US" w:eastAsia="zh-CN" w:bidi="ar"/>
                    </w:rPr>
                    <w:t>40</w:t>
                  </w:r>
                </w:p>
              </w:tc>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2"/>
                      <w:sz w:val="21"/>
                      <w:szCs w:val="21"/>
                    </w:rPr>
                  </w:pPr>
                  <w:r>
                    <w:rPr>
                      <w:rFonts w:hint="default" w:ascii="Times New Roman" w:hAnsi="Times New Roman" w:eastAsia="宋体" w:cs="Times New Roman"/>
                      <w:b w:val="0"/>
                      <w:bCs w:val="0"/>
                      <w:kern w:val="2"/>
                      <w:sz w:val="21"/>
                      <w:szCs w:val="21"/>
                      <w:lang w:val="en-US" w:eastAsia="zh-CN" w:bidi="ar"/>
                    </w:rPr>
                    <w:t>32</w:t>
                  </w:r>
                </w:p>
              </w:tc>
              <w:tc>
                <w:tcPr>
                  <w:tcW w:w="898"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2"/>
                      <w:sz w:val="21"/>
                      <w:szCs w:val="21"/>
                    </w:rPr>
                  </w:pPr>
                  <w:r>
                    <w:rPr>
                      <w:rFonts w:hint="default" w:ascii="Times New Roman" w:hAnsi="Times New Roman" w:eastAsia="宋体" w:cs="Times New Roman"/>
                      <w:b w:val="0"/>
                      <w:bCs w:val="0"/>
                      <w:kern w:val="2"/>
                      <w:sz w:val="21"/>
                      <w:szCs w:val="21"/>
                      <w:lang w:val="en-US" w:eastAsia="zh-CN" w:bidi="ar"/>
                    </w:rPr>
                    <w:t>55</w:t>
                  </w:r>
                </w:p>
              </w:tc>
              <w:tc>
                <w:tcPr>
                  <w:tcW w:w="826"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2"/>
                      <w:sz w:val="21"/>
                      <w:szCs w:val="21"/>
                    </w:rPr>
                  </w:pPr>
                  <w:r>
                    <w:rPr>
                      <w:rFonts w:hint="default" w:ascii="Times New Roman" w:hAnsi="Times New Roman" w:eastAsia="宋体" w:cs="Times New Roman"/>
                      <w:b w:val="0"/>
                      <w:bCs w:val="0"/>
                      <w:kern w:val="2"/>
                      <w:sz w:val="21"/>
                      <w:szCs w:val="21"/>
                      <w:lang w:val="en-US" w:eastAsia="zh-CN" w:bidi="ar"/>
                    </w:rPr>
                    <w:t>45</w:t>
                  </w:r>
                </w:p>
              </w:tc>
              <w:tc>
                <w:tcPr>
                  <w:tcW w:w="652" w:type="dxa"/>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2"/>
                      <w:sz w:val="21"/>
                      <w:szCs w:val="21"/>
                    </w:rPr>
                  </w:pPr>
                  <w:r>
                    <w:rPr>
                      <w:rFonts w:hint="eastAsia" w:ascii="宋体" w:hAnsi="宋体" w:eastAsia="宋体" w:cs="宋体"/>
                      <w:b w:val="0"/>
                      <w:bCs w:val="0"/>
                      <w:kern w:val="2"/>
                      <w:sz w:val="21"/>
                      <w:szCs w:val="21"/>
                      <w:lang w:val="en-US" w:eastAsia="zh-CN" w:bidi="ar"/>
                    </w:rPr>
                    <w:t>达标</w:t>
                  </w:r>
                </w:p>
              </w:tc>
            </w:tr>
            <w:tr>
              <w:tblPrEx>
                <w:tblBorders>
                  <w:top w:val="single" w:color="auto" w:sz="4" w:space="0"/>
                  <w:left w:val="none" w:color="auto" w:sz="4" w:space="0"/>
                  <w:bottom w:val="single" w:color="auto" w:sz="4" w:space="0"/>
                  <w:right w:val="non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40" w:hRule="atLeast"/>
                <w:jc w:val="center"/>
              </w:trPr>
              <w:tc>
                <w:tcPr>
                  <w:tcW w:w="658"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cs="Times New Roman"/>
                      <w:sz w:val="20"/>
                      <w:szCs w:val="20"/>
                    </w:rPr>
                  </w:pPr>
                </w:p>
              </w:tc>
              <w:tc>
                <w:tcPr>
                  <w:tcW w:w="19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kern w:val="2"/>
                      <w:sz w:val="21"/>
                      <w:szCs w:val="21"/>
                    </w:rPr>
                  </w:pPr>
                  <w:r>
                    <w:rPr>
                      <w:rFonts w:hint="default" w:ascii="Times New Roman" w:hAnsi="Times New Roman" w:eastAsia="宋体" w:cs="Times New Roman"/>
                      <w:b/>
                      <w:bCs/>
                      <w:kern w:val="2"/>
                      <w:sz w:val="21"/>
                      <w:szCs w:val="21"/>
                      <w:lang w:val="en-US" w:eastAsia="zh-CN" w:bidi="ar"/>
                    </w:rPr>
                    <w:t>ZS-2504-07-2-1</w:t>
                  </w:r>
                </w:p>
              </w:tc>
              <w:tc>
                <w:tcPr>
                  <w:tcW w:w="17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kern w:val="2"/>
                      <w:sz w:val="21"/>
                      <w:szCs w:val="21"/>
                    </w:rPr>
                  </w:pPr>
                  <w:r>
                    <w:rPr>
                      <w:rFonts w:hint="default" w:ascii="Times New Roman" w:hAnsi="Times New Roman" w:eastAsia="宋体" w:cs="Times New Roman"/>
                      <w:b w:val="0"/>
                      <w:bCs w:val="0"/>
                      <w:kern w:val="2"/>
                      <w:sz w:val="21"/>
                      <w:szCs w:val="21"/>
                      <w:lang w:val="en-US" w:eastAsia="zh-CN" w:bidi="ar"/>
                    </w:rPr>
                    <w:t>E</w:t>
                  </w:r>
                  <w:r>
                    <w:rPr>
                      <w:rFonts w:hint="eastAsia" w:ascii="宋体" w:hAnsi="宋体" w:eastAsia="宋体" w:cs="宋体"/>
                      <w:b w:val="0"/>
                      <w:bCs w:val="0"/>
                      <w:kern w:val="2"/>
                      <w:sz w:val="21"/>
                      <w:szCs w:val="21"/>
                      <w:lang w:val="en-US" w:eastAsia="zh-CN" w:bidi="ar"/>
                    </w:rPr>
                    <w:t>：</w:t>
                  </w:r>
                  <w:r>
                    <w:rPr>
                      <w:rFonts w:hint="default" w:ascii="Times New Roman" w:hAnsi="Times New Roman" w:eastAsia="宋体" w:cs="Times New Roman"/>
                      <w:b w:val="0"/>
                      <w:bCs w:val="0"/>
                      <w:kern w:val="2"/>
                      <w:sz w:val="21"/>
                      <w:szCs w:val="21"/>
                      <w:lang w:val="en-US" w:eastAsia="zh-CN" w:bidi="ar"/>
                    </w:rPr>
                    <w:t>106.108982</w:t>
                  </w:r>
                </w:p>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2"/>
                      <w:sz w:val="21"/>
                      <w:szCs w:val="21"/>
                    </w:rPr>
                  </w:pPr>
                  <w:r>
                    <w:rPr>
                      <w:rFonts w:hint="default" w:ascii="Times New Roman" w:hAnsi="Times New Roman" w:eastAsia="宋体" w:cs="Times New Roman"/>
                      <w:b w:val="0"/>
                      <w:bCs w:val="0"/>
                      <w:kern w:val="2"/>
                      <w:sz w:val="21"/>
                      <w:szCs w:val="21"/>
                      <w:lang w:val="en-US" w:eastAsia="zh-CN" w:bidi="ar"/>
                    </w:rPr>
                    <w:t>N</w:t>
                  </w:r>
                  <w:r>
                    <w:rPr>
                      <w:rFonts w:hint="eastAsia" w:ascii="宋体" w:hAnsi="宋体" w:eastAsia="宋体" w:cs="宋体"/>
                      <w:b w:val="0"/>
                      <w:bCs w:val="0"/>
                      <w:kern w:val="2"/>
                      <w:sz w:val="21"/>
                      <w:szCs w:val="21"/>
                      <w:lang w:val="en-US" w:eastAsia="zh-CN" w:bidi="ar"/>
                    </w:rPr>
                    <w:t>：</w:t>
                  </w:r>
                  <w:r>
                    <w:rPr>
                      <w:rFonts w:hint="default" w:ascii="Times New Roman" w:hAnsi="Times New Roman" w:eastAsia="宋体" w:cs="Times New Roman"/>
                      <w:b w:val="0"/>
                      <w:bCs w:val="0"/>
                      <w:kern w:val="2"/>
                      <w:sz w:val="21"/>
                      <w:szCs w:val="21"/>
                      <w:lang w:val="en-US" w:eastAsia="zh-CN" w:bidi="ar"/>
                    </w:rPr>
                    <w:t>35.626271</w:t>
                  </w:r>
                </w:p>
              </w:tc>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2"/>
                      <w:sz w:val="21"/>
                      <w:szCs w:val="21"/>
                    </w:rPr>
                  </w:pPr>
                  <w:r>
                    <w:rPr>
                      <w:rFonts w:hint="default" w:ascii="Times New Roman" w:hAnsi="Times New Roman" w:eastAsia="宋体" w:cs="Times New Roman"/>
                      <w:b w:val="0"/>
                      <w:bCs w:val="0"/>
                      <w:kern w:val="2"/>
                      <w:sz w:val="21"/>
                      <w:szCs w:val="21"/>
                      <w:lang w:val="en-US" w:eastAsia="zh-CN" w:bidi="ar"/>
                    </w:rPr>
                    <w:t>39</w:t>
                  </w:r>
                </w:p>
              </w:tc>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2"/>
                      <w:sz w:val="21"/>
                      <w:szCs w:val="21"/>
                    </w:rPr>
                  </w:pPr>
                  <w:r>
                    <w:rPr>
                      <w:rFonts w:hint="default" w:ascii="Times New Roman" w:hAnsi="Times New Roman" w:eastAsia="宋体" w:cs="Times New Roman"/>
                      <w:b w:val="0"/>
                      <w:bCs w:val="0"/>
                      <w:kern w:val="2"/>
                      <w:sz w:val="21"/>
                      <w:szCs w:val="21"/>
                      <w:lang w:val="en-US" w:eastAsia="zh-CN" w:bidi="ar"/>
                    </w:rPr>
                    <w:t>30</w:t>
                  </w:r>
                </w:p>
              </w:tc>
              <w:tc>
                <w:tcPr>
                  <w:tcW w:w="898"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cs="Times New Roman"/>
                      <w:sz w:val="20"/>
                      <w:szCs w:val="20"/>
                    </w:rPr>
                  </w:pPr>
                </w:p>
              </w:tc>
              <w:tc>
                <w:tcPr>
                  <w:tcW w:w="826"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cs="Times New Roman"/>
                      <w:sz w:val="20"/>
                      <w:szCs w:val="20"/>
                    </w:rPr>
                  </w:pPr>
                </w:p>
              </w:tc>
              <w:tc>
                <w:tcPr>
                  <w:tcW w:w="652" w:type="dxa"/>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2"/>
                      <w:sz w:val="21"/>
                      <w:szCs w:val="21"/>
                    </w:rPr>
                  </w:pPr>
                  <w:r>
                    <w:rPr>
                      <w:rFonts w:hint="eastAsia" w:ascii="宋体" w:hAnsi="宋体" w:eastAsia="宋体" w:cs="宋体"/>
                      <w:b w:val="0"/>
                      <w:bCs w:val="0"/>
                      <w:kern w:val="2"/>
                      <w:sz w:val="21"/>
                      <w:szCs w:val="21"/>
                      <w:lang w:val="en-US" w:eastAsia="zh-CN" w:bidi="ar"/>
                    </w:rPr>
                    <w:t>达标</w:t>
                  </w:r>
                </w:p>
              </w:tc>
            </w:tr>
            <w:tr>
              <w:tblPrEx>
                <w:tblBorders>
                  <w:top w:val="single" w:color="auto" w:sz="4" w:space="0"/>
                  <w:left w:val="none" w:color="auto" w:sz="4" w:space="0"/>
                  <w:bottom w:val="single" w:color="auto" w:sz="4" w:space="0"/>
                  <w:right w:val="non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40" w:hRule="atLeast"/>
                <w:jc w:val="center"/>
              </w:trPr>
              <w:tc>
                <w:tcPr>
                  <w:tcW w:w="658"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cs="Times New Roman"/>
                      <w:sz w:val="20"/>
                      <w:szCs w:val="20"/>
                    </w:rPr>
                  </w:pPr>
                </w:p>
              </w:tc>
              <w:tc>
                <w:tcPr>
                  <w:tcW w:w="19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kern w:val="2"/>
                      <w:sz w:val="21"/>
                      <w:szCs w:val="21"/>
                      <w:lang w:val="en-US" w:eastAsia="zh-CN" w:bidi="ar"/>
                    </w:rPr>
                  </w:pPr>
                  <w:r>
                    <w:rPr>
                      <w:rFonts w:hint="default" w:ascii="Times New Roman" w:hAnsi="Times New Roman" w:eastAsia="宋体" w:cs="Times New Roman"/>
                      <w:b/>
                      <w:bCs/>
                      <w:kern w:val="2"/>
                      <w:sz w:val="21"/>
                      <w:szCs w:val="21"/>
                      <w:lang w:val="en-US" w:eastAsia="zh-CN" w:bidi="ar"/>
                    </w:rPr>
                    <w:t>ZS-2504-07-3-1</w:t>
                  </w:r>
                </w:p>
              </w:tc>
              <w:tc>
                <w:tcPr>
                  <w:tcW w:w="17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kern w:val="2"/>
                      <w:sz w:val="21"/>
                      <w:szCs w:val="21"/>
                    </w:rPr>
                  </w:pPr>
                  <w:r>
                    <w:rPr>
                      <w:rFonts w:hint="default" w:ascii="Times New Roman" w:hAnsi="Times New Roman" w:eastAsia="宋体" w:cs="Times New Roman"/>
                      <w:b w:val="0"/>
                      <w:bCs w:val="0"/>
                      <w:kern w:val="2"/>
                      <w:sz w:val="21"/>
                      <w:szCs w:val="21"/>
                      <w:lang w:val="en-US" w:eastAsia="zh-CN" w:bidi="ar"/>
                    </w:rPr>
                    <w:t>E</w:t>
                  </w:r>
                  <w:r>
                    <w:rPr>
                      <w:rFonts w:hint="eastAsia" w:ascii="宋体" w:hAnsi="宋体" w:eastAsia="宋体" w:cs="宋体"/>
                      <w:b w:val="0"/>
                      <w:bCs w:val="0"/>
                      <w:kern w:val="2"/>
                      <w:sz w:val="21"/>
                      <w:szCs w:val="21"/>
                      <w:lang w:val="en-US" w:eastAsia="zh-CN" w:bidi="ar"/>
                    </w:rPr>
                    <w:t>：</w:t>
                  </w:r>
                  <w:r>
                    <w:rPr>
                      <w:rFonts w:hint="default" w:ascii="Times New Roman" w:hAnsi="Times New Roman" w:eastAsia="宋体" w:cs="Times New Roman"/>
                      <w:b w:val="0"/>
                      <w:bCs w:val="0"/>
                      <w:kern w:val="2"/>
                      <w:sz w:val="21"/>
                      <w:szCs w:val="21"/>
                      <w:lang w:val="en-US" w:eastAsia="zh-CN" w:bidi="ar"/>
                    </w:rPr>
                    <w:t>106.114175</w:t>
                  </w:r>
                </w:p>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2"/>
                      <w:sz w:val="21"/>
                      <w:szCs w:val="21"/>
                    </w:rPr>
                  </w:pPr>
                  <w:r>
                    <w:rPr>
                      <w:rFonts w:hint="default" w:ascii="Times New Roman" w:hAnsi="Times New Roman" w:eastAsia="宋体" w:cs="Times New Roman"/>
                      <w:b w:val="0"/>
                      <w:bCs w:val="0"/>
                      <w:kern w:val="2"/>
                      <w:sz w:val="21"/>
                      <w:szCs w:val="21"/>
                      <w:lang w:val="en-US" w:eastAsia="zh-CN" w:bidi="ar"/>
                    </w:rPr>
                    <w:t>N</w:t>
                  </w:r>
                  <w:r>
                    <w:rPr>
                      <w:rFonts w:hint="eastAsia" w:ascii="宋体" w:hAnsi="宋体" w:eastAsia="宋体" w:cs="宋体"/>
                      <w:b w:val="0"/>
                      <w:bCs w:val="0"/>
                      <w:kern w:val="2"/>
                      <w:sz w:val="21"/>
                      <w:szCs w:val="21"/>
                      <w:lang w:val="en-US" w:eastAsia="zh-CN" w:bidi="ar"/>
                    </w:rPr>
                    <w:t>：</w:t>
                  </w:r>
                  <w:r>
                    <w:rPr>
                      <w:rFonts w:hint="default" w:ascii="Times New Roman" w:hAnsi="Times New Roman" w:eastAsia="宋体" w:cs="Times New Roman"/>
                      <w:b w:val="0"/>
                      <w:bCs w:val="0"/>
                      <w:kern w:val="2"/>
                      <w:sz w:val="21"/>
                      <w:szCs w:val="21"/>
                      <w:lang w:val="en-US" w:eastAsia="zh-CN" w:bidi="ar"/>
                    </w:rPr>
                    <w:t>35.622837</w:t>
                  </w:r>
                </w:p>
              </w:tc>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2"/>
                      <w:sz w:val="21"/>
                      <w:szCs w:val="21"/>
                    </w:rPr>
                  </w:pPr>
                  <w:r>
                    <w:rPr>
                      <w:rFonts w:hint="default" w:ascii="Times New Roman" w:hAnsi="Times New Roman" w:eastAsia="宋体" w:cs="Times New Roman"/>
                      <w:b w:val="0"/>
                      <w:bCs w:val="0"/>
                      <w:kern w:val="2"/>
                      <w:sz w:val="21"/>
                      <w:szCs w:val="21"/>
                      <w:lang w:val="en-US" w:eastAsia="zh-CN" w:bidi="ar"/>
                    </w:rPr>
                    <w:t>41</w:t>
                  </w:r>
                </w:p>
              </w:tc>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2"/>
                      <w:sz w:val="21"/>
                      <w:szCs w:val="21"/>
                    </w:rPr>
                  </w:pPr>
                  <w:r>
                    <w:rPr>
                      <w:rFonts w:hint="default" w:ascii="Times New Roman" w:hAnsi="Times New Roman" w:eastAsia="宋体" w:cs="Times New Roman"/>
                      <w:b w:val="0"/>
                      <w:bCs w:val="0"/>
                      <w:kern w:val="2"/>
                      <w:sz w:val="21"/>
                      <w:szCs w:val="21"/>
                      <w:lang w:val="en-US" w:eastAsia="zh-CN" w:bidi="ar"/>
                    </w:rPr>
                    <w:t>30</w:t>
                  </w:r>
                </w:p>
              </w:tc>
              <w:tc>
                <w:tcPr>
                  <w:tcW w:w="898"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cs="Times New Roman"/>
                      <w:sz w:val="20"/>
                      <w:szCs w:val="20"/>
                    </w:rPr>
                  </w:pPr>
                </w:p>
              </w:tc>
              <w:tc>
                <w:tcPr>
                  <w:tcW w:w="826"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cs="Times New Roman"/>
                      <w:sz w:val="20"/>
                      <w:szCs w:val="20"/>
                    </w:rPr>
                  </w:pPr>
                </w:p>
              </w:tc>
              <w:tc>
                <w:tcPr>
                  <w:tcW w:w="652" w:type="dxa"/>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2"/>
                      <w:sz w:val="21"/>
                      <w:szCs w:val="21"/>
                    </w:rPr>
                  </w:pPr>
                  <w:r>
                    <w:rPr>
                      <w:rFonts w:hint="eastAsia" w:ascii="宋体" w:hAnsi="宋体" w:eastAsia="宋体" w:cs="宋体"/>
                      <w:b w:val="0"/>
                      <w:bCs w:val="0"/>
                      <w:kern w:val="2"/>
                      <w:sz w:val="21"/>
                      <w:szCs w:val="21"/>
                      <w:lang w:val="en-US" w:eastAsia="zh-CN" w:bidi="ar"/>
                    </w:rPr>
                    <w:t>达标</w:t>
                  </w:r>
                </w:p>
              </w:tc>
            </w:tr>
            <w:tr>
              <w:tblPrEx>
                <w:tblBorders>
                  <w:top w:val="single" w:color="auto" w:sz="4" w:space="0"/>
                  <w:left w:val="none" w:color="auto" w:sz="4" w:space="0"/>
                  <w:bottom w:val="single" w:color="auto" w:sz="4" w:space="0"/>
                  <w:right w:val="non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40" w:hRule="atLeast"/>
                <w:jc w:val="center"/>
              </w:trPr>
              <w:tc>
                <w:tcPr>
                  <w:tcW w:w="658"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cs="Times New Roman"/>
                      <w:sz w:val="20"/>
                      <w:szCs w:val="20"/>
                    </w:rPr>
                  </w:pPr>
                </w:p>
              </w:tc>
              <w:tc>
                <w:tcPr>
                  <w:tcW w:w="19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kern w:val="2"/>
                      <w:sz w:val="21"/>
                      <w:szCs w:val="21"/>
                      <w:lang w:val="en-US" w:eastAsia="zh-CN" w:bidi="ar"/>
                    </w:rPr>
                  </w:pPr>
                  <w:r>
                    <w:rPr>
                      <w:rFonts w:hint="default" w:ascii="Times New Roman" w:hAnsi="Times New Roman" w:eastAsia="宋体" w:cs="Times New Roman"/>
                      <w:b/>
                      <w:bCs/>
                      <w:kern w:val="2"/>
                      <w:sz w:val="21"/>
                      <w:szCs w:val="21"/>
                      <w:lang w:val="en-US" w:eastAsia="zh-CN" w:bidi="ar"/>
                    </w:rPr>
                    <w:t>ZS-2504-07-4-1</w:t>
                  </w:r>
                </w:p>
              </w:tc>
              <w:tc>
                <w:tcPr>
                  <w:tcW w:w="17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kern w:val="2"/>
                      <w:sz w:val="21"/>
                      <w:szCs w:val="21"/>
                    </w:rPr>
                  </w:pPr>
                  <w:r>
                    <w:rPr>
                      <w:rFonts w:hint="default" w:ascii="Times New Roman" w:hAnsi="Times New Roman" w:eastAsia="宋体" w:cs="Times New Roman"/>
                      <w:b w:val="0"/>
                      <w:bCs w:val="0"/>
                      <w:kern w:val="2"/>
                      <w:sz w:val="21"/>
                      <w:szCs w:val="21"/>
                      <w:lang w:val="en-US" w:eastAsia="zh-CN" w:bidi="ar"/>
                    </w:rPr>
                    <w:t>E</w:t>
                  </w:r>
                  <w:r>
                    <w:rPr>
                      <w:rFonts w:hint="eastAsia" w:ascii="宋体" w:hAnsi="宋体" w:eastAsia="宋体" w:cs="宋体"/>
                      <w:b w:val="0"/>
                      <w:bCs w:val="0"/>
                      <w:kern w:val="2"/>
                      <w:sz w:val="21"/>
                      <w:szCs w:val="21"/>
                      <w:lang w:val="en-US" w:eastAsia="zh-CN" w:bidi="ar"/>
                    </w:rPr>
                    <w:t>：</w:t>
                  </w:r>
                  <w:r>
                    <w:rPr>
                      <w:rFonts w:hint="default" w:ascii="Times New Roman" w:hAnsi="Times New Roman" w:eastAsia="宋体" w:cs="Times New Roman"/>
                      <w:b w:val="0"/>
                      <w:bCs w:val="0"/>
                      <w:kern w:val="2"/>
                      <w:sz w:val="21"/>
                      <w:szCs w:val="21"/>
                      <w:lang w:val="en-US" w:eastAsia="zh-CN" w:bidi="ar"/>
                    </w:rPr>
                    <w:t>106.113880</w:t>
                  </w:r>
                </w:p>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2"/>
                      <w:sz w:val="21"/>
                      <w:szCs w:val="21"/>
                    </w:rPr>
                  </w:pPr>
                  <w:r>
                    <w:rPr>
                      <w:rFonts w:hint="default" w:ascii="Times New Roman" w:hAnsi="Times New Roman" w:eastAsia="宋体" w:cs="Times New Roman"/>
                      <w:b w:val="0"/>
                      <w:bCs w:val="0"/>
                      <w:kern w:val="2"/>
                      <w:sz w:val="21"/>
                      <w:szCs w:val="21"/>
                      <w:lang w:val="en-US" w:eastAsia="zh-CN" w:bidi="ar"/>
                    </w:rPr>
                    <w:t>N</w:t>
                  </w:r>
                  <w:r>
                    <w:rPr>
                      <w:rFonts w:hint="eastAsia" w:ascii="宋体" w:hAnsi="宋体" w:eastAsia="宋体" w:cs="宋体"/>
                      <w:b w:val="0"/>
                      <w:bCs w:val="0"/>
                      <w:kern w:val="2"/>
                      <w:sz w:val="21"/>
                      <w:szCs w:val="21"/>
                      <w:lang w:val="en-US" w:eastAsia="zh-CN" w:bidi="ar"/>
                    </w:rPr>
                    <w:t>：</w:t>
                  </w:r>
                  <w:r>
                    <w:rPr>
                      <w:rFonts w:hint="default" w:ascii="Times New Roman" w:hAnsi="Times New Roman" w:eastAsia="宋体" w:cs="Times New Roman"/>
                      <w:b w:val="0"/>
                      <w:bCs w:val="0"/>
                      <w:kern w:val="2"/>
                      <w:sz w:val="21"/>
                      <w:szCs w:val="21"/>
                      <w:lang w:val="en-US" w:eastAsia="zh-CN" w:bidi="ar"/>
                    </w:rPr>
                    <w:t>35.620289</w:t>
                  </w:r>
                </w:p>
              </w:tc>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2"/>
                      <w:sz w:val="21"/>
                      <w:szCs w:val="21"/>
                    </w:rPr>
                  </w:pPr>
                  <w:r>
                    <w:rPr>
                      <w:rFonts w:hint="default" w:ascii="Times New Roman" w:hAnsi="Times New Roman" w:eastAsia="宋体" w:cs="Times New Roman"/>
                      <w:b w:val="0"/>
                      <w:bCs w:val="0"/>
                      <w:kern w:val="2"/>
                      <w:sz w:val="21"/>
                      <w:szCs w:val="21"/>
                      <w:lang w:val="en-US" w:eastAsia="zh-CN" w:bidi="ar"/>
                    </w:rPr>
                    <w:t>42</w:t>
                  </w:r>
                </w:p>
              </w:tc>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2"/>
                      <w:sz w:val="21"/>
                      <w:szCs w:val="21"/>
                    </w:rPr>
                  </w:pPr>
                  <w:r>
                    <w:rPr>
                      <w:rFonts w:hint="default" w:ascii="Times New Roman" w:hAnsi="Times New Roman" w:eastAsia="宋体" w:cs="Times New Roman"/>
                      <w:b w:val="0"/>
                      <w:bCs w:val="0"/>
                      <w:kern w:val="2"/>
                      <w:sz w:val="21"/>
                      <w:szCs w:val="21"/>
                      <w:lang w:val="en-US" w:eastAsia="zh-CN" w:bidi="ar"/>
                    </w:rPr>
                    <w:t>33</w:t>
                  </w:r>
                </w:p>
              </w:tc>
              <w:tc>
                <w:tcPr>
                  <w:tcW w:w="898"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cs="Times New Roman"/>
                      <w:sz w:val="20"/>
                      <w:szCs w:val="20"/>
                    </w:rPr>
                  </w:pPr>
                </w:p>
              </w:tc>
              <w:tc>
                <w:tcPr>
                  <w:tcW w:w="826"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cs="Times New Roman"/>
                      <w:sz w:val="20"/>
                      <w:szCs w:val="20"/>
                    </w:rPr>
                  </w:pPr>
                </w:p>
              </w:tc>
              <w:tc>
                <w:tcPr>
                  <w:tcW w:w="652" w:type="dxa"/>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2"/>
                      <w:sz w:val="21"/>
                      <w:szCs w:val="21"/>
                    </w:rPr>
                  </w:pPr>
                  <w:r>
                    <w:rPr>
                      <w:rFonts w:hint="eastAsia" w:ascii="宋体" w:hAnsi="宋体" w:eastAsia="宋体" w:cs="宋体"/>
                      <w:b w:val="0"/>
                      <w:bCs w:val="0"/>
                      <w:kern w:val="2"/>
                      <w:sz w:val="21"/>
                      <w:szCs w:val="21"/>
                      <w:lang w:val="en-US" w:eastAsia="zh-CN" w:bidi="ar"/>
                    </w:rPr>
                    <w:t>达标</w:t>
                  </w:r>
                </w:p>
              </w:tc>
            </w:tr>
            <w:tr>
              <w:tblPrEx>
                <w:tblBorders>
                  <w:top w:val="single" w:color="auto" w:sz="4" w:space="0"/>
                  <w:left w:val="none" w:color="auto" w:sz="4" w:space="0"/>
                  <w:bottom w:val="single" w:color="auto" w:sz="4" w:space="0"/>
                  <w:right w:val="non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40" w:hRule="atLeast"/>
                <w:jc w:val="center"/>
              </w:trPr>
              <w:tc>
                <w:tcPr>
                  <w:tcW w:w="658"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cs="Times New Roman"/>
                      <w:sz w:val="20"/>
                      <w:szCs w:val="20"/>
                    </w:rPr>
                  </w:pPr>
                </w:p>
              </w:tc>
              <w:tc>
                <w:tcPr>
                  <w:tcW w:w="19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kern w:val="2"/>
                      <w:sz w:val="21"/>
                      <w:szCs w:val="21"/>
                    </w:rPr>
                  </w:pPr>
                  <w:r>
                    <w:rPr>
                      <w:rFonts w:hint="default" w:ascii="Times New Roman" w:hAnsi="Times New Roman" w:eastAsia="宋体" w:cs="Times New Roman"/>
                      <w:b/>
                      <w:bCs/>
                      <w:kern w:val="2"/>
                      <w:sz w:val="21"/>
                      <w:szCs w:val="21"/>
                      <w:lang w:val="en-US" w:eastAsia="zh-CN" w:bidi="ar"/>
                    </w:rPr>
                    <w:t>ZS-2504-07-5-1</w:t>
                  </w:r>
                </w:p>
              </w:tc>
              <w:tc>
                <w:tcPr>
                  <w:tcW w:w="17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kern w:val="2"/>
                      <w:sz w:val="21"/>
                      <w:szCs w:val="21"/>
                    </w:rPr>
                  </w:pPr>
                  <w:r>
                    <w:rPr>
                      <w:rFonts w:hint="default" w:ascii="Times New Roman" w:hAnsi="Times New Roman" w:eastAsia="宋体" w:cs="Times New Roman"/>
                      <w:b w:val="0"/>
                      <w:bCs w:val="0"/>
                      <w:kern w:val="2"/>
                      <w:sz w:val="21"/>
                      <w:szCs w:val="21"/>
                      <w:lang w:val="en-US" w:eastAsia="zh-CN" w:bidi="ar"/>
                    </w:rPr>
                    <w:t>E</w:t>
                  </w:r>
                  <w:r>
                    <w:rPr>
                      <w:rFonts w:hint="eastAsia" w:ascii="宋体" w:hAnsi="宋体" w:eastAsia="宋体" w:cs="宋体"/>
                      <w:b w:val="0"/>
                      <w:bCs w:val="0"/>
                      <w:kern w:val="2"/>
                      <w:sz w:val="21"/>
                      <w:szCs w:val="21"/>
                      <w:lang w:val="en-US" w:eastAsia="zh-CN" w:bidi="ar"/>
                    </w:rPr>
                    <w:t>：</w:t>
                  </w:r>
                  <w:r>
                    <w:rPr>
                      <w:rFonts w:hint="default" w:ascii="Times New Roman" w:hAnsi="Times New Roman" w:eastAsia="宋体" w:cs="Times New Roman"/>
                      <w:b w:val="0"/>
                      <w:bCs w:val="0"/>
                      <w:kern w:val="2"/>
                      <w:sz w:val="21"/>
                      <w:szCs w:val="21"/>
                      <w:lang w:val="en-US" w:eastAsia="zh-CN" w:bidi="ar"/>
                    </w:rPr>
                    <w:t>106.117587</w:t>
                  </w:r>
                </w:p>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2"/>
                      <w:sz w:val="21"/>
                      <w:szCs w:val="21"/>
                    </w:rPr>
                  </w:pPr>
                  <w:r>
                    <w:rPr>
                      <w:rFonts w:hint="default" w:ascii="Times New Roman" w:hAnsi="Times New Roman" w:eastAsia="宋体" w:cs="Times New Roman"/>
                      <w:b w:val="0"/>
                      <w:bCs w:val="0"/>
                      <w:kern w:val="2"/>
                      <w:sz w:val="21"/>
                      <w:szCs w:val="21"/>
                      <w:lang w:val="en-US" w:eastAsia="zh-CN" w:bidi="ar"/>
                    </w:rPr>
                    <w:t>N</w:t>
                  </w:r>
                  <w:r>
                    <w:rPr>
                      <w:rFonts w:hint="eastAsia" w:ascii="宋体" w:hAnsi="宋体" w:eastAsia="宋体" w:cs="宋体"/>
                      <w:b w:val="0"/>
                      <w:bCs w:val="0"/>
                      <w:kern w:val="2"/>
                      <w:sz w:val="21"/>
                      <w:szCs w:val="21"/>
                      <w:lang w:val="en-US" w:eastAsia="zh-CN" w:bidi="ar"/>
                    </w:rPr>
                    <w:t>：</w:t>
                  </w:r>
                  <w:r>
                    <w:rPr>
                      <w:rFonts w:hint="default" w:ascii="Times New Roman" w:hAnsi="Times New Roman" w:eastAsia="宋体" w:cs="Times New Roman"/>
                      <w:b w:val="0"/>
                      <w:bCs w:val="0"/>
                      <w:kern w:val="2"/>
                      <w:sz w:val="21"/>
                      <w:szCs w:val="21"/>
                      <w:lang w:val="en-US" w:eastAsia="zh-CN" w:bidi="ar"/>
                    </w:rPr>
                    <w:t>35.599915</w:t>
                  </w:r>
                </w:p>
              </w:tc>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2"/>
                      <w:sz w:val="21"/>
                      <w:szCs w:val="21"/>
                    </w:rPr>
                  </w:pPr>
                  <w:r>
                    <w:rPr>
                      <w:rFonts w:hint="default" w:ascii="Times New Roman" w:hAnsi="Times New Roman" w:eastAsia="宋体" w:cs="Times New Roman"/>
                      <w:b w:val="0"/>
                      <w:bCs w:val="0"/>
                      <w:kern w:val="2"/>
                      <w:sz w:val="21"/>
                      <w:szCs w:val="21"/>
                      <w:lang w:val="en-US" w:eastAsia="zh-CN" w:bidi="ar"/>
                    </w:rPr>
                    <w:t>38</w:t>
                  </w:r>
                </w:p>
              </w:tc>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2"/>
                      <w:sz w:val="21"/>
                      <w:szCs w:val="21"/>
                    </w:rPr>
                  </w:pPr>
                  <w:r>
                    <w:rPr>
                      <w:rFonts w:hint="default" w:ascii="Times New Roman" w:hAnsi="Times New Roman" w:eastAsia="宋体" w:cs="Times New Roman"/>
                      <w:b w:val="0"/>
                      <w:bCs w:val="0"/>
                      <w:kern w:val="2"/>
                      <w:sz w:val="21"/>
                      <w:szCs w:val="21"/>
                      <w:lang w:val="en-US" w:eastAsia="zh-CN" w:bidi="ar"/>
                    </w:rPr>
                    <w:t>29</w:t>
                  </w:r>
                </w:p>
              </w:tc>
              <w:tc>
                <w:tcPr>
                  <w:tcW w:w="898"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cs="Times New Roman"/>
                      <w:sz w:val="20"/>
                      <w:szCs w:val="20"/>
                    </w:rPr>
                  </w:pPr>
                </w:p>
              </w:tc>
              <w:tc>
                <w:tcPr>
                  <w:tcW w:w="826"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cs="Times New Roman"/>
                      <w:sz w:val="20"/>
                      <w:szCs w:val="20"/>
                    </w:rPr>
                  </w:pPr>
                </w:p>
              </w:tc>
              <w:tc>
                <w:tcPr>
                  <w:tcW w:w="652" w:type="dxa"/>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val="0"/>
                    <w:suppressLineNumbers w:val="0"/>
                    <w:tabs>
                      <w:tab w:val="left" w:pos="1047"/>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2"/>
                      <w:sz w:val="21"/>
                      <w:szCs w:val="21"/>
                    </w:rPr>
                  </w:pPr>
                  <w:r>
                    <w:rPr>
                      <w:rFonts w:hint="eastAsia" w:ascii="宋体" w:hAnsi="宋体" w:eastAsia="宋体" w:cs="宋体"/>
                      <w:b w:val="0"/>
                      <w:bCs w:val="0"/>
                      <w:kern w:val="2"/>
                      <w:sz w:val="21"/>
                      <w:szCs w:val="21"/>
                      <w:lang w:val="en-US" w:eastAsia="zh-CN" w:bidi="ar"/>
                    </w:rPr>
                    <w:t>达标</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eastAsia" w:ascii="宋体" w:hAnsi="宋体" w:eastAsia="宋体" w:cs="宋体"/>
                <w:color w:val="FF0000"/>
                <w:kern w:val="0"/>
                <w:sz w:val="24"/>
                <w:szCs w:val="24"/>
                <w:lang w:val="en-US" w:eastAsia="zh-CN" w:bidi="ar"/>
              </w:rPr>
            </w:pPr>
            <w:r>
              <w:rPr>
                <w:rFonts w:hint="eastAsia" w:ascii="Times New Roman" w:hAnsi="Times New Roman" w:eastAsia="宋体" w:cs="Times New Roman"/>
                <w:color w:val="auto"/>
                <w:sz w:val="24"/>
                <w:szCs w:val="24"/>
                <w:highlight w:val="none"/>
                <w:lang w:val="en-US" w:eastAsia="zh-CN"/>
              </w:rPr>
              <w:t>监测期间</w:t>
            </w:r>
            <w:r>
              <w:rPr>
                <w:rFonts w:hint="default" w:ascii="Times New Roman" w:hAnsi="Times New Roman" w:eastAsia="宋体" w:cs="Times New Roman"/>
                <w:color w:val="auto"/>
                <w:sz w:val="24"/>
                <w:szCs w:val="24"/>
                <w:highlight w:val="none"/>
                <w:lang w:val="en-US" w:eastAsia="zh-CN"/>
              </w:rPr>
              <w:t>隆德县县城排水防涝能力提升项目-声环境现状</w:t>
            </w:r>
            <w:r>
              <w:rPr>
                <w:rFonts w:hint="eastAsia" w:ascii="Times New Roman" w:hAnsi="Times New Roman" w:eastAsia="宋体" w:cs="Times New Roman"/>
                <w:color w:val="auto"/>
                <w:sz w:val="24"/>
                <w:szCs w:val="24"/>
                <w:highlight w:val="none"/>
                <w:lang w:val="en-US" w:eastAsia="zh-CN"/>
              </w:rPr>
              <w:t>昼间噪声值范围为38~42dB(A)，夜间噪声值范围29~33dB(A)，均符合</w:t>
            </w:r>
            <w:r>
              <w:rPr>
                <w:rFonts w:hint="default" w:ascii="Times New Roman" w:hAnsi="Times New Roman" w:eastAsia="宋体" w:cs="Times New Roman"/>
                <w:color w:val="auto"/>
                <w:sz w:val="24"/>
                <w:szCs w:val="24"/>
                <w:highlight w:val="none"/>
                <w:lang w:val="en-US" w:eastAsia="zh-CN"/>
              </w:rPr>
              <w:t>《声环境质量标准》(GB 3096-2008)</w:t>
            </w:r>
            <w:r>
              <w:rPr>
                <w:rFonts w:hint="eastAsia" w:ascii="Times New Roman" w:hAnsi="Times New Roman" w:eastAsia="宋体" w:cs="Times New Roman"/>
                <w:color w:val="auto"/>
                <w:sz w:val="24"/>
                <w:szCs w:val="24"/>
                <w:highlight w:val="none"/>
                <w:lang w:val="en-US" w:eastAsia="zh-CN"/>
              </w:rPr>
              <w:t>中1类标准中昼间55dB(A)，夜间45dB(A)的排放限值要求。</w:t>
            </w:r>
            <w:r>
              <w:rPr>
                <w:rFonts w:hint="eastAsia" w:ascii="宋体" w:hAnsi="宋体" w:eastAsia="宋体" w:cs="宋体"/>
                <w:color w:val="000000"/>
                <w:kern w:val="0"/>
                <w:sz w:val="24"/>
                <w:szCs w:val="24"/>
                <w:lang w:val="en-US" w:eastAsia="zh-CN" w:bidi="ar"/>
              </w:rPr>
              <w:t>评价区域声环境质量现状良好。</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2" w:firstLineChars="200"/>
              <w:textAlignment w:val="auto"/>
              <w:rPr>
                <w:rFonts w:hint="default" w:ascii="Times New Roman" w:hAnsi="Times New Roman" w:eastAsia="宋体" w:cs="Times New Roman"/>
                <w:color w:val="auto"/>
                <w:kern w:val="0"/>
                <w:sz w:val="24"/>
                <w:highlight w:val="none"/>
                <w:lang w:eastAsia="zh-CN"/>
              </w:rPr>
            </w:pPr>
            <w:bookmarkStart w:id="16" w:name="OLE_LINK4"/>
            <w:r>
              <w:rPr>
                <w:rFonts w:hint="eastAsia" w:cs="Times New Roman"/>
                <w:b/>
                <w:color w:val="auto"/>
                <w:kern w:val="0"/>
                <w:sz w:val="24"/>
                <w:highlight w:val="none"/>
                <w:lang w:val="en-US" w:eastAsia="zh-CN"/>
              </w:rPr>
              <w:t>6</w:t>
            </w:r>
            <w:r>
              <w:rPr>
                <w:rFonts w:hint="default" w:ascii="Times New Roman" w:hAnsi="Times New Roman" w:eastAsia="宋体" w:cs="Times New Roman"/>
                <w:b/>
                <w:color w:val="auto"/>
                <w:kern w:val="0"/>
                <w:sz w:val="24"/>
                <w:highlight w:val="none"/>
              </w:rPr>
              <w:t>、</w:t>
            </w:r>
            <w:r>
              <w:rPr>
                <w:rFonts w:hint="default" w:ascii="Times New Roman" w:hAnsi="Times New Roman" w:eastAsia="宋体" w:cs="Times New Roman"/>
                <w:b/>
                <w:color w:val="auto"/>
                <w:kern w:val="0"/>
                <w:sz w:val="24"/>
                <w:highlight w:val="none"/>
                <w:lang w:val="en-US" w:eastAsia="zh-CN"/>
              </w:rPr>
              <w:t>土壤</w:t>
            </w:r>
            <w:r>
              <w:rPr>
                <w:rFonts w:hint="default" w:ascii="Times New Roman" w:hAnsi="Times New Roman" w:eastAsia="宋体" w:cs="Times New Roman"/>
                <w:b/>
                <w:color w:val="auto"/>
                <w:kern w:val="0"/>
                <w:sz w:val="24"/>
                <w:highlight w:val="none"/>
              </w:rPr>
              <w:t>环境质量现状</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根据《环境影响评价技术导则土壤环境（试行）》（HJ、964-2018）附录A土壤环境影响评价项目类别，本项目为“其他行业”，属于Ⅳ类项目，可不开展土壤环境影响评价工作。</w:t>
            </w:r>
            <w:bookmarkEnd w:id="16"/>
          </w:p>
          <w:p>
            <w:pPr>
              <w:keepNext w:val="0"/>
              <w:keepLines w:val="0"/>
              <w:pageBreakBefore w:val="0"/>
              <w:widowControl w:val="0"/>
              <w:numPr>
                <w:ilvl w:val="0"/>
                <w:numId w:val="2"/>
              </w:numPr>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2" w:firstLineChars="200"/>
              <w:textAlignment w:val="auto"/>
              <w:rPr>
                <w:rFonts w:hint="eastAsia" w:ascii="Times New Roman" w:hAnsi="Times New Roman" w:eastAsia="宋体" w:cs="Times New Roman"/>
                <w:b/>
                <w:color w:val="auto"/>
                <w:kern w:val="0"/>
                <w:sz w:val="24"/>
                <w:highlight w:val="none"/>
                <w:lang w:eastAsia="zh-CN"/>
              </w:rPr>
            </w:pPr>
            <w:r>
              <w:rPr>
                <w:rFonts w:hint="eastAsia" w:ascii="Times New Roman" w:hAnsi="Times New Roman" w:eastAsia="宋体" w:cs="Times New Roman"/>
                <w:b/>
                <w:color w:val="auto"/>
                <w:kern w:val="0"/>
                <w:sz w:val="24"/>
                <w:highlight w:val="none"/>
                <w:lang w:eastAsia="zh-CN"/>
              </w:rPr>
              <w:t>项目已建排水渠清淤现状</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w:t>
            </w:r>
            <w:r>
              <w:rPr>
                <w:rFonts w:hint="eastAsia" w:ascii="Times New Roman" w:hAnsi="Times New Roman" w:eastAsia="宋体" w:cs="Times New Roman"/>
                <w:color w:val="auto"/>
                <w:sz w:val="24"/>
                <w:szCs w:val="24"/>
                <w:highlight w:val="none"/>
                <w:lang w:val="en-US" w:eastAsia="zh-CN"/>
              </w:rPr>
              <w:t>本项目包含行政中心北侧现状排水渠沙土清理，根据项目实地考察，排洪渠产生的固体废弃物为</w:t>
            </w:r>
            <w:r>
              <w:rPr>
                <w:rFonts w:hint="eastAsia" w:cs="Times New Roman"/>
                <w:color w:val="auto"/>
                <w:kern w:val="0"/>
                <w:sz w:val="24"/>
                <w:lang w:eastAsia="zh-CN" w:bidi="ar"/>
              </w:rPr>
              <w:t>雨水冲刷山体产生的植物枯叶及少量沙土，对环境无影响。产生的固体废弃物</w:t>
            </w:r>
            <w:r>
              <w:rPr>
                <w:rFonts w:hint="eastAsia" w:cs="Times New Roman"/>
                <w:color w:val="auto"/>
                <w:kern w:val="0"/>
                <w:sz w:val="24"/>
                <w:lang w:eastAsia="zh-CN"/>
              </w:rPr>
              <w:t>由建设单位清理至建筑垃圾填埋场处理。项目照片如下：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77" w:hRule="atLeast"/>
          <w:jc w:val="center"/>
        </w:trPr>
        <w:tc>
          <w:tcPr>
            <w:tcW w:w="98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bCs/>
                <w:color w:val="auto"/>
                <w:kern w:val="0"/>
                <w:sz w:val="24"/>
                <w:highlight w:val="none"/>
              </w:rPr>
            </w:pPr>
          </w:p>
        </w:tc>
        <w:tc>
          <w:tcPr>
            <w:tcW w:w="4113"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80" w:firstLineChars="20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drawing>
                <wp:inline distT="0" distB="0" distL="114300" distR="114300">
                  <wp:extent cx="1894840" cy="3195320"/>
                  <wp:effectExtent l="0" t="0" r="10160" b="5080"/>
                  <wp:docPr id="14"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
                          <pic:cNvPicPr>
                            <a:picLocks noChangeAspect="1"/>
                          </pic:cNvPicPr>
                        </pic:nvPicPr>
                        <pic:blipFill>
                          <a:blip r:embed="rId16"/>
                          <a:stretch>
                            <a:fillRect/>
                          </a:stretch>
                        </pic:blipFill>
                        <pic:spPr>
                          <a:xfrm>
                            <a:off x="0" y="0"/>
                            <a:ext cx="1894840" cy="3195320"/>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82" w:firstLineChars="20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bCs/>
                <w:color w:val="auto"/>
                <w:kern w:val="0"/>
                <w:sz w:val="24"/>
                <w:lang w:eastAsia="zh-CN"/>
              </w:rPr>
              <w:t>行政中心北侧现状排洪渠</w:t>
            </w:r>
          </w:p>
        </w:tc>
        <w:tc>
          <w:tcPr>
            <w:tcW w:w="3913"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80" w:firstLineChars="20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drawing>
                <wp:inline distT="0" distB="0" distL="114300" distR="114300">
                  <wp:extent cx="1771650" cy="3173095"/>
                  <wp:effectExtent l="0" t="0" r="0" b="8255"/>
                  <wp:docPr id="15" name="图片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
                          <pic:cNvPicPr>
                            <a:picLocks noChangeAspect="1"/>
                          </pic:cNvPicPr>
                        </pic:nvPicPr>
                        <pic:blipFill>
                          <a:blip r:embed="rId17"/>
                          <a:stretch>
                            <a:fillRect/>
                          </a:stretch>
                        </pic:blipFill>
                        <pic:spPr>
                          <a:xfrm>
                            <a:off x="0" y="0"/>
                            <a:ext cx="1771650" cy="3173095"/>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82" w:firstLineChars="20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bCs/>
                <w:color w:val="auto"/>
                <w:kern w:val="0"/>
                <w:sz w:val="24"/>
                <w:lang w:eastAsia="zh-CN"/>
              </w:rPr>
              <w:t>行政中心北侧现状排洪渠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856" w:hRule="atLeast"/>
          <w:jc w:val="center"/>
        </w:trPr>
        <w:tc>
          <w:tcPr>
            <w:tcW w:w="98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FF"/>
                <w:kern w:val="0"/>
                <w:sz w:val="24"/>
                <w:highlight w:val="none"/>
              </w:rPr>
            </w:pPr>
            <w:r>
              <w:rPr>
                <w:rFonts w:hint="default" w:ascii="Times New Roman" w:hAnsi="Times New Roman" w:eastAsia="宋体" w:cs="Times New Roman"/>
                <w:b/>
                <w:bCs/>
                <w:color w:val="auto"/>
                <w:sz w:val="24"/>
                <w:highlight w:val="none"/>
              </w:rPr>
              <w:t>与项目有关的原有环境污染和生态破坏问题</w:t>
            </w:r>
          </w:p>
        </w:tc>
        <w:tc>
          <w:tcPr>
            <w:tcW w:w="8026"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0" w:firstLineChars="0"/>
              <w:jc w:val="center"/>
              <w:textAlignment w:val="auto"/>
              <w:rPr>
                <w:rFonts w:hint="default" w:ascii="Times New Roman" w:hAnsi="Times New Roman" w:eastAsia="宋体" w:cs="宋体"/>
                <w:kern w:val="2"/>
                <w:sz w:val="24"/>
                <w:szCs w:val="24"/>
                <w:lang w:val="en-US" w:eastAsia="zh-CN" w:bidi="ar-SA"/>
              </w:rPr>
            </w:pPr>
            <w:r>
              <w:rPr>
                <w:rFonts w:hint="eastAsia" w:cs="Times New Roman"/>
                <w:color w:val="auto"/>
                <w:sz w:val="24"/>
                <w:highlight w:val="none"/>
                <w:lang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jc w:val="center"/>
        </w:trPr>
        <w:tc>
          <w:tcPr>
            <w:tcW w:w="98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生态环境保护目标</w:t>
            </w:r>
          </w:p>
        </w:tc>
        <w:tc>
          <w:tcPr>
            <w:tcW w:w="8026"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2" w:firstLineChars="200"/>
              <w:jc w:val="left"/>
              <w:textAlignment w:val="auto"/>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一、大气环境保护目标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0" w:firstLineChars="200"/>
              <w:jc w:val="left"/>
              <w:textAlignment w:val="auto"/>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color w:val="auto"/>
                <w:kern w:val="0"/>
                <w:sz w:val="24"/>
                <w:highlight w:val="none"/>
              </w:rPr>
              <w:t>本项目周边500米范围内不存在自然保护区、风景名胜区和其他需要特殊保护的地区；主要环境保护目标为居民区，</w:t>
            </w:r>
            <w:r>
              <w:rPr>
                <w:rFonts w:hint="default" w:ascii="Times New Roman" w:hAnsi="Times New Roman" w:eastAsia="宋体" w:cs="Times New Roman"/>
                <w:color w:val="auto"/>
                <w:kern w:val="0"/>
                <w:sz w:val="24"/>
                <w:highlight w:val="none"/>
                <w:lang w:val="en-US" w:eastAsia="zh-CN"/>
              </w:rPr>
              <w:t>详见项目主要环境保护目标一览表</w:t>
            </w:r>
            <w:r>
              <w:rPr>
                <w:rFonts w:hint="default" w:ascii="Times New Roman" w:hAnsi="Times New Roman" w:eastAsia="宋体" w:cs="Times New Roman"/>
                <w:color w:val="auto"/>
                <w:kern w:val="0"/>
                <w:sz w:val="24"/>
                <w:highlight w:val="none"/>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2" w:firstLineChars="200"/>
              <w:jc w:val="left"/>
              <w:textAlignment w:val="auto"/>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二、声环境保护目标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0" w:firstLineChars="200"/>
              <w:jc w:val="left"/>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根据现场调查，本项目沿线</w:t>
            </w:r>
            <w:r>
              <w:rPr>
                <w:rFonts w:hint="default" w:ascii="Times New Roman" w:hAnsi="Times New Roman" w:eastAsia="宋体" w:cs="Times New Roman"/>
                <w:color w:val="auto"/>
                <w:kern w:val="0"/>
                <w:sz w:val="24"/>
                <w:highlight w:val="none"/>
                <w:lang w:val="en-US" w:eastAsia="zh-CN"/>
              </w:rPr>
              <w:t>5</w:t>
            </w:r>
            <w:r>
              <w:rPr>
                <w:rFonts w:hint="default" w:ascii="Times New Roman" w:hAnsi="Times New Roman" w:eastAsia="宋体" w:cs="Times New Roman"/>
                <w:color w:val="auto"/>
                <w:kern w:val="0"/>
                <w:sz w:val="24"/>
                <w:highlight w:val="none"/>
              </w:rPr>
              <w:t>0m范围内声环境保护目标</w:t>
            </w:r>
            <w:r>
              <w:rPr>
                <w:rFonts w:hint="eastAsia" w:cs="Times New Roman"/>
                <w:color w:val="auto"/>
                <w:kern w:val="0"/>
                <w:sz w:val="24"/>
                <w:highlight w:val="none"/>
                <w:lang w:eastAsia="zh-CN"/>
              </w:rPr>
              <w:t>主要为学校、行政办公场所、居民区，环境保护目标见环境保护目标一览表</w:t>
            </w:r>
            <w:r>
              <w:rPr>
                <w:rFonts w:hint="default" w:ascii="Times New Roman" w:hAnsi="Times New Roman" w:eastAsia="宋体" w:cs="Times New Roman"/>
                <w:color w:val="auto"/>
                <w:kern w:val="0"/>
                <w:sz w:val="24"/>
                <w:highlight w:val="none"/>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2" w:firstLineChars="200"/>
              <w:jc w:val="left"/>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b/>
                <w:bCs/>
                <w:color w:val="auto"/>
                <w:kern w:val="0"/>
                <w:sz w:val="24"/>
                <w:highlight w:val="none"/>
              </w:rPr>
              <w:t>三、地表水环境保护目标</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eastAsia" w:cs="Times New Roman"/>
                <w:color w:val="auto"/>
                <w:kern w:val="0"/>
                <w:sz w:val="24"/>
                <w:highlight w:val="none"/>
                <w:lang w:eastAsia="zh-CN"/>
              </w:rPr>
            </w:pPr>
            <w:r>
              <w:rPr>
                <w:rFonts w:hint="eastAsia" w:cs="Times New Roman"/>
                <w:color w:val="auto"/>
                <w:kern w:val="0"/>
                <w:sz w:val="24"/>
                <w:highlight w:val="none"/>
                <w:lang w:eastAsia="zh-CN"/>
              </w:rPr>
              <w:t>根据现场调查，本项目地表水环境保护目标为清流河，详见主要环境保护目标一览表。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2" w:firstLineChars="200"/>
              <w:jc w:val="left"/>
              <w:textAlignment w:val="auto"/>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四、地下水环境保护目标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0" w:firstLineChars="200"/>
              <w:jc w:val="left"/>
              <w:textAlignment w:val="auto"/>
              <w:rPr>
                <w:rFonts w:hint="default" w:ascii="Times New Roman" w:hAnsi="Times New Roman" w:eastAsia="宋体" w:cs="Times New Roman"/>
                <w:color w:val="FF0000"/>
                <w:kern w:val="0"/>
                <w:sz w:val="24"/>
                <w:highlight w:val="none"/>
                <w:lang w:val="en-US" w:eastAsia="zh-CN"/>
              </w:rPr>
            </w:pPr>
            <w:r>
              <w:rPr>
                <w:rFonts w:hint="default" w:ascii="Times New Roman" w:hAnsi="Times New Roman" w:eastAsia="宋体" w:cs="Times New Roman"/>
                <w:color w:val="auto"/>
                <w:kern w:val="0"/>
                <w:sz w:val="24"/>
                <w:highlight w:val="none"/>
              </w:rPr>
              <w:t>根据现场调查，本项目不涉及地下水环境保护目标。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2" w:firstLineChars="200"/>
              <w:jc w:val="left"/>
              <w:textAlignment w:val="auto"/>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五、生态环境保护目标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0" w:firstLineChars="200"/>
              <w:jc w:val="left"/>
              <w:textAlignment w:val="auto"/>
              <w:rPr>
                <w:rFonts w:hint="default" w:ascii="Times New Roman" w:hAnsi="Times New Roman" w:eastAsia="宋体" w:cs="Times New Roman"/>
                <w:color w:val="FF0000"/>
                <w:kern w:val="0"/>
                <w:sz w:val="24"/>
                <w:highlight w:val="none"/>
              </w:rPr>
            </w:pPr>
            <w:r>
              <w:rPr>
                <w:rFonts w:hint="default" w:ascii="Times New Roman" w:hAnsi="Times New Roman" w:eastAsia="宋体" w:cs="Times New Roman"/>
                <w:color w:val="auto"/>
                <w:kern w:val="0"/>
                <w:sz w:val="24"/>
                <w:highlight w:val="none"/>
              </w:rPr>
              <w:t>本项目环境保护目标见表</w:t>
            </w:r>
            <w:r>
              <w:rPr>
                <w:rFonts w:hint="eastAsia" w:cs="Times New Roman"/>
                <w:color w:val="auto"/>
                <w:kern w:val="0"/>
                <w:sz w:val="24"/>
                <w:highlight w:val="none"/>
                <w:lang w:val="en-US" w:eastAsia="zh-CN"/>
              </w:rPr>
              <w:t>3-6</w:t>
            </w:r>
            <w:r>
              <w:rPr>
                <w:rFonts w:hint="default" w:ascii="Times New Roman" w:hAnsi="Times New Roman" w:eastAsia="宋体" w:cs="Times New Roman"/>
                <w:color w:val="auto"/>
                <w:kern w:val="0"/>
                <w:sz w:val="24"/>
                <w:highlight w:val="none"/>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center"/>
              <w:textAlignment w:val="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表</w:t>
            </w:r>
            <w:r>
              <w:rPr>
                <w:rFonts w:hint="default" w:ascii="Times New Roman" w:hAnsi="Times New Roman" w:eastAsia="宋体" w:cs="Times New Roman"/>
                <w:b/>
                <w:bCs w:val="0"/>
                <w:color w:val="auto"/>
                <w:sz w:val="24"/>
                <w:szCs w:val="24"/>
                <w:highlight w:val="none"/>
                <w:lang w:val="en-US" w:eastAsia="zh-CN"/>
              </w:rPr>
              <w:t>3-</w:t>
            </w:r>
            <w:r>
              <w:rPr>
                <w:rFonts w:hint="eastAsia" w:cs="Times New Roman"/>
                <w:b/>
                <w:bCs w:val="0"/>
                <w:color w:val="auto"/>
                <w:sz w:val="24"/>
                <w:szCs w:val="24"/>
                <w:highlight w:val="none"/>
                <w:lang w:val="en-US" w:eastAsia="zh-CN"/>
              </w:rPr>
              <w:t>6</w:t>
            </w:r>
            <w:r>
              <w:rPr>
                <w:rFonts w:hint="eastAsia" w:ascii="宋体" w:hAnsi="宋体" w:eastAsia="宋体" w:cs="宋体"/>
                <w:b/>
                <w:bCs w:val="0"/>
                <w:color w:val="auto"/>
                <w:sz w:val="24"/>
                <w:szCs w:val="24"/>
                <w:highlight w:val="none"/>
              </w:rPr>
              <w:t xml:space="preserve">  项目主要环境保护目标一览表</w:t>
            </w:r>
          </w:p>
          <w:tbl>
            <w:tblPr>
              <w:tblStyle w:val="21"/>
              <w:tblW w:w="7859"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88"/>
              <w:gridCol w:w="1189"/>
              <w:gridCol w:w="1170"/>
              <w:gridCol w:w="1179"/>
              <w:gridCol w:w="1081"/>
              <w:gridCol w:w="1050"/>
              <w:gridCol w:w="1060"/>
              <w:gridCol w:w="64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color w:val="auto"/>
                      <w:kern w:val="0"/>
                      <w:sz w:val="21"/>
                      <w:szCs w:val="21"/>
                      <w:highlight w:val="none"/>
                    </w:rPr>
                  </w:pPr>
                  <w:r>
                    <w:rPr>
                      <w:rFonts w:hint="default" w:cs="Times New Roman"/>
                      <w:b/>
                      <w:color w:val="auto"/>
                      <w:kern w:val="0"/>
                      <w:sz w:val="21"/>
                      <w:szCs w:val="21"/>
                      <w:highlight w:val="none"/>
                    </w:rPr>
                    <w:t>环境</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color w:val="auto"/>
                      <w:kern w:val="0"/>
                      <w:sz w:val="21"/>
                      <w:szCs w:val="21"/>
                      <w:highlight w:val="none"/>
                    </w:rPr>
                  </w:pPr>
                  <w:r>
                    <w:rPr>
                      <w:rFonts w:hint="default" w:cs="Times New Roman"/>
                      <w:b/>
                      <w:color w:val="auto"/>
                      <w:kern w:val="0"/>
                      <w:sz w:val="21"/>
                      <w:szCs w:val="21"/>
                      <w:highlight w:val="none"/>
                    </w:rPr>
                    <w:t>要素</w:t>
                  </w:r>
                </w:p>
              </w:tc>
              <w:tc>
                <w:tcPr>
                  <w:tcW w:w="1189"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color w:val="auto"/>
                      <w:kern w:val="0"/>
                      <w:sz w:val="21"/>
                      <w:szCs w:val="21"/>
                      <w:highlight w:val="none"/>
                    </w:rPr>
                  </w:pPr>
                  <w:r>
                    <w:rPr>
                      <w:rFonts w:hint="default" w:cs="Times New Roman"/>
                      <w:b/>
                      <w:color w:val="auto"/>
                      <w:kern w:val="0"/>
                      <w:sz w:val="21"/>
                      <w:szCs w:val="21"/>
                      <w:highlight w:val="none"/>
                    </w:rPr>
                    <w:t>名称</w:t>
                  </w:r>
                </w:p>
              </w:tc>
              <w:tc>
                <w:tcPr>
                  <w:tcW w:w="2349" w:type="dxa"/>
                  <w:gridSpan w:val="2"/>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color w:val="auto"/>
                      <w:kern w:val="0"/>
                      <w:sz w:val="21"/>
                      <w:szCs w:val="21"/>
                      <w:highlight w:val="none"/>
                    </w:rPr>
                  </w:pPr>
                  <w:r>
                    <w:rPr>
                      <w:rFonts w:hint="default" w:cs="Times New Roman"/>
                      <w:b/>
                      <w:color w:val="auto"/>
                      <w:kern w:val="0"/>
                      <w:sz w:val="21"/>
                      <w:szCs w:val="21"/>
                      <w:highlight w:val="none"/>
                    </w:rPr>
                    <w:t>坐标</w:t>
                  </w:r>
                </w:p>
              </w:tc>
              <w:tc>
                <w:tcPr>
                  <w:tcW w:w="1081"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color w:val="auto"/>
                      <w:kern w:val="0"/>
                      <w:sz w:val="21"/>
                      <w:szCs w:val="21"/>
                      <w:highlight w:val="none"/>
                    </w:rPr>
                  </w:pPr>
                  <w:r>
                    <w:rPr>
                      <w:rFonts w:hint="default" w:cs="Times New Roman"/>
                      <w:b/>
                      <w:color w:val="auto"/>
                      <w:kern w:val="0"/>
                      <w:sz w:val="21"/>
                      <w:szCs w:val="21"/>
                      <w:highlight w:val="none"/>
                    </w:rPr>
                    <w:t>保护对象</w:t>
                  </w:r>
                </w:p>
              </w:tc>
              <w:tc>
                <w:tcPr>
                  <w:tcW w:w="1050"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color w:val="auto"/>
                      <w:kern w:val="0"/>
                      <w:sz w:val="21"/>
                      <w:szCs w:val="21"/>
                      <w:highlight w:val="none"/>
                    </w:rPr>
                  </w:pPr>
                  <w:r>
                    <w:rPr>
                      <w:rFonts w:hint="default" w:cs="Times New Roman"/>
                      <w:b/>
                      <w:color w:val="auto"/>
                      <w:kern w:val="0"/>
                      <w:sz w:val="21"/>
                      <w:szCs w:val="21"/>
                      <w:highlight w:val="none"/>
                    </w:rPr>
                    <w:t>保护</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color w:val="auto"/>
                      <w:kern w:val="0"/>
                      <w:sz w:val="21"/>
                      <w:szCs w:val="21"/>
                      <w:highlight w:val="none"/>
                    </w:rPr>
                  </w:pPr>
                  <w:r>
                    <w:rPr>
                      <w:rFonts w:hint="default" w:cs="Times New Roman"/>
                      <w:b/>
                      <w:color w:val="auto"/>
                      <w:kern w:val="0"/>
                      <w:sz w:val="21"/>
                      <w:szCs w:val="21"/>
                      <w:highlight w:val="none"/>
                    </w:rPr>
                    <w:t>内容</w:t>
                  </w:r>
                </w:p>
              </w:tc>
              <w:tc>
                <w:tcPr>
                  <w:tcW w:w="1060"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color w:val="auto"/>
                      <w:kern w:val="0"/>
                      <w:sz w:val="21"/>
                      <w:szCs w:val="21"/>
                      <w:highlight w:val="none"/>
                    </w:rPr>
                  </w:pPr>
                  <w:r>
                    <w:rPr>
                      <w:rFonts w:hint="default" w:cs="Times New Roman"/>
                      <w:b/>
                      <w:color w:val="auto"/>
                      <w:kern w:val="0"/>
                      <w:sz w:val="21"/>
                      <w:szCs w:val="21"/>
                      <w:highlight w:val="none"/>
                    </w:rPr>
                    <w:t>相对本项目方位及距离</w:t>
                  </w:r>
                </w:p>
              </w:tc>
              <w:tc>
                <w:tcPr>
                  <w:tcW w:w="642"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color w:val="auto"/>
                      <w:kern w:val="0"/>
                      <w:sz w:val="21"/>
                      <w:szCs w:val="21"/>
                      <w:highlight w:val="none"/>
                    </w:rPr>
                  </w:pPr>
                  <w:r>
                    <w:rPr>
                      <w:rFonts w:hint="default" w:cs="Times New Roman"/>
                      <w:b/>
                      <w:color w:val="auto"/>
                      <w:kern w:val="0"/>
                      <w:sz w:val="21"/>
                      <w:szCs w:val="21"/>
                      <w:highlight w:val="none"/>
                    </w:rPr>
                    <w:t>环境功能区保护要求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continue"/>
                  <w:tcBorders>
                    <w:tl2br w:val="nil"/>
                    <w:tr2bl w:val="nil"/>
                  </w:tcBorders>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cs="Times New Roman"/>
                      <w:b/>
                      <w:color w:val="auto"/>
                      <w:kern w:val="0"/>
                      <w:sz w:val="21"/>
                      <w:szCs w:val="21"/>
                      <w:highlight w:val="none"/>
                    </w:rPr>
                  </w:pPr>
                </w:p>
              </w:tc>
              <w:tc>
                <w:tcPr>
                  <w:tcW w:w="1189" w:type="dxa"/>
                  <w:vMerge w:val="continue"/>
                  <w:tcBorders>
                    <w:tl2br w:val="nil"/>
                    <w:tr2bl w:val="nil"/>
                  </w:tcBorders>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cs="Times New Roman"/>
                      <w:b/>
                      <w:color w:val="auto"/>
                      <w:kern w:val="0"/>
                      <w:sz w:val="21"/>
                      <w:szCs w:val="21"/>
                      <w:highlight w:val="none"/>
                    </w:rPr>
                  </w:pPr>
                </w:p>
              </w:tc>
              <w:tc>
                <w:tcPr>
                  <w:tcW w:w="117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color w:val="auto"/>
                      <w:kern w:val="0"/>
                      <w:sz w:val="21"/>
                      <w:szCs w:val="21"/>
                      <w:highlight w:val="none"/>
                    </w:rPr>
                  </w:pPr>
                  <w:r>
                    <w:rPr>
                      <w:rFonts w:hint="default" w:cs="Times New Roman"/>
                      <w:b/>
                      <w:color w:val="auto"/>
                      <w:kern w:val="0"/>
                      <w:sz w:val="21"/>
                      <w:szCs w:val="21"/>
                      <w:highlight w:val="none"/>
                    </w:rPr>
                    <w:t>经度</w:t>
                  </w:r>
                </w:p>
              </w:tc>
              <w:tc>
                <w:tcPr>
                  <w:tcW w:w="117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color w:val="auto"/>
                      <w:kern w:val="0"/>
                      <w:sz w:val="21"/>
                      <w:szCs w:val="21"/>
                      <w:highlight w:val="none"/>
                    </w:rPr>
                  </w:pPr>
                  <w:r>
                    <w:rPr>
                      <w:rFonts w:hint="default" w:cs="Times New Roman"/>
                      <w:b/>
                      <w:color w:val="auto"/>
                      <w:kern w:val="0"/>
                      <w:sz w:val="21"/>
                      <w:szCs w:val="21"/>
                      <w:highlight w:val="none"/>
                    </w:rPr>
                    <w:t>纬度</w:t>
                  </w:r>
                </w:p>
              </w:tc>
              <w:tc>
                <w:tcPr>
                  <w:tcW w:w="1081" w:type="dxa"/>
                  <w:vMerge w:val="continue"/>
                  <w:tcBorders>
                    <w:tl2br w:val="nil"/>
                    <w:tr2bl w:val="nil"/>
                  </w:tcBorders>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cs="Times New Roman"/>
                      <w:b/>
                      <w:color w:val="auto"/>
                      <w:kern w:val="0"/>
                      <w:sz w:val="21"/>
                      <w:szCs w:val="21"/>
                      <w:highlight w:val="none"/>
                    </w:rPr>
                  </w:pPr>
                </w:p>
              </w:tc>
              <w:tc>
                <w:tcPr>
                  <w:tcW w:w="1050" w:type="dxa"/>
                  <w:vMerge w:val="continue"/>
                  <w:tcBorders>
                    <w:tl2br w:val="nil"/>
                    <w:tr2bl w:val="nil"/>
                  </w:tcBorders>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cs="Times New Roman"/>
                      <w:b/>
                      <w:color w:val="auto"/>
                      <w:kern w:val="0"/>
                      <w:sz w:val="21"/>
                      <w:szCs w:val="21"/>
                      <w:highlight w:val="none"/>
                    </w:rPr>
                  </w:pPr>
                </w:p>
              </w:tc>
              <w:tc>
                <w:tcPr>
                  <w:tcW w:w="1060" w:type="dxa"/>
                  <w:vMerge w:val="continue"/>
                  <w:tcBorders>
                    <w:tl2br w:val="nil"/>
                    <w:tr2bl w:val="nil"/>
                  </w:tcBorders>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cs="Times New Roman"/>
                      <w:b/>
                      <w:color w:val="auto"/>
                      <w:kern w:val="0"/>
                      <w:sz w:val="21"/>
                      <w:szCs w:val="21"/>
                      <w:highlight w:val="none"/>
                    </w:rPr>
                  </w:pPr>
                </w:p>
              </w:tc>
              <w:tc>
                <w:tcPr>
                  <w:tcW w:w="642" w:type="dxa"/>
                  <w:vMerge w:val="continue"/>
                  <w:tcBorders>
                    <w:tl2br w:val="nil"/>
                    <w:tr2bl w:val="nil"/>
                  </w:tcBorders>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cs="Times New Roman"/>
                      <w:b/>
                      <w:color w:val="auto"/>
                      <w:kern w:val="0"/>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color w:val="auto"/>
                      <w:kern w:val="0"/>
                      <w:sz w:val="21"/>
                      <w:szCs w:val="21"/>
                      <w:highlight w:val="none"/>
                    </w:rPr>
                  </w:pPr>
                  <w:bookmarkStart w:id="17" w:name="OLE_LINK25" w:colFirst="6" w:colLast="6"/>
                  <w:r>
                    <w:rPr>
                      <w:rFonts w:hint="eastAsia" w:cs="Times New Roman"/>
                      <w:b/>
                      <w:color w:val="auto"/>
                      <w:kern w:val="0"/>
                      <w:sz w:val="21"/>
                      <w:szCs w:val="21"/>
                      <w:highlight w:val="none"/>
                    </w:rPr>
                    <w:t>大气环境</w:t>
                  </w:r>
                </w:p>
              </w:tc>
              <w:tc>
                <w:tcPr>
                  <w:tcW w:w="1189"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eastAsia="zh-CN"/>
                    </w:rPr>
                    <w:t>隆德县公安消防大队</w:t>
                  </w:r>
                </w:p>
              </w:tc>
              <w:tc>
                <w:tcPr>
                  <w:tcW w:w="1170" w:type="dxa"/>
                  <w:tcBorders>
                    <w:tl2br w:val="nil"/>
                    <w:tr2bl w:val="nil"/>
                  </w:tcBorders>
                  <w:shd w:val="clear" w:color="auto" w:fill="auto"/>
                  <w:vAlign w:val="center"/>
                </w:tcPr>
                <w:p>
                  <w:pPr>
                    <w:pStyle w:val="31"/>
                    <w:keepNext w:val="0"/>
                    <w:keepLines w:val="0"/>
                    <w:widowControl/>
                    <w:suppressLineNumbers w:val="0"/>
                    <w:spacing w:beforeAutospacing="0" w:afterAutospacing="0"/>
                    <w:ind w:left="32" w:leftChars="0" w:right="0"/>
                    <w:rPr>
                      <w:rFonts w:hint="eastAsia" w:ascii="Times New Roman" w:hAnsi="Times New Roman" w:eastAsia="宋体" w:cs="Times New Roman"/>
                      <w:bCs/>
                      <w:color w:val="auto"/>
                      <w:sz w:val="21"/>
                      <w:szCs w:val="21"/>
                      <w:highlight w:val="none"/>
                      <w:lang w:val="en-US" w:eastAsia="zh-CN" w:bidi="ar-SA"/>
                    </w:rPr>
                  </w:pPr>
                  <w:r>
                    <w:rPr>
                      <w:rFonts w:hint="eastAsia" w:ascii="Times New Roman" w:hAnsi="Times New Roman"/>
                      <w:color w:val="auto"/>
                      <w:highlight w:val="none"/>
                    </w:rPr>
                    <w:t>106.1106258</w:t>
                  </w:r>
                </w:p>
              </w:tc>
              <w:tc>
                <w:tcPr>
                  <w:tcW w:w="1179"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35.6257089</w:t>
                  </w:r>
                </w:p>
              </w:tc>
              <w:tc>
                <w:tcPr>
                  <w:tcW w:w="1081"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工作人员40人</w:t>
                  </w:r>
                </w:p>
              </w:tc>
              <w:tc>
                <w:tcPr>
                  <w:tcW w:w="1050"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eastAsia="zh-CN"/>
                    </w:rPr>
                    <w:t>行政机关</w:t>
                  </w:r>
                </w:p>
              </w:tc>
              <w:tc>
                <w:tcPr>
                  <w:tcW w:w="1060"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S，32</w:t>
                  </w:r>
                  <w:r>
                    <w:rPr>
                      <w:rFonts w:hint="default" w:cs="Times New Roman"/>
                      <w:color w:val="auto"/>
                      <w:kern w:val="0"/>
                      <w:sz w:val="21"/>
                      <w:szCs w:val="21"/>
                      <w:highlight w:val="none"/>
                    </w:rPr>
                    <w:t>m</w:t>
                  </w:r>
                </w:p>
              </w:tc>
              <w:tc>
                <w:tcPr>
                  <w:tcW w:w="642"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rPr>
                  </w:pPr>
                  <w:r>
                    <w:rPr>
                      <w:rFonts w:hint="eastAsia" w:cs="Times New Roman"/>
                      <w:color w:val="auto"/>
                      <w:kern w:val="0"/>
                      <w:sz w:val="21"/>
                      <w:szCs w:val="21"/>
                      <w:highlight w:val="none"/>
                    </w:rPr>
                    <w:t>《环境空气质量标准》（GB3095-2012）及修改单</w:t>
                  </w:r>
                  <w:r>
                    <w:rPr>
                      <w:rFonts w:hint="default" w:cs="Times New Roman"/>
                      <w:color w:val="auto"/>
                      <w:kern w:val="0"/>
                      <w:sz w:val="21"/>
                      <w:szCs w:val="21"/>
                      <w:highlight w:val="none"/>
                    </w:rPr>
                    <w:t>及修改单中二级标准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color w:val="auto"/>
                      <w:kern w:val="0"/>
                      <w:sz w:val="21"/>
                      <w:szCs w:val="21"/>
                      <w:highlight w:val="none"/>
                    </w:rPr>
                  </w:pPr>
                </w:p>
              </w:tc>
              <w:tc>
                <w:tcPr>
                  <w:tcW w:w="118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eastAsia="宋体" w:cs="Times New Roman"/>
                      <w:color w:val="auto"/>
                      <w:kern w:val="0"/>
                      <w:sz w:val="21"/>
                      <w:szCs w:val="21"/>
                      <w:highlight w:val="none"/>
                      <w:lang w:eastAsia="zh-CN"/>
                    </w:rPr>
                  </w:pPr>
                  <w:r>
                    <w:rPr>
                      <w:rFonts w:hint="eastAsia" w:cs="Times New Roman"/>
                      <w:color w:val="auto"/>
                      <w:kern w:val="0"/>
                      <w:sz w:val="21"/>
                      <w:szCs w:val="21"/>
                      <w:highlight w:val="none"/>
                      <w:lang w:eastAsia="zh-CN"/>
                    </w:rPr>
                    <w:t>林业区家属院</w:t>
                  </w:r>
                </w:p>
              </w:tc>
              <w:tc>
                <w:tcPr>
                  <w:tcW w:w="1170" w:type="dxa"/>
                  <w:tcBorders>
                    <w:tl2br w:val="nil"/>
                    <w:tr2bl w:val="nil"/>
                  </w:tcBorders>
                  <w:vAlign w:val="center"/>
                </w:tcPr>
                <w:p>
                  <w:pPr>
                    <w:pStyle w:val="31"/>
                    <w:keepNext w:val="0"/>
                    <w:keepLines w:val="0"/>
                    <w:widowControl/>
                    <w:suppressLineNumbers w:val="0"/>
                    <w:spacing w:beforeAutospacing="0" w:afterAutospacing="0"/>
                    <w:ind w:right="0"/>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106.6354078</w:t>
                  </w:r>
                </w:p>
              </w:tc>
              <w:tc>
                <w:tcPr>
                  <w:tcW w:w="117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35.3657563</w:t>
                  </w:r>
                </w:p>
              </w:tc>
              <w:tc>
                <w:tcPr>
                  <w:tcW w:w="1081"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居民300人</w:t>
                  </w:r>
                </w:p>
              </w:tc>
              <w:tc>
                <w:tcPr>
                  <w:tcW w:w="105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eastAsia="宋体" w:cs="Times New Roman"/>
                      <w:color w:val="auto"/>
                      <w:kern w:val="0"/>
                      <w:sz w:val="21"/>
                      <w:szCs w:val="21"/>
                      <w:highlight w:val="none"/>
                      <w:lang w:eastAsia="zh-CN"/>
                    </w:rPr>
                  </w:pPr>
                  <w:r>
                    <w:rPr>
                      <w:rFonts w:hint="eastAsia" w:cs="Times New Roman"/>
                      <w:color w:val="auto"/>
                      <w:kern w:val="0"/>
                      <w:sz w:val="21"/>
                      <w:szCs w:val="21"/>
                      <w:highlight w:val="none"/>
                      <w:lang w:eastAsia="zh-CN"/>
                    </w:rPr>
                    <w:t>生活区</w:t>
                  </w:r>
                </w:p>
              </w:tc>
              <w:tc>
                <w:tcPr>
                  <w:tcW w:w="106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S，30m</w:t>
                  </w:r>
                </w:p>
              </w:tc>
              <w:tc>
                <w:tcPr>
                  <w:tcW w:w="642"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color w:val="auto"/>
                      <w:kern w:val="0"/>
                      <w:sz w:val="21"/>
                      <w:szCs w:val="21"/>
                      <w:highlight w:val="none"/>
                    </w:rPr>
                  </w:pPr>
                </w:p>
              </w:tc>
              <w:tc>
                <w:tcPr>
                  <w:tcW w:w="118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eastAsia="宋体" w:cs="Times New Roman"/>
                      <w:color w:val="auto"/>
                      <w:kern w:val="0"/>
                      <w:sz w:val="21"/>
                      <w:szCs w:val="21"/>
                      <w:highlight w:val="none"/>
                      <w:lang w:eastAsia="zh-CN"/>
                    </w:rPr>
                  </w:pPr>
                  <w:r>
                    <w:rPr>
                      <w:rFonts w:hint="eastAsia" w:cs="Times New Roman"/>
                      <w:color w:val="auto"/>
                      <w:kern w:val="0"/>
                      <w:sz w:val="21"/>
                      <w:szCs w:val="21"/>
                      <w:highlight w:val="none"/>
                      <w:lang w:eastAsia="zh-CN"/>
                    </w:rPr>
                    <w:t>隆德县职业技术学校</w:t>
                  </w:r>
                </w:p>
              </w:tc>
              <w:tc>
                <w:tcPr>
                  <w:tcW w:w="1170" w:type="dxa"/>
                  <w:tcBorders>
                    <w:tl2br w:val="nil"/>
                    <w:tr2bl w:val="nil"/>
                  </w:tcBorders>
                  <w:vAlign w:val="center"/>
                </w:tcPr>
                <w:p>
                  <w:pPr>
                    <w:pStyle w:val="31"/>
                    <w:keepNext w:val="0"/>
                    <w:keepLines w:val="0"/>
                    <w:widowControl/>
                    <w:suppressLineNumbers w:val="0"/>
                    <w:spacing w:beforeAutospacing="0" w:afterAutospacing="0"/>
                    <w:ind w:right="0"/>
                    <w:rPr>
                      <w:rFonts w:hint="default" w:ascii="Times New Roman" w:hAnsi="Times New Roman" w:eastAsia="宋体"/>
                      <w:color w:val="auto"/>
                      <w:highlight w:val="none"/>
                      <w:lang w:val="en-US" w:eastAsia="zh-CN"/>
                    </w:rPr>
                  </w:pPr>
                  <w:r>
                    <w:rPr>
                      <w:rFonts w:hint="eastAsia" w:ascii="Times New Roman" w:hAnsi="Times New Roman"/>
                      <w:color w:val="auto"/>
                      <w:highlight w:val="none"/>
                    </w:rPr>
                    <w:t>106.113612</w:t>
                  </w:r>
                  <w:r>
                    <w:rPr>
                      <w:rFonts w:hint="eastAsia" w:ascii="Times New Roman" w:hAnsi="Times New Roman"/>
                      <w:color w:val="auto"/>
                      <w:highlight w:val="none"/>
                      <w:lang w:val="en-US" w:eastAsia="zh-CN"/>
                    </w:rPr>
                    <w:t>7</w:t>
                  </w:r>
                </w:p>
              </w:tc>
              <w:tc>
                <w:tcPr>
                  <w:tcW w:w="117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bidi="ar-SA"/>
                    </w:rPr>
                    <w:t>35.6235132</w:t>
                  </w:r>
                </w:p>
              </w:tc>
              <w:tc>
                <w:tcPr>
                  <w:tcW w:w="1081"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r>
                    <w:rPr>
                      <w:rFonts w:hint="eastAsia" w:cs="Times New Roman"/>
                      <w:color w:val="auto"/>
                      <w:kern w:val="0"/>
                      <w:sz w:val="21"/>
                      <w:szCs w:val="21"/>
                      <w:highlight w:val="none"/>
                      <w:lang w:eastAsia="zh-CN"/>
                    </w:rPr>
                    <w:t>师生</w:t>
                  </w:r>
                  <w:r>
                    <w:rPr>
                      <w:rFonts w:hint="eastAsia" w:cs="Times New Roman"/>
                      <w:color w:val="auto"/>
                      <w:kern w:val="0"/>
                      <w:sz w:val="21"/>
                      <w:szCs w:val="21"/>
                      <w:highlight w:val="none"/>
                      <w:lang w:val="en-US" w:eastAsia="zh-CN"/>
                    </w:rPr>
                    <w:t>1300</w:t>
                  </w:r>
                  <w:r>
                    <w:rPr>
                      <w:rFonts w:hint="default" w:cs="Times New Roman"/>
                      <w:color w:val="auto"/>
                      <w:kern w:val="0"/>
                      <w:sz w:val="21"/>
                      <w:szCs w:val="21"/>
                      <w:highlight w:val="none"/>
                    </w:rPr>
                    <w:t>人</w:t>
                  </w:r>
                </w:p>
              </w:tc>
              <w:tc>
                <w:tcPr>
                  <w:tcW w:w="105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eastAsia="宋体" w:cs="Times New Roman"/>
                      <w:color w:val="auto"/>
                      <w:kern w:val="0"/>
                      <w:sz w:val="21"/>
                      <w:szCs w:val="21"/>
                      <w:highlight w:val="none"/>
                      <w:lang w:eastAsia="zh-CN"/>
                    </w:rPr>
                  </w:pPr>
                  <w:r>
                    <w:rPr>
                      <w:rFonts w:hint="eastAsia" w:cs="Times New Roman"/>
                      <w:color w:val="auto"/>
                      <w:kern w:val="0"/>
                      <w:sz w:val="21"/>
                      <w:szCs w:val="21"/>
                      <w:highlight w:val="none"/>
                      <w:lang w:eastAsia="zh-CN"/>
                    </w:rPr>
                    <w:t>学校</w:t>
                  </w:r>
                </w:p>
              </w:tc>
              <w:tc>
                <w:tcPr>
                  <w:tcW w:w="106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r>
                    <w:rPr>
                      <w:rFonts w:hint="eastAsia" w:cs="Times New Roman"/>
                      <w:color w:val="auto"/>
                      <w:kern w:val="0"/>
                      <w:sz w:val="21"/>
                      <w:szCs w:val="21"/>
                      <w:highlight w:val="none"/>
                      <w:lang w:val="en-US" w:eastAsia="zh-CN"/>
                    </w:rPr>
                    <w:t>S，40</w:t>
                  </w:r>
                  <w:r>
                    <w:rPr>
                      <w:rFonts w:hint="default" w:cs="Times New Roman"/>
                      <w:color w:val="auto"/>
                      <w:kern w:val="0"/>
                      <w:sz w:val="21"/>
                      <w:szCs w:val="21"/>
                      <w:highlight w:val="none"/>
                    </w:rPr>
                    <w:t>m</w:t>
                  </w:r>
                </w:p>
              </w:tc>
              <w:tc>
                <w:tcPr>
                  <w:tcW w:w="642"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color w:val="auto"/>
                      <w:kern w:val="0"/>
                      <w:sz w:val="21"/>
                      <w:szCs w:val="21"/>
                      <w:highlight w:val="none"/>
                    </w:rPr>
                  </w:pPr>
                </w:p>
              </w:tc>
              <w:tc>
                <w:tcPr>
                  <w:tcW w:w="118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r>
                    <w:rPr>
                      <w:rFonts w:hint="eastAsia" w:cs="Times New Roman"/>
                      <w:color w:val="auto"/>
                      <w:kern w:val="0"/>
                      <w:sz w:val="21"/>
                      <w:szCs w:val="21"/>
                      <w:highlight w:val="none"/>
                      <w:lang w:eastAsia="zh-CN"/>
                    </w:rPr>
                    <w:t>隆德县人民医院</w:t>
                  </w:r>
                </w:p>
              </w:tc>
              <w:tc>
                <w:tcPr>
                  <w:tcW w:w="1170" w:type="dxa"/>
                  <w:tcBorders>
                    <w:tl2br w:val="nil"/>
                    <w:tr2bl w:val="nil"/>
                  </w:tcBorders>
                  <w:vAlign w:val="center"/>
                </w:tcPr>
                <w:p>
                  <w:pPr>
                    <w:pStyle w:val="31"/>
                    <w:keepNext w:val="0"/>
                    <w:keepLines w:val="0"/>
                    <w:widowControl/>
                    <w:suppressLineNumbers w:val="0"/>
                    <w:spacing w:beforeAutospacing="0" w:afterAutospacing="0"/>
                    <w:ind w:right="0"/>
                    <w:rPr>
                      <w:rFonts w:hint="default" w:ascii="Times New Roman" w:hAnsi="Times New Roman"/>
                      <w:color w:val="auto"/>
                      <w:highlight w:val="none"/>
                    </w:rPr>
                  </w:pPr>
                  <w:r>
                    <w:rPr>
                      <w:rFonts w:hint="default" w:ascii="Times New Roman" w:hAnsi="Times New Roman"/>
                      <w:color w:val="auto"/>
                      <w:highlight w:val="none"/>
                    </w:rPr>
                    <w:t>106.</w:t>
                  </w:r>
                  <w:r>
                    <w:rPr>
                      <w:rFonts w:hint="eastAsia" w:ascii="Times New Roman" w:hAnsi="Times New Roman"/>
                      <w:color w:val="auto"/>
                      <w:highlight w:val="none"/>
                    </w:rPr>
                    <w:t>6523308</w:t>
                  </w:r>
                </w:p>
              </w:tc>
              <w:tc>
                <w:tcPr>
                  <w:tcW w:w="117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sz w:val="21"/>
                      <w:szCs w:val="21"/>
                      <w:highlight w:val="none"/>
                    </w:rPr>
                  </w:pPr>
                  <w:r>
                    <w:rPr>
                      <w:rFonts w:hint="eastAsia" w:cs="Times New Roman"/>
                      <w:color w:val="auto"/>
                      <w:sz w:val="21"/>
                      <w:szCs w:val="21"/>
                      <w:highlight w:val="none"/>
                    </w:rPr>
                    <w:t>35.3659438</w:t>
                  </w:r>
                </w:p>
              </w:tc>
              <w:tc>
                <w:tcPr>
                  <w:tcW w:w="1081"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eastAsia="宋体" w:cs="Times New Roman"/>
                      <w:color w:val="auto"/>
                      <w:kern w:val="0"/>
                      <w:sz w:val="21"/>
                      <w:szCs w:val="21"/>
                      <w:highlight w:val="none"/>
                      <w:lang w:eastAsia="zh-CN"/>
                    </w:rPr>
                  </w:pPr>
                  <w:r>
                    <w:rPr>
                      <w:rFonts w:hint="eastAsia" w:cs="Times New Roman"/>
                      <w:color w:val="auto"/>
                      <w:kern w:val="0"/>
                      <w:sz w:val="21"/>
                      <w:szCs w:val="21"/>
                      <w:highlight w:val="none"/>
                      <w:lang w:eastAsia="zh-CN"/>
                    </w:rPr>
                    <w:t>工作人员及患者</w:t>
                  </w:r>
                  <w:r>
                    <w:rPr>
                      <w:rFonts w:hint="eastAsia" w:cs="Times New Roman"/>
                      <w:color w:val="auto"/>
                      <w:kern w:val="0"/>
                      <w:sz w:val="21"/>
                      <w:szCs w:val="21"/>
                      <w:highlight w:val="none"/>
                      <w:lang w:val="en-US" w:eastAsia="zh-CN"/>
                    </w:rPr>
                    <w:t>300</w:t>
                  </w:r>
                  <w:r>
                    <w:rPr>
                      <w:rFonts w:hint="eastAsia" w:cs="Times New Roman"/>
                      <w:color w:val="auto"/>
                      <w:kern w:val="0"/>
                      <w:sz w:val="21"/>
                      <w:szCs w:val="21"/>
                      <w:highlight w:val="none"/>
                      <w:lang w:eastAsia="zh-CN"/>
                    </w:rPr>
                    <w:t>人</w:t>
                  </w:r>
                </w:p>
              </w:tc>
              <w:tc>
                <w:tcPr>
                  <w:tcW w:w="105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eastAsia="宋体" w:cs="Times New Roman"/>
                      <w:color w:val="auto"/>
                      <w:kern w:val="0"/>
                      <w:sz w:val="21"/>
                      <w:szCs w:val="21"/>
                      <w:highlight w:val="none"/>
                      <w:lang w:eastAsia="zh-CN"/>
                    </w:rPr>
                  </w:pPr>
                  <w:r>
                    <w:rPr>
                      <w:rFonts w:hint="eastAsia" w:cs="Times New Roman"/>
                      <w:color w:val="auto"/>
                      <w:kern w:val="0"/>
                      <w:sz w:val="21"/>
                      <w:szCs w:val="21"/>
                      <w:highlight w:val="none"/>
                      <w:lang w:eastAsia="zh-CN"/>
                    </w:rPr>
                    <w:t>医院</w:t>
                  </w:r>
                </w:p>
              </w:tc>
              <w:tc>
                <w:tcPr>
                  <w:tcW w:w="106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S，40m</w:t>
                  </w:r>
                </w:p>
              </w:tc>
              <w:tc>
                <w:tcPr>
                  <w:tcW w:w="642"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color w:val="auto"/>
                      <w:kern w:val="0"/>
                      <w:sz w:val="21"/>
                      <w:szCs w:val="21"/>
                      <w:highlight w:val="none"/>
                    </w:rPr>
                  </w:pPr>
                </w:p>
              </w:tc>
              <w:tc>
                <w:tcPr>
                  <w:tcW w:w="118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南河社区</w:t>
                  </w:r>
                </w:p>
              </w:tc>
              <w:tc>
                <w:tcPr>
                  <w:tcW w:w="1170" w:type="dxa"/>
                  <w:tcBorders>
                    <w:tl2br w:val="nil"/>
                    <w:tr2bl w:val="nil"/>
                  </w:tcBorders>
                  <w:vAlign w:val="center"/>
                </w:tcPr>
                <w:p>
                  <w:pPr>
                    <w:pStyle w:val="31"/>
                    <w:keepNext w:val="0"/>
                    <w:keepLines w:val="0"/>
                    <w:widowControl/>
                    <w:suppressLineNumbers w:val="0"/>
                    <w:spacing w:beforeAutospacing="0" w:afterAutospacing="0"/>
                    <w:ind w:right="0"/>
                    <w:rPr>
                      <w:rFonts w:hint="default" w:ascii="Times New Roman" w:hAnsi="Times New Roman"/>
                      <w:color w:val="auto"/>
                      <w:highlight w:val="none"/>
                    </w:rPr>
                  </w:pPr>
                  <w:r>
                    <w:rPr>
                      <w:rFonts w:hint="eastAsia" w:ascii="Times New Roman" w:hAnsi="Times New Roman"/>
                      <w:color w:val="auto"/>
                      <w:highlight w:val="none"/>
                    </w:rPr>
                    <w:t>106.1185046</w:t>
                  </w:r>
                </w:p>
              </w:tc>
              <w:tc>
                <w:tcPr>
                  <w:tcW w:w="117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21"/>
                      <w:szCs w:val="21"/>
                      <w:highlight w:val="none"/>
                    </w:rPr>
                  </w:pPr>
                  <w:r>
                    <w:rPr>
                      <w:rFonts w:hint="eastAsia" w:cs="Times New Roman"/>
                      <w:color w:val="auto"/>
                      <w:sz w:val="21"/>
                      <w:szCs w:val="21"/>
                      <w:highlight w:val="none"/>
                    </w:rPr>
                    <w:t>35.6006829</w:t>
                  </w:r>
                </w:p>
              </w:tc>
              <w:tc>
                <w:tcPr>
                  <w:tcW w:w="1081"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eastAsia="zh-CN"/>
                    </w:rPr>
                    <w:t>居民</w:t>
                  </w:r>
                  <w:r>
                    <w:rPr>
                      <w:rFonts w:hint="eastAsia" w:cs="Times New Roman"/>
                      <w:color w:val="auto"/>
                      <w:kern w:val="0"/>
                      <w:sz w:val="21"/>
                      <w:szCs w:val="21"/>
                      <w:highlight w:val="none"/>
                      <w:lang w:val="en-US" w:eastAsia="zh-CN"/>
                    </w:rPr>
                    <w:t>200人</w:t>
                  </w:r>
                </w:p>
              </w:tc>
              <w:tc>
                <w:tcPr>
                  <w:tcW w:w="105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生活区</w:t>
                  </w:r>
                </w:p>
              </w:tc>
              <w:tc>
                <w:tcPr>
                  <w:tcW w:w="106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S，40m</w:t>
                  </w:r>
                </w:p>
              </w:tc>
              <w:tc>
                <w:tcPr>
                  <w:tcW w:w="642"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color w:val="auto"/>
                      <w:kern w:val="0"/>
                      <w:sz w:val="21"/>
                      <w:szCs w:val="21"/>
                      <w:highlight w:val="none"/>
                    </w:rPr>
                  </w:pPr>
                </w:p>
              </w:tc>
              <w:tc>
                <w:tcPr>
                  <w:tcW w:w="1189"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eastAsia="zh-CN"/>
                    </w:rPr>
                    <w:t>大华授权产品体验中心</w:t>
                  </w:r>
                </w:p>
              </w:tc>
              <w:tc>
                <w:tcPr>
                  <w:tcW w:w="1170" w:type="dxa"/>
                  <w:tcBorders>
                    <w:tl2br w:val="nil"/>
                    <w:tr2bl w:val="nil"/>
                  </w:tcBorders>
                  <w:shd w:val="clear" w:color="auto" w:fill="auto"/>
                  <w:vAlign w:val="center"/>
                </w:tcPr>
                <w:p>
                  <w:pPr>
                    <w:pStyle w:val="31"/>
                    <w:keepNext w:val="0"/>
                    <w:keepLines w:val="0"/>
                    <w:widowControl/>
                    <w:suppressLineNumbers w:val="0"/>
                    <w:spacing w:beforeAutospacing="0" w:afterAutospacing="0"/>
                    <w:ind w:left="32" w:leftChars="0" w:right="0"/>
                    <w:rPr>
                      <w:rFonts w:hint="default" w:ascii="Times New Roman" w:hAnsi="Times New Roman" w:eastAsia="宋体" w:cs="Times New Roman"/>
                      <w:bCs/>
                      <w:color w:val="auto"/>
                      <w:sz w:val="21"/>
                      <w:szCs w:val="21"/>
                      <w:highlight w:val="none"/>
                      <w:lang w:val="en-US" w:eastAsia="zh-CN" w:bidi="ar-SA"/>
                    </w:rPr>
                  </w:pPr>
                  <w:r>
                    <w:rPr>
                      <w:rFonts w:hint="default" w:ascii="Times New Roman" w:hAnsi="Times New Roman"/>
                      <w:color w:val="auto"/>
                      <w:highlight w:val="none"/>
                    </w:rPr>
                    <w:t>106.</w:t>
                  </w:r>
                  <w:r>
                    <w:rPr>
                      <w:rFonts w:hint="eastAsia" w:ascii="Times New Roman" w:hAnsi="Times New Roman"/>
                      <w:color w:val="auto"/>
                      <w:highlight w:val="none"/>
                    </w:rPr>
                    <w:t>6523308</w:t>
                  </w:r>
                </w:p>
              </w:tc>
              <w:tc>
                <w:tcPr>
                  <w:tcW w:w="1179"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35.3659438</w:t>
                  </w:r>
                </w:p>
              </w:tc>
              <w:tc>
                <w:tcPr>
                  <w:tcW w:w="1081"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eastAsia="zh-CN"/>
                    </w:rPr>
                    <w:t>工作人员</w:t>
                  </w:r>
                  <w:r>
                    <w:rPr>
                      <w:rFonts w:hint="eastAsia" w:cs="Times New Roman"/>
                      <w:color w:val="auto"/>
                      <w:kern w:val="0"/>
                      <w:sz w:val="21"/>
                      <w:szCs w:val="21"/>
                      <w:highlight w:val="none"/>
                      <w:lang w:val="en-US" w:eastAsia="zh-CN"/>
                    </w:rPr>
                    <w:t>20人</w:t>
                  </w:r>
                </w:p>
              </w:tc>
              <w:tc>
                <w:tcPr>
                  <w:tcW w:w="1050"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eastAsia="zh-CN"/>
                    </w:rPr>
                    <w:t>商业区</w:t>
                  </w:r>
                </w:p>
              </w:tc>
              <w:tc>
                <w:tcPr>
                  <w:tcW w:w="1060"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S，45m</w:t>
                  </w:r>
                </w:p>
              </w:tc>
              <w:tc>
                <w:tcPr>
                  <w:tcW w:w="642"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color w:val="auto"/>
                      <w:kern w:val="0"/>
                      <w:sz w:val="21"/>
                      <w:szCs w:val="21"/>
                      <w:highlight w:val="none"/>
                    </w:rPr>
                  </w:pPr>
                </w:p>
              </w:tc>
              <w:tc>
                <w:tcPr>
                  <w:tcW w:w="118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格兰美景</w:t>
                  </w:r>
                </w:p>
              </w:tc>
              <w:tc>
                <w:tcPr>
                  <w:tcW w:w="1170" w:type="dxa"/>
                  <w:tcBorders>
                    <w:tl2br w:val="nil"/>
                    <w:tr2bl w:val="nil"/>
                  </w:tcBorders>
                  <w:vAlign w:val="center"/>
                </w:tcPr>
                <w:p>
                  <w:pPr>
                    <w:pStyle w:val="31"/>
                    <w:keepNext w:val="0"/>
                    <w:keepLines w:val="0"/>
                    <w:widowControl/>
                    <w:suppressLineNumbers w:val="0"/>
                    <w:spacing w:beforeAutospacing="0" w:afterAutospacing="0"/>
                    <w:ind w:right="0"/>
                    <w:rPr>
                      <w:rFonts w:hint="default" w:ascii="Times New Roman" w:hAnsi="Times New Roman"/>
                      <w:color w:val="auto"/>
                      <w:highlight w:val="none"/>
                    </w:rPr>
                  </w:pPr>
                  <w:r>
                    <w:rPr>
                      <w:rFonts w:hint="eastAsia" w:ascii="Times New Roman" w:hAnsi="Times New Roman"/>
                      <w:color w:val="auto"/>
                      <w:highlight w:val="none"/>
                    </w:rPr>
                    <w:t>106.1122712</w:t>
                  </w:r>
                </w:p>
              </w:tc>
              <w:tc>
                <w:tcPr>
                  <w:tcW w:w="117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21"/>
                      <w:szCs w:val="21"/>
                      <w:highlight w:val="none"/>
                    </w:rPr>
                  </w:pPr>
                  <w:r>
                    <w:rPr>
                      <w:rFonts w:hint="eastAsia" w:cs="Times New Roman"/>
                      <w:color w:val="auto"/>
                      <w:sz w:val="21"/>
                      <w:szCs w:val="21"/>
                      <w:highlight w:val="none"/>
                    </w:rPr>
                    <w:t>35.6184713</w:t>
                  </w:r>
                </w:p>
              </w:tc>
              <w:tc>
                <w:tcPr>
                  <w:tcW w:w="1081"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val="en-US" w:eastAsia="zh-CN"/>
                    </w:rPr>
                    <w:t>居民500人</w:t>
                  </w:r>
                </w:p>
              </w:tc>
              <w:tc>
                <w:tcPr>
                  <w:tcW w:w="105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生活区</w:t>
                  </w:r>
                </w:p>
              </w:tc>
              <w:tc>
                <w:tcPr>
                  <w:tcW w:w="106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S，60m</w:t>
                  </w:r>
                </w:p>
              </w:tc>
              <w:tc>
                <w:tcPr>
                  <w:tcW w:w="642"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color w:val="auto"/>
                      <w:kern w:val="0"/>
                      <w:sz w:val="21"/>
                      <w:szCs w:val="21"/>
                      <w:highlight w:val="none"/>
                    </w:rPr>
                  </w:pPr>
                </w:p>
              </w:tc>
              <w:tc>
                <w:tcPr>
                  <w:tcW w:w="118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隆泉社区</w:t>
                  </w:r>
                </w:p>
              </w:tc>
              <w:tc>
                <w:tcPr>
                  <w:tcW w:w="1170" w:type="dxa"/>
                  <w:tcBorders>
                    <w:tl2br w:val="nil"/>
                    <w:tr2bl w:val="nil"/>
                  </w:tcBorders>
                  <w:vAlign w:val="center"/>
                </w:tcPr>
                <w:p>
                  <w:pPr>
                    <w:pStyle w:val="31"/>
                    <w:keepNext w:val="0"/>
                    <w:keepLines w:val="0"/>
                    <w:widowControl/>
                    <w:suppressLineNumbers w:val="0"/>
                    <w:spacing w:beforeAutospacing="0" w:afterAutospacing="0"/>
                    <w:ind w:right="0"/>
                    <w:rPr>
                      <w:rFonts w:hint="default" w:ascii="Times New Roman" w:hAnsi="Times New Roman"/>
                      <w:color w:val="auto"/>
                      <w:highlight w:val="none"/>
                    </w:rPr>
                  </w:pPr>
                  <w:r>
                    <w:rPr>
                      <w:rFonts w:hint="eastAsia" w:ascii="Times New Roman" w:hAnsi="Times New Roman"/>
                      <w:color w:val="auto"/>
                      <w:highlight w:val="none"/>
                    </w:rPr>
                    <w:t>106.1193737</w:t>
                  </w:r>
                </w:p>
              </w:tc>
              <w:tc>
                <w:tcPr>
                  <w:tcW w:w="117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21"/>
                      <w:szCs w:val="21"/>
                      <w:highlight w:val="none"/>
                    </w:rPr>
                  </w:pPr>
                  <w:r>
                    <w:rPr>
                      <w:rFonts w:hint="eastAsia" w:cs="Times New Roman"/>
                      <w:color w:val="auto"/>
                      <w:sz w:val="21"/>
                      <w:szCs w:val="21"/>
                      <w:highlight w:val="none"/>
                    </w:rPr>
                    <w:t>35.6197480</w:t>
                  </w:r>
                </w:p>
              </w:tc>
              <w:tc>
                <w:tcPr>
                  <w:tcW w:w="1081"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eastAsia="zh-CN"/>
                    </w:rPr>
                    <w:t>居民</w:t>
                  </w:r>
                  <w:r>
                    <w:rPr>
                      <w:rFonts w:hint="eastAsia" w:cs="Times New Roman"/>
                      <w:color w:val="auto"/>
                      <w:kern w:val="0"/>
                      <w:sz w:val="21"/>
                      <w:szCs w:val="21"/>
                      <w:highlight w:val="none"/>
                      <w:lang w:val="en-US" w:eastAsia="zh-CN"/>
                    </w:rPr>
                    <w:t>300人</w:t>
                  </w:r>
                </w:p>
              </w:tc>
              <w:tc>
                <w:tcPr>
                  <w:tcW w:w="105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生活区</w:t>
                  </w:r>
                </w:p>
              </w:tc>
              <w:tc>
                <w:tcPr>
                  <w:tcW w:w="106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S，70m</w:t>
                  </w:r>
                </w:p>
              </w:tc>
              <w:tc>
                <w:tcPr>
                  <w:tcW w:w="642"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color w:val="auto"/>
                      <w:kern w:val="0"/>
                      <w:sz w:val="21"/>
                      <w:szCs w:val="21"/>
                      <w:highlight w:val="none"/>
                    </w:rPr>
                  </w:pPr>
                </w:p>
              </w:tc>
              <w:tc>
                <w:tcPr>
                  <w:tcW w:w="118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龙泉村</w:t>
                  </w:r>
                </w:p>
              </w:tc>
              <w:tc>
                <w:tcPr>
                  <w:tcW w:w="1170" w:type="dxa"/>
                  <w:tcBorders>
                    <w:tl2br w:val="nil"/>
                    <w:tr2bl w:val="nil"/>
                  </w:tcBorders>
                  <w:vAlign w:val="center"/>
                </w:tcPr>
                <w:p>
                  <w:pPr>
                    <w:pStyle w:val="31"/>
                    <w:keepNext w:val="0"/>
                    <w:keepLines w:val="0"/>
                    <w:widowControl/>
                    <w:suppressLineNumbers w:val="0"/>
                    <w:spacing w:beforeAutospacing="0" w:afterAutospacing="0"/>
                    <w:ind w:right="0"/>
                    <w:rPr>
                      <w:rFonts w:hint="default" w:ascii="Times New Roman" w:hAnsi="Times New Roman"/>
                      <w:color w:val="auto"/>
                      <w:highlight w:val="none"/>
                    </w:rPr>
                  </w:pPr>
                  <w:r>
                    <w:rPr>
                      <w:rFonts w:hint="eastAsia" w:ascii="Times New Roman" w:hAnsi="Times New Roman"/>
                      <w:color w:val="auto"/>
                      <w:highlight w:val="none"/>
                    </w:rPr>
                    <w:t>106.1230429</w:t>
                  </w:r>
                </w:p>
              </w:tc>
              <w:tc>
                <w:tcPr>
                  <w:tcW w:w="117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21"/>
                      <w:szCs w:val="21"/>
                      <w:highlight w:val="none"/>
                    </w:rPr>
                  </w:pPr>
                  <w:r>
                    <w:rPr>
                      <w:rFonts w:hint="eastAsia" w:cs="Times New Roman"/>
                      <w:color w:val="auto"/>
                      <w:sz w:val="21"/>
                      <w:szCs w:val="21"/>
                      <w:highlight w:val="none"/>
                    </w:rPr>
                    <w:t>35.6193511</w:t>
                  </w:r>
                </w:p>
              </w:tc>
              <w:tc>
                <w:tcPr>
                  <w:tcW w:w="1081"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eastAsia="zh-CN"/>
                    </w:rPr>
                    <w:t>居民</w:t>
                  </w:r>
                  <w:r>
                    <w:rPr>
                      <w:rFonts w:hint="eastAsia" w:cs="Times New Roman"/>
                      <w:color w:val="auto"/>
                      <w:kern w:val="0"/>
                      <w:sz w:val="21"/>
                      <w:szCs w:val="21"/>
                      <w:highlight w:val="none"/>
                      <w:lang w:val="en-US" w:eastAsia="zh-CN"/>
                    </w:rPr>
                    <w:t>300人</w:t>
                  </w:r>
                </w:p>
              </w:tc>
              <w:tc>
                <w:tcPr>
                  <w:tcW w:w="105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生活区</w:t>
                  </w:r>
                </w:p>
              </w:tc>
              <w:tc>
                <w:tcPr>
                  <w:tcW w:w="106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S，70m</w:t>
                  </w:r>
                </w:p>
              </w:tc>
              <w:tc>
                <w:tcPr>
                  <w:tcW w:w="642"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color w:val="auto"/>
                      <w:kern w:val="0"/>
                      <w:sz w:val="21"/>
                      <w:szCs w:val="21"/>
                      <w:highlight w:val="none"/>
                    </w:rPr>
                  </w:pPr>
                </w:p>
              </w:tc>
              <w:tc>
                <w:tcPr>
                  <w:tcW w:w="118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六盘人家阳光城</w:t>
                  </w:r>
                </w:p>
              </w:tc>
              <w:tc>
                <w:tcPr>
                  <w:tcW w:w="1170" w:type="dxa"/>
                  <w:tcBorders>
                    <w:tl2br w:val="nil"/>
                    <w:tr2bl w:val="nil"/>
                  </w:tcBorders>
                  <w:vAlign w:val="center"/>
                </w:tcPr>
                <w:p>
                  <w:pPr>
                    <w:pStyle w:val="31"/>
                    <w:keepNext w:val="0"/>
                    <w:keepLines w:val="0"/>
                    <w:widowControl/>
                    <w:suppressLineNumbers w:val="0"/>
                    <w:spacing w:beforeAutospacing="0" w:afterAutospacing="0"/>
                    <w:ind w:right="0"/>
                    <w:rPr>
                      <w:rFonts w:hint="default" w:ascii="Times New Roman" w:hAnsi="Times New Roman"/>
                      <w:color w:val="auto"/>
                      <w:highlight w:val="none"/>
                    </w:rPr>
                  </w:pPr>
                  <w:r>
                    <w:rPr>
                      <w:rFonts w:hint="eastAsia" w:ascii="Times New Roman" w:hAnsi="Times New Roman"/>
                      <w:color w:val="auto"/>
                      <w:highlight w:val="none"/>
                    </w:rPr>
                    <w:t>106.1256071</w:t>
                  </w:r>
                </w:p>
              </w:tc>
              <w:tc>
                <w:tcPr>
                  <w:tcW w:w="117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21"/>
                      <w:szCs w:val="21"/>
                      <w:highlight w:val="none"/>
                    </w:rPr>
                  </w:pPr>
                  <w:r>
                    <w:rPr>
                      <w:rFonts w:hint="eastAsia" w:cs="Times New Roman"/>
                      <w:color w:val="auto"/>
                      <w:sz w:val="21"/>
                      <w:szCs w:val="21"/>
                      <w:highlight w:val="none"/>
                    </w:rPr>
                    <w:t>35.6200699</w:t>
                  </w:r>
                </w:p>
              </w:tc>
              <w:tc>
                <w:tcPr>
                  <w:tcW w:w="1081"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eastAsia="zh-CN"/>
                    </w:rPr>
                    <w:t>居民</w:t>
                  </w:r>
                  <w:r>
                    <w:rPr>
                      <w:rFonts w:hint="eastAsia" w:cs="Times New Roman"/>
                      <w:color w:val="auto"/>
                      <w:kern w:val="0"/>
                      <w:sz w:val="21"/>
                      <w:szCs w:val="21"/>
                      <w:highlight w:val="none"/>
                      <w:lang w:val="en-US" w:eastAsia="zh-CN"/>
                    </w:rPr>
                    <w:t>500人</w:t>
                  </w:r>
                </w:p>
              </w:tc>
              <w:tc>
                <w:tcPr>
                  <w:tcW w:w="105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生活区</w:t>
                  </w:r>
                </w:p>
              </w:tc>
              <w:tc>
                <w:tcPr>
                  <w:tcW w:w="106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S，75m</w:t>
                  </w:r>
                </w:p>
              </w:tc>
              <w:tc>
                <w:tcPr>
                  <w:tcW w:w="642"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color w:val="auto"/>
                      <w:kern w:val="0"/>
                      <w:sz w:val="21"/>
                      <w:szCs w:val="21"/>
                      <w:highlight w:val="none"/>
                    </w:rPr>
                  </w:pPr>
                </w:p>
              </w:tc>
              <w:tc>
                <w:tcPr>
                  <w:tcW w:w="118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东关小区</w:t>
                  </w:r>
                </w:p>
              </w:tc>
              <w:tc>
                <w:tcPr>
                  <w:tcW w:w="1170" w:type="dxa"/>
                  <w:tcBorders>
                    <w:tl2br w:val="nil"/>
                    <w:tr2bl w:val="nil"/>
                  </w:tcBorders>
                  <w:vAlign w:val="center"/>
                </w:tcPr>
                <w:p>
                  <w:pPr>
                    <w:pStyle w:val="31"/>
                    <w:keepNext w:val="0"/>
                    <w:keepLines w:val="0"/>
                    <w:widowControl/>
                    <w:suppressLineNumbers w:val="0"/>
                    <w:spacing w:beforeAutospacing="0" w:afterAutospacing="0"/>
                    <w:ind w:right="0"/>
                    <w:rPr>
                      <w:rFonts w:hint="default" w:ascii="Times New Roman" w:hAnsi="Times New Roman"/>
                      <w:color w:val="auto"/>
                      <w:highlight w:val="none"/>
                    </w:rPr>
                  </w:pPr>
                  <w:r>
                    <w:rPr>
                      <w:rFonts w:hint="eastAsia" w:ascii="Times New Roman" w:hAnsi="Times New Roman"/>
                      <w:color w:val="auto"/>
                      <w:highlight w:val="none"/>
                    </w:rPr>
                    <w:t>106.1298236</w:t>
                  </w:r>
                </w:p>
              </w:tc>
              <w:tc>
                <w:tcPr>
                  <w:tcW w:w="117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21"/>
                      <w:szCs w:val="21"/>
                      <w:highlight w:val="none"/>
                    </w:rPr>
                  </w:pPr>
                  <w:r>
                    <w:rPr>
                      <w:rFonts w:hint="eastAsia" w:cs="Times New Roman"/>
                      <w:color w:val="auto"/>
                      <w:sz w:val="21"/>
                      <w:szCs w:val="21"/>
                      <w:highlight w:val="none"/>
                    </w:rPr>
                    <w:t>35.6209389</w:t>
                  </w:r>
                </w:p>
              </w:tc>
              <w:tc>
                <w:tcPr>
                  <w:tcW w:w="1081"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eastAsia="zh-CN"/>
                    </w:rPr>
                    <w:t>居民</w:t>
                  </w:r>
                  <w:r>
                    <w:rPr>
                      <w:rFonts w:hint="eastAsia" w:cs="Times New Roman"/>
                      <w:color w:val="auto"/>
                      <w:kern w:val="0"/>
                      <w:sz w:val="21"/>
                      <w:szCs w:val="21"/>
                      <w:highlight w:val="none"/>
                      <w:lang w:val="en-US" w:eastAsia="zh-CN"/>
                    </w:rPr>
                    <w:t>200人</w:t>
                  </w:r>
                </w:p>
              </w:tc>
              <w:tc>
                <w:tcPr>
                  <w:tcW w:w="105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生活区</w:t>
                  </w:r>
                </w:p>
              </w:tc>
              <w:tc>
                <w:tcPr>
                  <w:tcW w:w="106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S，80m</w:t>
                  </w:r>
                </w:p>
              </w:tc>
              <w:tc>
                <w:tcPr>
                  <w:tcW w:w="642"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color w:val="auto"/>
                      <w:kern w:val="0"/>
                      <w:sz w:val="21"/>
                      <w:szCs w:val="21"/>
                      <w:highlight w:val="none"/>
                    </w:rPr>
                  </w:pPr>
                </w:p>
              </w:tc>
              <w:tc>
                <w:tcPr>
                  <w:tcW w:w="118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御景鸿府</w:t>
                  </w:r>
                </w:p>
              </w:tc>
              <w:tc>
                <w:tcPr>
                  <w:tcW w:w="1170" w:type="dxa"/>
                  <w:tcBorders>
                    <w:tl2br w:val="nil"/>
                    <w:tr2bl w:val="nil"/>
                  </w:tcBorders>
                  <w:vAlign w:val="center"/>
                </w:tcPr>
                <w:p>
                  <w:pPr>
                    <w:pStyle w:val="31"/>
                    <w:keepNext w:val="0"/>
                    <w:keepLines w:val="0"/>
                    <w:widowControl/>
                    <w:suppressLineNumbers w:val="0"/>
                    <w:spacing w:beforeAutospacing="0" w:afterAutospacing="0"/>
                    <w:ind w:right="0"/>
                    <w:rPr>
                      <w:rFonts w:hint="default" w:ascii="Times New Roman" w:hAnsi="Times New Roman"/>
                      <w:color w:val="auto"/>
                      <w:highlight w:val="none"/>
                    </w:rPr>
                  </w:pPr>
                  <w:r>
                    <w:rPr>
                      <w:rFonts w:hint="eastAsia" w:ascii="Times New Roman" w:hAnsi="Times New Roman"/>
                      <w:color w:val="auto"/>
                      <w:highlight w:val="none"/>
                    </w:rPr>
                    <w:t>106.1329886</w:t>
                  </w:r>
                </w:p>
              </w:tc>
              <w:tc>
                <w:tcPr>
                  <w:tcW w:w="117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21"/>
                      <w:szCs w:val="21"/>
                      <w:highlight w:val="none"/>
                    </w:rPr>
                  </w:pPr>
                  <w:r>
                    <w:rPr>
                      <w:rFonts w:hint="eastAsia" w:cs="Times New Roman"/>
                      <w:color w:val="auto"/>
                      <w:sz w:val="21"/>
                      <w:szCs w:val="21"/>
                      <w:highlight w:val="none"/>
                    </w:rPr>
                    <w:t>35.6191472</w:t>
                  </w:r>
                </w:p>
              </w:tc>
              <w:tc>
                <w:tcPr>
                  <w:tcW w:w="1081"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eastAsia="zh-CN"/>
                    </w:rPr>
                    <w:t>居民</w:t>
                  </w:r>
                  <w:r>
                    <w:rPr>
                      <w:rFonts w:hint="eastAsia" w:cs="Times New Roman"/>
                      <w:color w:val="auto"/>
                      <w:kern w:val="0"/>
                      <w:sz w:val="21"/>
                      <w:szCs w:val="21"/>
                      <w:highlight w:val="none"/>
                      <w:lang w:val="en-US" w:eastAsia="zh-CN"/>
                    </w:rPr>
                    <w:t>200人</w:t>
                  </w:r>
                </w:p>
              </w:tc>
              <w:tc>
                <w:tcPr>
                  <w:tcW w:w="105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生活区</w:t>
                  </w:r>
                </w:p>
              </w:tc>
              <w:tc>
                <w:tcPr>
                  <w:tcW w:w="106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S，150m</w:t>
                  </w:r>
                </w:p>
              </w:tc>
              <w:tc>
                <w:tcPr>
                  <w:tcW w:w="642"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color w:val="auto"/>
                      <w:kern w:val="0"/>
                      <w:sz w:val="21"/>
                      <w:szCs w:val="21"/>
                      <w:highlight w:val="none"/>
                    </w:rPr>
                  </w:pPr>
                </w:p>
              </w:tc>
              <w:tc>
                <w:tcPr>
                  <w:tcW w:w="118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隆德县供电局</w:t>
                  </w:r>
                </w:p>
              </w:tc>
              <w:tc>
                <w:tcPr>
                  <w:tcW w:w="1170" w:type="dxa"/>
                  <w:tcBorders>
                    <w:tl2br w:val="nil"/>
                    <w:tr2bl w:val="nil"/>
                  </w:tcBorders>
                  <w:vAlign w:val="center"/>
                </w:tcPr>
                <w:p>
                  <w:pPr>
                    <w:pStyle w:val="31"/>
                    <w:keepNext w:val="0"/>
                    <w:keepLines w:val="0"/>
                    <w:widowControl/>
                    <w:suppressLineNumbers w:val="0"/>
                    <w:spacing w:beforeAutospacing="0" w:afterAutospacing="0"/>
                    <w:ind w:right="0"/>
                    <w:rPr>
                      <w:rFonts w:hint="default" w:ascii="Times New Roman" w:hAnsi="Times New Roman"/>
                      <w:color w:val="auto"/>
                      <w:highlight w:val="none"/>
                    </w:rPr>
                  </w:pPr>
                  <w:r>
                    <w:rPr>
                      <w:rFonts w:hint="eastAsia" w:ascii="Times New Roman" w:hAnsi="Times New Roman"/>
                      <w:color w:val="auto"/>
                      <w:highlight w:val="none"/>
                    </w:rPr>
                    <w:t>106.1348983</w:t>
                  </w:r>
                </w:p>
              </w:tc>
              <w:tc>
                <w:tcPr>
                  <w:tcW w:w="117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21"/>
                      <w:szCs w:val="21"/>
                      <w:highlight w:val="none"/>
                    </w:rPr>
                  </w:pPr>
                  <w:r>
                    <w:rPr>
                      <w:rFonts w:hint="eastAsia" w:cs="Times New Roman"/>
                      <w:color w:val="auto"/>
                      <w:sz w:val="21"/>
                      <w:szCs w:val="21"/>
                      <w:highlight w:val="none"/>
                    </w:rPr>
                    <w:t>106.1348983</w:t>
                  </w:r>
                </w:p>
              </w:tc>
              <w:tc>
                <w:tcPr>
                  <w:tcW w:w="1081"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eastAsia="zh-CN"/>
                    </w:rPr>
                    <w:t>工作人员</w:t>
                  </w:r>
                  <w:r>
                    <w:rPr>
                      <w:rFonts w:hint="eastAsia" w:cs="Times New Roman"/>
                      <w:color w:val="auto"/>
                      <w:kern w:val="0"/>
                      <w:sz w:val="21"/>
                      <w:szCs w:val="21"/>
                      <w:highlight w:val="none"/>
                      <w:lang w:val="en-US" w:eastAsia="zh-CN"/>
                    </w:rPr>
                    <w:t>200人</w:t>
                  </w:r>
                </w:p>
              </w:tc>
              <w:tc>
                <w:tcPr>
                  <w:tcW w:w="105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企业</w:t>
                  </w:r>
                </w:p>
              </w:tc>
              <w:tc>
                <w:tcPr>
                  <w:tcW w:w="106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S，250m</w:t>
                  </w:r>
                </w:p>
              </w:tc>
              <w:tc>
                <w:tcPr>
                  <w:tcW w:w="642"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color w:val="auto"/>
                      <w:kern w:val="0"/>
                      <w:sz w:val="21"/>
                      <w:szCs w:val="21"/>
                      <w:highlight w:val="none"/>
                    </w:rPr>
                  </w:pPr>
                </w:p>
              </w:tc>
              <w:tc>
                <w:tcPr>
                  <w:tcW w:w="118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中央名都</w:t>
                  </w:r>
                </w:p>
              </w:tc>
              <w:tc>
                <w:tcPr>
                  <w:tcW w:w="1170" w:type="dxa"/>
                  <w:tcBorders>
                    <w:tl2br w:val="nil"/>
                    <w:tr2bl w:val="nil"/>
                  </w:tcBorders>
                  <w:vAlign w:val="center"/>
                </w:tcPr>
                <w:p>
                  <w:pPr>
                    <w:pStyle w:val="31"/>
                    <w:keepNext w:val="0"/>
                    <w:keepLines w:val="0"/>
                    <w:widowControl/>
                    <w:suppressLineNumbers w:val="0"/>
                    <w:spacing w:beforeAutospacing="0" w:afterAutospacing="0"/>
                    <w:ind w:right="0"/>
                    <w:rPr>
                      <w:rFonts w:hint="default" w:ascii="Times New Roman" w:hAnsi="Times New Roman"/>
                      <w:color w:val="auto"/>
                      <w:highlight w:val="none"/>
                    </w:rPr>
                  </w:pPr>
                  <w:r>
                    <w:rPr>
                      <w:rFonts w:hint="eastAsia" w:ascii="Times New Roman" w:hAnsi="Times New Roman"/>
                      <w:color w:val="auto"/>
                      <w:highlight w:val="none"/>
                    </w:rPr>
                    <w:t>106.1157151</w:t>
                  </w:r>
                </w:p>
              </w:tc>
              <w:tc>
                <w:tcPr>
                  <w:tcW w:w="117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21"/>
                      <w:szCs w:val="21"/>
                      <w:highlight w:val="none"/>
                    </w:rPr>
                  </w:pPr>
                  <w:r>
                    <w:rPr>
                      <w:rFonts w:hint="eastAsia" w:cs="Times New Roman"/>
                      <w:color w:val="auto"/>
                      <w:sz w:val="21"/>
                      <w:szCs w:val="21"/>
                      <w:highlight w:val="none"/>
                    </w:rPr>
                    <w:t>35.6166474</w:t>
                  </w:r>
                </w:p>
              </w:tc>
              <w:tc>
                <w:tcPr>
                  <w:tcW w:w="1081"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居民</w:t>
                  </w:r>
                  <w:r>
                    <w:rPr>
                      <w:rFonts w:hint="eastAsia" w:cs="Times New Roman"/>
                      <w:color w:val="auto"/>
                      <w:kern w:val="0"/>
                      <w:sz w:val="21"/>
                      <w:szCs w:val="21"/>
                      <w:highlight w:val="none"/>
                      <w:lang w:val="en-US" w:eastAsia="zh-CN"/>
                    </w:rPr>
                    <w:t>300人</w:t>
                  </w:r>
                </w:p>
              </w:tc>
              <w:tc>
                <w:tcPr>
                  <w:tcW w:w="105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生活区</w:t>
                  </w:r>
                </w:p>
              </w:tc>
              <w:tc>
                <w:tcPr>
                  <w:tcW w:w="106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S，200m</w:t>
                  </w:r>
                </w:p>
              </w:tc>
              <w:tc>
                <w:tcPr>
                  <w:tcW w:w="642"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color w:val="auto"/>
                      <w:kern w:val="0"/>
                      <w:sz w:val="21"/>
                      <w:szCs w:val="21"/>
                      <w:highlight w:val="none"/>
                    </w:rPr>
                  </w:pPr>
                </w:p>
              </w:tc>
              <w:tc>
                <w:tcPr>
                  <w:tcW w:w="118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连家湾居民区</w:t>
                  </w:r>
                </w:p>
              </w:tc>
              <w:tc>
                <w:tcPr>
                  <w:tcW w:w="1170" w:type="dxa"/>
                  <w:tcBorders>
                    <w:tl2br w:val="nil"/>
                    <w:tr2bl w:val="nil"/>
                  </w:tcBorders>
                  <w:vAlign w:val="center"/>
                </w:tcPr>
                <w:p>
                  <w:pPr>
                    <w:pStyle w:val="31"/>
                    <w:keepNext w:val="0"/>
                    <w:keepLines w:val="0"/>
                    <w:widowControl/>
                    <w:suppressLineNumbers w:val="0"/>
                    <w:spacing w:beforeAutospacing="0" w:afterAutospacing="0"/>
                    <w:ind w:right="0"/>
                    <w:rPr>
                      <w:rFonts w:hint="default" w:ascii="Times New Roman" w:hAnsi="Times New Roman"/>
                      <w:color w:val="auto"/>
                      <w:highlight w:val="none"/>
                    </w:rPr>
                  </w:pPr>
                  <w:r>
                    <w:rPr>
                      <w:rFonts w:hint="eastAsia" w:ascii="Times New Roman" w:hAnsi="Times New Roman"/>
                      <w:color w:val="auto"/>
                      <w:highlight w:val="none"/>
                    </w:rPr>
                    <w:t>106.1379882</w:t>
                  </w:r>
                </w:p>
              </w:tc>
              <w:tc>
                <w:tcPr>
                  <w:tcW w:w="117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21"/>
                      <w:szCs w:val="21"/>
                      <w:highlight w:val="none"/>
                    </w:rPr>
                  </w:pPr>
                  <w:r>
                    <w:rPr>
                      <w:rFonts w:hint="eastAsia" w:cs="Times New Roman"/>
                      <w:color w:val="auto"/>
                      <w:sz w:val="21"/>
                      <w:szCs w:val="21"/>
                      <w:highlight w:val="none"/>
                    </w:rPr>
                    <w:t>35.6168405</w:t>
                  </w:r>
                </w:p>
              </w:tc>
              <w:tc>
                <w:tcPr>
                  <w:tcW w:w="1081"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eastAsia="zh-CN"/>
                    </w:rPr>
                    <w:t>居民</w:t>
                  </w:r>
                  <w:r>
                    <w:rPr>
                      <w:rFonts w:hint="eastAsia" w:cs="Times New Roman"/>
                      <w:color w:val="auto"/>
                      <w:kern w:val="0"/>
                      <w:sz w:val="21"/>
                      <w:szCs w:val="21"/>
                      <w:highlight w:val="none"/>
                      <w:lang w:val="en-US" w:eastAsia="zh-CN"/>
                    </w:rPr>
                    <w:t>100人</w:t>
                  </w:r>
                </w:p>
              </w:tc>
              <w:tc>
                <w:tcPr>
                  <w:tcW w:w="105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生活区</w:t>
                  </w:r>
                </w:p>
              </w:tc>
              <w:tc>
                <w:tcPr>
                  <w:tcW w:w="106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S，342m</w:t>
                  </w:r>
                </w:p>
              </w:tc>
              <w:tc>
                <w:tcPr>
                  <w:tcW w:w="642"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color w:val="auto"/>
                      <w:kern w:val="0"/>
                      <w:sz w:val="21"/>
                      <w:szCs w:val="21"/>
                      <w:highlight w:val="none"/>
                    </w:rPr>
                  </w:pPr>
                </w:p>
              </w:tc>
              <w:tc>
                <w:tcPr>
                  <w:tcW w:w="118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吴家山居民区</w:t>
                  </w:r>
                </w:p>
              </w:tc>
              <w:tc>
                <w:tcPr>
                  <w:tcW w:w="1170" w:type="dxa"/>
                  <w:tcBorders>
                    <w:tl2br w:val="nil"/>
                    <w:tr2bl w:val="nil"/>
                  </w:tcBorders>
                  <w:vAlign w:val="center"/>
                </w:tcPr>
                <w:p>
                  <w:pPr>
                    <w:pStyle w:val="31"/>
                    <w:keepNext w:val="0"/>
                    <w:keepLines w:val="0"/>
                    <w:widowControl/>
                    <w:suppressLineNumbers w:val="0"/>
                    <w:spacing w:beforeAutospacing="0" w:afterAutospacing="0"/>
                    <w:ind w:right="0"/>
                    <w:rPr>
                      <w:rFonts w:hint="eastAsia" w:ascii="Times New Roman" w:hAnsi="Times New Roman"/>
                      <w:color w:val="auto"/>
                      <w:highlight w:val="none"/>
                    </w:rPr>
                  </w:pPr>
                  <w:r>
                    <w:rPr>
                      <w:rFonts w:hint="eastAsia" w:ascii="Times New Roman" w:hAnsi="Times New Roman"/>
                      <w:color w:val="auto"/>
                      <w:highlight w:val="none"/>
                    </w:rPr>
                    <w:t>106.1429235</w:t>
                  </w:r>
                </w:p>
              </w:tc>
              <w:tc>
                <w:tcPr>
                  <w:tcW w:w="117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21"/>
                      <w:szCs w:val="21"/>
                      <w:highlight w:val="none"/>
                    </w:rPr>
                  </w:pPr>
                  <w:r>
                    <w:rPr>
                      <w:rFonts w:hint="eastAsia" w:cs="Times New Roman"/>
                      <w:color w:val="auto"/>
                      <w:sz w:val="21"/>
                      <w:szCs w:val="21"/>
                      <w:highlight w:val="none"/>
                    </w:rPr>
                    <w:t>35.6134073</w:t>
                  </w:r>
                </w:p>
              </w:tc>
              <w:tc>
                <w:tcPr>
                  <w:tcW w:w="1081"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eastAsia="zh-CN"/>
                    </w:rPr>
                    <w:t>居民</w:t>
                  </w:r>
                  <w:r>
                    <w:rPr>
                      <w:rFonts w:hint="eastAsia" w:cs="Times New Roman"/>
                      <w:color w:val="auto"/>
                      <w:kern w:val="0"/>
                      <w:sz w:val="21"/>
                      <w:szCs w:val="21"/>
                      <w:highlight w:val="none"/>
                      <w:lang w:val="en-US" w:eastAsia="zh-CN"/>
                    </w:rPr>
                    <w:t>100人</w:t>
                  </w:r>
                </w:p>
              </w:tc>
              <w:tc>
                <w:tcPr>
                  <w:tcW w:w="105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生活区</w:t>
                  </w:r>
                </w:p>
              </w:tc>
              <w:tc>
                <w:tcPr>
                  <w:tcW w:w="106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S，355m</w:t>
                  </w:r>
                </w:p>
              </w:tc>
              <w:tc>
                <w:tcPr>
                  <w:tcW w:w="642"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color w:val="auto"/>
                      <w:kern w:val="0"/>
                      <w:sz w:val="21"/>
                      <w:szCs w:val="21"/>
                      <w:highlight w:val="none"/>
                    </w:rPr>
                  </w:pPr>
                </w:p>
              </w:tc>
              <w:tc>
                <w:tcPr>
                  <w:tcW w:w="118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南河村</w:t>
                  </w:r>
                </w:p>
              </w:tc>
              <w:tc>
                <w:tcPr>
                  <w:tcW w:w="1170" w:type="dxa"/>
                  <w:tcBorders>
                    <w:tl2br w:val="nil"/>
                    <w:tr2bl w:val="nil"/>
                  </w:tcBorders>
                  <w:vAlign w:val="center"/>
                </w:tcPr>
                <w:p>
                  <w:pPr>
                    <w:pStyle w:val="31"/>
                    <w:keepNext w:val="0"/>
                    <w:keepLines w:val="0"/>
                    <w:widowControl/>
                    <w:suppressLineNumbers w:val="0"/>
                    <w:spacing w:beforeAutospacing="0" w:afterAutospacing="0"/>
                    <w:ind w:right="0"/>
                    <w:rPr>
                      <w:rFonts w:hint="eastAsia" w:ascii="Times New Roman" w:hAnsi="Times New Roman"/>
                      <w:color w:val="auto"/>
                      <w:highlight w:val="none"/>
                    </w:rPr>
                  </w:pPr>
                  <w:r>
                    <w:rPr>
                      <w:rFonts w:hint="eastAsia" w:ascii="Times New Roman" w:hAnsi="Times New Roman"/>
                      <w:color w:val="auto"/>
                      <w:highlight w:val="none"/>
                    </w:rPr>
                    <w:t>106.1228391</w:t>
                  </w:r>
                </w:p>
              </w:tc>
              <w:tc>
                <w:tcPr>
                  <w:tcW w:w="117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21"/>
                      <w:szCs w:val="21"/>
                      <w:highlight w:val="none"/>
                    </w:rPr>
                  </w:pPr>
                  <w:r>
                    <w:rPr>
                      <w:rFonts w:hint="eastAsia" w:cs="Times New Roman"/>
                      <w:color w:val="auto"/>
                      <w:sz w:val="21"/>
                      <w:szCs w:val="21"/>
                      <w:highlight w:val="none"/>
                    </w:rPr>
                    <w:t>35.6031934</w:t>
                  </w:r>
                </w:p>
              </w:tc>
              <w:tc>
                <w:tcPr>
                  <w:tcW w:w="1081"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居民</w:t>
                  </w:r>
                  <w:r>
                    <w:rPr>
                      <w:rFonts w:hint="eastAsia" w:cs="Times New Roman"/>
                      <w:color w:val="auto"/>
                      <w:kern w:val="0"/>
                      <w:sz w:val="21"/>
                      <w:szCs w:val="21"/>
                      <w:highlight w:val="none"/>
                      <w:lang w:val="en-US" w:eastAsia="zh-CN"/>
                    </w:rPr>
                    <w:t>100人</w:t>
                  </w:r>
                </w:p>
              </w:tc>
              <w:tc>
                <w:tcPr>
                  <w:tcW w:w="105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生活区</w:t>
                  </w:r>
                </w:p>
              </w:tc>
              <w:tc>
                <w:tcPr>
                  <w:tcW w:w="106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S，255m</w:t>
                  </w:r>
                </w:p>
              </w:tc>
              <w:tc>
                <w:tcPr>
                  <w:tcW w:w="642"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p>
              </w:tc>
            </w:tr>
            <w:bookmarkEnd w:id="17"/>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color w:val="auto"/>
                      <w:kern w:val="0"/>
                      <w:sz w:val="21"/>
                      <w:szCs w:val="21"/>
                      <w:highlight w:val="none"/>
                    </w:rPr>
                  </w:pPr>
                  <w:r>
                    <w:rPr>
                      <w:rFonts w:hint="eastAsia" w:cs="Times New Roman"/>
                      <w:b/>
                      <w:bCs/>
                      <w:color w:val="auto"/>
                      <w:sz w:val="21"/>
                      <w:szCs w:val="21"/>
                      <w:highlight w:val="none"/>
                    </w:rPr>
                    <w:t>声环境</w:t>
                  </w:r>
                </w:p>
              </w:tc>
              <w:tc>
                <w:tcPr>
                  <w:tcW w:w="118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r>
                    <w:rPr>
                      <w:rFonts w:hint="eastAsia" w:cs="Times New Roman"/>
                      <w:color w:val="auto"/>
                      <w:kern w:val="0"/>
                      <w:sz w:val="21"/>
                      <w:szCs w:val="21"/>
                      <w:highlight w:val="none"/>
                      <w:lang w:eastAsia="zh-CN"/>
                    </w:rPr>
                    <w:t>隆德县公安消防大队</w:t>
                  </w:r>
                </w:p>
              </w:tc>
              <w:tc>
                <w:tcPr>
                  <w:tcW w:w="1170" w:type="dxa"/>
                  <w:tcBorders>
                    <w:tl2br w:val="nil"/>
                    <w:tr2bl w:val="nil"/>
                  </w:tcBorders>
                  <w:vAlign w:val="center"/>
                </w:tcPr>
                <w:p>
                  <w:pPr>
                    <w:pStyle w:val="31"/>
                    <w:keepNext w:val="0"/>
                    <w:keepLines w:val="0"/>
                    <w:widowControl/>
                    <w:suppressLineNumbers w:val="0"/>
                    <w:spacing w:beforeAutospacing="0" w:afterAutospacing="0"/>
                    <w:ind w:left="32" w:leftChars="0" w:right="0"/>
                    <w:rPr>
                      <w:rFonts w:hint="default" w:ascii="Times New Roman" w:hAnsi="Times New Roman"/>
                      <w:color w:val="auto"/>
                      <w:highlight w:val="none"/>
                    </w:rPr>
                  </w:pPr>
                  <w:r>
                    <w:rPr>
                      <w:rFonts w:hint="eastAsia" w:ascii="Times New Roman" w:hAnsi="Times New Roman"/>
                      <w:color w:val="auto"/>
                      <w:highlight w:val="none"/>
                    </w:rPr>
                    <w:t>106.1106258</w:t>
                  </w:r>
                </w:p>
              </w:tc>
              <w:tc>
                <w:tcPr>
                  <w:tcW w:w="117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sz w:val="21"/>
                      <w:szCs w:val="21"/>
                      <w:highlight w:val="none"/>
                    </w:rPr>
                  </w:pPr>
                  <w:r>
                    <w:rPr>
                      <w:rFonts w:hint="eastAsia" w:ascii="Times New Roman" w:hAnsi="Times New Roman" w:eastAsia="宋体" w:cs="Times New Roman"/>
                      <w:bCs/>
                      <w:color w:val="auto"/>
                      <w:kern w:val="0"/>
                      <w:sz w:val="21"/>
                      <w:szCs w:val="21"/>
                      <w:highlight w:val="none"/>
                      <w:lang w:val="en-US" w:eastAsia="zh-CN" w:bidi="ar-SA"/>
                    </w:rPr>
                    <w:t>35.6257089</w:t>
                  </w:r>
                </w:p>
              </w:tc>
              <w:tc>
                <w:tcPr>
                  <w:tcW w:w="1081"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r>
                    <w:rPr>
                      <w:rFonts w:hint="eastAsia" w:cs="Times New Roman"/>
                      <w:color w:val="auto"/>
                      <w:kern w:val="0"/>
                      <w:sz w:val="21"/>
                      <w:szCs w:val="21"/>
                      <w:highlight w:val="none"/>
                      <w:lang w:val="en-US" w:eastAsia="zh-CN"/>
                    </w:rPr>
                    <w:t>工作人员40人</w:t>
                  </w:r>
                </w:p>
              </w:tc>
              <w:tc>
                <w:tcPr>
                  <w:tcW w:w="105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r>
                    <w:rPr>
                      <w:rFonts w:hint="eastAsia" w:cs="Times New Roman"/>
                      <w:color w:val="auto"/>
                      <w:kern w:val="0"/>
                      <w:sz w:val="21"/>
                      <w:szCs w:val="21"/>
                      <w:highlight w:val="none"/>
                      <w:lang w:eastAsia="zh-CN"/>
                    </w:rPr>
                    <w:t>行政机关</w:t>
                  </w:r>
                </w:p>
              </w:tc>
              <w:tc>
                <w:tcPr>
                  <w:tcW w:w="106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S，32</w:t>
                  </w:r>
                  <w:r>
                    <w:rPr>
                      <w:rFonts w:hint="default" w:cs="Times New Roman"/>
                      <w:color w:val="auto"/>
                      <w:kern w:val="0"/>
                      <w:sz w:val="21"/>
                      <w:szCs w:val="21"/>
                      <w:highlight w:val="none"/>
                    </w:rPr>
                    <w:t>m</w:t>
                  </w:r>
                </w:p>
              </w:tc>
              <w:tc>
                <w:tcPr>
                  <w:tcW w:w="642"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r>
                    <w:rPr>
                      <w:rFonts w:hint="default" w:cs="Times New Roman"/>
                      <w:color w:val="auto"/>
                      <w:kern w:val="0"/>
                      <w:sz w:val="21"/>
                      <w:szCs w:val="21"/>
                      <w:highlight w:val="none"/>
                    </w:rPr>
                    <w:t>《声环境质量标准》（GB30192-2008）中的</w:t>
                  </w:r>
                  <w:r>
                    <w:rPr>
                      <w:rFonts w:hint="eastAsia" w:cs="Times New Roman"/>
                      <w:color w:val="auto"/>
                      <w:kern w:val="0"/>
                      <w:sz w:val="21"/>
                      <w:szCs w:val="21"/>
                      <w:highlight w:val="none"/>
                      <w:lang w:val="en-US" w:eastAsia="zh-CN"/>
                    </w:rPr>
                    <w:t>1</w:t>
                  </w:r>
                  <w:r>
                    <w:rPr>
                      <w:rFonts w:hint="default" w:cs="Times New Roman"/>
                      <w:color w:val="auto"/>
                      <w:kern w:val="0"/>
                      <w:sz w:val="21"/>
                      <w:szCs w:val="21"/>
                      <w:highlight w:val="none"/>
                    </w:rPr>
                    <w:t>类标准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color w:val="FF0000"/>
                      <w:kern w:val="0"/>
                      <w:sz w:val="21"/>
                      <w:szCs w:val="21"/>
                      <w:highlight w:val="none"/>
                    </w:rPr>
                  </w:pPr>
                </w:p>
              </w:tc>
              <w:tc>
                <w:tcPr>
                  <w:tcW w:w="118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rPr>
                  </w:pPr>
                  <w:r>
                    <w:rPr>
                      <w:rFonts w:hint="eastAsia" w:cs="Times New Roman"/>
                      <w:color w:val="auto"/>
                      <w:kern w:val="0"/>
                      <w:sz w:val="21"/>
                      <w:szCs w:val="21"/>
                      <w:highlight w:val="none"/>
                      <w:lang w:eastAsia="zh-CN"/>
                    </w:rPr>
                    <w:t>隆德县职业技术学院</w:t>
                  </w:r>
                </w:p>
              </w:tc>
              <w:tc>
                <w:tcPr>
                  <w:tcW w:w="1170" w:type="dxa"/>
                  <w:tcBorders>
                    <w:tl2br w:val="nil"/>
                    <w:tr2bl w:val="nil"/>
                  </w:tcBorders>
                  <w:vAlign w:val="center"/>
                </w:tcPr>
                <w:p>
                  <w:pPr>
                    <w:pStyle w:val="31"/>
                    <w:keepNext w:val="0"/>
                    <w:keepLines w:val="0"/>
                    <w:widowControl/>
                    <w:suppressLineNumbers w:val="0"/>
                    <w:spacing w:beforeAutospacing="0" w:afterAutospacing="0"/>
                    <w:ind w:left="32" w:leftChars="0" w:right="0"/>
                    <w:rPr>
                      <w:rFonts w:hint="default" w:ascii="Times New Roman" w:hAnsi="Times New Roman"/>
                      <w:color w:val="auto"/>
                      <w:highlight w:val="none"/>
                    </w:rPr>
                  </w:pPr>
                  <w:r>
                    <w:rPr>
                      <w:rFonts w:hint="eastAsia" w:ascii="Times New Roman" w:hAnsi="Times New Roman"/>
                      <w:color w:val="auto"/>
                      <w:highlight w:val="none"/>
                      <w:lang w:val="en-US" w:eastAsia="zh-CN"/>
                    </w:rPr>
                    <w:t>106.6354078</w:t>
                  </w:r>
                </w:p>
              </w:tc>
              <w:tc>
                <w:tcPr>
                  <w:tcW w:w="117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sz w:val="21"/>
                      <w:szCs w:val="21"/>
                      <w:highlight w:val="none"/>
                    </w:rPr>
                  </w:pPr>
                  <w:r>
                    <w:rPr>
                      <w:rFonts w:hint="eastAsia" w:cs="Times New Roman"/>
                      <w:color w:val="auto"/>
                      <w:sz w:val="21"/>
                      <w:szCs w:val="21"/>
                      <w:highlight w:val="none"/>
                      <w:lang w:val="en-US" w:eastAsia="zh-CN"/>
                    </w:rPr>
                    <w:t>35.3657563</w:t>
                  </w:r>
                </w:p>
              </w:tc>
              <w:tc>
                <w:tcPr>
                  <w:tcW w:w="1081"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r>
                    <w:rPr>
                      <w:rFonts w:hint="eastAsia" w:cs="Times New Roman"/>
                      <w:color w:val="auto"/>
                      <w:kern w:val="0"/>
                      <w:sz w:val="21"/>
                      <w:szCs w:val="21"/>
                      <w:highlight w:val="none"/>
                      <w:lang w:val="en-US" w:eastAsia="zh-CN"/>
                    </w:rPr>
                    <w:t>师生1300人</w:t>
                  </w:r>
                </w:p>
              </w:tc>
              <w:tc>
                <w:tcPr>
                  <w:tcW w:w="105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r>
                    <w:rPr>
                      <w:rFonts w:hint="eastAsia" w:cs="Times New Roman"/>
                      <w:color w:val="auto"/>
                      <w:kern w:val="0"/>
                      <w:sz w:val="21"/>
                      <w:szCs w:val="21"/>
                      <w:highlight w:val="none"/>
                      <w:lang w:eastAsia="zh-CN"/>
                    </w:rPr>
                    <w:t>学校</w:t>
                  </w:r>
                </w:p>
              </w:tc>
              <w:tc>
                <w:tcPr>
                  <w:tcW w:w="106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S，40m</w:t>
                  </w:r>
                </w:p>
              </w:tc>
              <w:tc>
                <w:tcPr>
                  <w:tcW w:w="642"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color w:val="FF0000"/>
                      <w:kern w:val="0"/>
                      <w:sz w:val="21"/>
                      <w:szCs w:val="21"/>
                      <w:highlight w:val="none"/>
                    </w:rPr>
                  </w:pPr>
                </w:p>
              </w:tc>
              <w:tc>
                <w:tcPr>
                  <w:tcW w:w="118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r>
                    <w:rPr>
                      <w:rFonts w:hint="eastAsia" w:cs="Times New Roman"/>
                      <w:color w:val="auto"/>
                      <w:kern w:val="0"/>
                      <w:sz w:val="21"/>
                      <w:szCs w:val="21"/>
                      <w:highlight w:val="none"/>
                      <w:lang w:eastAsia="zh-CN"/>
                    </w:rPr>
                    <w:t>林业家属院</w:t>
                  </w:r>
                </w:p>
              </w:tc>
              <w:tc>
                <w:tcPr>
                  <w:tcW w:w="1170" w:type="dxa"/>
                  <w:tcBorders>
                    <w:tl2br w:val="nil"/>
                    <w:tr2bl w:val="nil"/>
                  </w:tcBorders>
                  <w:vAlign w:val="center"/>
                </w:tcPr>
                <w:p>
                  <w:pPr>
                    <w:pStyle w:val="31"/>
                    <w:keepNext w:val="0"/>
                    <w:keepLines w:val="0"/>
                    <w:widowControl/>
                    <w:suppressLineNumbers w:val="0"/>
                    <w:spacing w:beforeAutospacing="0" w:afterAutospacing="0"/>
                    <w:ind w:left="32" w:leftChars="0" w:right="0"/>
                    <w:rPr>
                      <w:rFonts w:hint="default" w:ascii="Times New Roman" w:hAnsi="Times New Roman"/>
                      <w:color w:val="auto"/>
                      <w:highlight w:val="none"/>
                    </w:rPr>
                  </w:pPr>
                  <w:r>
                    <w:rPr>
                      <w:rFonts w:hint="eastAsia" w:ascii="Times New Roman" w:hAnsi="Times New Roman"/>
                      <w:color w:val="auto"/>
                      <w:highlight w:val="none"/>
                    </w:rPr>
                    <w:t>106.113612</w:t>
                  </w:r>
                  <w:r>
                    <w:rPr>
                      <w:rFonts w:hint="eastAsia" w:ascii="Times New Roman" w:hAnsi="Times New Roman"/>
                      <w:color w:val="auto"/>
                      <w:highlight w:val="none"/>
                      <w:lang w:val="en-US" w:eastAsia="zh-CN"/>
                    </w:rPr>
                    <w:t>7</w:t>
                  </w:r>
                </w:p>
              </w:tc>
              <w:tc>
                <w:tcPr>
                  <w:tcW w:w="117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sz w:val="21"/>
                      <w:szCs w:val="21"/>
                      <w:highlight w:val="none"/>
                    </w:rPr>
                  </w:pPr>
                  <w:r>
                    <w:rPr>
                      <w:rFonts w:hint="eastAsia" w:ascii="Times New Roman" w:hAnsi="Times New Roman" w:eastAsia="宋体" w:cs="Times New Roman"/>
                      <w:bCs/>
                      <w:color w:val="auto"/>
                      <w:kern w:val="0"/>
                      <w:sz w:val="21"/>
                      <w:szCs w:val="21"/>
                      <w:highlight w:val="none"/>
                      <w:lang w:val="en-US" w:eastAsia="zh-CN" w:bidi="ar-SA"/>
                    </w:rPr>
                    <w:t>35.6235132</w:t>
                  </w:r>
                </w:p>
              </w:tc>
              <w:tc>
                <w:tcPr>
                  <w:tcW w:w="1081"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cs="Times New Roman"/>
                      <w:color w:val="auto"/>
                      <w:kern w:val="0"/>
                      <w:sz w:val="21"/>
                      <w:szCs w:val="21"/>
                      <w:highlight w:val="none"/>
                      <w:lang w:val="en-US" w:eastAsia="zh-CN"/>
                    </w:rPr>
                  </w:pPr>
                  <w:r>
                    <w:rPr>
                      <w:rFonts w:hint="eastAsia" w:cs="Times New Roman"/>
                      <w:color w:val="auto"/>
                      <w:kern w:val="0"/>
                      <w:sz w:val="21"/>
                      <w:szCs w:val="21"/>
                      <w:highlight w:val="none"/>
                      <w:lang w:eastAsia="zh-CN"/>
                    </w:rPr>
                    <w:t>居民</w:t>
                  </w:r>
                  <w:r>
                    <w:rPr>
                      <w:rFonts w:hint="eastAsia" w:cs="Times New Roman"/>
                      <w:color w:val="auto"/>
                      <w:kern w:val="0"/>
                      <w:sz w:val="21"/>
                      <w:szCs w:val="21"/>
                      <w:highlight w:val="none"/>
                      <w:lang w:val="en-US" w:eastAsia="zh-CN"/>
                    </w:rPr>
                    <w:t>1000人</w:t>
                  </w:r>
                </w:p>
              </w:tc>
              <w:tc>
                <w:tcPr>
                  <w:tcW w:w="105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r>
                    <w:rPr>
                      <w:rFonts w:hint="eastAsia" w:cs="Times New Roman"/>
                      <w:color w:val="auto"/>
                      <w:kern w:val="0"/>
                      <w:sz w:val="21"/>
                      <w:szCs w:val="21"/>
                      <w:highlight w:val="none"/>
                      <w:lang w:eastAsia="zh-CN"/>
                    </w:rPr>
                    <w:t>生活区</w:t>
                  </w:r>
                </w:p>
              </w:tc>
              <w:tc>
                <w:tcPr>
                  <w:tcW w:w="106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S，30</w:t>
                  </w:r>
                  <w:r>
                    <w:rPr>
                      <w:rFonts w:hint="default" w:cs="Times New Roman"/>
                      <w:color w:val="auto"/>
                      <w:kern w:val="0"/>
                      <w:sz w:val="21"/>
                      <w:szCs w:val="21"/>
                      <w:highlight w:val="none"/>
                    </w:rPr>
                    <w:t>m</w:t>
                  </w:r>
                </w:p>
              </w:tc>
              <w:tc>
                <w:tcPr>
                  <w:tcW w:w="642"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color w:val="FF0000"/>
                      <w:kern w:val="0"/>
                      <w:sz w:val="21"/>
                      <w:szCs w:val="21"/>
                      <w:highlight w:val="none"/>
                    </w:rPr>
                  </w:pPr>
                </w:p>
              </w:tc>
              <w:tc>
                <w:tcPr>
                  <w:tcW w:w="118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r>
                    <w:rPr>
                      <w:rFonts w:hint="eastAsia" w:cs="Times New Roman"/>
                      <w:color w:val="auto"/>
                      <w:kern w:val="0"/>
                      <w:sz w:val="21"/>
                      <w:szCs w:val="21"/>
                      <w:highlight w:val="none"/>
                      <w:lang w:eastAsia="zh-CN"/>
                    </w:rPr>
                    <w:t>大华授权产品体验中心</w:t>
                  </w:r>
                </w:p>
              </w:tc>
              <w:tc>
                <w:tcPr>
                  <w:tcW w:w="1170" w:type="dxa"/>
                  <w:tcBorders>
                    <w:tl2br w:val="nil"/>
                    <w:tr2bl w:val="nil"/>
                  </w:tcBorders>
                  <w:vAlign w:val="center"/>
                </w:tcPr>
                <w:p>
                  <w:pPr>
                    <w:pStyle w:val="31"/>
                    <w:keepNext w:val="0"/>
                    <w:keepLines w:val="0"/>
                    <w:widowControl/>
                    <w:suppressLineNumbers w:val="0"/>
                    <w:spacing w:beforeAutospacing="0" w:afterAutospacing="0"/>
                    <w:ind w:left="32" w:leftChars="0" w:right="0"/>
                    <w:rPr>
                      <w:rFonts w:hint="default" w:ascii="Times New Roman" w:hAnsi="Times New Roman"/>
                      <w:color w:val="auto"/>
                      <w:highlight w:val="none"/>
                    </w:rPr>
                  </w:pPr>
                  <w:r>
                    <w:rPr>
                      <w:rFonts w:hint="default" w:ascii="Times New Roman" w:hAnsi="Times New Roman"/>
                      <w:color w:val="auto"/>
                      <w:highlight w:val="none"/>
                    </w:rPr>
                    <w:t>106.</w:t>
                  </w:r>
                  <w:r>
                    <w:rPr>
                      <w:rFonts w:hint="eastAsia" w:ascii="Times New Roman" w:hAnsi="Times New Roman"/>
                      <w:color w:val="auto"/>
                      <w:highlight w:val="none"/>
                    </w:rPr>
                    <w:t>6523308</w:t>
                  </w:r>
                </w:p>
              </w:tc>
              <w:tc>
                <w:tcPr>
                  <w:tcW w:w="117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sz w:val="21"/>
                      <w:szCs w:val="21"/>
                      <w:highlight w:val="none"/>
                    </w:rPr>
                  </w:pPr>
                  <w:r>
                    <w:rPr>
                      <w:rFonts w:hint="eastAsia" w:cs="Times New Roman"/>
                      <w:color w:val="auto"/>
                      <w:sz w:val="21"/>
                      <w:szCs w:val="21"/>
                      <w:highlight w:val="none"/>
                    </w:rPr>
                    <w:t>35.3659438</w:t>
                  </w:r>
                </w:p>
              </w:tc>
              <w:tc>
                <w:tcPr>
                  <w:tcW w:w="1081"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lang w:val="en-US"/>
                    </w:rPr>
                  </w:pPr>
                  <w:r>
                    <w:rPr>
                      <w:rFonts w:hint="eastAsia" w:cs="Times New Roman"/>
                      <w:color w:val="auto"/>
                      <w:kern w:val="0"/>
                      <w:sz w:val="21"/>
                      <w:szCs w:val="21"/>
                      <w:highlight w:val="none"/>
                      <w:lang w:eastAsia="zh-CN"/>
                    </w:rPr>
                    <w:t>工作人员</w:t>
                  </w:r>
                  <w:r>
                    <w:rPr>
                      <w:rFonts w:hint="eastAsia" w:cs="Times New Roman"/>
                      <w:color w:val="auto"/>
                      <w:kern w:val="0"/>
                      <w:sz w:val="21"/>
                      <w:szCs w:val="21"/>
                      <w:highlight w:val="none"/>
                      <w:lang w:val="en-US" w:eastAsia="zh-CN"/>
                    </w:rPr>
                    <w:t>20人</w:t>
                  </w:r>
                </w:p>
              </w:tc>
              <w:tc>
                <w:tcPr>
                  <w:tcW w:w="105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r>
                    <w:rPr>
                      <w:rFonts w:hint="eastAsia" w:cs="Times New Roman"/>
                      <w:color w:val="auto"/>
                      <w:kern w:val="0"/>
                      <w:sz w:val="21"/>
                      <w:szCs w:val="21"/>
                      <w:highlight w:val="none"/>
                      <w:lang w:eastAsia="zh-CN"/>
                    </w:rPr>
                    <w:t>商业区</w:t>
                  </w:r>
                </w:p>
              </w:tc>
              <w:tc>
                <w:tcPr>
                  <w:tcW w:w="106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S，45m</w:t>
                  </w:r>
                </w:p>
              </w:tc>
              <w:tc>
                <w:tcPr>
                  <w:tcW w:w="642"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color w:val="FF0000"/>
                      <w:kern w:val="0"/>
                      <w:sz w:val="21"/>
                      <w:szCs w:val="21"/>
                      <w:highlight w:val="none"/>
                    </w:rPr>
                  </w:pPr>
                </w:p>
              </w:tc>
              <w:tc>
                <w:tcPr>
                  <w:tcW w:w="1189"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eastAsia="zh-CN"/>
                    </w:rPr>
                    <w:t>南河社区</w:t>
                  </w:r>
                </w:p>
              </w:tc>
              <w:tc>
                <w:tcPr>
                  <w:tcW w:w="1170" w:type="dxa"/>
                  <w:tcBorders>
                    <w:tl2br w:val="nil"/>
                    <w:tr2bl w:val="nil"/>
                  </w:tcBorders>
                  <w:shd w:val="clear" w:color="auto" w:fill="auto"/>
                  <w:vAlign w:val="center"/>
                </w:tcPr>
                <w:p>
                  <w:pPr>
                    <w:pStyle w:val="31"/>
                    <w:keepNext w:val="0"/>
                    <w:keepLines w:val="0"/>
                    <w:widowControl/>
                    <w:suppressLineNumbers w:val="0"/>
                    <w:spacing w:beforeAutospacing="0" w:afterAutospacing="0"/>
                    <w:ind w:left="32" w:leftChars="0" w:right="0"/>
                    <w:rPr>
                      <w:rFonts w:hint="default" w:ascii="Times New Roman" w:hAnsi="Times New Roman" w:eastAsia="宋体" w:cs="Times New Roman"/>
                      <w:bCs/>
                      <w:color w:val="auto"/>
                      <w:sz w:val="21"/>
                      <w:szCs w:val="21"/>
                      <w:highlight w:val="none"/>
                      <w:lang w:val="en-US" w:eastAsia="zh-CN" w:bidi="ar-SA"/>
                    </w:rPr>
                  </w:pPr>
                  <w:r>
                    <w:rPr>
                      <w:rFonts w:hint="eastAsia" w:ascii="Times New Roman" w:hAnsi="Times New Roman"/>
                      <w:color w:val="auto"/>
                      <w:highlight w:val="none"/>
                    </w:rPr>
                    <w:t>106.1185046</w:t>
                  </w:r>
                </w:p>
              </w:tc>
              <w:tc>
                <w:tcPr>
                  <w:tcW w:w="1179"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35.6006829</w:t>
                  </w:r>
                </w:p>
              </w:tc>
              <w:tc>
                <w:tcPr>
                  <w:tcW w:w="1081"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eastAsia="zh-CN"/>
                    </w:rPr>
                    <w:t>居民</w:t>
                  </w:r>
                  <w:r>
                    <w:rPr>
                      <w:rFonts w:hint="eastAsia" w:cs="Times New Roman"/>
                      <w:color w:val="auto"/>
                      <w:kern w:val="0"/>
                      <w:sz w:val="21"/>
                      <w:szCs w:val="21"/>
                      <w:highlight w:val="none"/>
                      <w:lang w:val="en-US" w:eastAsia="zh-CN"/>
                    </w:rPr>
                    <w:t>200人</w:t>
                  </w:r>
                </w:p>
              </w:tc>
              <w:tc>
                <w:tcPr>
                  <w:tcW w:w="1050"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eastAsia="zh-CN"/>
                    </w:rPr>
                    <w:t>生活区</w:t>
                  </w:r>
                </w:p>
              </w:tc>
              <w:tc>
                <w:tcPr>
                  <w:tcW w:w="1060"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S，40m</w:t>
                  </w:r>
                </w:p>
              </w:tc>
              <w:tc>
                <w:tcPr>
                  <w:tcW w:w="642"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eastAsia="宋体" w:cs="Times New Roman"/>
                      <w:b/>
                      <w:color w:val="auto"/>
                      <w:kern w:val="0"/>
                      <w:sz w:val="21"/>
                      <w:szCs w:val="21"/>
                      <w:highlight w:val="none"/>
                      <w:lang w:eastAsia="zh-CN"/>
                    </w:rPr>
                  </w:pPr>
                  <w:r>
                    <w:rPr>
                      <w:rFonts w:hint="eastAsia" w:cs="Times New Roman"/>
                      <w:b/>
                      <w:color w:val="auto"/>
                      <w:kern w:val="0"/>
                      <w:sz w:val="21"/>
                      <w:szCs w:val="21"/>
                      <w:highlight w:val="none"/>
                      <w:lang w:eastAsia="zh-CN"/>
                    </w:rPr>
                    <w:t>地表水环境</w:t>
                  </w:r>
                </w:p>
              </w:tc>
              <w:tc>
                <w:tcPr>
                  <w:tcW w:w="118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渝河（清流河）</w:t>
                  </w:r>
                </w:p>
              </w:tc>
              <w:tc>
                <w:tcPr>
                  <w:tcW w:w="1170" w:type="dxa"/>
                  <w:tcBorders>
                    <w:tl2br w:val="nil"/>
                    <w:tr2bl w:val="nil"/>
                  </w:tcBorders>
                  <w:vAlign w:val="center"/>
                </w:tcPr>
                <w:p>
                  <w:pPr>
                    <w:pStyle w:val="31"/>
                    <w:keepNext w:val="0"/>
                    <w:keepLines w:val="0"/>
                    <w:widowControl/>
                    <w:suppressLineNumbers w:val="0"/>
                    <w:spacing w:beforeAutospacing="0" w:afterAutospacing="0"/>
                    <w:ind w:left="32" w:leftChars="0" w:right="0"/>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106.1141648</w:t>
                  </w:r>
                </w:p>
              </w:tc>
              <w:tc>
                <w:tcPr>
                  <w:tcW w:w="1179" w:type="dxa"/>
                  <w:tcBorders>
                    <w:tl2br w:val="nil"/>
                    <w:tr2bl w:val="nil"/>
                  </w:tcBorders>
                  <w:vAlign w:val="center"/>
                </w:tcPr>
                <w:p>
                  <w:pPr>
                    <w:pStyle w:val="31"/>
                    <w:keepNext w:val="0"/>
                    <w:keepLines w:val="0"/>
                    <w:widowControl/>
                    <w:suppressLineNumbers w:val="0"/>
                    <w:spacing w:beforeAutospacing="0" w:afterAutospacing="0"/>
                    <w:ind w:left="32" w:leftChars="0" w:right="0"/>
                    <w:rPr>
                      <w:rFonts w:hint="default" w:ascii="Times New Roman" w:hAnsi="Times New Roman"/>
                      <w:color w:val="auto"/>
                      <w:highlight w:val="none"/>
                      <w:lang w:val="en-US" w:eastAsia="zh-CN"/>
                    </w:rPr>
                  </w:pPr>
                  <w:r>
                    <w:rPr>
                      <w:rFonts w:hint="eastAsia" w:ascii="Times New Roman" w:hAnsi="Times New Roman"/>
                      <w:color w:val="auto"/>
                      <w:highlight w:val="none"/>
                    </w:rPr>
                    <w:t>35.6205688</w:t>
                  </w:r>
                </w:p>
              </w:tc>
              <w:tc>
                <w:tcPr>
                  <w:tcW w:w="1081"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eastAsia="zh-CN"/>
                    </w:rPr>
                    <w:t>水生植物</w:t>
                  </w:r>
                  <w:r>
                    <w:rPr>
                      <w:rFonts w:hint="eastAsia"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eastAsia="zh-CN"/>
                    </w:rPr>
                    <w:t>芦苇、香蒲）</w:t>
                  </w:r>
                  <w:r>
                    <w:rPr>
                      <w:rFonts w:hint="eastAsia" w:cs="Times New Roman"/>
                      <w:color w:val="auto"/>
                      <w:kern w:val="0"/>
                      <w:sz w:val="21"/>
                      <w:szCs w:val="21"/>
                      <w:highlight w:val="none"/>
                      <w:lang w:val="en-US" w:eastAsia="zh-CN"/>
                    </w:rPr>
                    <w:t>-</w:t>
                  </w:r>
                </w:p>
              </w:tc>
              <w:tc>
                <w:tcPr>
                  <w:tcW w:w="105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106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S，50m</w:t>
                  </w:r>
                </w:p>
              </w:tc>
              <w:tc>
                <w:tcPr>
                  <w:tcW w:w="642"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《地表水环境质量标准》(GB3838-2002)</w:t>
                  </w:r>
                  <w:r>
                    <w:rPr>
                      <w:rFonts w:hint="default" w:ascii="Times New Roman" w:hAnsi="Times New Roman" w:eastAsia="宋体" w:cs="Times New Roman"/>
                      <w:color w:val="auto"/>
                      <w:kern w:val="0"/>
                      <w:sz w:val="21"/>
                      <w:szCs w:val="21"/>
                      <w:highlight w:val="none"/>
                      <w:lang w:val="en-US" w:eastAsia="zh-CN"/>
                    </w:rPr>
                    <w:t>Ⅲ</w:t>
                  </w:r>
                  <w:r>
                    <w:rPr>
                      <w:rFonts w:hint="default" w:ascii="Times New Roman" w:hAnsi="Times New Roman" w:eastAsia="宋体" w:cs="Times New Roman"/>
                      <w:color w:val="auto"/>
                      <w:kern w:val="0"/>
                      <w:sz w:val="21"/>
                      <w:szCs w:val="21"/>
                      <w:highlight w:val="none"/>
                    </w:rPr>
                    <w:t>类标准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b/>
                      <w:color w:val="auto"/>
                      <w:kern w:val="0"/>
                      <w:sz w:val="21"/>
                      <w:szCs w:val="21"/>
                      <w:highlight w:val="none"/>
                      <w:lang w:eastAsia="zh-CN"/>
                    </w:rPr>
                  </w:pPr>
                  <w:r>
                    <w:rPr>
                      <w:rFonts w:hint="eastAsia" w:cs="Times New Roman"/>
                      <w:b/>
                      <w:color w:val="auto"/>
                      <w:kern w:val="0"/>
                      <w:sz w:val="21"/>
                      <w:szCs w:val="21"/>
                      <w:highlight w:val="none"/>
                      <w:lang w:eastAsia="zh-CN"/>
                    </w:rPr>
                    <w:t>生态环境</w:t>
                  </w:r>
                </w:p>
              </w:tc>
              <w:tc>
                <w:tcPr>
                  <w:tcW w:w="118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北象山</w:t>
                  </w:r>
                </w:p>
              </w:tc>
              <w:tc>
                <w:tcPr>
                  <w:tcW w:w="1170" w:type="dxa"/>
                  <w:tcBorders>
                    <w:tl2br w:val="nil"/>
                    <w:tr2bl w:val="nil"/>
                  </w:tcBorders>
                  <w:vAlign w:val="center"/>
                </w:tcPr>
                <w:p>
                  <w:pPr>
                    <w:pStyle w:val="31"/>
                    <w:keepNext w:val="0"/>
                    <w:keepLines w:val="0"/>
                    <w:widowControl/>
                    <w:suppressLineNumbers w:val="0"/>
                    <w:spacing w:beforeAutospacing="0" w:afterAutospacing="0"/>
                    <w:ind w:left="32" w:leftChars="0" w:right="0"/>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106.1176213</w:t>
                  </w:r>
                </w:p>
              </w:tc>
              <w:tc>
                <w:tcPr>
                  <w:tcW w:w="1179" w:type="dxa"/>
                  <w:tcBorders>
                    <w:tl2br w:val="nil"/>
                    <w:tr2bl w:val="nil"/>
                  </w:tcBorders>
                  <w:vAlign w:val="center"/>
                </w:tcPr>
                <w:p>
                  <w:pPr>
                    <w:pStyle w:val="31"/>
                    <w:keepNext w:val="0"/>
                    <w:keepLines w:val="0"/>
                    <w:widowControl/>
                    <w:suppressLineNumbers w:val="0"/>
                    <w:spacing w:beforeAutospacing="0" w:afterAutospacing="0"/>
                    <w:ind w:left="32" w:leftChars="0" w:right="0"/>
                    <w:rPr>
                      <w:rFonts w:hint="eastAsia" w:ascii="Times New Roman" w:hAnsi="Times New Roman"/>
                      <w:color w:val="auto"/>
                      <w:highlight w:val="none"/>
                    </w:rPr>
                  </w:pPr>
                  <w:r>
                    <w:rPr>
                      <w:rFonts w:hint="eastAsia" w:ascii="Times New Roman" w:hAnsi="Times New Roman"/>
                      <w:color w:val="auto"/>
                      <w:highlight w:val="none"/>
                    </w:rPr>
                    <w:t>35.62460916</w:t>
                  </w:r>
                </w:p>
              </w:tc>
              <w:tc>
                <w:tcPr>
                  <w:tcW w:w="1081"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cs="Times New Roman"/>
                      <w:color w:val="auto"/>
                      <w:kern w:val="0"/>
                      <w:sz w:val="21"/>
                      <w:szCs w:val="21"/>
                      <w:highlight w:val="none"/>
                      <w:lang w:eastAsia="zh-CN"/>
                    </w:rPr>
                    <w:t>生态区</w:t>
                  </w:r>
                </w:p>
              </w:tc>
              <w:tc>
                <w:tcPr>
                  <w:tcW w:w="105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生态红线</w:t>
                  </w:r>
                </w:p>
              </w:tc>
              <w:tc>
                <w:tcPr>
                  <w:tcW w:w="1060"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642"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cs="Times New Roman"/>
                      <w:color w:val="auto"/>
                      <w:kern w:val="0"/>
                      <w:sz w:val="21"/>
                      <w:szCs w:val="21"/>
                      <w:highlight w:val="none"/>
                      <w:lang w:val="en-US" w:eastAsia="zh-CN"/>
                    </w:rPr>
                    <w:t>-</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0" w:firstLineChars="200"/>
              <w:jc w:val="left"/>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本项目环境保护目标见图9。</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420" w:firstLineChars="200"/>
              <w:jc w:val="center"/>
              <w:textAlignment w:val="auto"/>
              <w:rPr>
                <w:rFonts w:hint="eastAsia" w:cs="Times New Roman"/>
                <w:color w:val="FF0000"/>
                <w:kern w:val="2"/>
                <w:sz w:val="21"/>
                <w:szCs w:val="22"/>
                <w:highlight w:val="none"/>
                <w:lang w:val="en-US" w:eastAsia="zh-CN" w:bidi="ar-SA"/>
              </w:rPr>
            </w:pPr>
            <w:r>
              <w:rPr>
                <w:rFonts w:hint="eastAsia" w:cs="Times New Roman"/>
                <w:color w:val="FF0000"/>
                <w:kern w:val="2"/>
                <w:sz w:val="21"/>
                <w:szCs w:val="22"/>
                <w:highlight w:val="none"/>
                <w:lang w:val="en-US" w:eastAsia="zh-CN" w:bidi="ar-SA"/>
              </w:rPr>
              <w:drawing>
                <wp:inline distT="0" distB="0" distL="114300" distR="114300">
                  <wp:extent cx="4569460" cy="2928620"/>
                  <wp:effectExtent l="0" t="0" r="2540" b="5080"/>
                  <wp:docPr id="12" name="图片 12" descr="保护目标新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保护目标新_00"/>
                          <pic:cNvPicPr>
                            <a:picLocks noChangeAspect="1"/>
                          </pic:cNvPicPr>
                        </pic:nvPicPr>
                        <pic:blipFill>
                          <a:blip r:embed="rId18"/>
                          <a:stretch>
                            <a:fillRect/>
                          </a:stretch>
                        </pic:blipFill>
                        <pic:spPr>
                          <a:xfrm>
                            <a:off x="0" y="0"/>
                            <a:ext cx="4569460" cy="2928620"/>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Times New Roman"/>
                <w:color w:val="FF0000"/>
                <w:kern w:val="2"/>
                <w:sz w:val="21"/>
                <w:szCs w:val="22"/>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kern w:val="2"/>
                <w:sz w:val="21"/>
                <w:szCs w:val="22"/>
                <w:highlight w:val="none"/>
                <w:lang w:val="en-US" w:eastAsia="zh-CN" w:bidi="ar-SA"/>
              </w:rPr>
            </w:pPr>
            <w:r>
              <w:rPr>
                <w:rFonts w:hint="default" w:ascii="Times New Roman" w:hAnsi="Times New Roman" w:eastAsia="宋体" w:cs="Times New Roman"/>
                <w:b/>
                <w:bCs/>
                <w:color w:val="000000" w:themeColor="text1"/>
                <w:spacing w:val="-5"/>
                <w:sz w:val="24"/>
                <w:szCs w:val="24"/>
                <w:highlight w:val="none"/>
                <w:lang w:val="en-US" w:eastAsia="zh-CN"/>
                <w14:textFill>
                  <w14:solidFill>
                    <w14:schemeClr w14:val="tx1"/>
                  </w14:solidFill>
                </w14:textFill>
              </w:rPr>
              <w:t>图</w:t>
            </w:r>
            <w:r>
              <w:rPr>
                <w:rFonts w:hint="eastAsia" w:cs="Times New Roman"/>
                <w:b/>
                <w:bCs/>
                <w:color w:val="000000" w:themeColor="text1"/>
                <w:spacing w:val="-5"/>
                <w:sz w:val="24"/>
                <w:szCs w:val="24"/>
                <w:highlight w:val="none"/>
                <w:lang w:val="en-US" w:eastAsia="zh-CN"/>
                <w14:textFill>
                  <w14:solidFill>
                    <w14:schemeClr w14:val="tx1"/>
                  </w14:solidFill>
                </w14:textFill>
              </w:rPr>
              <w:t>9</w:t>
            </w:r>
            <w:r>
              <w:rPr>
                <w:rFonts w:hint="default" w:ascii="Times New Roman" w:hAnsi="Times New Roman" w:eastAsia="宋体" w:cs="Times New Roman"/>
                <w:b/>
                <w:bCs/>
                <w:color w:val="000000" w:themeColor="text1"/>
                <w:spacing w:val="-5"/>
                <w:sz w:val="24"/>
                <w:szCs w:val="24"/>
                <w:highlight w:val="none"/>
                <w:lang w:val="en-US" w:eastAsia="zh-CN"/>
                <w14:textFill>
                  <w14:solidFill>
                    <w14:schemeClr w14:val="tx1"/>
                  </w14:solidFill>
                </w14:textFill>
              </w:rPr>
              <w:t xml:space="preserve">  </w:t>
            </w:r>
            <w:r>
              <w:rPr>
                <w:rFonts w:hint="eastAsia" w:cs="Times New Roman"/>
                <w:b/>
                <w:bCs/>
                <w:color w:val="000000" w:themeColor="text1"/>
                <w:spacing w:val="-5"/>
                <w:sz w:val="24"/>
                <w:szCs w:val="24"/>
                <w:highlight w:val="none"/>
                <w:lang w:val="en-US" w:eastAsia="zh-CN"/>
                <w14:textFill>
                  <w14:solidFill>
                    <w14:schemeClr w14:val="tx1"/>
                  </w14:solidFill>
                </w14:textFill>
              </w:rPr>
              <w:t>项目环境保护目标图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jc w:val="center"/>
        </w:trPr>
        <w:tc>
          <w:tcPr>
            <w:tcW w:w="98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FF"/>
                <w:kern w:val="0"/>
                <w:sz w:val="24"/>
                <w:highlight w:val="none"/>
              </w:rPr>
            </w:pPr>
            <w:r>
              <w:rPr>
                <w:rFonts w:hint="default" w:ascii="Times New Roman" w:hAnsi="Times New Roman" w:eastAsia="宋体" w:cs="Times New Roman"/>
                <w:b/>
                <w:bCs/>
                <w:color w:val="auto"/>
                <w:kern w:val="0"/>
                <w:sz w:val="24"/>
                <w:highlight w:val="none"/>
              </w:rPr>
              <w:t>评价标准</w:t>
            </w:r>
          </w:p>
        </w:tc>
        <w:tc>
          <w:tcPr>
            <w:tcW w:w="8026" w:type="dxa"/>
            <w:gridSpan w:val="2"/>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0" w:firstLineChars="0"/>
              <w:textAlignment w:val="auto"/>
              <w:rPr>
                <w:rFonts w:hint="default" w:cs="Times New Roman"/>
                <w:b/>
                <w:kern w:val="0"/>
                <w:highlight w:val="none"/>
              </w:rPr>
            </w:pPr>
            <w:r>
              <w:rPr>
                <w:rFonts w:hint="default" w:cs="Times New Roman"/>
                <w:b/>
                <w:kern w:val="0"/>
                <w:highlight w:val="none"/>
              </w:rPr>
              <w:t>1、环境质量标准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0" w:firstLineChars="20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本项目环境空气质量标准遵循</w:t>
            </w:r>
            <w:r>
              <w:rPr>
                <w:rFonts w:hint="eastAsia" w:ascii="Times New Roman" w:hAnsi="Times New Roman" w:eastAsia="宋体" w:cs="Times New Roman"/>
                <w:color w:val="auto"/>
                <w:kern w:val="0"/>
                <w:sz w:val="24"/>
                <w:highlight w:val="none"/>
              </w:rPr>
              <w:t>《环境空气质量标准》（GB3095-2012）及修改单</w:t>
            </w:r>
            <w:r>
              <w:rPr>
                <w:rFonts w:hint="default" w:ascii="Times New Roman" w:hAnsi="Times New Roman" w:eastAsia="宋体" w:cs="Times New Roman"/>
                <w:color w:val="auto"/>
                <w:kern w:val="0"/>
                <w:sz w:val="24"/>
                <w:highlight w:val="none"/>
              </w:rPr>
              <w:t>中二级标准</w:t>
            </w:r>
            <w:r>
              <w:rPr>
                <w:rFonts w:hint="eastAsia" w:ascii="Times New Roman" w:hAnsi="Times New Roman" w:eastAsia="宋体" w:cs="Times New Roman"/>
                <w:color w:val="auto"/>
                <w:kern w:val="0"/>
                <w:sz w:val="24"/>
                <w:highlight w:val="none"/>
                <w:lang w:eastAsia="zh-CN"/>
              </w:rPr>
              <w:t>，见下表。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0" w:firstLineChars="0"/>
              <w:textAlignment w:val="auto"/>
              <w:rPr>
                <w:rFonts w:hint="eastAsia" w:ascii="宋体" w:hAnsi="宋体" w:eastAsia="宋体" w:cs="宋体"/>
                <w:b/>
                <w:bCs/>
                <w:kern w:val="0"/>
                <w:highlight w:val="none"/>
              </w:rPr>
            </w:pPr>
            <w:r>
              <w:rPr>
                <w:rFonts w:hint="eastAsia" w:ascii="宋体" w:hAnsi="宋体" w:eastAsia="宋体" w:cs="宋体"/>
                <w:b/>
                <w:bCs/>
                <w:kern w:val="0"/>
                <w:highlight w:val="none"/>
                <w:lang w:eastAsia="zh-CN"/>
              </w:rPr>
              <w:t>表</w:t>
            </w:r>
            <w:r>
              <w:rPr>
                <w:rFonts w:hint="default" w:ascii="Times New Roman" w:hAnsi="Times New Roman" w:eastAsia="宋体" w:cs="Times New Roman"/>
                <w:b/>
                <w:bCs/>
                <w:kern w:val="0"/>
                <w:highlight w:val="none"/>
                <w:lang w:val="en-US" w:eastAsia="zh-CN"/>
              </w:rPr>
              <w:t>3-</w:t>
            </w:r>
            <w:r>
              <w:rPr>
                <w:rFonts w:hint="eastAsia" w:cs="Times New Roman"/>
                <w:b/>
                <w:bCs/>
                <w:kern w:val="0"/>
                <w:highlight w:val="none"/>
                <w:lang w:val="en-US" w:eastAsia="zh-CN"/>
              </w:rPr>
              <w:t>7</w:t>
            </w:r>
            <w:r>
              <w:rPr>
                <w:rFonts w:hint="eastAsia" w:ascii="宋体" w:hAnsi="宋体" w:eastAsia="宋体" w:cs="宋体"/>
                <w:b/>
                <w:bCs/>
                <w:kern w:val="0"/>
                <w:highlight w:val="none"/>
                <w:lang w:val="en-US" w:eastAsia="zh-CN"/>
              </w:rPr>
              <w:t xml:space="preserve">  </w:t>
            </w:r>
            <w:r>
              <w:rPr>
                <w:rFonts w:hint="eastAsia" w:ascii="宋体" w:hAnsi="宋体" w:eastAsia="宋体" w:cs="宋体"/>
                <w:b/>
                <w:bCs/>
                <w:kern w:val="0"/>
                <w:highlight w:val="none"/>
              </w:rPr>
              <w:t>《环境空气质量标准》（GB3095-2012）及修改单中二级标准</w:t>
            </w:r>
          </w:p>
          <w:tbl>
            <w:tblPr>
              <w:tblStyle w:val="21"/>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6"/>
              <w:gridCol w:w="750"/>
              <w:gridCol w:w="796"/>
              <w:gridCol w:w="826"/>
              <w:gridCol w:w="1082"/>
              <w:gridCol w:w="982"/>
              <w:gridCol w:w="21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8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b/>
                      <w:sz w:val="21"/>
                      <w:szCs w:val="21"/>
                      <w:highlight w:val="none"/>
                    </w:rPr>
                    <w:t>污染物</w:t>
                  </w:r>
                </w:p>
              </w:tc>
              <w:tc>
                <w:tcPr>
                  <w:tcW w:w="750"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b/>
                      <w:sz w:val="21"/>
                      <w:szCs w:val="21"/>
                      <w:highlight w:val="none"/>
                    </w:rPr>
                    <w:t>年平均</w:t>
                  </w:r>
                </w:p>
              </w:tc>
              <w:tc>
                <w:tcPr>
                  <w:tcW w:w="79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b/>
                      <w:sz w:val="21"/>
                      <w:szCs w:val="21"/>
                      <w:highlight w:val="none"/>
                    </w:rPr>
                    <w:t>24小时平均</w:t>
                  </w:r>
                </w:p>
              </w:tc>
              <w:tc>
                <w:tcPr>
                  <w:tcW w:w="82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b/>
                      <w:sz w:val="21"/>
                      <w:szCs w:val="21"/>
                      <w:highlight w:val="none"/>
                    </w:rPr>
                    <w:t>1小时平均</w:t>
                  </w:r>
                </w:p>
              </w:tc>
              <w:tc>
                <w:tcPr>
                  <w:tcW w:w="1082"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宋体" w:cs="Times New Roman"/>
                      <w:b/>
                      <w:sz w:val="21"/>
                      <w:szCs w:val="21"/>
                      <w:highlight w:val="none"/>
                      <w:lang w:val="en-US" w:eastAsia="zh-CN"/>
                    </w:rPr>
                  </w:pPr>
                  <w:r>
                    <w:rPr>
                      <w:rFonts w:hint="eastAsia" w:cs="Times New Roman"/>
                      <w:b/>
                      <w:sz w:val="21"/>
                      <w:szCs w:val="21"/>
                      <w:highlight w:val="none"/>
                      <w:lang w:eastAsia="zh-CN"/>
                    </w:rPr>
                    <w:t>日最大</w:t>
                  </w:r>
                  <w:r>
                    <w:rPr>
                      <w:rFonts w:hint="eastAsia" w:cs="Times New Roman"/>
                      <w:b/>
                      <w:sz w:val="21"/>
                      <w:szCs w:val="21"/>
                      <w:highlight w:val="none"/>
                      <w:lang w:val="en-US" w:eastAsia="zh-CN"/>
                    </w:rPr>
                    <w:t>8小时平均</w:t>
                  </w:r>
                </w:p>
              </w:tc>
              <w:tc>
                <w:tcPr>
                  <w:tcW w:w="982"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b/>
                      <w:sz w:val="21"/>
                      <w:szCs w:val="21"/>
                      <w:highlight w:val="none"/>
                    </w:rPr>
                  </w:pPr>
                  <w:r>
                    <w:rPr>
                      <w:rFonts w:hint="default" w:cs="Times New Roman"/>
                      <w:b/>
                      <w:sz w:val="21"/>
                      <w:szCs w:val="21"/>
                      <w:highlight w:val="none"/>
                    </w:rPr>
                    <w:t>单位</w:t>
                  </w:r>
                </w:p>
              </w:tc>
              <w:tc>
                <w:tcPr>
                  <w:tcW w:w="2198"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b/>
                      <w:sz w:val="21"/>
                      <w:szCs w:val="21"/>
                      <w:highlight w:val="none"/>
                    </w:rPr>
                  </w:pPr>
                  <w:r>
                    <w:rPr>
                      <w:rFonts w:hint="default" w:cs="Times New Roman"/>
                      <w:b/>
                      <w:sz w:val="21"/>
                      <w:szCs w:val="21"/>
                      <w:highlight w:val="none"/>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8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SO</w:t>
                  </w:r>
                  <w:r>
                    <w:rPr>
                      <w:rFonts w:hint="default" w:cs="Times New Roman"/>
                      <w:sz w:val="21"/>
                      <w:szCs w:val="21"/>
                      <w:highlight w:val="none"/>
                      <w:vertAlign w:val="subscript"/>
                    </w:rPr>
                    <w:t>2</w:t>
                  </w:r>
                </w:p>
              </w:tc>
              <w:tc>
                <w:tcPr>
                  <w:tcW w:w="750"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60</w:t>
                  </w:r>
                </w:p>
              </w:tc>
              <w:tc>
                <w:tcPr>
                  <w:tcW w:w="79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150</w:t>
                  </w:r>
                </w:p>
              </w:tc>
              <w:tc>
                <w:tcPr>
                  <w:tcW w:w="82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500</w:t>
                  </w:r>
                </w:p>
              </w:tc>
              <w:tc>
                <w:tcPr>
                  <w:tcW w:w="1082"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cs="Times New Roman"/>
                      <w:sz w:val="21"/>
                      <w:szCs w:val="21"/>
                      <w:highlight w:val="none"/>
                      <w:lang w:val="en-US" w:eastAsia="zh-CN"/>
                    </w:rPr>
                  </w:pPr>
                  <w:r>
                    <w:rPr>
                      <w:rFonts w:hint="eastAsia" w:cs="Times New Roman"/>
                      <w:sz w:val="21"/>
                      <w:szCs w:val="21"/>
                      <w:highlight w:val="none"/>
                      <w:lang w:val="en-US" w:eastAsia="zh-CN"/>
                    </w:rPr>
                    <w:t>/</w:t>
                  </w:r>
                </w:p>
              </w:tc>
              <w:tc>
                <w:tcPr>
                  <w:tcW w:w="982"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μg/m</w:t>
                  </w:r>
                  <w:r>
                    <w:rPr>
                      <w:rFonts w:hint="default" w:cs="Times New Roman"/>
                      <w:sz w:val="21"/>
                      <w:szCs w:val="21"/>
                      <w:highlight w:val="none"/>
                      <w:vertAlign w:val="superscript"/>
                    </w:rPr>
                    <w:t>3</w:t>
                  </w:r>
                </w:p>
              </w:tc>
              <w:tc>
                <w:tcPr>
                  <w:tcW w:w="2198"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sz w:val="21"/>
                      <w:szCs w:val="21"/>
                      <w:highlight w:val="none"/>
                    </w:rPr>
                  </w:pPr>
                  <w:r>
                    <w:rPr>
                      <w:rFonts w:hint="eastAsia" w:cs="Times New Roman"/>
                      <w:sz w:val="21"/>
                      <w:szCs w:val="21"/>
                      <w:highlight w:val="none"/>
                    </w:rPr>
                    <w:t>《环境空气质量标准》（GB3095-2012）</w:t>
                  </w:r>
                  <w:r>
                    <w:rPr>
                      <w:rFonts w:hint="default" w:cs="Times New Roman"/>
                      <w:sz w:val="21"/>
                      <w:szCs w:val="21"/>
                      <w:highlight w:val="none"/>
                    </w:rPr>
                    <w:t>中二级标准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8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NO</w:t>
                  </w:r>
                  <w:r>
                    <w:rPr>
                      <w:rFonts w:hint="default" w:cs="Times New Roman"/>
                      <w:sz w:val="21"/>
                      <w:szCs w:val="21"/>
                      <w:highlight w:val="none"/>
                      <w:vertAlign w:val="subscript"/>
                    </w:rPr>
                    <w:t>2</w:t>
                  </w:r>
                </w:p>
              </w:tc>
              <w:tc>
                <w:tcPr>
                  <w:tcW w:w="750"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40</w:t>
                  </w:r>
                </w:p>
              </w:tc>
              <w:tc>
                <w:tcPr>
                  <w:tcW w:w="79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80</w:t>
                  </w:r>
                </w:p>
              </w:tc>
              <w:tc>
                <w:tcPr>
                  <w:tcW w:w="82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200</w:t>
                  </w:r>
                </w:p>
              </w:tc>
              <w:tc>
                <w:tcPr>
                  <w:tcW w:w="1082"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cs="Times New Roman"/>
                      <w:sz w:val="21"/>
                      <w:szCs w:val="21"/>
                      <w:highlight w:val="none"/>
                      <w:lang w:val="en-US" w:eastAsia="zh-CN"/>
                    </w:rPr>
                  </w:pPr>
                  <w:r>
                    <w:rPr>
                      <w:rFonts w:hint="eastAsia" w:cs="Times New Roman"/>
                      <w:sz w:val="21"/>
                      <w:szCs w:val="21"/>
                      <w:highlight w:val="none"/>
                      <w:lang w:val="en-US" w:eastAsia="zh-CN"/>
                    </w:rPr>
                    <w:t>/</w:t>
                  </w:r>
                </w:p>
              </w:tc>
              <w:tc>
                <w:tcPr>
                  <w:tcW w:w="982" w:type="dxa"/>
                  <w:vMerge w:val="continue"/>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cs="Times New Roman"/>
                      <w:sz w:val="21"/>
                      <w:szCs w:val="21"/>
                      <w:highlight w:val="none"/>
                    </w:rPr>
                  </w:pPr>
                </w:p>
              </w:tc>
              <w:tc>
                <w:tcPr>
                  <w:tcW w:w="2198" w:type="dxa"/>
                  <w:vMerge w:val="continue"/>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cs="Times New Roman"/>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8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CO</w:t>
                  </w:r>
                </w:p>
              </w:tc>
              <w:tc>
                <w:tcPr>
                  <w:tcW w:w="750" w:type="dxa"/>
                  <w:tcBorders>
                    <w:tl2br w:val="nil"/>
                    <w:tr2bl w:val="nil"/>
                  </w:tcBorders>
                  <w:vAlign w:val="center"/>
                </w:tcPr>
                <w:p>
                  <w:pPr>
                    <w:keepNext w:val="0"/>
                    <w:keepLines w:val="0"/>
                    <w:suppressLineNumbers w:val="0"/>
                    <w:tabs>
                      <w:tab w:val="left" w:pos="720"/>
                    </w:tabs>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w:t>
                  </w:r>
                </w:p>
              </w:tc>
              <w:tc>
                <w:tcPr>
                  <w:tcW w:w="79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4</w:t>
                  </w:r>
                </w:p>
              </w:tc>
              <w:tc>
                <w:tcPr>
                  <w:tcW w:w="82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10</w:t>
                  </w:r>
                </w:p>
              </w:tc>
              <w:tc>
                <w:tcPr>
                  <w:tcW w:w="1082"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cs="Times New Roman"/>
                      <w:sz w:val="21"/>
                      <w:szCs w:val="21"/>
                      <w:highlight w:val="none"/>
                      <w:lang w:val="en-US" w:eastAsia="zh-CN"/>
                    </w:rPr>
                  </w:pPr>
                  <w:r>
                    <w:rPr>
                      <w:rFonts w:hint="eastAsia" w:cs="Times New Roman"/>
                      <w:sz w:val="21"/>
                      <w:szCs w:val="21"/>
                      <w:highlight w:val="none"/>
                      <w:lang w:val="en-US" w:eastAsia="zh-CN"/>
                    </w:rPr>
                    <w:t>/</w:t>
                  </w:r>
                </w:p>
              </w:tc>
              <w:tc>
                <w:tcPr>
                  <w:tcW w:w="982" w:type="dxa"/>
                  <w:vMerge w:val="continue"/>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cs="Times New Roman"/>
                      <w:sz w:val="21"/>
                      <w:szCs w:val="21"/>
                      <w:highlight w:val="none"/>
                    </w:rPr>
                  </w:pPr>
                </w:p>
              </w:tc>
              <w:tc>
                <w:tcPr>
                  <w:tcW w:w="2198" w:type="dxa"/>
                  <w:vMerge w:val="continue"/>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cs="Times New Roman"/>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8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O</w:t>
                  </w:r>
                  <w:r>
                    <w:rPr>
                      <w:rFonts w:hint="default" w:cs="Times New Roman"/>
                      <w:sz w:val="21"/>
                      <w:szCs w:val="21"/>
                      <w:highlight w:val="none"/>
                      <w:vertAlign w:val="subscript"/>
                    </w:rPr>
                    <w:t>3</w:t>
                  </w:r>
                </w:p>
              </w:tc>
              <w:tc>
                <w:tcPr>
                  <w:tcW w:w="750"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w:t>
                  </w:r>
                </w:p>
              </w:tc>
              <w:tc>
                <w:tcPr>
                  <w:tcW w:w="79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val="en-US" w:eastAsia="zh-CN"/>
                    </w:rPr>
                    <w:t>/</w:t>
                  </w:r>
                </w:p>
              </w:tc>
              <w:tc>
                <w:tcPr>
                  <w:tcW w:w="82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200</w:t>
                  </w:r>
                </w:p>
              </w:tc>
              <w:tc>
                <w:tcPr>
                  <w:tcW w:w="1082"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160</w:t>
                  </w:r>
                </w:p>
              </w:tc>
              <w:tc>
                <w:tcPr>
                  <w:tcW w:w="982" w:type="dxa"/>
                  <w:vMerge w:val="continue"/>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cs="Times New Roman"/>
                      <w:sz w:val="21"/>
                      <w:szCs w:val="21"/>
                      <w:highlight w:val="none"/>
                    </w:rPr>
                  </w:pPr>
                </w:p>
              </w:tc>
              <w:tc>
                <w:tcPr>
                  <w:tcW w:w="2198" w:type="dxa"/>
                  <w:vMerge w:val="continue"/>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cs="Times New Roman"/>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8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PM</w:t>
                  </w:r>
                  <w:r>
                    <w:rPr>
                      <w:rFonts w:hint="default" w:cs="Times New Roman"/>
                      <w:sz w:val="21"/>
                      <w:szCs w:val="21"/>
                      <w:highlight w:val="none"/>
                      <w:vertAlign w:val="subscript"/>
                    </w:rPr>
                    <w:t>10</w:t>
                  </w:r>
                </w:p>
              </w:tc>
              <w:tc>
                <w:tcPr>
                  <w:tcW w:w="750"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70</w:t>
                  </w:r>
                </w:p>
              </w:tc>
              <w:tc>
                <w:tcPr>
                  <w:tcW w:w="79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150</w:t>
                  </w:r>
                </w:p>
              </w:tc>
              <w:tc>
                <w:tcPr>
                  <w:tcW w:w="82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w:t>
                  </w:r>
                </w:p>
              </w:tc>
              <w:tc>
                <w:tcPr>
                  <w:tcW w:w="1082"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cs="Times New Roman"/>
                      <w:sz w:val="21"/>
                      <w:szCs w:val="21"/>
                      <w:highlight w:val="none"/>
                      <w:lang w:val="en-US" w:eastAsia="zh-CN"/>
                    </w:rPr>
                  </w:pPr>
                  <w:r>
                    <w:rPr>
                      <w:rFonts w:hint="eastAsia" w:cs="Times New Roman"/>
                      <w:sz w:val="21"/>
                      <w:szCs w:val="21"/>
                      <w:highlight w:val="none"/>
                      <w:lang w:val="en-US" w:eastAsia="zh-CN"/>
                    </w:rPr>
                    <w:t>/</w:t>
                  </w:r>
                </w:p>
              </w:tc>
              <w:tc>
                <w:tcPr>
                  <w:tcW w:w="982" w:type="dxa"/>
                  <w:vMerge w:val="continue"/>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cs="Times New Roman"/>
                      <w:sz w:val="21"/>
                      <w:szCs w:val="21"/>
                      <w:highlight w:val="none"/>
                    </w:rPr>
                  </w:pPr>
                </w:p>
              </w:tc>
              <w:tc>
                <w:tcPr>
                  <w:tcW w:w="2198" w:type="dxa"/>
                  <w:vMerge w:val="continue"/>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cs="Times New Roman"/>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8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PM</w:t>
                  </w:r>
                  <w:r>
                    <w:rPr>
                      <w:rFonts w:hint="default" w:cs="Times New Roman"/>
                      <w:sz w:val="21"/>
                      <w:szCs w:val="21"/>
                      <w:highlight w:val="none"/>
                      <w:vertAlign w:val="subscript"/>
                    </w:rPr>
                    <w:t>2.5</w:t>
                  </w:r>
                </w:p>
              </w:tc>
              <w:tc>
                <w:tcPr>
                  <w:tcW w:w="750"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35</w:t>
                  </w:r>
                </w:p>
              </w:tc>
              <w:tc>
                <w:tcPr>
                  <w:tcW w:w="79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75</w:t>
                  </w:r>
                </w:p>
              </w:tc>
              <w:tc>
                <w:tcPr>
                  <w:tcW w:w="82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w:t>
                  </w:r>
                </w:p>
              </w:tc>
              <w:tc>
                <w:tcPr>
                  <w:tcW w:w="1082"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cs="Times New Roman"/>
                      <w:sz w:val="21"/>
                      <w:szCs w:val="21"/>
                      <w:highlight w:val="none"/>
                      <w:lang w:val="en-US" w:eastAsia="zh-CN"/>
                    </w:rPr>
                  </w:pPr>
                  <w:r>
                    <w:rPr>
                      <w:rFonts w:hint="eastAsia" w:cs="Times New Roman"/>
                      <w:sz w:val="21"/>
                      <w:szCs w:val="21"/>
                      <w:highlight w:val="none"/>
                      <w:lang w:val="en-US" w:eastAsia="zh-CN"/>
                    </w:rPr>
                    <w:t>/</w:t>
                  </w:r>
                </w:p>
              </w:tc>
              <w:tc>
                <w:tcPr>
                  <w:tcW w:w="982" w:type="dxa"/>
                  <w:vMerge w:val="continue"/>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cs="Times New Roman"/>
                      <w:sz w:val="21"/>
                      <w:szCs w:val="21"/>
                      <w:highlight w:val="none"/>
                    </w:rPr>
                  </w:pPr>
                </w:p>
              </w:tc>
              <w:tc>
                <w:tcPr>
                  <w:tcW w:w="2198" w:type="dxa"/>
                  <w:vMerge w:val="continue"/>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cs="Times New Roman"/>
                      <w:sz w:val="21"/>
                      <w:szCs w:val="21"/>
                      <w:highlight w:val="none"/>
                    </w:rPr>
                  </w:pP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0" w:firstLineChars="0"/>
              <w:textAlignment w:val="auto"/>
              <w:rPr>
                <w:rFonts w:hint="eastAsia" w:cs="Times New Roman"/>
                <w:b/>
                <w:kern w:val="0"/>
                <w:highlight w:val="none"/>
                <w:lang w:val="en-US" w:eastAsia="zh-CN"/>
              </w:rPr>
            </w:pPr>
            <w:r>
              <w:rPr>
                <w:rFonts w:hint="eastAsia" w:cs="Times New Roman"/>
                <w:b/>
                <w:kern w:val="0"/>
                <w:highlight w:val="none"/>
                <w:lang w:val="en-US" w:eastAsia="zh-CN"/>
              </w:rPr>
              <w:t>2、声环境质量标准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0" w:firstLineChars="20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本项目声环境质量标准遵循</w:t>
            </w:r>
            <w:r>
              <w:rPr>
                <w:rFonts w:hint="eastAsia" w:ascii="Times New Roman" w:hAnsi="Times New Roman" w:eastAsia="宋体" w:cs="Times New Roman"/>
                <w:color w:val="auto"/>
                <w:kern w:val="0"/>
                <w:sz w:val="24"/>
                <w:highlight w:val="none"/>
              </w:rPr>
              <w:t>《声环境质量标准》（GB30192-2008）中的</w:t>
            </w:r>
            <w:r>
              <w:rPr>
                <w:rFonts w:hint="eastAsia" w:cs="Times New Roman"/>
                <w:color w:val="auto"/>
                <w:kern w:val="0"/>
                <w:sz w:val="24"/>
                <w:highlight w:val="none"/>
                <w:lang w:val="en-US" w:eastAsia="zh-CN"/>
              </w:rPr>
              <w:t>1</w:t>
            </w:r>
            <w:r>
              <w:rPr>
                <w:rFonts w:hint="eastAsia" w:ascii="Times New Roman" w:hAnsi="Times New Roman" w:eastAsia="宋体" w:cs="Times New Roman"/>
                <w:color w:val="auto"/>
                <w:kern w:val="0"/>
                <w:sz w:val="24"/>
                <w:highlight w:val="none"/>
              </w:rPr>
              <w:t>类标准</w:t>
            </w:r>
            <w:r>
              <w:rPr>
                <w:rFonts w:hint="eastAsia" w:cs="Times New Roman"/>
                <w:color w:val="auto"/>
                <w:kern w:val="0"/>
                <w:sz w:val="24"/>
                <w:highlight w:val="none"/>
                <w:lang w:eastAsia="zh-CN"/>
              </w:rPr>
              <w:t>，见下表。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0" w:firstLineChars="0"/>
              <w:jc w:val="center"/>
              <w:textAlignment w:val="auto"/>
              <w:rPr>
                <w:rFonts w:hint="default" w:ascii="Times New Roman" w:hAnsi="Times New Roman" w:eastAsia="宋体" w:cs="Times New Roman"/>
                <w:b/>
                <w:bCs/>
                <w:kern w:val="0"/>
                <w:highlight w:val="none"/>
              </w:rPr>
            </w:pPr>
            <w:r>
              <w:rPr>
                <w:rFonts w:hint="default" w:ascii="Times New Roman" w:hAnsi="Times New Roman" w:eastAsia="宋体" w:cs="Times New Roman"/>
                <w:b/>
                <w:bCs/>
                <w:kern w:val="0"/>
                <w:highlight w:val="none"/>
                <w:lang w:eastAsia="zh-CN"/>
              </w:rPr>
              <w:t>表</w:t>
            </w:r>
            <w:r>
              <w:rPr>
                <w:rFonts w:hint="default" w:ascii="Times New Roman" w:hAnsi="Times New Roman" w:eastAsia="宋体" w:cs="Times New Roman"/>
                <w:b/>
                <w:bCs/>
                <w:kern w:val="0"/>
                <w:highlight w:val="none"/>
                <w:lang w:val="en-US" w:eastAsia="zh-CN"/>
              </w:rPr>
              <w:t>3-</w:t>
            </w:r>
            <w:r>
              <w:rPr>
                <w:rFonts w:hint="eastAsia" w:cs="Times New Roman"/>
                <w:b/>
                <w:bCs/>
                <w:kern w:val="0"/>
                <w:highlight w:val="none"/>
                <w:lang w:val="en-US" w:eastAsia="zh-CN"/>
              </w:rPr>
              <w:t>8</w:t>
            </w:r>
            <w:r>
              <w:rPr>
                <w:rFonts w:hint="default" w:ascii="Times New Roman" w:hAnsi="Times New Roman" w:eastAsia="宋体" w:cs="Times New Roman"/>
                <w:b/>
                <w:bCs/>
                <w:kern w:val="0"/>
                <w:highlight w:val="none"/>
              </w:rPr>
              <w:t>《声环境质量标准》（GB30192-2008）中的</w:t>
            </w:r>
            <w:r>
              <w:rPr>
                <w:rFonts w:hint="eastAsia" w:cs="Times New Roman"/>
                <w:b/>
                <w:bCs/>
                <w:kern w:val="0"/>
                <w:highlight w:val="none"/>
                <w:lang w:val="en-US" w:eastAsia="zh-CN"/>
              </w:rPr>
              <w:t>1</w:t>
            </w:r>
            <w:r>
              <w:rPr>
                <w:rFonts w:hint="default" w:ascii="Times New Roman" w:hAnsi="Times New Roman" w:eastAsia="宋体" w:cs="Times New Roman"/>
                <w:b/>
                <w:bCs/>
                <w:kern w:val="0"/>
                <w:highlight w:val="none"/>
              </w:rPr>
              <w:t>类标准</w:t>
            </w:r>
          </w:p>
          <w:tbl>
            <w:tblPr>
              <w:tblStyle w:val="21"/>
              <w:tblW w:w="793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57"/>
              <w:gridCol w:w="3167"/>
              <w:gridCol w:w="32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1557"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b/>
                      <w:sz w:val="21"/>
                      <w:szCs w:val="21"/>
                      <w:highlight w:val="none"/>
                    </w:rPr>
                  </w:pPr>
                  <w:r>
                    <w:rPr>
                      <w:rFonts w:hint="default" w:cs="Times New Roman"/>
                      <w:b/>
                      <w:sz w:val="21"/>
                      <w:szCs w:val="21"/>
                      <w:highlight w:val="none"/>
                    </w:rPr>
                    <w:t>类别</w:t>
                  </w:r>
                </w:p>
              </w:tc>
              <w:tc>
                <w:tcPr>
                  <w:tcW w:w="3167"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b/>
                      <w:sz w:val="21"/>
                      <w:szCs w:val="21"/>
                      <w:highlight w:val="none"/>
                    </w:rPr>
                  </w:pPr>
                  <w:r>
                    <w:rPr>
                      <w:rFonts w:hint="default" w:cs="Times New Roman"/>
                      <w:b/>
                      <w:sz w:val="21"/>
                      <w:szCs w:val="21"/>
                      <w:highlight w:val="none"/>
                    </w:rPr>
                    <w:t>昼间</w:t>
                  </w:r>
                  <w:r>
                    <w:rPr>
                      <w:rFonts w:hint="default" w:cs="Times New Roman"/>
                      <w:bCs/>
                      <w:sz w:val="21"/>
                      <w:szCs w:val="21"/>
                      <w:highlight w:val="none"/>
                    </w:rPr>
                    <w:t>dB(A)</w:t>
                  </w:r>
                </w:p>
              </w:tc>
              <w:tc>
                <w:tcPr>
                  <w:tcW w:w="321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b/>
                      <w:sz w:val="21"/>
                      <w:szCs w:val="21"/>
                      <w:highlight w:val="none"/>
                    </w:rPr>
                  </w:pPr>
                  <w:r>
                    <w:rPr>
                      <w:rFonts w:hint="default" w:cs="Times New Roman"/>
                      <w:b/>
                      <w:sz w:val="21"/>
                      <w:szCs w:val="21"/>
                      <w:highlight w:val="none"/>
                    </w:rPr>
                    <w:t>夜间</w:t>
                  </w:r>
                  <w:r>
                    <w:rPr>
                      <w:rFonts w:hint="default" w:cs="Times New Roman"/>
                      <w:bCs/>
                      <w:sz w:val="21"/>
                      <w:szCs w:val="21"/>
                      <w:highlight w:val="none"/>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7"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bCs/>
                      <w:sz w:val="21"/>
                      <w:szCs w:val="21"/>
                      <w:highlight w:val="none"/>
                    </w:rPr>
                  </w:pPr>
                  <w:r>
                    <w:rPr>
                      <w:rFonts w:hint="eastAsia" w:cs="Times New Roman"/>
                      <w:bCs/>
                      <w:sz w:val="21"/>
                      <w:szCs w:val="21"/>
                      <w:highlight w:val="none"/>
                      <w:lang w:val="en-US" w:eastAsia="zh-CN"/>
                    </w:rPr>
                    <w:t>1</w:t>
                  </w:r>
                  <w:r>
                    <w:rPr>
                      <w:rFonts w:hint="default" w:cs="Times New Roman"/>
                      <w:bCs/>
                      <w:sz w:val="21"/>
                      <w:szCs w:val="21"/>
                      <w:highlight w:val="none"/>
                    </w:rPr>
                    <w:t>类</w:t>
                  </w:r>
                </w:p>
              </w:tc>
              <w:tc>
                <w:tcPr>
                  <w:tcW w:w="3167"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宋体" w:cs="Times New Roman"/>
                      <w:bCs/>
                      <w:sz w:val="21"/>
                      <w:szCs w:val="21"/>
                      <w:highlight w:val="none"/>
                      <w:lang w:val="en-US" w:eastAsia="zh-CN"/>
                    </w:rPr>
                  </w:pPr>
                  <w:r>
                    <w:rPr>
                      <w:rFonts w:hint="eastAsia" w:cs="Times New Roman"/>
                      <w:bCs/>
                      <w:sz w:val="21"/>
                      <w:szCs w:val="21"/>
                      <w:highlight w:val="none"/>
                      <w:lang w:val="en-US" w:eastAsia="zh-CN"/>
                    </w:rPr>
                    <w:t>55</w:t>
                  </w:r>
                </w:p>
              </w:tc>
              <w:tc>
                <w:tcPr>
                  <w:tcW w:w="321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宋体" w:cs="Times New Roman"/>
                      <w:bCs/>
                      <w:sz w:val="21"/>
                      <w:szCs w:val="21"/>
                      <w:highlight w:val="none"/>
                      <w:lang w:val="en-US" w:eastAsia="zh-CN"/>
                    </w:rPr>
                  </w:pPr>
                  <w:r>
                    <w:rPr>
                      <w:rFonts w:hint="eastAsia" w:cs="Times New Roman"/>
                      <w:bCs/>
                      <w:sz w:val="21"/>
                      <w:szCs w:val="21"/>
                      <w:highlight w:val="none"/>
                      <w:lang w:val="en-US" w:eastAsia="zh-CN"/>
                    </w:rPr>
                    <w:t>45</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leftChars="0" w:right="0" w:firstLine="0" w:firstLineChars="0"/>
              <w:jc w:val="left"/>
              <w:textAlignment w:val="auto"/>
              <w:rPr>
                <w:rFonts w:hint="eastAsia" w:ascii="Times New Roman" w:hAnsi="Times New Roman" w:eastAsia="宋体" w:cs="Times New Roman"/>
                <w:b/>
                <w:bCs/>
                <w:color w:val="auto"/>
                <w:kern w:val="0"/>
                <w:sz w:val="24"/>
                <w:highlight w:val="none"/>
                <w:lang w:eastAsia="zh-CN"/>
              </w:rPr>
            </w:pPr>
            <w:r>
              <w:rPr>
                <w:rFonts w:hint="eastAsia" w:ascii="Times New Roman" w:hAnsi="Times New Roman" w:eastAsia="宋体" w:cs="Times New Roman"/>
                <w:b/>
                <w:bCs/>
                <w:color w:val="auto"/>
                <w:kern w:val="0"/>
                <w:sz w:val="24"/>
                <w:highlight w:val="none"/>
                <w:lang w:val="en-US" w:eastAsia="zh-CN"/>
              </w:rPr>
              <w:t>3</w:t>
            </w:r>
            <w:r>
              <w:rPr>
                <w:rFonts w:hint="eastAsia" w:ascii="Times New Roman" w:hAnsi="Times New Roman" w:eastAsia="宋体" w:cs="Times New Roman"/>
                <w:b/>
                <w:bCs/>
                <w:color w:val="auto"/>
                <w:kern w:val="0"/>
                <w:sz w:val="24"/>
                <w:highlight w:val="none"/>
                <w:lang w:eastAsia="zh-CN"/>
              </w:rPr>
              <w:t>、污染物排放标准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0" w:firstLineChars="20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⑴</w:t>
            </w:r>
            <w:r>
              <w:rPr>
                <w:rFonts w:hint="eastAsia" w:cs="Times New Roman"/>
                <w:color w:val="auto"/>
                <w:kern w:val="0"/>
                <w:sz w:val="24"/>
                <w:highlight w:val="none"/>
                <w:lang w:eastAsia="zh-CN"/>
              </w:rPr>
              <w:t>大气污染物排放标准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0" w:firstLineChars="20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本项目施工期大气污染物排放标准执行《大气污染物综合排放标准》（GB16297-1996）表2无组织排放限值</w:t>
            </w:r>
            <w:r>
              <w:rPr>
                <w:rFonts w:hint="eastAsia" w:cs="Times New Roman"/>
                <w:color w:val="auto"/>
                <w:kern w:val="0"/>
                <w:sz w:val="24"/>
                <w:highlight w:val="none"/>
                <w:lang w:eastAsia="zh-CN"/>
              </w:rPr>
              <w:t>，见下表。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0" w:firstLineChars="0"/>
              <w:textAlignment w:val="auto"/>
              <w:rPr>
                <w:rFonts w:hint="default" w:ascii="Times New Roman" w:hAnsi="Times New Roman" w:eastAsia="宋体" w:cs="Times New Roman"/>
                <w:b/>
                <w:bCs/>
                <w:kern w:val="0"/>
                <w:highlight w:val="none"/>
              </w:rPr>
            </w:pPr>
            <w:r>
              <w:rPr>
                <w:rFonts w:hint="default" w:ascii="Times New Roman" w:hAnsi="Times New Roman" w:eastAsia="宋体" w:cs="Times New Roman"/>
                <w:b/>
                <w:bCs/>
                <w:kern w:val="0"/>
                <w:highlight w:val="none"/>
                <w:lang w:val="en-US" w:eastAsia="zh-CN"/>
              </w:rPr>
              <w:t>表3-</w:t>
            </w:r>
            <w:r>
              <w:rPr>
                <w:rFonts w:hint="eastAsia" w:cs="Times New Roman"/>
                <w:b/>
                <w:bCs/>
                <w:kern w:val="0"/>
                <w:highlight w:val="none"/>
                <w:lang w:val="en-US" w:eastAsia="zh-CN"/>
              </w:rPr>
              <w:t>9</w:t>
            </w:r>
            <w:r>
              <w:rPr>
                <w:rFonts w:hint="default" w:ascii="Times New Roman" w:hAnsi="Times New Roman" w:eastAsia="宋体" w:cs="Times New Roman"/>
                <w:b/>
                <w:bCs/>
                <w:kern w:val="0"/>
                <w:highlight w:val="none"/>
                <w:lang w:val="en-US" w:eastAsia="zh-CN"/>
              </w:rPr>
              <w:t xml:space="preserve"> </w:t>
            </w:r>
            <w:r>
              <w:rPr>
                <w:rFonts w:hint="default" w:ascii="Times New Roman" w:hAnsi="Times New Roman" w:eastAsia="宋体" w:cs="Times New Roman"/>
                <w:b/>
                <w:bCs/>
                <w:kern w:val="0"/>
                <w:highlight w:val="none"/>
              </w:rPr>
              <w:t>《大气污染物综合排放标准》（GB16297-1996）表2无组织排放限值</w:t>
            </w:r>
          </w:p>
          <w:tbl>
            <w:tblPr>
              <w:tblStyle w:val="21"/>
              <w:tblW w:w="810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66"/>
              <w:gridCol w:w="3142"/>
              <w:gridCol w:w="27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9" w:hRule="atLeast"/>
                <w:jc w:val="center"/>
              </w:trPr>
              <w:tc>
                <w:tcPr>
                  <w:tcW w:w="2166"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sz w:val="21"/>
                      <w:szCs w:val="21"/>
                      <w:highlight w:val="none"/>
                    </w:rPr>
                  </w:pPr>
                  <w:r>
                    <w:rPr>
                      <w:rFonts w:hint="default" w:cs="Times New Roman"/>
                      <w:b/>
                      <w:sz w:val="21"/>
                      <w:szCs w:val="21"/>
                      <w:highlight w:val="none"/>
                    </w:rPr>
                    <w:t>污染物</w:t>
                  </w:r>
                </w:p>
              </w:tc>
              <w:tc>
                <w:tcPr>
                  <w:tcW w:w="5941" w:type="dxa"/>
                  <w:gridSpan w:val="2"/>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sz w:val="21"/>
                      <w:szCs w:val="21"/>
                      <w:highlight w:val="none"/>
                    </w:rPr>
                  </w:pPr>
                  <w:r>
                    <w:rPr>
                      <w:rFonts w:hint="default" w:cs="Times New Roman"/>
                      <w:b/>
                      <w:sz w:val="21"/>
                      <w:szCs w:val="21"/>
                      <w:highlight w:val="none"/>
                    </w:rPr>
                    <w:t>无组织排放监控浓度值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0" w:hRule="atLeast"/>
                <w:jc w:val="center"/>
              </w:trPr>
              <w:tc>
                <w:tcPr>
                  <w:tcW w:w="2166" w:type="dxa"/>
                  <w:vMerge w:val="continue"/>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cs="Times New Roman"/>
                      <w:b/>
                      <w:sz w:val="21"/>
                      <w:szCs w:val="21"/>
                      <w:highlight w:val="none"/>
                    </w:rPr>
                  </w:pPr>
                </w:p>
              </w:tc>
              <w:tc>
                <w:tcPr>
                  <w:tcW w:w="3142"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sz w:val="21"/>
                      <w:szCs w:val="21"/>
                      <w:highlight w:val="none"/>
                    </w:rPr>
                  </w:pPr>
                  <w:r>
                    <w:rPr>
                      <w:rFonts w:hint="default" w:cs="Times New Roman"/>
                      <w:b/>
                      <w:sz w:val="21"/>
                      <w:szCs w:val="21"/>
                      <w:highlight w:val="none"/>
                    </w:rPr>
                    <w:t>监控点</w:t>
                  </w:r>
                </w:p>
              </w:tc>
              <w:tc>
                <w:tcPr>
                  <w:tcW w:w="279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sz w:val="21"/>
                      <w:szCs w:val="21"/>
                      <w:highlight w:val="none"/>
                    </w:rPr>
                  </w:pPr>
                  <w:r>
                    <w:rPr>
                      <w:rFonts w:hint="default" w:cs="Times New Roman"/>
                      <w:b/>
                      <w:sz w:val="21"/>
                      <w:szCs w:val="21"/>
                      <w:highlight w:val="none"/>
                    </w:rPr>
                    <w:t>浓度（mg/m</w:t>
                  </w:r>
                  <w:r>
                    <w:rPr>
                      <w:rFonts w:hint="default" w:cs="Times New Roman"/>
                      <w:b/>
                      <w:sz w:val="21"/>
                      <w:szCs w:val="21"/>
                      <w:highlight w:val="none"/>
                      <w:vertAlign w:val="superscript"/>
                    </w:rPr>
                    <w:t>3</w:t>
                  </w:r>
                  <w:r>
                    <w:rPr>
                      <w:rFonts w:hint="default" w:cs="Times New Roman"/>
                      <w:b/>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66"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颗粒物</w:t>
                  </w:r>
                </w:p>
              </w:tc>
              <w:tc>
                <w:tcPr>
                  <w:tcW w:w="3142"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周界外浓度最高点</w:t>
                  </w:r>
                </w:p>
              </w:tc>
              <w:tc>
                <w:tcPr>
                  <w:tcW w:w="279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1.0</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0" w:firstLineChars="200"/>
              <w:jc w:val="left"/>
              <w:textAlignment w:val="auto"/>
              <w:rPr>
                <w:rFonts w:hint="eastAsia" w:ascii="Times New Roman" w:hAnsi="Times New Roman" w:eastAsia="宋体" w:cs="Times New Roman"/>
                <w:color w:val="auto"/>
                <w:kern w:val="0"/>
                <w:sz w:val="24"/>
                <w:highlight w:val="none"/>
                <w:lang w:eastAsia="zh-CN"/>
              </w:rPr>
            </w:pPr>
            <w:r>
              <w:rPr>
                <w:rFonts w:hint="default" w:cs="Times New Roman"/>
                <w:kern w:val="0"/>
                <w:highlight w:val="none"/>
              </w:rPr>
              <w:t>⑵</w:t>
            </w:r>
            <w:r>
              <w:rPr>
                <w:rFonts w:hint="eastAsia" w:ascii="Times New Roman" w:hAnsi="Times New Roman" w:eastAsia="宋体" w:cs="Times New Roman"/>
                <w:color w:val="auto"/>
                <w:kern w:val="0"/>
                <w:sz w:val="24"/>
                <w:highlight w:val="none"/>
                <w:lang w:eastAsia="zh-CN"/>
              </w:rPr>
              <w:t>噪声排放标准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0" w:firstLineChars="20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本项目施工期</w:t>
            </w:r>
            <w:r>
              <w:rPr>
                <w:rFonts w:hint="eastAsia" w:cs="Times New Roman"/>
                <w:color w:val="auto"/>
                <w:kern w:val="0"/>
                <w:sz w:val="24"/>
                <w:highlight w:val="none"/>
                <w:lang w:eastAsia="zh-CN"/>
              </w:rPr>
              <w:t>厂界</w:t>
            </w:r>
            <w:r>
              <w:rPr>
                <w:rFonts w:hint="eastAsia" w:ascii="Times New Roman" w:hAnsi="Times New Roman" w:eastAsia="宋体" w:cs="Times New Roman"/>
                <w:color w:val="auto"/>
                <w:kern w:val="0"/>
                <w:sz w:val="24"/>
                <w:highlight w:val="none"/>
                <w:lang w:eastAsia="zh-CN"/>
              </w:rPr>
              <w:t>噪声排放标准执行《建筑施工场界环境噪声排放标准》（GB12523-2011），见下表。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0" w:firstLineChars="0"/>
              <w:jc w:val="center"/>
              <w:textAlignment w:val="auto"/>
              <w:rPr>
                <w:rFonts w:hint="default" w:ascii="Times New Roman" w:hAnsi="Times New Roman" w:eastAsia="宋体" w:cs="Times New Roman"/>
                <w:b/>
                <w:bCs/>
                <w:kern w:val="0"/>
                <w:highlight w:val="none"/>
              </w:rPr>
            </w:pPr>
            <w:r>
              <w:rPr>
                <w:rFonts w:hint="default" w:ascii="Times New Roman" w:hAnsi="Times New Roman" w:eastAsia="宋体" w:cs="Times New Roman"/>
                <w:b/>
                <w:bCs/>
                <w:kern w:val="0"/>
                <w:highlight w:val="none"/>
                <w:lang w:eastAsia="zh-CN"/>
              </w:rPr>
              <w:t>表</w:t>
            </w:r>
            <w:r>
              <w:rPr>
                <w:rFonts w:hint="default" w:ascii="Times New Roman" w:hAnsi="Times New Roman" w:eastAsia="宋体" w:cs="Times New Roman"/>
                <w:b/>
                <w:bCs/>
                <w:kern w:val="0"/>
                <w:highlight w:val="none"/>
                <w:lang w:val="en-US" w:eastAsia="zh-CN"/>
              </w:rPr>
              <w:t>3-</w:t>
            </w:r>
            <w:r>
              <w:rPr>
                <w:rFonts w:hint="eastAsia" w:cs="Times New Roman"/>
                <w:b/>
                <w:bCs/>
                <w:kern w:val="0"/>
                <w:highlight w:val="none"/>
                <w:lang w:val="en-US" w:eastAsia="zh-CN"/>
              </w:rPr>
              <w:t>10</w:t>
            </w:r>
            <w:r>
              <w:rPr>
                <w:rFonts w:hint="default" w:ascii="Times New Roman" w:hAnsi="Times New Roman" w:eastAsia="宋体" w:cs="Times New Roman"/>
                <w:b/>
                <w:bCs/>
                <w:kern w:val="0"/>
                <w:highlight w:val="none"/>
                <w:lang w:val="en-US" w:eastAsia="zh-CN"/>
              </w:rPr>
              <w:t xml:space="preserve"> </w:t>
            </w:r>
            <w:r>
              <w:rPr>
                <w:rFonts w:hint="default" w:ascii="Times New Roman" w:hAnsi="Times New Roman" w:eastAsia="宋体" w:cs="Times New Roman"/>
                <w:b/>
                <w:bCs/>
                <w:kern w:val="0"/>
                <w:highlight w:val="none"/>
              </w:rPr>
              <w:t>《建筑施工场界环境噪声排放标准》（GB12523-2011）</w:t>
            </w:r>
          </w:p>
          <w:tbl>
            <w:tblPr>
              <w:tblStyle w:val="21"/>
              <w:tblW w:w="810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65"/>
              <w:gridCol w:w="4149"/>
              <w:gridCol w:w="20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1865"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b/>
                      <w:sz w:val="21"/>
                      <w:szCs w:val="21"/>
                      <w:highlight w:val="none"/>
                    </w:rPr>
                  </w:pPr>
                  <w:r>
                    <w:rPr>
                      <w:rFonts w:hint="default" w:cs="Times New Roman"/>
                      <w:b/>
                      <w:sz w:val="21"/>
                      <w:szCs w:val="21"/>
                      <w:highlight w:val="none"/>
                    </w:rPr>
                    <w:t>施工阶段</w:t>
                  </w:r>
                </w:p>
              </w:tc>
              <w:tc>
                <w:tcPr>
                  <w:tcW w:w="6242" w:type="dxa"/>
                  <w:gridSpan w:val="2"/>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b/>
                      <w:sz w:val="21"/>
                      <w:szCs w:val="21"/>
                      <w:highlight w:val="none"/>
                    </w:rPr>
                  </w:pPr>
                  <w:r>
                    <w:rPr>
                      <w:rFonts w:hint="default" w:cs="Times New Roman"/>
                      <w:b/>
                      <w:sz w:val="21"/>
                      <w:szCs w:val="21"/>
                      <w:highlight w:val="none"/>
                    </w:rPr>
                    <w:t>噪声限值〔dB(A)〕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865" w:type="dxa"/>
                  <w:vMerge w:val="continue"/>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sz w:val="21"/>
                      <w:szCs w:val="21"/>
                      <w:highlight w:val="none"/>
                    </w:rPr>
                  </w:pPr>
                </w:p>
              </w:tc>
              <w:tc>
                <w:tcPr>
                  <w:tcW w:w="4149"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昼间70</w:t>
                  </w:r>
                </w:p>
              </w:tc>
              <w:tc>
                <w:tcPr>
                  <w:tcW w:w="209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sz w:val="21"/>
                      <w:szCs w:val="21"/>
                      <w:highlight w:val="none"/>
                    </w:rPr>
                  </w:pPr>
                  <w:r>
                    <w:rPr>
                      <w:rFonts w:hint="default" w:cs="Times New Roman"/>
                      <w:sz w:val="21"/>
                      <w:szCs w:val="21"/>
                      <w:highlight w:val="none"/>
                    </w:rPr>
                    <w:t>夜间55</w:t>
                  </w:r>
                </w:p>
              </w:tc>
            </w:tr>
          </w:tbl>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right="0"/>
              <w:jc w:val="left"/>
              <w:textAlignment w:val="auto"/>
              <w:rPr>
                <w:rFonts w:hint="eastAsia"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lang w:eastAsia="zh-CN"/>
              </w:rPr>
              <w:fldChar w:fldCharType="begin"/>
            </w:r>
            <w:r>
              <w:rPr>
                <w:rFonts w:hint="default" w:ascii="Times New Roman" w:hAnsi="Times New Roman" w:eastAsia="宋体" w:cs="Times New Roman"/>
                <w:color w:val="auto"/>
                <w:kern w:val="0"/>
                <w:sz w:val="24"/>
                <w:highlight w:val="none"/>
                <w:lang w:eastAsia="zh-CN"/>
              </w:rPr>
              <w:instrText xml:space="preserve"> = 3 \* GB2 \* MERGEFORMAT </w:instrText>
            </w:r>
            <w:r>
              <w:rPr>
                <w:rFonts w:hint="default" w:ascii="Times New Roman" w:hAnsi="Times New Roman" w:eastAsia="宋体" w:cs="Times New Roman"/>
                <w:color w:val="auto"/>
                <w:kern w:val="0"/>
                <w:sz w:val="24"/>
                <w:highlight w:val="none"/>
                <w:lang w:eastAsia="zh-CN"/>
              </w:rPr>
              <w:fldChar w:fldCharType="separate"/>
            </w:r>
            <w:r>
              <w:rPr>
                <w:rFonts w:hint="eastAsia" w:ascii="Times New Roman" w:hAnsi="Times New Roman" w:eastAsia="宋体" w:cs="Times New Roman"/>
                <w:color w:val="auto"/>
                <w:kern w:val="0"/>
                <w:sz w:val="24"/>
                <w:highlight w:val="none"/>
                <w:lang w:eastAsia="zh-CN"/>
              </w:rPr>
              <w:t>⑶</w:t>
            </w:r>
            <w:r>
              <w:rPr>
                <w:rFonts w:hint="default" w:ascii="Times New Roman" w:hAnsi="Times New Roman" w:eastAsia="宋体" w:cs="Times New Roman"/>
                <w:color w:val="auto"/>
                <w:kern w:val="0"/>
                <w:sz w:val="24"/>
                <w:highlight w:val="none"/>
                <w:lang w:eastAsia="zh-CN"/>
              </w:rPr>
              <w:fldChar w:fldCharType="end"/>
            </w:r>
            <w:r>
              <w:rPr>
                <w:rFonts w:hint="eastAsia" w:ascii="Times New Roman" w:hAnsi="Times New Roman" w:eastAsia="宋体" w:cs="Times New Roman"/>
                <w:color w:val="auto"/>
                <w:kern w:val="0"/>
                <w:sz w:val="24"/>
                <w:highlight w:val="none"/>
                <w:lang w:eastAsia="zh-CN"/>
              </w:rPr>
              <w:t>固体废弃物执行标准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right="0"/>
              <w:jc w:val="left"/>
              <w:textAlignment w:val="auto"/>
              <w:rPr>
                <w:rFonts w:hint="default" w:cs="Times New Roman"/>
                <w:color w:val="auto"/>
                <w:kern w:val="0"/>
                <w:sz w:val="24"/>
                <w:highlight w:val="none"/>
                <w:lang w:val="en-US" w:eastAsia="zh-CN"/>
              </w:rPr>
            </w:pPr>
            <w:r>
              <w:rPr>
                <w:rFonts w:hint="eastAsia" w:cs="Times New Roman"/>
                <w:color w:val="auto"/>
                <w:kern w:val="0"/>
                <w:sz w:val="24"/>
                <w:highlight w:val="none"/>
                <w:lang w:eastAsia="zh-CN"/>
              </w:rPr>
              <w:t>一般固废执行《一般工业固体废物储存和填埋污染控制标准》（</w:t>
            </w:r>
            <w:r>
              <w:rPr>
                <w:rFonts w:hint="eastAsia" w:cs="Times New Roman"/>
                <w:color w:val="auto"/>
                <w:kern w:val="0"/>
                <w:sz w:val="24"/>
                <w:highlight w:val="none"/>
                <w:lang w:val="en-US" w:eastAsia="zh-CN"/>
              </w:rPr>
              <w:t>GB18599-2020</w:t>
            </w:r>
            <w:r>
              <w:rPr>
                <w:rFonts w:hint="eastAsia" w:cs="Times New Roman"/>
                <w:color w:val="auto"/>
                <w:kern w:val="0"/>
                <w:sz w:val="24"/>
                <w:highlight w:val="none"/>
                <w:lang w:eastAsia="zh-CN"/>
              </w:rPr>
              <w:t>）中的相关规定</w:t>
            </w:r>
            <w:r>
              <w:rPr>
                <w:rFonts w:hint="eastAsia" w:cs="Times New Roman"/>
                <w:color w:val="auto"/>
                <w:kern w:val="0"/>
                <w:sz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firstLine="480" w:firstLineChars="200"/>
              <w:textAlignment w:val="auto"/>
              <w:rPr>
                <w:rFonts w:hint="eastAsia" w:ascii="Times New Roman" w:hAnsi="Times New Roman" w:eastAsia="宋体" w:cs="Times New Roman"/>
                <w:color w:val="auto"/>
                <w:kern w:val="0"/>
                <w:sz w:val="24"/>
                <w:highlight w:val="none"/>
                <w:lang w:eastAsia="zh-CN"/>
              </w:rPr>
            </w:pPr>
            <w:r>
              <w:rPr>
                <w:rFonts w:hint="eastAsia" w:cs="Times New Roman"/>
                <w:color w:val="auto"/>
                <w:kern w:val="0"/>
                <w:sz w:val="24"/>
                <w:highlight w:val="none"/>
                <w:lang w:val="en-US" w:eastAsia="zh-CN"/>
              </w:rPr>
              <w:t>根据《中华人民共和国固体废物污染环境防治法》第十六条规定：收集、贮存、运输、利用、处置固体废物的单位和个人，必须采取防扬散、防流失、防渗漏或者其他防止污染环境的措施。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786" w:hRule="atLeast"/>
          <w:jc w:val="center"/>
        </w:trPr>
        <w:tc>
          <w:tcPr>
            <w:tcW w:w="988" w:type="dxa"/>
            <w:tcBorders>
              <w:tl2br w:val="nil"/>
              <w:tr2bl w:val="nil"/>
            </w:tcBorders>
            <w:vAlign w:val="center"/>
          </w:tcPr>
          <w:p>
            <w:pPr>
              <w:keepNext w:val="0"/>
              <w:keepLines w:val="0"/>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其他</w:t>
            </w:r>
          </w:p>
        </w:tc>
        <w:tc>
          <w:tcPr>
            <w:tcW w:w="8026"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0" w:firstLineChars="0"/>
              <w:jc w:val="center"/>
              <w:textAlignment w:val="auto"/>
              <w:rPr>
                <w:rFonts w:hint="eastAsia" w:ascii="Times New Roman" w:hAnsi="Times New Roman" w:eastAsia="宋体" w:cs="Times New Roman"/>
                <w:color w:val="auto"/>
                <w:kern w:val="0"/>
                <w:sz w:val="24"/>
                <w:highlight w:val="none"/>
                <w:lang w:eastAsia="zh-CN"/>
              </w:rPr>
            </w:pPr>
            <w:r>
              <w:rPr>
                <w:rFonts w:hint="eastAsia" w:cs="Times New Roman"/>
                <w:color w:val="auto"/>
                <w:kern w:val="0"/>
                <w:sz w:val="24"/>
                <w:highlight w:val="none"/>
                <w:lang w:eastAsia="zh-CN"/>
              </w:rPr>
              <w:t>本项目为生态环境影响类建设项目，运营期无污染物排放，本项目不设置总量指标。</w:t>
            </w:r>
          </w:p>
        </w:tc>
      </w:tr>
    </w:tbl>
    <w:p>
      <w:pPr>
        <w:widowControl/>
        <w:spacing w:before="100" w:beforeAutospacing="1" w:after="100" w:afterAutospacing="1"/>
        <w:jc w:val="center"/>
        <w:outlineLvl w:val="0"/>
        <w:rPr>
          <w:rFonts w:hint="default" w:ascii="Times New Roman" w:hAnsi="Times New Roman" w:eastAsia="黑体" w:cs="Times New Roman"/>
          <w:snapToGrid w:val="0"/>
          <w:color w:val="auto"/>
          <w:kern w:val="0"/>
          <w:sz w:val="30"/>
          <w:szCs w:val="30"/>
          <w:lang w:val="en-US" w:eastAsia="zh-CN" w:bidi="ar-SA"/>
        </w:rPr>
      </w:pPr>
      <w:r>
        <w:rPr>
          <w:rFonts w:hint="default" w:ascii="Times New Roman" w:hAnsi="Times New Roman" w:eastAsia="宋体" w:cs="Times New Roman"/>
          <w:color w:val="0000FF"/>
          <w:kern w:val="0"/>
          <w:sz w:val="21"/>
          <w:szCs w:val="21"/>
          <w:lang w:val="en-US" w:eastAsia="zh-CN" w:bidi="ar-SA"/>
        </w:rPr>
        <w:br w:type="page"/>
      </w:r>
      <w:r>
        <w:rPr>
          <w:rFonts w:hint="default" w:ascii="Times New Roman" w:hAnsi="Times New Roman" w:eastAsia="黑体" w:cs="Times New Roman"/>
          <w:snapToGrid w:val="0"/>
          <w:color w:val="auto"/>
          <w:kern w:val="0"/>
          <w:sz w:val="30"/>
          <w:szCs w:val="30"/>
          <w:lang w:val="en-US" w:eastAsia="zh-CN" w:bidi="ar-SA"/>
        </w:rPr>
        <w:t>四、生态环境影响分析</w:t>
      </w:r>
    </w:p>
    <w:tbl>
      <w:tblPr>
        <w:tblStyle w:val="21"/>
        <w:tblW w:w="965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62"/>
        <w:gridCol w:w="4194"/>
        <w:gridCol w:w="45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06" w:hRule="atLeast"/>
          <w:jc w:val="center"/>
        </w:trPr>
        <w:tc>
          <w:tcPr>
            <w:tcW w:w="962"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0000FF"/>
                <w:kern w:val="2"/>
                <w:sz w:val="24"/>
                <w:szCs w:val="24"/>
                <w:lang w:val="en-US" w:eastAsia="zh-CN" w:bidi="ar-SA"/>
              </w:rPr>
            </w:pPr>
            <w:bookmarkStart w:id="18" w:name="_Hlk49796138"/>
            <w:r>
              <w:rPr>
                <w:rFonts w:hint="default" w:ascii="Times New Roman" w:hAnsi="Times New Roman" w:eastAsia="宋体" w:cs="Times New Roman"/>
                <w:b/>
                <w:bCs w:val="0"/>
                <w:color w:val="auto"/>
                <w:spacing w:val="10"/>
                <w:kern w:val="2"/>
                <w:sz w:val="24"/>
                <w:szCs w:val="24"/>
                <w:lang w:val="en-US" w:eastAsia="zh-CN" w:bidi="ar-SA"/>
              </w:rPr>
              <w:t>施工期生态环境影响分析</w:t>
            </w:r>
            <w:bookmarkEnd w:id="18"/>
          </w:p>
        </w:tc>
        <w:tc>
          <w:tcPr>
            <w:tcW w:w="8696" w:type="dxa"/>
            <w:gridSpan w:val="2"/>
            <w:tcBorders>
              <w:tl2br w:val="nil"/>
              <w:tr2bl w:val="nil"/>
            </w:tcBorders>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2" w:firstLineChars="200"/>
              <w:textAlignment w:val="auto"/>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1、生态环境影响分析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本次</w:t>
            </w:r>
            <w:r>
              <w:rPr>
                <w:rFonts w:hint="eastAsia" w:cs="Times New Roman"/>
                <w:color w:val="auto"/>
                <w:kern w:val="0"/>
                <w:sz w:val="24"/>
                <w:lang w:eastAsia="zh-CN"/>
              </w:rPr>
              <w:t>隆德县县城</w:t>
            </w:r>
            <w:r>
              <w:rPr>
                <w:rFonts w:hint="default" w:ascii="Times New Roman" w:hAnsi="Times New Roman" w:eastAsia="宋体" w:cs="Times New Roman"/>
                <w:color w:val="auto"/>
                <w:kern w:val="0"/>
                <w:sz w:val="24"/>
                <w:lang w:eastAsia="zh-CN"/>
              </w:rPr>
              <w:t>排</w:t>
            </w:r>
            <w:r>
              <w:rPr>
                <w:rFonts w:hint="eastAsia" w:cs="Times New Roman"/>
                <w:color w:val="auto"/>
                <w:kern w:val="0"/>
                <w:sz w:val="24"/>
                <w:lang w:eastAsia="zh-CN"/>
              </w:rPr>
              <w:t>水防</w:t>
            </w:r>
            <w:r>
              <w:rPr>
                <w:rFonts w:hint="default" w:ascii="Times New Roman" w:hAnsi="Times New Roman" w:eastAsia="宋体" w:cs="Times New Roman"/>
                <w:color w:val="auto"/>
                <w:kern w:val="0"/>
                <w:sz w:val="24"/>
                <w:lang w:eastAsia="zh-CN"/>
              </w:rPr>
              <w:t>涝能力提升工程</w:t>
            </w:r>
            <w:r>
              <w:rPr>
                <w:rFonts w:hint="default" w:ascii="Times New Roman" w:hAnsi="Times New Roman" w:eastAsia="宋体" w:cs="Times New Roman"/>
                <w:color w:val="auto"/>
                <w:kern w:val="0"/>
                <w:sz w:val="24"/>
              </w:rPr>
              <w:t>，主要是在已建防洪工程基础上，在确保防洪安全的情况下，结合当地的发展需要，提升城市排水防涝应急响应和处置能力，加强极端暴雨条件下城市排水防涝应急处置能力建设。</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项目采取分段施工，</w:t>
            </w:r>
            <w:r>
              <w:rPr>
                <w:rFonts w:hint="default" w:ascii="Times New Roman" w:hAnsi="Times New Roman" w:eastAsia="宋体" w:cs="Times New Roman"/>
                <w:color w:val="auto"/>
                <w:kern w:val="0"/>
                <w:sz w:val="24"/>
                <w:lang w:val="en-US" w:eastAsia="zh-CN"/>
              </w:rPr>
              <w:t>本工程安排在非汛期施工，但考虑降雨有可能引发洪水，对护岸工程及沿河台地土料场造成影响。因此，施工时必须考虑降雨及洪水对本工程造成的危害，及时做好天气预报，并合理安排施工措施。一旦出现洪水浸泡土料场后，待洪水退却后，将表层淤泥清理掉，料场开采用垂直开挖，将表层含水量高的土与下部含水量低的土充分混合，严禁水平开挖，含水率不满足设计要求的严禁作为填料土填筑。如垂直开挖含水率仍大于设计最优含水率的，则应对料场土料进行翻晒，直至满足设计最优含水率后才能进行填筑</w:t>
            </w:r>
            <w:r>
              <w:rPr>
                <w:rFonts w:hint="default" w:ascii="Times New Roman" w:hAnsi="Times New Roman" w:eastAsia="宋体" w:cs="Times New Roman"/>
                <w:color w:val="auto"/>
                <w:kern w:val="0"/>
                <w:sz w:val="24"/>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⑴生态环境现状</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根据现场调查，本项目工程周边主要为未利用地及</w:t>
            </w:r>
            <w:r>
              <w:rPr>
                <w:rFonts w:hint="default" w:ascii="Times New Roman" w:hAnsi="Times New Roman" w:eastAsia="宋体" w:cs="Times New Roman"/>
                <w:color w:val="auto"/>
                <w:kern w:val="0"/>
                <w:sz w:val="24"/>
                <w:lang w:eastAsia="zh-CN"/>
              </w:rPr>
              <w:t>河滩地</w:t>
            </w:r>
            <w:r>
              <w:rPr>
                <w:rFonts w:hint="default" w:ascii="Times New Roman" w:hAnsi="Times New Roman" w:eastAsia="宋体" w:cs="Times New Roman"/>
                <w:color w:val="auto"/>
                <w:kern w:val="0"/>
                <w:sz w:val="24"/>
              </w:rPr>
              <w:t>，对项目区域内的植物种类进行现场调查，本项目拟建场地无珍稀、濒危植物和国家重点保护植物。根据现场调查，本项目拟建场地无国家保护动物以及野生动物，主要兽类有鼠类，爬行类有沙蜥，两栖类有蟾蜍等常见种。</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⑵生态环境影响分析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造成的生态环境影响主要是工程施工期对地表植被的破坏，以及地表开挖造成的水土流失。但这些活动属于不连续的局部影响，在施工时做到科学管理，并结合项目建成后项目评价区内生态系统本身的调节和适应，整体上不会对项目拟建场地生态环境系统造成较大影响，随着人工湿地的建成运行，会增加本项目所在区域的生物多样性，对原有的生态环境系统起到改善和增加作用。本项目对生态环境的影响因素主要体现在以下几个方面：</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a.施工阶段造成</w:t>
            </w:r>
            <w:r>
              <w:rPr>
                <w:rFonts w:hint="default" w:ascii="Times New Roman" w:hAnsi="Times New Roman" w:eastAsia="宋体" w:cs="Times New Roman"/>
                <w:color w:val="auto"/>
                <w:kern w:val="0"/>
                <w:sz w:val="24"/>
                <w:lang w:val="en-US" w:eastAsia="zh-CN"/>
              </w:rPr>
              <w:t>护坡岸边</w:t>
            </w:r>
            <w:r>
              <w:rPr>
                <w:rFonts w:hint="default" w:ascii="Times New Roman" w:hAnsi="Times New Roman" w:eastAsia="宋体" w:cs="Times New Roman"/>
                <w:color w:val="auto"/>
                <w:kern w:val="0"/>
                <w:sz w:val="24"/>
              </w:rPr>
              <w:t>植被的破坏，减少了生物量。</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b.施工阶段占地对土地造成不同程度的扰动，扰动原地貌新增了当地的水土流失。</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c.施工阶段若对挖方、填方管理不善，在降雨季节，弃土堆受到雨水冲蚀，将造成水土流失。</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⑶动物生态环境影响分析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根据现场走访和调查情况，该范围内主要兽类有鼠类，爬行类主要有沙蜥；两栖类有蟾蜍等常见种。</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rPr>
              <w:t>在施工作业时会对动物造成惊扰，迫使项目区附近的动物迁徙，对动物的生存产生一定的影响。由于施工区环境与施工区以外的环境十分相似，施工区动物比较容易就近找到新的栖息地，同时，由于施工范围有限，项目的建设对动物影响的范围不大且影响时间较短。</w:t>
            </w:r>
            <w:r>
              <w:rPr>
                <w:rFonts w:hint="default" w:ascii="Times New Roman" w:hAnsi="Times New Roman" w:eastAsia="宋体" w:cs="Times New Roman"/>
                <w:color w:val="auto"/>
                <w:kern w:val="0"/>
                <w:sz w:val="24"/>
              </w:rPr>
              <w:t>施工期工程占地不会缩小动物的栖息空间，不影响动物的活动区域、迁徙途径和觅食范围。本项目的建设对于动物的影响是轻微的，其影响类型为暂时性影响。</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项目建成运行后，不会对区域动物生态环境造成影响。</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⑷自然景观生态环境影响</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本项目通过</w:t>
            </w:r>
            <w:r>
              <w:rPr>
                <w:rFonts w:hint="default" w:ascii="Times New Roman" w:hAnsi="Times New Roman" w:eastAsia="宋体" w:cs="Times New Roman"/>
                <w:bCs/>
                <w:color w:val="auto"/>
                <w:sz w:val="24"/>
              </w:rPr>
              <w:t>种植灌木林，增加流域植被面积，提高植被覆盖率，恢复自然岸线，</w:t>
            </w:r>
            <w:r>
              <w:rPr>
                <w:rFonts w:hint="default" w:ascii="Times New Roman" w:hAnsi="Times New Roman" w:eastAsia="宋体" w:cs="Times New Roman"/>
                <w:color w:val="auto"/>
                <w:kern w:val="0"/>
                <w:sz w:val="24"/>
              </w:rPr>
              <w:t>增添新的景观，对该区域原有的自然景观起到了改善作用。</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540" w:lineRule="exact"/>
              <w:ind w:left="0" w:leftChars="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⑸水土流失的影响分析</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随着施工作业的进行，施工机械的扰动，地表结皮被破坏，在大雨或大风情况下，易造成水土流失。</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leftChars="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根据</w:t>
            </w:r>
            <w:r>
              <w:rPr>
                <w:rFonts w:hint="eastAsia" w:cs="Times New Roman"/>
                <w:color w:val="auto"/>
                <w:kern w:val="2"/>
                <w:sz w:val="24"/>
                <w:szCs w:val="24"/>
                <w:lang w:val="en-US" w:eastAsia="zh-CN" w:bidi="ar-SA"/>
              </w:rPr>
              <w:t>分析</w:t>
            </w:r>
            <w:r>
              <w:rPr>
                <w:rFonts w:hint="default" w:ascii="Times New Roman" w:hAnsi="Times New Roman" w:eastAsia="宋体" w:cs="Times New Roman"/>
                <w:color w:val="auto"/>
                <w:kern w:val="2"/>
                <w:sz w:val="24"/>
                <w:szCs w:val="24"/>
                <w:lang w:val="en-US" w:eastAsia="zh-CN" w:bidi="ar-SA"/>
              </w:rPr>
              <w:t>预测结果可知：本项目扰动和损毁地表及植被面积为</w:t>
            </w:r>
            <w:r>
              <w:rPr>
                <w:rFonts w:hint="eastAsia" w:cs="Times New Roman"/>
                <w:color w:val="auto"/>
                <w:kern w:val="2"/>
                <w:sz w:val="24"/>
                <w:szCs w:val="24"/>
                <w:lang w:val="en-US" w:eastAsia="zh-CN" w:bidi="ar-SA"/>
              </w:rPr>
              <w:t>4.23</w:t>
            </w:r>
            <w:r>
              <w:rPr>
                <w:rFonts w:hint="default" w:ascii="Times New Roman" w:hAnsi="Times New Roman" w:eastAsia="宋体" w:cs="Times New Roman"/>
                <w:color w:val="auto"/>
                <w:kern w:val="2"/>
                <w:sz w:val="24"/>
                <w:szCs w:val="24"/>
                <w:lang w:val="en-US" w:eastAsia="zh-CN" w:bidi="ar-SA"/>
              </w:rPr>
              <w:t>m²。本项目原地貌土壤侵蚀总量为10</w:t>
            </w:r>
            <w:r>
              <w:rPr>
                <w:rFonts w:hint="eastAsia" w:cs="Times New Roman"/>
                <w:color w:val="auto"/>
                <w:kern w:val="2"/>
                <w:sz w:val="24"/>
                <w:szCs w:val="24"/>
                <w:lang w:val="en-US" w:eastAsia="zh-CN" w:bidi="ar-SA"/>
              </w:rPr>
              <w:t>8.56</w:t>
            </w:r>
            <w:r>
              <w:rPr>
                <w:rFonts w:hint="default" w:ascii="Times New Roman" w:hAnsi="Times New Roman" w:eastAsia="宋体" w:cs="Times New Roman"/>
                <w:color w:val="auto"/>
                <w:kern w:val="2"/>
                <w:sz w:val="24"/>
                <w:szCs w:val="24"/>
                <w:lang w:val="en-US" w:eastAsia="zh-CN" w:bidi="ar-SA"/>
              </w:rPr>
              <w:t>t，新增侵蚀总量</w:t>
            </w:r>
            <w:r>
              <w:rPr>
                <w:rFonts w:hint="eastAsia" w:cs="Times New Roman"/>
                <w:color w:val="auto"/>
                <w:kern w:val="2"/>
                <w:sz w:val="24"/>
                <w:szCs w:val="24"/>
                <w:lang w:val="en-US" w:eastAsia="zh-CN" w:bidi="ar-SA"/>
              </w:rPr>
              <w:t>67.58</w:t>
            </w:r>
            <w:r>
              <w:rPr>
                <w:rFonts w:hint="default" w:ascii="Times New Roman" w:hAnsi="Times New Roman" w:eastAsia="宋体" w:cs="Times New Roman"/>
                <w:color w:val="auto"/>
                <w:kern w:val="2"/>
                <w:sz w:val="24"/>
                <w:szCs w:val="24"/>
                <w:lang w:val="en-US" w:eastAsia="zh-CN" w:bidi="ar-SA"/>
              </w:rPr>
              <w:t>t，项目临时占地和绿化面积较多，完工后构建筑物占地较少，因此，本项目施工期仍然为水土流失防治和监测的重点时段。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leftChars="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施工期是造成新增水土流失的主要时段。在工程建设过程中，由于地表扰动，主体工程区是水土流失防治的重点地段，水力侵蚀是主要侵蚀类型。项目建设中对原地貌的扰动，会破坏植被，引发水土流失。若不进行有效治理，将加速土壤沙化，降低土地生产力，造成生态环境恶化。工程建设形成的扬沙、浮尘对周边人居环境也产生不利影响。</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2" w:firstLineChars="200"/>
              <w:textAlignment w:val="auto"/>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2、大气环境影响分析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本项目施工废气主要为施工扬尘</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机械运行产生的机械尾气。</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⑴施工扬尘</w:t>
            </w:r>
          </w:p>
          <w:p>
            <w:pPr>
              <w:keepNext w:val="0"/>
              <w:keepLines w:val="0"/>
              <w:pageBreakBefore w:val="0"/>
              <w:widowControl w:val="0"/>
              <w:suppressLineNumbers w:val="0"/>
              <w:kinsoku/>
              <w:wordWrap/>
              <w:overflowPunct/>
              <w:topLinePunct w:val="0"/>
              <w:bidi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施工作业面扬尘：施工作业面的裸露地面，在干燥天气，尤其是在大风时容易产生扬尘；开挖面、开挖场、推整点和利用料堆放场等施工作业面均会产生扬尘；扬尘产生量与作业面大小、施工机械、施工方法、天气状况及洒水频率等都有关系。工程区主要是土方开挖、临时料堆放等施工过程会产生粉尘。根据施工工程的调查资料，工程施工期间施工现场近地面粉尘浓度可达1.5～30mg/m</w:t>
            </w:r>
            <w:r>
              <w:rPr>
                <w:rFonts w:hint="default" w:ascii="Times New Roman" w:hAnsi="Times New Roman" w:eastAsia="宋体" w:cs="Times New Roman"/>
                <w:color w:val="auto"/>
                <w:kern w:val="0"/>
                <w:sz w:val="24"/>
                <w:vertAlign w:val="superscript"/>
              </w:rPr>
              <w:t>3</w:t>
            </w:r>
            <w:r>
              <w:rPr>
                <w:rFonts w:hint="default" w:ascii="Times New Roman" w:hAnsi="Times New Roman" w:eastAsia="宋体" w:cs="Times New Roman"/>
                <w:color w:val="auto"/>
                <w:kern w:val="0"/>
                <w:sz w:val="24"/>
              </w:rPr>
              <w:t>。施工中土石方开挖等产生的扬尘，基本上都是间歇式排放。一般只要定时洒水，施工作业面扬尘即可得到有效控制，对环境影响较小。</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交通运输扬尘：根据有关资料，施工过程中车辆行驶产生的扬尘约占施工总扬尘量的60%以上。一般情况车辆行驶产生的扬尘在同样路面清洁程度下，车速越快，扬尘量越大；而在同样车速下，路面条件越差扬尘量越大。工程交通运输扬尘的影响对象为现场施工人员。</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⑵机械尾气</w:t>
            </w:r>
          </w:p>
          <w:p>
            <w:pPr>
              <w:keepNext w:val="0"/>
              <w:keepLines w:val="0"/>
              <w:pageBreakBefore w:val="0"/>
              <w:widowControl w:val="0"/>
              <w:suppressLineNumbers w:val="0"/>
              <w:kinsoku/>
              <w:wordWrap/>
              <w:overflowPunct/>
              <w:topLinePunct w:val="0"/>
              <w:bidi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项目施工期间，使用液体燃料的施工机械及运输车辆排放的尾气中含有CO、NOx以及未完全燃烧的THC等，一般情况下，各种污染物的排放量不大。由于污染源较分散，且为流动性，影响是短期的、局部的，通过加强对施工机械和施工车辆的运行管理与维护保养，对环境空气影响小。</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2" w:firstLineChars="200"/>
              <w:textAlignment w:val="auto"/>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3、水环境影响分析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⑴施工废水环境影响</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施工期废水主要包括施工废水和施工人员的生活污水。</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①施工废水</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施工现场严禁进行机械、设备的维修工作。因此不产生含油机修废水。施工期间产生的废水主要为施工机械冲洗产生的废水等，主要污染物是SS。施工现场设置临时沉淀池，对施工废水进行沉淀处理。经沉淀处理后，回用于施工场地洒水降尘等，不外排。</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②生活污水</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cs="Times New Roman"/>
                <w:kern w:val="0"/>
              </w:rPr>
              <w:t>本项目施工人员为附近</w:t>
            </w:r>
            <w:r>
              <w:rPr>
                <w:rFonts w:hint="eastAsia" w:cs="Times New Roman"/>
                <w:kern w:val="0"/>
              </w:rPr>
              <w:t>居</w:t>
            </w:r>
            <w:r>
              <w:rPr>
                <w:rFonts w:hint="default" w:cs="Times New Roman"/>
                <w:kern w:val="0"/>
              </w:rPr>
              <w:t>民，不设住宿和食堂，生活污水主要污染物为BOD</w:t>
            </w:r>
            <w:r>
              <w:rPr>
                <w:rFonts w:hint="default" w:cs="Times New Roman"/>
                <w:kern w:val="0"/>
                <w:vertAlign w:val="subscript"/>
              </w:rPr>
              <w:t>5</w:t>
            </w:r>
            <w:r>
              <w:rPr>
                <w:rFonts w:hint="default" w:cs="Times New Roman"/>
                <w:kern w:val="0"/>
              </w:rPr>
              <w:t>、COD、氨氮和SS。生工程施工期应加强施工管理，加强施工人员的环保意识，禁止随意在</w:t>
            </w:r>
            <w:r>
              <w:rPr>
                <w:rFonts w:hint="eastAsia" w:cs="Times New Roman"/>
                <w:kern w:val="0"/>
              </w:rPr>
              <w:t>街道</w:t>
            </w:r>
            <w:r>
              <w:rPr>
                <w:rFonts w:hint="default" w:cs="Times New Roman"/>
                <w:kern w:val="0"/>
              </w:rPr>
              <w:t>倾倒废水及残渣废物。</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⑵工程对水环境影响分析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工程</w:t>
            </w:r>
            <w:r>
              <w:rPr>
                <w:rFonts w:hint="default" w:ascii="Times New Roman" w:hAnsi="Times New Roman" w:eastAsia="宋体" w:cs="Times New Roman"/>
                <w:color w:val="auto"/>
                <w:kern w:val="0"/>
                <w:sz w:val="24"/>
                <w:lang w:val="en-US" w:eastAsia="zh-CN"/>
              </w:rPr>
              <w:t>施工过程中</w:t>
            </w:r>
            <w:r>
              <w:rPr>
                <w:rFonts w:hint="default" w:ascii="Times New Roman" w:hAnsi="Times New Roman" w:eastAsia="宋体" w:cs="Times New Roman"/>
                <w:color w:val="auto"/>
                <w:kern w:val="0"/>
                <w:sz w:val="24"/>
              </w:rPr>
              <w:t>不可避免</w:t>
            </w:r>
            <w:r>
              <w:rPr>
                <w:rFonts w:hint="default" w:ascii="Times New Roman" w:hAnsi="Times New Roman" w:eastAsia="宋体" w:cs="Times New Roman"/>
                <w:color w:val="auto"/>
                <w:kern w:val="0"/>
                <w:sz w:val="24"/>
                <w:lang w:eastAsia="zh-CN"/>
              </w:rPr>
              <w:t>地</w:t>
            </w:r>
            <w:r>
              <w:rPr>
                <w:rFonts w:hint="default" w:ascii="Times New Roman" w:hAnsi="Times New Roman" w:eastAsia="宋体" w:cs="Times New Roman"/>
                <w:color w:val="auto"/>
                <w:kern w:val="0"/>
                <w:sz w:val="24"/>
              </w:rPr>
              <w:t>会导致河流中悬浮物暂时增加，但随着施工结束影响很快消失。工程产生水污染物途径主要有</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挖填土方作业时</w:t>
            </w:r>
            <w:r>
              <w:rPr>
                <w:rFonts w:hint="default" w:ascii="Times New Roman" w:hAnsi="Times New Roman" w:eastAsia="宋体" w:cs="Times New Roman"/>
                <w:color w:val="auto"/>
                <w:kern w:val="0"/>
                <w:sz w:val="24"/>
                <w:lang w:eastAsia="zh-CN"/>
              </w:rPr>
              <w:t>泥沙</w:t>
            </w:r>
            <w:r>
              <w:rPr>
                <w:rFonts w:hint="default" w:ascii="Times New Roman" w:hAnsi="Times New Roman" w:eastAsia="宋体" w:cs="Times New Roman"/>
                <w:color w:val="auto"/>
                <w:kern w:val="0"/>
                <w:sz w:val="24"/>
              </w:rPr>
              <w:t>流失进入河道，引起河水浑浊，大量细颗粒</w:t>
            </w:r>
            <w:r>
              <w:rPr>
                <w:rFonts w:hint="default" w:ascii="Times New Roman" w:hAnsi="Times New Roman" w:eastAsia="宋体" w:cs="Times New Roman"/>
                <w:color w:val="auto"/>
                <w:kern w:val="0"/>
                <w:sz w:val="24"/>
                <w:lang w:eastAsia="zh-CN"/>
              </w:rPr>
              <w:t>泥沙</w:t>
            </w:r>
            <w:r>
              <w:rPr>
                <w:rFonts w:hint="default" w:ascii="Times New Roman" w:hAnsi="Times New Roman" w:eastAsia="宋体" w:cs="Times New Roman"/>
                <w:color w:val="auto"/>
                <w:kern w:val="0"/>
                <w:sz w:val="24"/>
              </w:rPr>
              <w:t>悬浮于水中，水质将受到影响。</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w:t>
            </w:r>
            <w:r>
              <w:rPr>
                <w:rFonts w:hint="default" w:ascii="Times New Roman" w:hAnsi="Times New Roman" w:eastAsia="宋体" w:cs="Times New Roman"/>
                <w:color w:val="auto"/>
                <w:kern w:val="0"/>
                <w:sz w:val="24"/>
                <w:lang w:val="en-US" w:eastAsia="zh-CN"/>
              </w:rPr>
              <w:t>施工</w:t>
            </w:r>
            <w:r>
              <w:rPr>
                <w:rFonts w:hint="default" w:ascii="Times New Roman" w:hAnsi="Times New Roman" w:eastAsia="宋体" w:cs="Times New Roman"/>
                <w:color w:val="auto"/>
                <w:kern w:val="0"/>
                <w:sz w:val="24"/>
              </w:rPr>
              <w:t>过程主要清除</w:t>
            </w:r>
            <w:r>
              <w:rPr>
                <w:rFonts w:hint="eastAsia" w:cs="Times New Roman"/>
                <w:color w:val="auto"/>
                <w:kern w:val="0"/>
                <w:sz w:val="24"/>
                <w:lang w:eastAsia="zh-CN"/>
              </w:rPr>
              <w:t>排洪渠</w:t>
            </w:r>
            <w:r>
              <w:rPr>
                <w:rFonts w:hint="default" w:ascii="Times New Roman" w:hAnsi="Times New Roman" w:eastAsia="宋体" w:cs="Times New Roman"/>
                <w:color w:val="auto"/>
                <w:kern w:val="0"/>
                <w:sz w:val="24"/>
              </w:rPr>
              <w:t>中淤积的泥沙，施工引起的悬浮物均会在短时间内造成</w:t>
            </w:r>
            <w:r>
              <w:rPr>
                <w:rFonts w:hint="eastAsia" w:cs="Times New Roman"/>
                <w:color w:val="auto"/>
                <w:kern w:val="0"/>
                <w:sz w:val="24"/>
                <w:lang w:eastAsia="zh-CN"/>
              </w:rPr>
              <w:t>渠</w:t>
            </w:r>
            <w:r>
              <w:rPr>
                <w:rFonts w:hint="default" w:ascii="Times New Roman" w:hAnsi="Times New Roman" w:eastAsia="宋体" w:cs="Times New Roman"/>
                <w:color w:val="auto"/>
                <w:kern w:val="0"/>
                <w:sz w:val="24"/>
              </w:rPr>
              <w:t>水水质超标，对工程位置附近的水环境造成一定影响，但作业结束后，一般在2</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3个小时后，悬浮物便很快沉降下来。</w:t>
            </w:r>
            <w:r>
              <w:rPr>
                <w:rFonts w:hint="default" w:ascii="Times New Roman" w:hAnsi="Times New Roman" w:eastAsia="宋体" w:cs="Times New Roman"/>
                <w:color w:val="auto"/>
                <w:kern w:val="0"/>
                <w:sz w:val="24"/>
                <w:lang w:val="en-US" w:eastAsia="zh-CN"/>
              </w:rPr>
              <w:t>且</w:t>
            </w:r>
            <w:r>
              <w:rPr>
                <w:rFonts w:hint="default" w:ascii="Times New Roman" w:hAnsi="Times New Roman" w:eastAsia="宋体" w:cs="Times New Roman"/>
                <w:color w:val="auto"/>
                <w:kern w:val="0"/>
                <w:sz w:val="24"/>
                <w:lang w:val="en-US" w:eastAsia="zh-CN" w:bidi="ar"/>
              </w:rPr>
              <w:t>本项目</w:t>
            </w:r>
            <w:r>
              <w:rPr>
                <w:rFonts w:hint="default" w:ascii="Times New Roman" w:hAnsi="Times New Roman" w:eastAsia="宋体" w:cs="Times New Roman"/>
                <w:color w:val="auto"/>
                <w:kern w:val="0"/>
                <w:sz w:val="24"/>
                <w:lang w:bidi="ar"/>
              </w:rPr>
              <w:t>采用单侧围堰施工方法进行施工</w:t>
            </w:r>
            <w:r>
              <w:rPr>
                <w:rFonts w:hint="default" w:ascii="Times New Roman" w:hAnsi="Times New Roman" w:eastAsia="宋体" w:cs="Times New Roman"/>
                <w:color w:val="auto"/>
                <w:kern w:val="0"/>
                <w:sz w:val="24"/>
                <w:lang w:eastAsia="zh-CN" w:bidi="ar"/>
              </w:rPr>
              <w:t>，</w:t>
            </w:r>
            <w:r>
              <w:rPr>
                <w:rFonts w:hint="default" w:ascii="Times New Roman" w:hAnsi="Times New Roman" w:eastAsia="宋体" w:cs="Times New Roman"/>
                <w:color w:val="auto"/>
                <w:kern w:val="0"/>
                <w:sz w:val="24"/>
                <w:lang w:bidi="ar"/>
              </w:rPr>
              <w:t>工程段施工排水采用潜水泵将砌护段落基坑内沟水及渗水抽排至</w:t>
            </w:r>
            <w:r>
              <w:rPr>
                <w:rFonts w:hint="default" w:ascii="Times New Roman" w:hAnsi="Times New Roman" w:eastAsia="宋体" w:cs="Times New Roman"/>
                <w:color w:val="auto"/>
                <w:kern w:val="0"/>
                <w:sz w:val="24"/>
                <w:lang w:val="en-US" w:eastAsia="zh-CN" w:bidi="ar"/>
              </w:rPr>
              <w:t>围堰</w:t>
            </w:r>
            <w:r>
              <w:rPr>
                <w:rFonts w:hint="default" w:ascii="Times New Roman" w:hAnsi="Times New Roman" w:eastAsia="宋体" w:cs="Times New Roman"/>
                <w:color w:val="auto"/>
                <w:kern w:val="0"/>
                <w:sz w:val="24"/>
                <w:lang w:bidi="ar"/>
              </w:rPr>
              <w:t>内</w:t>
            </w:r>
            <w:r>
              <w:rPr>
                <w:rFonts w:hint="default" w:ascii="Times New Roman" w:hAnsi="Times New Roman" w:eastAsia="宋体" w:cs="Times New Roman"/>
                <w:color w:val="auto"/>
                <w:kern w:val="0"/>
                <w:sz w:val="24"/>
                <w:lang w:eastAsia="zh-CN" w:bidi="ar"/>
              </w:rPr>
              <w:t>，</w:t>
            </w:r>
            <w:r>
              <w:rPr>
                <w:rFonts w:hint="default" w:ascii="Times New Roman" w:hAnsi="Times New Roman" w:eastAsia="宋体" w:cs="Times New Roman"/>
                <w:color w:val="auto"/>
                <w:kern w:val="0"/>
                <w:sz w:val="24"/>
                <w:lang w:val="en-US" w:eastAsia="zh-CN" w:bidi="ar"/>
              </w:rPr>
              <w:t>从而降低对水环境的影响。</w:t>
            </w:r>
            <w:r>
              <w:rPr>
                <w:rFonts w:hint="default" w:ascii="Times New Roman" w:hAnsi="Times New Roman" w:eastAsia="宋体" w:cs="Times New Roman"/>
                <w:color w:val="auto"/>
                <w:kern w:val="0"/>
                <w:sz w:val="24"/>
              </w:rPr>
              <w:t>总的说来，施工作业对水环境的影响是轻微的，</w:t>
            </w:r>
            <w:r>
              <w:rPr>
                <w:rFonts w:hint="eastAsia" w:cs="Times New Roman"/>
                <w:color w:val="auto"/>
                <w:kern w:val="0"/>
                <w:sz w:val="24"/>
                <w:lang w:eastAsia="zh-CN"/>
              </w:rPr>
              <w:t>沟</w:t>
            </w:r>
            <w:r>
              <w:rPr>
                <w:rFonts w:hint="default" w:ascii="Times New Roman" w:hAnsi="Times New Roman" w:eastAsia="宋体" w:cs="Times New Roman"/>
                <w:color w:val="auto"/>
                <w:kern w:val="0"/>
                <w:sz w:val="24"/>
              </w:rPr>
              <w:t>道施工排放出的悬浮物对上、下游区域的影响范围较小。</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2" w:firstLineChars="200"/>
              <w:textAlignment w:val="auto"/>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4、声环境影响分析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施工期噪声主要为施工机械产生噪声。施工期噪声包括各建筑机械和运输车辆噪声，声级值一般在85~100dB(A)。施工过程采用的钻机、振捣棒等机械设备以及运输车辆在运行时会产生一定量的噪声施工期噪声影响来源于施工机械作业噪声、运输车辆噪声等，均为间歇性噪声源。根据同类型施工的噪声监测数据，施工器械的噪声源强大多处于70~105dB</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A</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之间，噪声较高的噪声源分布在土方开挖施工区和施工道路交通运输，噪声影响随施工结束而结束。</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2" w:firstLineChars="200"/>
              <w:textAlignment w:val="auto"/>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5、固体废物环境影响分析及防治措施</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本项目施工期产生的固体废物主要为施工场所产生施工人员活动产生的生活垃圾</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lang w:val="en-US" w:eastAsia="zh-CN"/>
              </w:rPr>
              <w:t>多余土方及</w:t>
            </w:r>
            <w:r>
              <w:rPr>
                <w:rFonts w:hint="eastAsia" w:cs="Times New Roman"/>
                <w:color w:val="auto"/>
                <w:kern w:val="0"/>
                <w:sz w:val="24"/>
                <w:lang w:val="en-US" w:eastAsia="zh-CN"/>
              </w:rPr>
              <w:t>排洪渠</w:t>
            </w:r>
            <w:r>
              <w:rPr>
                <w:rFonts w:hint="default" w:ascii="Times New Roman" w:hAnsi="Times New Roman" w:eastAsia="宋体" w:cs="Times New Roman"/>
                <w:color w:val="auto"/>
                <w:kern w:val="0"/>
                <w:sz w:val="24"/>
                <w:lang w:val="en-US" w:eastAsia="zh-CN"/>
              </w:rPr>
              <w:t>清理产生的垃圾及沟道清淤等</w:t>
            </w:r>
            <w:r>
              <w:rPr>
                <w:rFonts w:hint="default" w:ascii="Times New Roman" w:hAnsi="Times New Roman" w:eastAsia="宋体" w:cs="Times New Roman"/>
                <w:color w:val="auto"/>
                <w:kern w:val="0"/>
                <w:sz w:val="24"/>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⑴生活垃圾</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生活垃圾：施工期高峰人数为</w:t>
            </w:r>
            <w:r>
              <w:rPr>
                <w:rFonts w:hint="default" w:ascii="Times New Roman" w:hAnsi="Times New Roman" w:eastAsia="宋体" w:cs="Times New Roman"/>
                <w:color w:val="auto"/>
                <w:kern w:val="0"/>
                <w:sz w:val="24"/>
                <w:lang w:val="en-US" w:eastAsia="zh-CN"/>
              </w:rPr>
              <w:t>5</w:t>
            </w:r>
            <w:r>
              <w:rPr>
                <w:rFonts w:hint="default" w:ascii="Times New Roman" w:hAnsi="Times New Roman" w:eastAsia="宋体" w:cs="Times New Roman"/>
                <w:color w:val="auto"/>
                <w:kern w:val="0"/>
                <w:sz w:val="24"/>
              </w:rPr>
              <w:t>0人，按每人每天产生生活垃圾量0.5kg计算，则生活垃圾产生量为0.0</w:t>
            </w:r>
            <w:r>
              <w:rPr>
                <w:rFonts w:hint="default" w:ascii="Times New Roman" w:hAnsi="Times New Roman" w:eastAsia="宋体" w:cs="Times New Roman"/>
                <w:color w:val="auto"/>
                <w:kern w:val="0"/>
                <w:sz w:val="24"/>
                <w:lang w:val="en-US" w:eastAsia="zh-CN"/>
              </w:rPr>
              <w:t>25</w:t>
            </w:r>
            <w:r>
              <w:rPr>
                <w:rFonts w:hint="default" w:ascii="Times New Roman" w:hAnsi="Times New Roman" w:eastAsia="宋体" w:cs="Times New Roman"/>
                <w:color w:val="auto"/>
                <w:kern w:val="0"/>
                <w:sz w:val="24"/>
              </w:rPr>
              <w:t>t/d，整个施工期约</w:t>
            </w:r>
            <w:r>
              <w:rPr>
                <w:rFonts w:hint="default" w:ascii="Times New Roman" w:hAnsi="Times New Roman" w:eastAsia="宋体" w:cs="Times New Roman"/>
                <w:color w:val="auto"/>
                <w:kern w:val="0"/>
                <w:sz w:val="24"/>
                <w:lang w:val="en-US" w:eastAsia="zh-CN"/>
              </w:rPr>
              <w:t>90</w:t>
            </w:r>
            <w:r>
              <w:rPr>
                <w:rFonts w:hint="default" w:ascii="Times New Roman" w:hAnsi="Times New Roman" w:eastAsia="宋体" w:cs="Times New Roman"/>
                <w:color w:val="auto"/>
                <w:kern w:val="0"/>
                <w:sz w:val="24"/>
              </w:rPr>
              <w:t>d，产生生活垃圾</w:t>
            </w:r>
            <w:r>
              <w:rPr>
                <w:rFonts w:hint="default" w:ascii="Times New Roman" w:hAnsi="Times New Roman" w:eastAsia="宋体" w:cs="Times New Roman"/>
                <w:color w:val="auto"/>
                <w:kern w:val="0"/>
                <w:sz w:val="24"/>
                <w:lang w:val="en-US" w:eastAsia="zh-CN"/>
              </w:rPr>
              <w:t>2.25</w:t>
            </w:r>
            <w:r>
              <w:rPr>
                <w:rFonts w:hint="default" w:ascii="Times New Roman" w:hAnsi="Times New Roman" w:eastAsia="宋体" w:cs="Times New Roman"/>
                <w:color w:val="auto"/>
                <w:kern w:val="0"/>
                <w:sz w:val="24"/>
              </w:rPr>
              <w:t>t。主要污染物为垃圾袋、果核、矿泉水瓶等，集中收集后由施工单位清运至垃圾中转站，由环卫部门统一处理。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⑵土石方弃土</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lang w:eastAsia="zh-CN"/>
              </w:rPr>
            </w:pPr>
            <w:r>
              <w:rPr>
                <w:rFonts w:hint="default" w:ascii="Times New Roman" w:hAnsi="Times New Roman" w:eastAsia="宋体" w:cs="Times New Roman"/>
                <w:color w:val="auto"/>
                <w:sz w:val="24"/>
                <w:szCs w:val="24"/>
              </w:rPr>
              <w:t>根据项目</w:t>
            </w:r>
            <w:r>
              <w:rPr>
                <w:rFonts w:hint="default" w:ascii="Times New Roman" w:hAnsi="Times New Roman" w:eastAsia="宋体" w:cs="Times New Roman"/>
                <w:color w:val="auto"/>
                <w:sz w:val="24"/>
                <w:szCs w:val="24"/>
                <w:lang w:val="en-US" w:eastAsia="zh-CN"/>
              </w:rPr>
              <w:t>水土保持</w:t>
            </w:r>
            <w:r>
              <w:rPr>
                <w:rFonts w:hint="default" w:ascii="Times New Roman" w:hAnsi="Times New Roman" w:eastAsia="宋体" w:cs="Times New Roman"/>
                <w:color w:val="auto"/>
                <w:sz w:val="24"/>
                <w:szCs w:val="24"/>
              </w:rPr>
              <w:t>方案，</w:t>
            </w:r>
            <w:r>
              <w:rPr>
                <w:rFonts w:hint="default" w:ascii="Times New Roman" w:hAnsi="Times New Roman" w:eastAsia="宋体" w:cs="Times New Roman"/>
                <w:color w:val="auto"/>
                <w:kern w:val="0"/>
                <w:sz w:val="24"/>
                <w:szCs w:val="24"/>
                <w:highlight w:val="none"/>
                <w:lang w:val="en-US" w:eastAsia="zh-CN" w:bidi="ar"/>
              </w:rPr>
              <w:t>本项目建设期土石方开挖总量为</w:t>
            </w:r>
            <w:r>
              <w:rPr>
                <w:rFonts w:hint="eastAsia" w:cs="Times New Roman"/>
                <w:color w:val="auto"/>
                <w:kern w:val="0"/>
                <w:sz w:val="24"/>
                <w:szCs w:val="24"/>
                <w:highlight w:val="none"/>
                <w:lang w:val="en-US" w:eastAsia="zh-CN" w:bidi="ar"/>
              </w:rPr>
              <w:t>1.79</w:t>
            </w:r>
            <w:r>
              <w:rPr>
                <w:rFonts w:hint="default" w:ascii="Times New Roman" w:hAnsi="Times New Roman" w:eastAsia="宋体" w:cs="Times New Roman"/>
                <w:color w:val="auto"/>
                <w:kern w:val="0"/>
                <w:sz w:val="24"/>
                <w:szCs w:val="24"/>
                <w:highlight w:val="none"/>
                <w:lang w:val="en-US" w:eastAsia="zh-CN" w:bidi="ar"/>
              </w:rPr>
              <w:t>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，回填总量为</w:t>
            </w:r>
            <w:r>
              <w:rPr>
                <w:rFonts w:hint="eastAsia" w:cs="Times New Roman"/>
                <w:b w:val="0"/>
                <w:bCs w:val="0"/>
                <w:color w:val="auto"/>
                <w:kern w:val="2"/>
                <w:sz w:val="24"/>
                <w:szCs w:val="24"/>
                <w:highlight w:val="none"/>
                <w:lang w:val="en-US" w:eastAsia="zh-CN" w:bidi="ar-SA"/>
              </w:rPr>
              <w:t>0.64</w:t>
            </w:r>
            <w:r>
              <w:rPr>
                <w:rFonts w:hint="default" w:ascii="Times New Roman" w:hAnsi="Times New Roman" w:eastAsia="宋体" w:cs="Times New Roman"/>
                <w:b w:val="0"/>
                <w:bCs w:val="0"/>
                <w:color w:val="auto"/>
                <w:kern w:val="2"/>
                <w:sz w:val="24"/>
                <w:szCs w:val="24"/>
                <w:highlight w:val="none"/>
                <w:lang w:val="en-US" w:eastAsia="zh-CN" w:bidi="ar-SA"/>
              </w:rPr>
              <w:t>万</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rPr>
              <w:t>废弃土方</w:t>
            </w:r>
            <w:r>
              <w:rPr>
                <w:rFonts w:hint="eastAsia" w:cs="Times New Roman"/>
                <w:color w:val="auto"/>
                <w:kern w:val="0"/>
                <w:sz w:val="24"/>
                <w:lang w:val="en-US" w:eastAsia="zh-CN"/>
              </w:rPr>
              <w:t>1.14</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lang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lang w:eastAsia="zh-CN"/>
              </w:rPr>
            </w:pPr>
            <w:r>
              <w:rPr>
                <w:rFonts w:hint="default" w:ascii="Times New Roman" w:hAnsi="Times New Roman" w:eastAsia="宋体" w:cs="Times New Roman"/>
                <w:color w:val="auto"/>
                <w:kern w:val="0"/>
                <w:sz w:val="24"/>
                <w:lang w:eastAsia="zh-CN"/>
              </w:rPr>
              <w:t>土石方平衡：工程共计挖填土石方总量为2.4</w:t>
            </w:r>
            <w:r>
              <w:rPr>
                <w:rFonts w:hint="eastAsia" w:cs="Times New Roman"/>
                <w:color w:val="auto"/>
                <w:kern w:val="0"/>
                <w:sz w:val="24"/>
                <w:lang w:val="en-US" w:eastAsia="zh-CN"/>
              </w:rPr>
              <w:t>3</w:t>
            </w:r>
            <w:r>
              <w:rPr>
                <w:rFonts w:hint="default" w:ascii="Times New Roman" w:hAnsi="Times New Roman" w:eastAsia="宋体" w:cs="Times New Roman"/>
                <w:color w:val="auto"/>
                <w:kern w:val="0"/>
                <w:sz w:val="24"/>
                <w:lang w:eastAsia="zh-CN"/>
              </w:rPr>
              <w:t>万m</w:t>
            </w:r>
            <w:r>
              <w:rPr>
                <w:rFonts w:hint="default" w:ascii="Times New Roman" w:hAnsi="Times New Roman" w:eastAsia="宋体" w:cs="Times New Roman"/>
                <w:color w:val="auto"/>
                <w:kern w:val="0"/>
                <w:sz w:val="24"/>
                <w:vertAlign w:val="superscript"/>
                <w:lang w:eastAsia="zh-CN"/>
              </w:rPr>
              <w:t>3</w:t>
            </w:r>
            <w:r>
              <w:rPr>
                <w:rFonts w:hint="default" w:ascii="Times New Roman" w:hAnsi="Times New Roman" w:eastAsia="宋体" w:cs="Times New Roman"/>
                <w:color w:val="auto"/>
                <w:kern w:val="0"/>
                <w:sz w:val="24"/>
                <w:lang w:eastAsia="zh-CN"/>
              </w:rPr>
              <w:t>，其中土石方开挖总量1.79万m</w:t>
            </w:r>
            <w:r>
              <w:rPr>
                <w:rFonts w:hint="default" w:ascii="Times New Roman" w:hAnsi="Times New Roman" w:eastAsia="宋体" w:cs="Times New Roman"/>
                <w:color w:val="auto"/>
                <w:kern w:val="0"/>
                <w:sz w:val="24"/>
                <w:vertAlign w:val="superscript"/>
                <w:lang w:eastAsia="zh-CN"/>
              </w:rPr>
              <w:t>3</w:t>
            </w:r>
            <w:r>
              <w:rPr>
                <w:rFonts w:hint="default" w:ascii="Times New Roman" w:hAnsi="Times New Roman" w:eastAsia="宋体" w:cs="Times New Roman"/>
                <w:color w:val="auto"/>
                <w:kern w:val="0"/>
                <w:sz w:val="24"/>
                <w:lang w:eastAsia="zh-CN"/>
              </w:rPr>
              <w:t>，土石方回填总量0.</w:t>
            </w:r>
            <w:r>
              <w:rPr>
                <w:rFonts w:hint="eastAsia" w:cs="Times New Roman"/>
                <w:color w:val="auto"/>
                <w:kern w:val="0"/>
                <w:sz w:val="24"/>
                <w:lang w:val="en-US" w:eastAsia="zh-CN"/>
              </w:rPr>
              <w:t>64</w:t>
            </w:r>
            <w:r>
              <w:rPr>
                <w:rFonts w:hint="default" w:ascii="Times New Roman" w:hAnsi="Times New Roman" w:eastAsia="宋体" w:cs="Times New Roman"/>
                <w:color w:val="auto"/>
                <w:kern w:val="0"/>
                <w:sz w:val="24"/>
                <w:lang w:eastAsia="zh-CN"/>
              </w:rPr>
              <w:t>万m</w:t>
            </w:r>
            <w:r>
              <w:rPr>
                <w:rFonts w:hint="default" w:ascii="Times New Roman" w:hAnsi="Times New Roman" w:eastAsia="宋体" w:cs="Times New Roman"/>
                <w:color w:val="auto"/>
                <w:kern w:val="0"/>
                <w:sz w:val="24"/>
                <w:vertAlign w:val="superscript"/>
                <w:lang w:eastAsia="zh-CN"/>
              </w:rPr>
              <w:t>3</w:t>
            </w:r>
            <w:r>
              <w:rPr>
                <w:rFonts w:hint="default" w:ascii="Times New Roman" w:hAnsi="Times New Roman" w:eastAsia="宋体" w:cs="Times New Roman"/>
                <w:color w:val="auto"/>
                <w:kern w:val="0"/>
                <w:sz w:val="24"/>
                <w:lang w:eastAsia="zh-CN"/>
              </w:rPr>
              <w:t>，改建排洪区、改建山洪砌护区产生</w:t>
            </w:r>
            <w:r>
              <w:rPr>
                <w:rFonts w:hint="eastAsia" w:cs="Times New Roman"/>
                <w:color w:val="auto"/>
                <w:kern w:val="0"/>
                <w:sz w:val="24"/>
                <w:lang w:eastAsia="zh-CN"/>
              </w:rPr>
              <w:t>约</w:t>
            </w:r>
            <w:r>
              <w:rPr>
                <w:rFonts w:hint="default" w:ascii="Times New Roman" w:hAnsi="Times New Roman" w:eastAsia="宋体" w:cs="Times New Roman"/>
                <w:color w:val="auto"/>
                <w:kern w:val="0"/>
                <w:sz w:val="24"/>
                <w:lang w:eastAsia="zh-CN"/>
              </w:rPr>
              <w:t>0.</w:t>
            </w:r>
            <w:r>
              <w:rPr>
                <w:rFonts w:hint="eastAsia" w:cs="Times New Roman"/>
                <w:color w:val="auto"/>
                <w:kern w:val="0"/>
                <w:sz w:val="24"/>
                <w:lang w:val="en-US" w:eastAsia="zh-CN"/>
              </w:rPr>
              <w:t>9</w:t>
            </w:r>
            <w:r>
              <w:rPr>
                <w:rFonts w:hint="default" w:ascii="Times New Roman" w:hAnsi="Times New Roman" w:eastAsia="宋体" w:cs="Times New Roman"/>
                <w:color w:val="auto"/>
                <w:kern w:val="0"/>
                <w:sz w:val="24"/>
                <w:lang w:eastAsia="zh-CN"/>
              </w:rPr>
              <w:t>9万m</w:t>
            </w:r>
            <w:r>
              <w:rPr>
                <w:rFonts w:hint="default" w:ascii="Times New Roman" w:hAnsi="Times New Roman" w:eastAsia="宋体" w:cs="Times New Roman"/>
                <w:color w:val="auto"/>
                <w:kern w:val="0"/>
                <w:sz w:val="24"/>
                <w:vertAlign w:val="superscript"/>
                <w:lang w:eastAsia="zh-CN"/>
              </w:rPr>
              <w:t>3</w:t>
            </w:r>
            <w:r>
              <w:rPr>
                <w:rFonts w:hint="default" w:ascii="Times New Roman" w:hAnsi="Times New Roman" w:eastAsia="宋体" w:cs="Times New Roman"/>
                <w:color w:val="auto"/>
                <w:kern w:val="0"/>
                <w:sz w:val="24"/>
                <w:lang w:eastAsia="zh-CN"/>
              </w:rPr>
              <w:t>弃方，购入约0.35万m</w:t>
            </w:r>
            <w:r>
              <w:rPr>
                <w:rFonts w:hint="default" w:ascii="Times New Roman" w:hAnsi="Times New Roman" w:eastAsia="宋体" w:cs="Times New Roman"/>
                <w:color w:val="auto"/>
                <w:kern w:val="0"/>
                <w:sz w:val="24"/>
                <w:vertAlign w:val="superscript"/>
                <w:lang w:eastAsia="zh-CN"/>
              </w:rPr>
              <w:t>3</w:t>
            </w:r>
            <w:r>
              <w:rPr>
                <w:rFonts w:hint="default" w:ascii="Times New Roman" w:hAnsi="Times New Roman" w:eastAsia="宋体" w:cs="Times New Roman"/>
                <w:color w:val="auto"/>
                <w:kern w:val="0"/>
                <w:sz w:val="24"/>
                <w:lang w:eastAsia="zh-CN"/>
              </w:rPr>
              <w:t>砂石料修建混凝土排洪渠及砌护，敷设排水管网产生的多余土方0.</w:t>
            </w:r>
            <w:r>
              <w:rPr>
                <w:rFonts w:hint="eastAsia" w:cs="Times New Roman"/>
                <w:color w:val="auto"/>
                <w:kern w:val="0"/>
                <w:sz w:val="24"/>
                <w:lang w:val="en-US" w:eastAsia="zh-CN"/>
              </w:rPr>
              <w:t>25</w:t>
            </w:r>
            <w:r>
              <w:rPr>
                <w:rFonts w:hint="default" w:ascii="Times New Roman" w:hAnsi="Times New Roman" w:eastAsia="宋体" w:cs="Times New Roman"/>
                <w:color w:val="auto"/>
                <w:kern w:val="0"/>
                <w:sz w:val="24"/>
                <w:lang w:eastAsia="zh-CN"/>
              </w:rPr>
              <w:t>万m</w:t>
            </w:r>
            <w:r>
              <w:rPr>
                <w:rFonts w:hint="default" w:ascii="Times New Roman" w:hAnsi="Times New Roman" w:eastAsia="宋体" w:cs="Times New Roman"/>
                <w:color w:val="auto"/>
                <w:kern w:val="0"/>
                <w:sz w:val="24"/>
                <w:vertAlign w:val="superscript"/>
                <w:lang w:eastAsia="zh-CN"/>
              </w:rPr>
              <w:t>3</w:t>
            </w:r>
            <w:r>
              <w:rPr>
                <w:rFonts w:hint="default" w:ascii="Times New Roman" w:hAnsi="Times New Roman" w:eastAsia="宋体" w:cs="Times New Roman"/>
                <w:color w:val="auto"/>
                <w:kern w:val="0"/>
                <w:sz w:val="24"/>
                <w:lang w:eastAsia="zh-CN"/>
              </w:rPr>
              <w:t>。产生的弃方运送至附近的建筑垃圾填埋场进行填埋。</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rPr>
              <w:t>⑶</w:t>
            </w:r>
            <w:r>
              <w:rPr>
                <w:rFonts w:hint="default" w:ascii="Times New Roman" w:hAnsi="Times New Roman" w:eastAsia="宋体" w:cs="Times New Roman"/>
                <w:color w:val="auto"/>
                <w:kern w:val="0"/>
                <w:sz w:val="24"/>
                <w:lang w:val="en-US" w:eastAsia="zh-CN"/>
              </w:rPr>
              <w:t>沟道</w:t>
            </w:r>
            <w:r>
              <w:rPr>
                <w:rFonts w:hint="eastAsia" w:cs="Times New Roman"/>
                <w:color w:val="auto"/>
                <w:kern w:val="0"/>
                <w:sz w:val="24"/>
                <w:lang w:val="en-US" w:eastAsia="zh-CN"/>
              </w:rPr>
              <w:t>清理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eastAsia" w:cs="Times New Roman"/>
                <w:color w:val="auto"/>
                <w:kern w:val="0"/>
                <w:sz w:val="24"/>
                <w:lang w:eastAsia="zh-CN"/>
              </w:rPr>
            </w:pPr>
            <w:r>
              <w:rPr>
                <w:rFonts w:hint="eastAsia" w:cs="Times New Roman"/>
                <w:color w:val="auto"/>
                <w:kern w:val="0"/>
                <w:sz w:val="24"/>
                <w:lang w:eastAsia="zh-CN" w:bidi="ar"/>
              </w:rPr>
              <w:t>根据项目实地考察，沟道产生的固体废弃物为雨水冲刷山体产生的植物枯叶和少量沙土，对环境无影响，由建设单位</w:t>
            </w:r>
            <w:r>
              <w:rPr>
                <w:rFonts w:hint="eastAsia" w:cs="Times New Roman"/>
                <w:color w:val="auto"/>
                <w:kern w:val="0"/>
                <w:sz w:val="24"/>
                <w:lang w:eastAsia="zh-CN"/>
              </w:rPr>
              <w:t>清理至建筑垃圾填埋场处理。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eastAsia" w:ascii="Times New Roman" w:hAnsi="Times New Roman" w:eastAsia="宋体" w:cs="Times New Roman"/>
                <w:color w:val="auto"/>
                <w:kern w:val="0"/>
                <w:sz w:val="24"/>
                <w:lang w:val="en-US" w:eastAsia="zh-CN"/>
              </w:rPr>
              <w:t>（4）建筑垃圾</w:t>
            </w:r>
          </w:p>
          <w:p>
            <w:pPr>
              <w:keepNext w:val="0"/>
              <w:keepLines w:val="0"/>
              <w:widowControl/>
              <w:suppressLineNumbers w:val="0"/>
              <w:spacing w:before="0" w:beforeAutospacing="0" w:after="0" w:afterAutospacing="0"/>
              <w:ind w:left="0" w:right="0"/>
              <w:jc w:val="left"/>
              <w:rPr>
                <w:rFonts w:hint="default"/>
                <w:color w:val="FF0000"/>
              </w:rPr>
            </w:pPr>
            <w:r>
              <w:rPr>
                <w:rFonts w:hint="eastAsia" w:ascii="宋体" w:hAnsi="宋体" w:eastAsia="宋体" w:cs="宋体"/>
                <w:color w:val="000000"/>
                <w:kern w:val="0"/>
                <w:sz w:val="24"/>
                <w:szCs w:val="24"/>
                <w:lang w:val="en-US" w:eastAsia="zh-CN" w:bidi="ar"/>
              </w:rPr>
              <w:t>本项目在建设过程中产生的建筑垃圾主要为建材损耗产生的垃圾，主要产生在施工场地修建过程中。在施工过程中产生的建筑垃圾包括砂土、石块、水泥、碎木料、锯木屑、废金属、钢筋、铁丝、土石方等杂物。工程施工过程中产生的各类建渣，</w:t>
            </w:r>
            <w:r>
              <w:rPr>
                <w:rFonts w:hint="eastAsia" w:cs="Times New Roman"/>
                <w:color w:val="auto"/>
                <w:kern w:val="0"/>
                <w:sz w:val="24"/>
                <w:lang w:eastAsia="zh-CN" w:bidi="ar"/>
              </w:rPr>
              <w:t>由建设单位</w:t>
            </w:r>
            <w:r>
              <w:rPr>
                <w:rFonts w:hint="eastAsia" w:cs="Times New Roman"/>
                <w:color w:val="auto"/>
                <w:kern w:val="0"/>
                <w:sz w:val="24"/>
                <w:lang w:eastAsia="zh-CN"/>
              </w:rPr>
              <w:t>清理至建筑垃圾填埋场处理。</w:t>
            </w:r>
          </w:p>
          <w:p>
            <w:pPr>
              <w:keepNext w:val="0"/>
              <w:keepLines w:val="0"/>
              <w:widowControl/>
              <w:suppressLineNumbers w:val="0"/>
              <w:spacing w:before="0" w:beforeAutospacing="0" w:after="0" w:afterAutospacing="0"/>
              <w:ind w:left="0" w:right="0"/>
              <w:jc w:val="left"/>
              <w:rPr>
                <w:rFonts w:hint="eastAsia" w:cs="Times New Roman"/>
                <w:color w:val="auto"/>
                <w:kern w:val="0"/>
                <w:sz w:val="24"/>
                <w:lang w:val="en-US" w:eastAsia="zh-CN"/>
              </w:rPr>
            </w:pPr>
            <w:r>
              <w:rPr>
                <w:rFonts w:hint="eastAsia" w:ascii="宋体" w:hAnsi="宋体" w:eastAsia="宋体" w:cs="宋体"/>
                <w:color w:val="000000"/>
                <w:kern w:val="0"/>
                <w:sz w:val="24"/>
                <w:szCs w:val="24"/>
                <w:lang w:val="en-US" w:eastAsia="zh-CN" w:bidi="ar"/>
              </w:rPr>
              <w:t>建设单位应要求施工单位规范处理，首先将建筑垃圾分类，尽量回收其中尚可利用的部分建筑材料，对没有利用价值以及不能回填的废弃物应妥善堆放、及时处理，委托外运至城市指定建筑垃圾填埋场。施工产生的各类垃圾废弃物应堆置在规定的地点，在对其进行清运和回收处理前要进行围挡、遮盖，防止被雨水冲刷或大风刮起，进入水体，影响水质。在施工期间，施工车辆要按照指定路线行驶，不允许车辆进入水体，污染水体，严禁向水体中倾倒建筑废料，施工中不得随意抛弃建筑材料、残土、旧料和其他杂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07" w:hRule="atLeast"/>
          <w:jc w:val="center"/>
        </w:trPr>
        <w:tc>
          <w:tcPr>
            <w:tcW w:w="962" w:type="dxa"/>
            <w:vMerge w:val="restart"/>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pacing w:val="10"/>
                <w:kern w:val="2"/>
                <w:sz w:val="24"/>
                <w:szCs w:val="24"/>
                <w:lang w:val="en-US" w:eastAsia="zh-CN" w:bidi="ar-SA"/>
              </w:rPr>
            </w:pPr>
            <w:r>
              <w:rPr>
                <w:rFonts w:hint="default" w:ascii="Times New Roman" w:hAnsi="Times New Roman" w:eastAsia="宋体" w:cs="Times New Roman"/>
                <w:b/>
                <w:bCs w:val="0"/>
                <w:color w:val="auto"/>
                <w:spacing w:val="10"/>
                <w:kern w:val="2"/>
                <w:sz w:val="24"/>
                <w:szCs w:val="24"/>
                <w:lang w:val="en-US" w:eastAsia="zh-CN" w:bidi="ar-SA"/>
              </w:rPr>
              <w:t>运营期生态环境影响分析</w:t>
            </w:r>
          </w:p>
        </w:tc>
        <w:tc>
          <w:tcPr>
            <w:tcW w:w="8696" w:type="dxa"/>
            <w:gridSpan w:val="2"/>
            <w:tcBorders>
              <w:tl2br w:val="nil"/>
              <w:tr2bl w:val="nil"/>
            </w:tcBorders>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本项目是以生态影响为主的建设项目，项目对环境的影响主要表现在施工期。项目营运期不产生废气、废水、噪声，仅有固体废物产生。</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⑴运营期固体废物</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eastAsia" w:cs="Times New Roman"/>
                <w:color w:val="auto"/>
                <w:kern w:val="0"/>
                <w:sz w:val="24"/>
                <w:lang w:eastAsia="zh-CN" w:bidi="ar"/>
              </w:rPr>
              <w:t>根据项目实地考察，排洪渠产生的固体废弃物为雨水冲刷山体产生的植物枯叶及少量沙土，因此推理，项目新建排洪渠与已建排洪渠所产生的固体废物相同因此</w:t>
            </w:r>
            <w:r>
              <w:rPr>
                <w:rFonts w:hint="eastAsia" w:cs="Times New Roman"/>
                <w:color w:val="auto"/>
                <w:kern w:val="0"/>
                <w:sz w:val="24"/>
                <w:lang w:eastAsia="zh-CN"/>
              </w:rPr>
              <w:t>由建设单位不定期清理至建筑垃圾填埋场处理。项目照片如下：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58" w:hRule="atLeast"/>
          <w:jc w:val="center"/>
        </w:trPr>
        <w:tc>
          <w:tcPr>
            <w:tcW w:w="962" w:type="dxa"/>
            <w:vMerge w:val="continue"/>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pacing w:val="10"/>
                <w:kern w:val="2"/>
                <w:sz w:val="24"/>
                <w:szCs w:val="24"/>
                <w:lang w:val="en-US" w:eastAsia="zh-CN" w:bidi="ar-SA"/>
              </w:rPr>
            </w:pPr>
          </w:p>
        </w:tc>
        <w:tc>
          <w:tcPr>
            <w:tcW w:w="4194" w:type="dxa"/>
            <w:tcBorders>
              <w:tl2br w:val="nil"/>
              <w:tr2bl w:val="nil"/>
            </w:tcBorders>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80" w:firstLineChars="200"/>
              <w:jc w:val="center"/>
              <w:textAlignment w:val="auto"/>
              <w:rPr>
                <w:rFonts w:hint="eastAsia" w:ascii="Times New Roman" w:hAnsi="Times New Roman" w:eastAsia="宋体" w:cs="Times New Roman"/>
                <w:color w:val="auto"/>
                <w:kern w:val="0"/>
                <w:sz w:val="24"/>
                <w:lang w:eastAsia="zh-CN"/>
              </w:rPr>
            </w:pPr>
            <w:r>
              <w:rPr>
                <w:rFonts w:hint="eastAsia" w:ascii="Times New Roman" w:hAnsi="Times New Roman" w:eastAsia="宋体" w:cs="Times New Roman"/>
                <w:color w:val="auto"/>
                <w:kern w:val="0"/>
                <w:sz w:val="24"/>
                <w:lang w:eastAsia="zh-CN"/>
              </w:rPr>
              <w:drawing>
                <wp:inline distT="0" distB="0" distL="114300" distR="114300">
                  <wp:extent cx="1757680" cy="2575560"/>
                  <wp:effectExtent l="0" t="0" r="13970" b="15240"/>
                  <wp:docPr id="9" name="图片 9" descr="排洪沟样片-公安消防大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排洪沟样片-公安消防大队"/>
                          <pic:cNvPicPr>
                            <a:picLocks noChangeAspect="1"/>
                          </pic:cNvPicPr>
                        </pic:nvPicPr>
                        <pic:blipFill>
                          <a:blip r:embed="rId19"/>
                          <a:stretch>
                            <a:fillRect/>
                          </a:stretch>
                        </pic:blipFill>
                        <pic:spPr>
                          <a:xfrm>
                            <a:off x="0" y="0"/>
                            <a:ext cx="1757680" cy="2575560"/>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82" w:firstLineChars="200"/>
              <w:jc w:val="center"/>
              <w:textAlignment w:val="auto"/>
              <w:rPr>
                <w:rFonts w:hint="eastAsia" w:ascii="Times New Roman" w:hAnsi="Times New Roman" w:eastAsia="宋体" w:cs="Times New Roman"/>
                <w:color w:val="auto"/>
                <w:kern w:val="0"/>
                <w:sz w:val="24"/>
                <w:lang w:eastAsia="zh-CN"/>
              </w:rPr>
            </w:pPr>
            <w:r>
              <w:rPr>
                <w:rFonts w:hint="eastAsia" w:ascii="Times New Roman" w:hAnsi="Times New Roman" w:eastAsia="宋体" w:cs="Times New Roman"/>
                <w:b/>
                <w:bCs/>
                <w:color w:val="auto"/>
                <w:kern w:val="0"/>
                <w:sz w:val="24"/>
                <w:lang w:eastAsia="zh-CN"/>
              </w:rPr>
              <w:t>行政中心北侧现状排洪渠</w:t>
            </w:r>
          </w:p>
        </w:tc>
        <w:tc>
          <w:tcPr>
            <w:tcW w:w="4502" w:type="dxa"/>
            <w:tcBorders>
              <w:tl2br w:val="nil"/>
              <w:tr2bl w:val="nil"/>
            </w:tcBorders>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80" w:firstLineChars="200"/>
              <w:jc w:val="center"/>
              <w:textAlignment w:val="auto"/>
              <w:rPr>
                <w:rFonts w:hint="eastAsia" w:ascii="Times New Roman" w:hAnsi="Times New Roman" w:eastAsia="宋体" w:cs="Times New Roman"/>
                <w:color w:val="auto"/>
                <w:kern w:val="0"/>
                <w:sz w:val="24"/>
                <w:lang w:eastAsia="zh-CN"/>
              </w:rPr>
            </w:pPr>
            <w:r>
              <w:rPr>
                <w:rFonts w:hint="eastAsia" w:ascii="Times New Roman" w:hAnsi="Times New Roman" w:eastAsia="宋体" w:cs="Times New Roman"/>
                <w:color w:val="auto"/>
                <w:kern w:val="0"/>
                <w:sz w:val="24"/>
                <w:lang w:eastAsia="zh-CN"/>
              </w:rPr>
              <w:drawing>
                <wp:inline distT="0" distB="0" distL="114300" distR="114300">
                  <wp:extent cx="1729105" cy="2562225"/>
                  <wp:effectExtent l="0" t="0" r="4445" b="9525"/>
                  <wp:docPr id="10"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
                          <pic:cNvPicPr>
                            <a:picLocks noChangeAspect="1"/>
                          </pic:cNvPicPr>
                        </pic:nvPicPr>
                        <pic:blipFill>
                          <a:blip r:embed="rId20"/>
                          <a:stretch>
                            <a:fillRect/>
                          </a:stretch>
                        </pic:blipFill>
                        <pic:spPr>
                          <a:xfrm>
                            <a:off x="0" y="0"/>
                            <a:ext cx="1729105" cy="2562225"/>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82" w:firstLineChars="200"/>
              <w:jc w:val="center"/>
              <w:textAlignment w:val="auto"/>
              <w:rPr>
                <w:rFonts w:hint="eastAsia" w:ascii="Times New Roman" w:hAnsi="Times New Roman" w:eastAsia="宋体" w:cs="Times New Roman"/>
                <w:color w:val="auto"/>
                <w:kern w:val="0"/>
                <w:sz w:val="24"/>
                <w:lang w:eastAsia="zh-CN"/>
              </w:rPr>
            </w:pPr>
            <w:r>
              <w:rPr>
                <w:rFonts w:hint="eastAsia" w:cs="Times New Roman"/>
                <w:b/>
                <w:bCs/>
                <w:color w:val="auto"/>
                <w:kern w:val="0"/>
                <w:sz w:val="24"/>
                <w:lang w:eastAsia="zh-CN"/>
              </w:rPr>
              <w:t>行政中心北侧现状排洪渠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20" w:hRule="atLeast"/>
          <w:jc w:val="center"/>
        </w:trPr>
        <w:tc>
          <w:tcPr>
            <w:tcW w:w="962" w:type="dxa"/>
            <w:vMerge w:val="continue"/>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pacing w:val="10"/>
                <w:kern w:val="2"/>
                <w:sz w:val="24"/>
                <w:szCs w:val="24"/>
                <w:lang w:val="en-US" w:eastAsia="zh-CN" w:bidi="ar-SA"/>
              </w:rPr>
            </w:pPr>
          </w:p>
        </w:tc>
        <w:tc>
          <w:tcPr>
            <w:tcW w:w="8696" w:type="dxa"/>
            <w:gridSpan w:val="2"/>
            <w:tcBorders>
              <w:tl2br w:val="nil"/>
              <w:tr2bl w:val="nil"/>
            </w:tcBorders>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leftChars="0" w:right="0" w:firstLine="0" w:firstLineChars="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⑵运营期环境正效益</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本项目建成后可以提高</w:t>
            </w:r>
            <w:r>
              <w:rPr>
                <w:rFonts w:hint="eastAsia" w:cs="Times New Roman"/>
                <w:color w:val="auto"/>
                <w:kern w:val="0"/>
                <w:sz w:val="24"/>
                <w:lang w:eastAsia="zh-CN"/>
              </w:rPr>
              <w:t>城区排洪渠</w:t>
            </w:r>
            <w:r>
              <w:rPr>
                <w:rFonts w:hint="default" w:ascii="Times New Roman" w:hAnsi="Times New Roman" w:eastAsia="宋体" w:cs="Times New Roman"/>
                <w:color w:val="auto"/>
                <w:kern w:val="0"/>
                <w:sz w:val="24"/>
              </w:rPr>
              <w:t>的防洪排水能力，进一步完善</w:t>
            </w:r>
            <w:r>
              <w:rPr>
                <w:rFonts w:hint="default" w:ascii="Times New Roman" w:hAnsi="Times New Roman" w:eastAsia="宋体" w:cs="Times New Roman"/>
                <w:color w:val="auto"/>
                <w:kern w:val="0"/>
                <w:sz w:val="24"/>
                <w:lang w:val="en-US" w:eastAsia="zh-CN"/>
              </w:rPr>
              <w:t>沟</w:t>
            </w:r>
            <w:r>
              <w:rPr>
                <w:rFonts w:hint="default" w:ascii="Times New Roman" w:hAnsi="Times New Roman" w:eastAsia="宋体" w:cs="Times New Roman"/>
                <w:color w:val="auto"/>
                <w:kern w:val="0"/>
                <w:sz w:val="24"/>
              </w:rPr>
              <w:t>道防洪能力，保障标准内洪水防洪安全。对保障人民群众生命财产安全，有效减轻洪涝灾害损失，改善民生和维护社会稳定，支撑经济社会可持续发展具有十分重要的作用。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31" w:hRule="atLeast"/>
          <w:jc w:val="center"/>
        </w:trPr>
        <w:tc>
          <w:tcPr>
            <w:tcW w:w="96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0000FF"/>
                <w:kern w:val="2"/>
                <w:sz w:val="24"/>
                <w:szCs w:val="24"/>
                <w:lang w:val="en-US" w:eastAsia="zh-CN" w:bidi="ar-SA"/>
              </w:rPr>
            </w:pPr>
            <w:r>
              <w:rPr>
                <w:rFonts w:hint="default" w:ascii="Times New Roman" w:hAnsi="Times New Roman" w:eastAsia="宋体" w:cs="Times New Roman"/>
                <w:b/>
                <w:bCs w:val="0"/>
                <w:color w:val="auto"/>
                <w:kern w:val="2"/>
                <w:sz w:val="24"/>
                <w:szCs w:val="24"/>
                <w:lang w:val="en-US" w:eastAsia="zh-CN" w:bidi="ar-SA"/>
              </w:rPr>
              <w:t>选址选线环境合理性分析</w:t>
            </w:r>
          </w:p>
        </w:tc>
        <w:tc>
          <w:tcPr>
            <w:tcW w:w="8696" w:type="dxa"/>
            <w:gridSpan w:val="2"/>
            <w:tcBorders>
              <w:tl2br w:val="nil"/>
              <w:tr2bl w:val="nil"/>
            </w:tcBorders>
            <w:vAlign w:val="top"/>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540" w:lineRule="exact"/>
              <w:ind w:left="0" w:right="0"/>
              <w:textAlignment w:val="auto"/>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1、项目选址合理性分析</w:t>
            </w:r>
          </w:p>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540" w:lineRule="exact"/>
              <w:ind w:left="0" w:right="0" w:firstLine="480" w:firstLineChars="200"/>
              <w:textAlignment w:val="auto"/>
              <w:rPr>
                <w:rFonts w:hint="eastAsia" w:eastAsia="宋体" w:cs="Times New Roman"/>
                <w:bCs/>
                <w:lang w:eastAsia="zh-CN"/>
              </w:rPr>
            </w:pPr>
            <w:r>
              <w:rPr>
                <w:rFonts w:hint="eastAsia" w:cs="Times New Roman"/>
                <w:bCs/>
                <w:lang w:eastAsia="zh-CN"/>
              </w:rPr>
              <w:t>①环境制约因素</w:t>
            </w:r>
          </w:p>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540" w:lineRule="exact"/>
              <w:ind w:left="0" w:right="0" w:firstLine="480" w:firstLineChars="200"/>
              <w:textAlignment w:val="auto"/>
              <w:rPr>
                <w:rFonts w:hint="default" w:cs="Times New Roman"/>
                <w:bCs/>
              </w:rPr>
            </w:pPr>
            <w:r>
              <w:rPr>
                <w:rFonts w:hint="default" w:ascii="Times New Roman" w:hAnsi="Times New Roman" w:eastAsia="宋体" w:cs="Times New Roman"/>
                <w:bCs/>
                <w:color w:val="auto"/>
                <w:sz w:val="24"/>
              </w:rPr>
              <w:t>本次</w:t>
            </w:r>
            <w:r>
              <w:rPr>
                <w:rFonts w:hint="default" w:ascii="Times New Roman" w:hAnsi="Times New Roman" w:eastAsia="宋体" w:cs="Times New Roman"/>
                <w:color w:val="auto"/>
                <w:kern w:val="0"/>
                <w:sz w:val="24"/>
              </w:rPr>
              <w:t>工程</w:t>
            </w:r>
            <w:r>
              <w:rPr>
                <w:rFonts w:hint="default" w:cs="Times New Roman"/>
                <w:bCs/>
              </w:rPr>
              <w:t>通过项目实施可以加强隆德县的生态建设，减缓地表径流、减少冲刷、防止水土流失、保持和恢复土地肥力；绿化工程的实施以恢复并扩大林地面积，涵养水源、调节气候、维护碳循环和保护生物多样性、增强隆德县生态系统的自然性、完整性、稳定性，全面提升生态保护管理与合理利用水平。</w:t>
            </w:r>
          </w:p>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540" w:lineRule="exact"/>
              <w:ind w:left="0" w:right="0" w:firstLine="480" w:firstLineChars="200"/>
              <w:textAlignment w:val="auto"/>
              <w:rPr>
                <w:rFonts w:hint="default" w:cs="Times New Roman"/>
                <w:bCs/>
                <w:color w:val="auto"/>
              </w:rPr>
            </w:pPr>
            <w:r>
              <w:rPr>
                <w:rFonts w:hint="eastAsia" w:cs="Times New Roman"/>
                <w:bCs/>
                <w:lang w:eastAsia="zh-CN"/>
              </w:rPr>
              <w:t>项目区</w:t>
            </w:r>
            <w:r>
              <w:rPr>
                <w:rFonts w:hint="default" w:cs="Times New Roman"/>
                <w:bCs/>
              </w:rPr>
              <w:t>未发现珍稀野生动植物和古树名木分布</w:t>
            </w:r>
            <w:r>
              <w:rPr>
                <w:rFonts w:hint="eastAsia" w:cs="Times New Roman"/>
                <w:bCs/>
                <w:lang w:eastAsia="zh-CN"/>
              </w:rPr>
              <w:t>，</w:t>
            </w:r>
            <w:r>
              <w:rPr>
                <w:rFonts w:hint="default" w:cs="Times New Roman"/>
                <w:bCs/>
              </w:rPr>
              <w:t>而施工活动对周围环境的影响也较小</w:t>
            </w:r>
            <w:r>
              <w:rPr>
                <w:rFonts w:hint="eastAsia" w:cs="Times New Roman"/>
                <w:bCs/>
                <w:lang w:eastAsia="zh-CN"/>
              </w:rPr>
              <w:t>，</w:t>
            </w:r>
            <w:r>
              <w:rPr>
                <w:rFonts w:hint="default" w:cs="Times New Roman"/>
                <w:bCs/>
              </w:rPr>
              <w:t>项目建设对地表植被的破坏较小</w:t>
            </w:r>
            <w:r>
              <w:rPr>
                <w:rFonts w:hint="eastAsia" w:cs="Times New Roman"/>
                <w:bCs/>
                <w:lang w:eastAsia="zh-CN"/>
              </w:rPr>
              <w:t>。</w:t>
            </w:r>
            <w:r>
              <w:rPr>
                <w:rFonts w:hint="eastAsia" w:cs="Times New Roman"/>
                <w:bCs/>
                <w:lang w:val="en-US" w:eastAsia="zh-CN"/>
              </w:rPr>
              <w:t>本项目新建北象山排洪渠工程位于隆德县北象山，位于生态保护红线内，但根据《建设项目环境影响评价分类管理名录》、《宁夏回族自治区生态保护红线管理条例》及《自治区党委办公厅政府办公厅关于加强生态保护红线管理的实施意见》等有关法律法规政策、对生态功能不造成破坏的允许有限人为活动建设项目，为仅允许国家政策规定的9类对生态功能不造成破坏的有限人为活动第六条:“必须目无法避让、符合县级以上国土空间规划的线性基础设施、通讯和防洪、供水设施建设和船舶航行、航道疏浚清淤等活动;已有的合法水利、交通运输等设施运行维护改造”规定的生态保护红线允许有限人为情形，且本项目不涉及该类项目所列的环境敏感区，同时，经过分析论证，项目环境影响范围也不涵盖</w:t>
            </w:r>
            <w:r>
              <w:rPr>
                <w:rFonts w:hint="eastAsia" w:cs="Times New Roman"/>
                <w:bCs/>
                <w:color w:val="auto"/>
                <w:lang w:val="en-US" w:eastAsia="zh-CN"/>
              </w:rPr>
              <w:t>环境敏感区</w:t>
            </w:r>
            <w:r>
              <w:rPr>
                <w:rFonts w:hint="eastAsia" w:cs="Times New Roman"/>
                <w:bCs/>
                <w:color w:val="auto"/>
                <w:lang w:eastAsia="zh-CN"/>
              </w:rPr>
              <w:t>。</w:t>
            </w:r>
          </w:p>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540" w:lineRule="exact"/>
              <w:ind w:left="0" w:right="0" w:firstLine="480" w:firstLineChars="200"/>
              <w:textAlignment w:val="auto"/>
              <w:rPr>
                <w:rFonts w:hint="default" w:cs="Times New Roman"/>
                <w:bCs/>
                <w:color w:val="auto"/>
              </w:rPr>
            </w:pPr>
            <w:r>
              <w:rPr>
                <w:rFonts w:hint="default"/>
                <w:color w:val="auto"/>
                <w:sz w:val="24"/>
                <w:szCs w:val="32"/>
              </w:rPr>
              <w:t>综上所述，从环境保护角度分析</w:t>
            </w:r>
            <w:r>
              <w:rPr>
                <w:rFonts w:hint="eastAsia"/>
                <w:color w:val="auto"/>
                <w:sz w:val="24"/>
                <w:szCs w:val="32"/>
                <w:lang w:eastAsia="zh-CN"/>
              </w:rPr>
              <w:t>，</w:t>
            </w:r>
            <w:r>
              <w:rPr>
                <w:rFonts w:hint="default" w:cs="Times New Roman"/>
                <w:bCs/>
                <w:color w:val="auto"/>
              </w:rPr>
              <w:t>选址唯一。</w:t>
            </w:r>
          </w:p>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firstLine="480" w:firstLineChars="200"/>
              <w:textAlignment w:val="auto"/>
              <w:rPr>
                <w:rFonts w:hint="eastAsia" w:eastAsia="宋体" w:cs="Times New Roman"/>
                <w:bCs/>
                <w:lang w:eastAsia="zh-CN"/>
              </w:rPr>
            </w:pPr>
            <w:r>
              <w:rPr>
                <w:rFonts w:hint="eastAsia" w:cs="Times New Roman"/>
                <w:bCs/>
                <w:lang w:eastAsia="zh-CN"/>
              </w:rPr>
              <w:t>②环境影响程度</w:t>
            </w:r>
          </w:p>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firstLine="480" w:firstLineChars="200"/>
              <w:textAlignment w:val="auto"/>
              <w:rPr>
                <w:rFonts w:hint="eastAsia"/>
                <w:lang w:eastAsia="zh-CN"/>
              </w:rPr>
            </w:pPr>
            <w:r>
              <w:rPr>
                <w:rFonts w:hint="default" w:cs="Times New Roman"/>
                <w:bCs/>
              </w:rPr>
              <w:t>本项目施工过程中产生一定的污染物，其主要表现在施工期。施工扬尘采取对施工现场采取洒水、铺装防尘网、竣工后要及时清理施工场地；加强施工机械的使用管理和保养维修，合理降低使用次数，提高机械使用效率，以降低运输车辆及作业机械尾气排放。机械设备及</w:t>
            </w:r>
            <w:r>
              <w:rPr>
                <w:rFonts w:hint="default" w:cs="Times New Roman"/>
                <w:bCs/>
                <w:color w:val="auto"/>
              </w:rPr>
              <w:t>汽车轮胎冲洗废水</w:t>
            </w:r>
            <w:r>
              <w:rPr>
                <w:rFonts w:hint="eastAsia" w:cs="Times New Roman"/>
                <w:bCs/>
                <w:color w:val="auto"/>
                <w:lang w:eastAsia="zh-CN"/>
              </w:rPr>
              <w:t>沉淀池</w:t>
            </w:r>
            <w:r>
              <w:rPr>
                <w:rFonts w:hint="default" w:cs="Times New Roman"/>
                <w:bCs/>
                <w:color w:val="auto"/>
              </w:rPr>
              <w:t>1座5m</w:t>
            </w:r>
            <w:r>
              <w:rPr>
                <w:rFonts w:hint="default" w:cs="Times New Roman"/>
                <w:bCs/>
                <w:color w:val="auto"/>
                <w:vertAlign w:val="superscript"/>
              </w:rPr>
              <w:t>3</w:t>
            </w:r>
            <w:r>
              <w:rPr>
                <w:rFonts w:hint="default" w:cs="Times New Roman"/>
                <w:bCs/>
                <w:color w:val="auto"/>
              </w:rPr>
              <w:t>临时沉淀处理后回用或泼洒抑尘</w:t>
            </w:r>
            <w:r>
              <w:rPr>
                <w:rFonts w:hint="default" w:cs="Times New Roman"/>
                <w:color w:val="auto"/>
              </w:rPr>
              <w:t>；施工人员生活污水</w:t>
            </w:r>
            <w:r>
              <w:rPr>
                <w:rFonts w:hint="eastAsia" w:cs="Times New Roman"/>
                <w:color w:val="auto"/>
                <w:lang w:eastAsia="zh-CN"/>
              </w:rPr>
              <w:t>依托</w:t>
            </w:r>
            <w:r>
              <w:rPr>
                <w:rFonts w:hint="eastAsia"/>
                <w:color w:val="auto"/>
                <w:sz w:val="24"/>
                <w:highlight w:val="none"/>
              </w:rPr>
              <w:t>附近村民设施</w:t>
            </w:r>
            <w:r>
              <w:rPr>
                <w:rFonts w:hint="default" w:cs="Times New Roman"/>
                <w:bCs/>
              </w:rPr>
              <w:t>；采用低噪声设备、对机械、设备加强定期检修、养护，加强施工管理等措施降低噪声对周围环境的影响；施工期固废合理处置。因此，项目建设对周围环境影响较小</w:t>
            </w:r>
            <w:r>
              <w:rPr>
                <w:rFonts w:hint="default" w:cs="Times New Roman"/>
                <w:bCs/>
                <w:kern w:val="0"/>
              </w:rPr>
              <w:t>。</w:t>
            </w:r>
          </w:p>
          <w:p>
            <w:pPr>
              <w:keepNext w:val="0"/>
              <w:keepLines w:val="0"/>
              <w:pageBreakBefore w:val="0"/>
              <w:widowControl w:val="0"/>
              <w:suppressLineNumbers w:val="0"/>
              <w:kinsoku/>
              <w:wordWrap/>
              <w:topLinePunct w:val="0"/>
              <w:bidi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lang w:val="en-US" w:eastAsia="zh-CN" w:bidi="ar"/>
              </w:rPr>
            </w:pPr>
            <w:r>
              <w:rPr>
                <w:rFonts w:hint="default" w:ascii="Times New Roman" w:hAnsi="Times New Roman" w:eastAsia="宋体" w:cs="Times New Roman"/>
                <w:bCs/>
                <w:color w:val="auto"/>
                <w:kern w:val="0"/>
                <w:sz w:val="24"/>
              </w:rPr>
              <w:t>综上所述，本项目选址合理、可行。</w:t>
            </w:r>
          </w:p>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540" w:lineRule="exact"/>
              <w:ind w:left="0" w:right="0" w:firstLine="482" w:firstLineChars="200"/>
              <w:textAlignment w:val="auto"/>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2、施工</w:t>
            </w:r>
            <w:r>
              <w:rPr>
                <w:rFonts w:hint="eastAsia" w:cs="Times New Roman"/>
                <w:b/>
                <w:color w:val="auto"/>
                <w:kern w:val="0"/>
                <w:sz w:val="24"/>
                <w:lang w:eastAsia="zh-CN"/>
              </w:rPr>
              <w:t>区</w:t>
            </w:r>
            <w:r>
              <w:rPr>
                <w:rFonts w:hint="default" w:ascii="Times New Roman" w:hAnsi="Times New Roman" w:eastAsia="宋体" w:cs="Times New Roman"/>
                <w:b/>
                <w:color w:val="auto"/>
                <w:kern w:val="0"/>
                <w:sz w:val="24"/>
              </w:rPr>
              <w:t>选址合理性分析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bCs/>
                <w:color w:val="0000FF"/>
                <w:sz w:val="24"/>
              </w:rPr>
            </w:pPr>
            <w:r>
              <w:rPr>
                <w:rFonts w:hint="default" w:ascii="Times New Roman" w:hAnsi="Times New Roman" w:eastAsia="宋体" w:cs="Times New Roman"/>
                <w:bCs/>
                <w:color w:val="auto"/>
                <w:sz w:val="24"/>
              </w:rPr>
              <w:t>根据实施方案本项目无需设置取土场，弃土、弃渣场。</w:t>
            </w:r>
            <w:r>
              <w:rPr>
                <w:rFonts w:hint="default" w:ascii="Times New Roman" w:hAnsi="Times New Roman" w:eastAsia="宋体" w:cs="Times New Roman"/>
                <w:color w:val="auto"/>
                <w:kern w:val="0"/>
                <w:sz w:val="24"/>
                <w:lang w:bidi="ar"/>
              </w:rPr>
              <w:t>本工程</w:t>
            </w:r>
            <w:r>
              <w:rPr>
                <w:rFonts w:hint="eastAsia" w:cs="Times New Roman"/>
                <w:color w:val="auto"/>
                <w:kern w:val="0"/>
                <w:sz w:val="24"/>
                <w:lang w:eastAsia="zh-CN" w:bidi="ar"/>
              </w:rPr>
              <w:t>排洪</w:t>
            </w:r>
            <w:r>
              <w:rPr>
                <w:rFonts w:hint="default" w:ascii="Times New Roman" w:hAnsi="Times New Roman" w:eastAsia="宋体" w:cs="Times New Roman"/>
                <w:color w:val="auto"/>
                <w:kern w:val="0"/>
                <w:sz w:val="24"/>
                <w:lang w:bidi="ar"/>
              </w:rPr>
              <w:t>沟为原址翻建，无新增永久征地。施工</w:t>
            </w:r>
            <w:r>
              <w:rPr>
                <w:rFonts w:hint="eastAsia" w:cs="Times New Roman"/>
                <w:color w:val="auto"/>
                <w:kern w:val="0"/>
                <w:sz w:val="24"/>
                <w:lang w:eastAsia="zh-CN" w:bidi="ar"/>
              </w:rPr>
              <w:t>区</w:t>
            </w:r>
            <w:r>
              <w:rPr>
                <w:rFonts w:hint="default" w:ascii="Times New Roman" w:hAnsi="Times New Roman" w:eastAsia="宋体" w:cs="Times New Roman"/>
                <w:color w:val="auto"/>
                <w:kern w:val="0"/>
                <w:sz w:val="24"/>
                <w:lang w:val="en-US" w:eastAsia="zh-CN" w:bidi="ar"/>
              </w:rPr>
              <w:t>租用沟道附近闲置房屋</w:t>
            </w:r>
            <w:r>
              <w:rPr>
                <w:rFonts w:hint="default" w:ascii="Times New Roman" w:hAnsi="Times New Roman" w:eastAsia="宋体" w:cs="Times New Roman"/>
                <w:color w:val="auto"/>
                <w:kern w:val="0"/>
                <w:sz w:val="24"/>
                <w:lang w:bidi="ar"/>
              </w:rPr>
              <w:t>，施工</w:t>
            </w:r>
            <w:r>
              <w:rPr>
                <w:rFonts w:hint="eastAsia" w:cs="Times New Roman"/>
                <w:color w:val="auto"/>
                <w:kern w:val="0"/>
                <w:sz w:val="24"/>
                <w:lang w:eastAsia="zh-CN" w:bidi="ar"/>
              </w:rPr>
              <w:t>区</w:t>
            </w:r>
            <w:r>
              <w:rPr>
                <w:rFonts w:hint="default" w:ascii="Times New Roman" w:hAnsi="Times New Roman" w:eastAsia="宋体" w:cs="Times New Roman"/>
                <w:color w:val="auto"/>
                <w:kern w:val="0"/>
                <w:sz w:val="24"/>
                <w:lang w:bidi="ar"/>
              </w:rPr>
              <w:t>主要</w:t>
            </w:r>
            <w:r>
              <w:rPr>
                <w:rFonts w:hint="default" w:ascii="Times New Roman" w:hAnsi="Times New Roman" w:eastAsia="宋体" w:cs="Times New Roman"/>
                <w:color w:val="auto"/>
                <w:kern w:val="0"/>
                <w:sz w:val="24"/>
                <w:lang w:val="en-US" w:eastAsia="zh-CN" w:bidi="ar"/>
              </w:rPr>
              <w:t>用于</w:t>
            </w:r>
            <w:r>
              <w:rPr>
                <w:rFonts w:hint="default" w:ascii="Times New Roman" w:hAnsi="Times New Roman" w:eastAsia="宋体" w:cs="Times New Roman"/>
                <w:color w:val="auto"/>
                <w:kern w:val="0"/>
                <w:sz w:val="24"/>
                <w:lang w:bidi="ar"/>
              </w:rPr>
              <w:t>机械设备停放、块石等建</w:t>
            </w:r>
            <w:r>
              <w:rPr>
                <w:rFonts w:hint="default" w:ascii="Times New Roman" w:hAnsi="Times New Roman" w:eastAsia="宋体" w:cs="Times New Roman"/>
                <w:bCs/>
                <w:color w:val="auto"/>
                <w:sz w:val="24"/>
              </w:rPr>
              <w:t>筑材料堆放。施工营地不涉及地表开挖等活动，仅为简单的材料堆放，不会对施工营地内土壤结构产生影响</w:t>
            </w:r>
            <w:r>
              <w:rPr>
                <w:rFonts w:hint="eastAsia" w:cs="Times New Roman"/>
                <w:bCs/>
                <w:color w:val="auto"/>
                <w:sz w:val="24"/>
                <w:lang w:eastAsia="zh-CN"/>
              </w:rPr>
              <w:t>，</w:t>
            </w:r>
            <w:r>
              <w:rPr>
                <w:rFonts w:hint="default"/>
                <w:color w:val="auto"/>
                <w:sz w:val="24"/>
              </w:rPr>
              <w:t>本项目施工布置基本合理</w:t>
            </w:r>
            <w:r>
              <w:rPr>
                <w:rFonts w:hint="default" w:ascii="Times New Roman" w:hAnsi="Times New Roman" w:eastAsia="宋体" w:cs="Times New Roman"/>
                <w:bCs/>
                <w:color w:val="auto"/>
                <w:sz w:val="24"/>
              </w:rPr>
              <w:t>。</w:t>
            </w:r>
          </w:p>
          <w:p>
            <w:pPr>
              <w:keepNext w:val="0"/>
              <w:keepLines w:val="0"/>
              <w:suppressLineNumbers w:val="0"/>
              <w:autoSpaceDE w:val="0"/>
              <w:autoSpaceDN w:val="0"/>
              <w:adjustRightInd w:val="0"/>
              <w:snapToGrid w:val="0"/>
              <w:spacing w:before="120" w:beforeLines="50" w:beforeAutospacing="0" w:after="0" w:afterAutospacing="0" w:line="360" w:lineRule="auto"/>
              <w:ind w:left="0" w:right="0" w:firstLine="0" w:firstLineChars="0"/>
              <w:rPr>
                <w:rFonts w:hint="default" w:ascii="Times New Roman" w:hAnsi="Times New Roman" w:eastAsia="宋体" w:cs="Times New Roman"/>
                <w:bCs/>
                <w:color w:val="0000FF"/>
                <w:sz w:val="24"/>
                <w:lang w:eastAsia="zh-CN"/>
              </w:rPr>
            </w:pPr>
          </w:p>
          <w:p>
            <w:pPr>
              <w:keepNext w:val="0"/>
              <w:keepLines w:val="0"/>
              <w:suppressLineNumbers w:val="0"/>
              <w:autoSpaceDE w:val="0"/>
              <w:autoSpaceDN w:val="0"/>
              <w:adjustRightInd w:val="0"/>
              <w:snapToGrid w:val="0"/>
              <w:spacing w:before="120" w:beforeLines="50" w:beforeAutospacing="0" w:after="0" w:afterAutospacing="0" w:line="360" w:lineRule="auto"/>
              <w:ind w:left="0" w:right="0" w:firstLine="0" w:firstLineChars="0"/>
              <w:rPr>
                <w:rFonts w:hint="default" w:ascii="Times New Roman" w:hAnsi="Times New Roman" w:eastAsia="宋体" w:cs="Times New Roman"/>
                <w:bCs/>
                <w:color w:val="0000FF"/>
                <w:sz w:val="24"/>
                <w:lang w:eastAsia="zh-CN"/>
              </w:rPr>
            </w:pPr>
          </w:p>
          <w:p>
            <w:pPr>
              <w:keepNext w:val="0"/>
              <w:keepLines w:val="0"/>
              <w:suppressLineNumbers w:val="0"/>
              <w:autoSpaceDE w:val="0"/>
              <w:autoSpaceDN w:val="0"/>
              <w:adjustRightInd w:val="0"/>
              <w:snapToGrid w:val="0"/>
              <w:spacing w:before="120" w:beforeLines="50" w:beforeAutospacing="0" w:after="0" w:afterAutospacing="0" w:line="360" w:lineRule="auto"/>
              <w:ind w:left="0" w:right="0" w:firstLine="0" w:firstLineChars="0"/>
              <w:rPr>
                <w:rFonts w:hint="default" w:ascii="Times New Roman" w:hAnsi="Times New Roman" w:eastAsia="宋体" w:cs="Times New Roman"/>
                <w:bCs/>
                <w:color w:val="0000FF"/>
                <w:sz w:val="24"/>
                <w:lang w:eastAsia="zh-CN"/>
              </w:rPr>
            </w:pPr>
          </w:p>
          <w:p>
            <w:pPr>
              <w:keepNext w:val="0"/>
              <w:keepLines w:val="0"/>
              <w:suppressLineNumbers w:val="0"/>
              <w:autoSpaceDE w:val="0"/>
              <w:autoSpaceDN w:val="0"/>
              <w:adjustRightInd w:val="0"/>
              <w:snapToGrid w:val="0"/>
              <w:spacing w:before="120" w:beforeLines="50" w:beforeAutospacing="0" w:after="0" w:afterAutospacing="0" w:line="360" w:lineRule="auto"/>
              <w:ind w:left="0" w:right="0" w:firstLine="0" w:firstLineChars="0"/>
              <w:rPr>
                <w:rFonts w:hint="default" w:ascii="Times New Roman" w:hAnsi="Times New Roman" w:eastAsia="宋体" w:cs="Times New Roman"/>
                <w:bCs/>
                <w:color w:val="0000FF"/>
                <w:sz w:val="24"/>
                <w:lang w:eastAsia="zh-CN"/>
              </w:rPr>
            </w:pPr>
          </w:p>
          <w:p>
            <w:pPr>
              <w:keepNext w:val="0"/>
              <w:keepLines w:val="0"/>
              <w:suppressLineNumbers w:val="0"/>
              <w:autoSpaceDE w:val="0"/>
              <w:autoSpaceDN w:val="0"/>
              <w:adjustRightInd w:val="0"/>
              <w:snapToGrid w:val="0"/>
              <w:spacing w:before="120" w:beforeLines="50" w:beforeAutospacing="0" w:after="0" w:afterAutospacing="0" w:line="360" w:lineRule="auto"/>
              <w:ind w:left="0" w:right="0" w:firstLine="0" w:firstLineChars="0"/>
              <w:rPr>
                <w:rFonts w:hint="default" w:ascii="Times New Roman" w:hAnsi="Times New Roman" w:eastAsia="宋体" w:cs="Times New Roman"/>
                <w:bCs/>
                <w:color w:val="0000FF"/>
                <w:sz w:val="24"/>
                <w:lang w:eastAsia="zh-CN"/>
              </w:rPr>
            </w:pPr>
          </w:p>
          <w:p>
            <w:pPr>
              <w:keepNext w:val="0"/>
              <w:keepLines w:val="0"/>
              <w:suppressLineNumbers w:val="0"/>
              <w:autoSpaceDE w:val="0"/>
              <w:autoSpaceDN w:val="0"/>
              <w:adjustRightInd w:val="0"/>
              <w:snapToGrid w:val="0"/>
              <w:spacing w:before="120" w:beforeLines="50" w:beforeAutospacing="0" w:after="0" w:afterAutospacing="0" w:line="360" w:lineRule="auto"/>
              <w:ind w:left="0" w:right="0" w:firstLine="0" w:firstLineChars="0"/>
              <w:rPr>
                <w:rFonts w:hint="default" w:ascii="Times New Roman" w:hAnsi="Times New Roman" w:eastAsia="宋体" w:cs="Times New Roman"/>
                <w:bCs/>
                <w:color w:val="0000FF"/>
                <w:sz w:val="24"/>
                <w:lang w:eastAsia="zh-CN"/>
              </w:rPr>
            </w:pPr>
          </w:p>
          <w:p>
            <w:pPr>
              <w:keepNext w:val="0"/>
              <w:keepLines w:val="0"/>
              <w:suppressLineNumbers w:val="0"/>
              <w:autoSpaceDE w:val="0"/>
              <w:autoSpaceDN w:val="0"/>
              <w:adjustRightInd w:val="0"/>
              <w:snapToGrid w:val="0"/>
              <w:spacing w:before="120" w:beforeLines="50" w:beforeAutospacing="0" w:after="0" w:afterAutospacing="0" w:line="360" w:lineRule="auto"/>
              <w:ind w:left="0" w:right="0" w:firstLine="0" w:firstLineChars="0"/>
              <w:rPr>
                <w:rFonts w:hint="default" w:ascii="Times New Roman" w:hAnsi="Times New Roman" w:eastAsia="宋体" w:cs="Times New Roman"/>
                <w:bCs/>
                <w:color w:val="0000FF"/>
                <w:sz w:val="24"/>
                <w:lang w:eastAsia="zh-CN"/>
              </w:rPr>
            </w:pPr>
          </w:p>
          <w:p>
            <w:pPr>
              <w:keepNext w:val="0"/>
              <w:keepLines w:val="0"/>
              <w:suppressLineNumbers w:val="0"/>
              <w:autoSpaceDE w:val="0"/>
              <w:autoSpaceDN w:val="0"/>
              <w:adjustRightInd w:val="0"/>
              <w:snapToGrid w:val="0"/>
              <w:spacing w:before="120" w:beforeLines="50" w:beforeAutospacing="0" w:after="0" w:afterAutospacing="0" w:line="360" w:lineRule="auto"/>
              <w:ind w:left="0" w:right="0" w:firstLine="0" w:firstLineChars="0"/>
              <w:rPr>
                <w:rFonts w:hint="default" w:ascii="Times New Roman" w:hAnsi="Times New Roman" w:eastAsia="宋体" w:cs="Times New Roman"/>
                <w:bCs/>
                <w:color w:val="0000FF"/>
                <w:sz w:val="24"/>
                <w:lang w:eastAsia="zh-CN"/>
              </w:rPr>
            </w:pPr>
          </w:p>
          <w:p>
            <w:pPr>
              <w:keepNext w:val="0"/>
              <w:keepLines w:val="0"/>
              <w:suppressLineNumbers w:val="0"/>
              <w:autoSpaceDE w:val="0"/>
              <w:autoSpaceDN w:val="0"/>
              <w:adjustRightInd w:val="0"/>
              <w:snapToGrid w:val="0"/>
              <w:spacing w:before="120" w:beforeLines="50" w:beforeAutospacing="0" w:after="0" w:afterAutospacing="0" w:line="360" w:lineRule="auto"/>
              <w:ind w:left="0" w:right="0" w:firstLine="0" w:firstLineChars="0"/>
              <w:rPr>
                <w:rFonts w:hint="default" w:ascii="Times New Roman" w:hAnsi="Times New Roman" w:eastAsia="宋体" w:cs="Times New Roman"/>
                <w:bCs/>
                <w:color w:val="0000FF"/>
                <w:sz w:val="24"/>
                <w:lang w:eastAsia="zh-CN"/>
              </w:rPr>
            </w:pPr>
          </w:p>
          <w:p>
            <w:pPr>
              <w:keepNext w:val="0"/>
              <w:keepLines w:val="0"/>
              <w:suppressLineNumbers w:val="0"/>
              <w:autoSpaceDE w:val="0"/>
              <w:autoSpaceDN w:val="0"/>
              <w:adjustRightInd w:val="0"/>
              <w:snapToGrid w:val="0"/>
              <w:spacing w:before="120" w:beforeLines="50" w:beforeAutospacing="0" w:after="0" w:afterAutospacing="0" w:line="360" w:lineRule="auto"/>
              <w:ind w:left="0" w:right="0" w:firstLine="0" w:firstLineChars="0"/>
              <w:rPr>
                <w:rFonts w:hint="default" w:ascii="Times New Roman" w:hAnsi="Times New Roman" w:eastAsia="宋体" w:cs="Times New Roman"/>
                <w:bCs/>
                <w:color w:val="0000FF"/>
                <w:sz w:val="24"/>
                <w:lang w:eastAsia="zh-CN"/>
              </w:rPr>
            </w:pPr>
          </w:p>
          <w:p>
            <w:pPr>
              <w:keepNext w:val="0"/>
              <w:keepLines w:val="0"/>
              <w:suppressLineNumbers w:val="0"/>
              <w:autoSpaceDE w:val="0"/>
              <w:autoSpaceDN w:val="0"/>
              <w:adjustRightInd w:val="0"/>
              <w:snapToGrid w:val="0"/>
              <w:spacing w:before="120" w:beforeLines="50" w:beforeAutospacing="0" w:after="0" w:afterAutospacing="0" w:line="360" w:lineRule="auto"/>
              <w:ind w:left="0" w:right="0" w:firstLine="0" w:firstLineChars="0"/>
              <w:rPr>
                <w:rFonts w:hint="default" w:ascii="Times New Roman" w:hAnsi="Times New Roman" w:eastAsia="宋体" w:cs="Times New Roman"/>
                <w:bCs/>
                <w:color w:val="0000FF"/>
                <w:sz w:val="24"/>
                <w:lang w:eastAsia="zh-CN"/>
              </w:rPr>
            </w:pPr>
          </w:p>
          <w:p>
            <w:pPr>
              <w:keepNext w:val="0"/>
              <w:keepLines w:val="0"/>
              <w:suppressLineNumbers w:val="0"/>
              <w:autoSpaceDE w:val="0"/>
              <w:autoSpaceDN w:val="0"/>
              <w:adjustRightInd w:val="0"/>
              <w:snapToGrid w:val="0"/>
              <w:spacing w:before="120" w:beforeLines="50" w:beforeAutospacing="0" w:after="0" w:afterAutospacing="0" w:line="360" w:lineRule="auto"/>
              <w:ind w:left="0" w:right="0" w:firstLine="0" w:firstLineChars="0"/>
              <w:rPr>
                <w:rFonts w:hint="default" w:ascii="Times New Roman" w:hAnsi="Times New Roman" w:eastAsia="宋体" w:cs="Times New Roman"/>
                <w:bCs/>
                <w:color w:val="0000FF"/>
                <w:sz w:val="24"/>
                <w:lang w:eastAsia="zh-CN"/>
              </w:rPr>
            </w:pPr>
          </w:p>
          <w:p>
            <w:pPr>
              <w:keepNext w:val="0"/>
              <w:keepLines w:val="0"/>
              <w:suppressLineNumbers w:val="0"/>
              <w:autoSpaceDE w:val="0"/>
              <w:autoSpaceDN w:val="0"/>
              <w:adjustRightInd w:val="0"/>
              <w:snapToGrid w:val="0"/>
              <w:spacing w:before="120" w:beforeLines="50" w:beforeAutospacing="0" w:after="0" w:afterAutospacing="0" w:line="360" w:lineRule="auto"/>
              <w:ind w:left="0" w:right="0" w:firstLine="0" w:firstLineChars="0"/>
              <w:rPr>
                <w:rFonts w:hint="default" w:ascii="Times New Roman" w:hAnsi="Times New Roman" w:eastAsia="宋体" w:cs="Times New Roman"/>
                <w:bCs/>
                <w:color w:val="0000FF"/>
                <w:sz w:val="24"/>
                <w:lang w:eastAsia="zh-CN"/>
              </w:rPr>
            </w:pPr>
          </w:p>
          <w:p>
            <w:pPr>
              <w:keepNext w:val="0"/>
              <w:keepLines w:val="0"/>
              <w:suppressLineNumbers w:val="0"/>
              <w:autoSpaceDE w:val="0"/>
              <w:autoSpaceDN w:val="0"/>
              <w:adjustRightInd w:val="0"/>
              <w:snapToGrid w:val="0"/>
              <w:spacing w:before="120" w:beforeLines="50" w:beforeAutospacing="0" w:after="0" w:afterAutospacing="0" w:line="360" w:lineRule="auto"/>
              <w:ind w:left="0" w:right="0" w:firstLine="0" w:firstLineChars="0"/>
              <w:rPr>
                <w:rFonts w:hint="default" w:ascii="Times New Roman" w:hAnsi="Times New Roman" w:eastAsia="宋体" w:cs="Times New Roman"/>
                <w:bCs/>
                <w:color w:val="0000FF"/>
                <w:sz w:val="24"/>
                <w:lang w:eastAsia="zh-CN"/>
              </w:rPr>
            </w:pPr>
          </w:p>
          <w:p>
            <w:pPr>
              <w:keepNext w:val="0"/>
              <w:keepLines w:val="0"/>
              <w:suppressLineNumbers w:val="0"/>
              <w:autoSpaceDE w:val="0"/>
              <w:autoSpaceDN w:val="0"/>
              <w:adjustRightInd w:val="0"/>
              <w:snapToGrid w:val="0"/>
              <w:spacing w:before="120" w:beforeLines="50" w:beforeAutospacing="0" w:after="0" w:afterAutospacing="0" w:line="360" w:lineRule="auto"/>
              <w:ind w:left="0" w:right="0" w:firstLine="0" w:firstLineChars="0"/>
              <w:rPr>
                <w:rFonts w:hint="default" w:ascii="Times New Roman" w:hAnsi="Times New Roman" w:eastAsia="宋体" w:cs="Times New Roman"/>
                <w:bCs/>
                <w:color w:val="0000FF"/>
                <w:sz w:val="24"/>
                <w:lang w:eastAsia="zh-CN"/>
              </w:rPr>
            </w:pPr>
          </w:p>
        </w:tc>
      </w:tr>
    </w:tbl>
    <w:p>
      <w:pPr>
        <w:jc w:val="center"/>
        <w:outlineLvl w:val="0"/>
        <w:rPr>
          <w:rFonts w:hint="default" w:ascii="Times New Roman" w:hAnsi="Times New Roman" w:eastAsia="黑体" w:cs="Times New Roman"/>
          <w:snapToGrid w:val="0"/>
          <w:color w:val="0000FF"/>
          <w:sz w:val="30"/>
          <w:szCs w:val="30"/>
        </w:rPr>
        <w:sectPr>
          <w:pgSz w:w="11907" w:h="16840"/>
          <w:pgMar w:top="1417" w:right="1417" w:bottom="1417" w:left="1417" w:header="851" w:footer="1077" w:gutter="0"/>
          <w:pgBorders>
            <w:top w:val="none" w:sz="0" w:space="0"/>
            <w:left w:val="none" w:sz="0" w:space="0"/>
            <w:bottom w:val="none" w:sz="0" w:space="0"/>
            <w:right w:val="none" w:sz="0" w:space="0"/>
          </w:pgBorders>
          <w:pgNumType w:fmt="numberInDash"/>
          <w:cols w:space="720" w:num="1"/>
          <w:docGrid w:linePitch="312" w:charSpace="0"/>
        </w:sectPr>
      </w:pPr>
    </w:p>
    <w:p>
      <w:pPr>
        <w:widowControl/>
        <w:spacing w:before="100" w:beforeAutospacing="1" w:after="100" w:afterAutospacing="1"/>
        <w:jc w:val="center"/>
        <w:outlineLvl w:val="0"/>
        <w:rPr>
          <w:rFonts w:hint="default" w:ascii="Times New Roman" w:hAnsi="Times New Roman" w:eastAsia="黑体" w:cs="Times New Roman"/>
          <w:snapToGrid w:val="0"/>
          <w:color w:val="auto"/>
          <w:kern w:val="0"/>
          <w:sz w:val="30"/>
          <w:szCs w:val="30"/>
          <w:lang w:val="en-US" w:eastAsia="zh-CN" w:bidi="ar-SA"/>
        </w:rPr>
      </w:pPr>
      <w:r>
        <w:rPr>
          <w:rFonts w:hint="default" w:ascii="Times New Roman" w:hAnsi="Times New Roman" w:eastAsia="黑体" w:cs="Times New Roman"/>
          <w:snapToGrid w:val="0"/>
          <w:color w:val="auto"/>
          <w:kern w:val="0"/>
          <w:sz w:val="30"/>
          <w:szCs w:val="30"/>
          <w:lang w:val="en-US" w:eastAsia="zh-CN" w:bidi="ar-SA"/>
        </w:rPr>
        <w:t>五、主要生态环境保护措施</w:t>
      </w:r>
    </w:p>
    <w:tbl>
      <w:tblPr>
        <w:tblStyle w:val="21"/>
        <w:tblW w:w="909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2"/>
        <w:gridCol w:w="83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90" w:hRule="atLeast"/>
          <w:jc w:val="center"/>
        </w:trPr>
        <w:tc>
          <w:tcPr>
            <w:tcW w:w="722" w:type="dxa"/>
            <w:tcBorders>
              <w:tl2br w:val="nil"/>
              <w:tr2bl w:val="nil"/>
            </w:tcBorders>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0000FF"/>
                <w:sz w:val="24"/>
              </w:rPr>
            </w:pPr>
            <w:r>
              <w:rPr>
                <w:rFonts w:hint="default" w:ascii="Times New Roman" w:hAnsi="Times New Roman" w:eastAsia="宋体" w:cs="Times New Roman"/>
                <w:b/>
                <w:bCs w:val="0"/>
                <w:color w:val="auto"/>
                <w:spacing w:val="10"/>
                <w:sz w:val="24"/>
              </w:rPr>
              <w:t>施工期生态环境保护措施</w:t>
            </w:r>
          </w:p>
        </w:tc>
        <w:tc>
          <w:tcPr>
            <w:tcW w:w="8371" w:type="dxa"/>
            <w:tcBorders>
              <w:tl2br w:val="nil"/>
              <w:tr2bl w:val="nil"/>
            </w:tcBorders>
            <w:vAlign w:val="top"/>
          </w:tcPr>
          <w:p>
            <w:pPr>
              <w:keepNext w:val="0"/>
              <w:keepLines w:val="0"/>
              <w:pageBreakBefore w:val="0"/>
              <w:widowControl w:val="0"/>
              <w:numPr>
                <w:ilvl w:val="0"/>
                <w:numId w:val="3"/>
              </w:numPr>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522" w:firstLineChars="200"/>
              <w:textAlignment w:val="auto"/>
              <w:rPr>
                <w:rFonts w:hint="default" w:ascii="Times New Roman" w:hAnsi="Times New Roman" w:eastAsia="宋体" w:cs="Times New Roman"/>
                <w:b/>
                <w:bCs/>
                <w:color w:val="auto"/>
                <w:spacing w:val="10"/>
                <w:sz w:val="24"/>
              </w:rPr>
            </w:pPr>
            <w:r>
              <w:rPr>
                <w:rFonts w:hint="default" w:ascii="Times New Roman" w:hAnsi="Times New Roman" w:eastAsia="宋体" w:cs="Times New Roman"/>
                <w:b/>
                <w:bCs/>
                <w:color w:val="auto"/>
                <w:spacing w:val="10"/>
                <w:sz w:val="24"/>
              </w:rPr>
              <w:t>生态环境</w:t>
            </w:r>
            <w:r>
              <w:rPr>
                <w:rFonts w:hint="eastAsia" w:cs="Times New Roman"/>
                <w:b/>
                <w:bCs/>
                <w:color w:val="auto"/>
                <w:spacing w:val="10"/>
                <w:sz w:val="24"/>
                <w:lang w:val="en-US" w:eastAsia="zh-CN"/>
              </w:rPr>
              <w:t>保护</w:t>
            </w:r>
            <w:r>
              <w:rPr>
                <w:rFonts w:hint="default" w:ascii="Times New Roman" w:hAnsi="Times New Roman" w:eastAsia="宋体" w:cs="Times New Roman"/>
                <w:b/>
                <w:bCs/>
                <w:color w:val="auto"/>
                <w:spacing w:val="10"/>
                <w:sz w:val="24"/>
              </w:rPr>
              <w:t>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0" w:firstLineChars="200"/>
              <w:textAlignment w:val="auto"/>
              <w:rPr>
                <w:rFonts w:hint="eastAsia" w:ascii="Times New Roman" w:hAnsi="Times New Roman" w:eastAsia="宋体" w:cs="Times New Roman"/>
                <w:bCs/>
                <w:color w:val="auto"/>
                <w:sz w:val="24"/>
                <w:lang w:eastAsia="zh-CN"/>
              </w:rPr>
            </w:pPr>
            <w:r>
              <w:rPr>
                <w:rFonts w:hint="eastAsia" w:ascii="Times New Roman" w:hAnsi="Times New Roman" w:eastAsia="宋体" w:cs="Times New Roman"/>
                <w:bCs/>
                <w:color w:val="auto"/>
                <w:sz w:val="24"/>
                <w:lang w:eastAsia="zh-CN"/>
              </w:rPr>
              <w:t>工程建设中有土方开挖、机械碾压等工作，这样势必会造成占地范围植被的破坏，部分施工活动会影响区域周边的动物的栖息和觅食，同时会带来扬尘、水土流失等环境问题。为了有效保护工程所在区域的生态环境，本项目施工期生态防治措施：</w:t>
            </w:r>
          </w:p>
          <w:p>
            <w:pPr>
              <w:keepNext w:val="0"/>
              <w:keepLines w:val="0"/>
              <w:pageBreakBefore w:val="0"/>
              <w:suppressLineNumbers w:val="0"/>
              <w:kinsoku/>
              <w:wordWrap/>
              <w:overflowPunct/>
              <w:topLinePunct w:val="0"/>
              <w:bidi w:val="0"/>
              <w:spacing w:before="0" w:beforeAutospacing="0" w:after="0" w:afterAutospacing="0" w:line="540" w:lineRule="exact"/>
              <w:ind w:left="0" w:right="0" w:firstLine="482" w:firstLineChars="200"/>
              <w:textAlignment w:val="auto"/>
              <w:rPr>
                <w:rFonts w:hint="default" w:ascii="Times New Roman" w:hAnsi="Times New Roman" w:eastAsia="宋体" w:cs="Times New Roman"/>
                <w:b/>
                <w:bCs/>
                <w:color w:val="auto"/>
                <w:kern w:val="0"/>
                <w:sz w:val="24"/>
                <w:lang w:bidi="ar"/>
              </w:rPr>
            </w:pPr>
            <w:r>
              <w:rPr>
                <w:rFonts w:hint="default" w:ascii="Times New Roman" w:hAnsi="Times New Roman" w:eastAsia="宋体" w:cs="Times New Roman"/>
                <w:b/>
                <w:bCs/>
                <w:color w:val="auto"/>
                <w:kern w:val="0"/>
                <w:sz w:val="24"/>
                <w:lang w:bidi="ar"/>
              </w:rPr>
              <w:t>⑴陆生生态保护措施</w:t>
            </w:r>
          </w:p>
          <w:p>
            <w:pPr>
              <w:keepNext w:val="0"/>
              <w:keepLines w:val="0"/>
              <w:pageBreakBefore w:val="0"/>
              <w:suppressLineNumbers w:val="0"/>
              <w:kinsoku/>
              <w:wordWrap/>
              <w:overflowPunct/>
              <w:topLinePunct w:val="0"/>
              <w:bidi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1）植物保护措施</w:t>
            </w:r>
          </w:p>
          <w:p>
            <w:pPr>
              <w:keepNext w:val="0"/>
              <w:keepLines w:val="0"/>
              <w:pageBreakBefore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bCs/>
                <w:color w:val="auto"/>
                <w:sz w:val="24"/>
              </w:rPr>
            </w:pPr>
            <w:bookmarkStart w:id="19" w:name="_Toc8196"/>
            <w:bookmarkStart w:id="20" w:name="_Toc20096"/>
            <w:bookmarkStart w:id="21" w:name="_Toc25282"/>
            <w:bookmarkStart w:id="22" w:name="_Toc8318"/>
            <w:bookmarkStart w:id="23" w:name="_Toc8352"/>
            <w:r>
              <w:rPr>
                <w:rFonts w:hint="default" w:ascii="Times New Roman" w:hAnsi="Times New Roman" w:eastAsia="宋体" w:cs="Times New Roman"/>
                <w:bCs/>
                <w:color w:val="auto"/>
                <w:sz w:val="24"/>
              </w:rPr>
              <w:t>①避让措施</w:t>
            </w:r>
          </w:p>
          <w:p>
            <w:pPr>
              <w:keepNext w:val="0"/>
              <w:keepLines w:val="0"/>
              <w:pageBreakBefore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textAlignment w:val="auto"/>
              <w:rPr>
                <w:rFonts w:hint="eastAsia" w:ascii="Times New Roman" w:hAnsi="Times New Roman" w:eastAsia="宋体" w:cs="Times New Roman"/>
                <w:bCs/>
                <w:color w:val="auto"/>
                <w:sz w:val="24"/>
                <w:lang w:eastAsia="zh-CN"/>
              </w:rPr>
            </w:pPr>
            <w:r>
              <w:rPr>
                <w:rFonts w:hint="default" w:ascii="Times New Roman" w:hAnsi="Times New Roman" w:eastAsia="宋体" w:cs="Times New Roman"/>
                <w:bCs/>
                <w:color w:val="auto"/>
                <w:sz w:val="24"/>
              </w:rPr>
              <w:t>施工期严格控制和管理车辆机械和施工人员的活动范围，防止扩大对地表的扰动，设置水土保持管理措施。</w:t>
            </w:r>
            <w:r>
              <w:rPr>
                <w:rFonts w:hint="eastAsia" w:cs="Times New Roman"/>
                <w:bCs/>
                <w:color w:val="auto"/>
                <w:sz w:val="24"/>
                <w:lang w:eastAsia="zh-CN"/>
              </w:rPr>
              <w:t>采用半封闭施工方式，尽量减少多陆生动物及栖息地的破坏。</w:t>
            </w:r>
          </w:p>
          <w:p>
            <w:pPr>
              <w:keepNext w:val="0"/>
              <w:keepLines w:val="0"/>
              <w:pageBreakBefore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bCs/>
                <w:color w:val="auto"/>
                <w:sz w:val="24"/>
              </w:rPr>
              <w:t>②</w:t>
            </w:r>
            <w:r>
              <w:rPr>
                <w:rFonts w:hint="default" w:ascii="Times New Roman" w:hAnsi="Times New Roman" w:eastAsia="宋体" w:cs="Times New Roman"/>
                <w:color w:val="auto"/>
                <w:kern w:val="0"/>
                <w:sz w:val="24"/>
              </w:rPr>
              <w:t>减缓措施</w:t>
            </w:r>
            <w:bookmarkEnd w:id="19"/>
            <w:bookmarkEnd w:id="20"/>
            <w:bookmarkEnd w:id="21"/>
            <w:bookmarkEnd w:id="22"/>
            <w:bookmarkEnd w:id="23"/>
          </w:p>
          <w:p>
            <w:pPr>
              <w:keepNext w:val="0"/>
              <w:keepLines w:val="0"/>
              <w:pageBreakBefore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严格控制工程活动范围，加强监理工作。确保工人在征地范围内活动，从而减轻非因素对周围植物及植被的占用与压踏。</w:t>
            </w:r>
          </w:p>
          <w:p>
            <w:pPr>
              <w:keepNext w:val="0"/>
              <w:keepLines w:val="0"/>
              <w:pageBreakBefore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设置警示牌，在工程现场各主要区域、生态保护目标及植被较好的地段设置生态保护警示牌。警示牌上标明工程区范围，禁止越界施工，尽量减少占地造成的植被损失。</w:t>
            </w:r>
          </w:p>
          <w:p>
            <w:pPr>
              <w:keepNext w:val="0"/>
              <w:keepLines w:val="0"/>
              <w:pageBreakBefore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加强宣传教育活动，强化对现有生态的保护。开工前印发生态保护手册，加强对工人的法律和生态保护知识的宣传教育，强化生态保护意识。</w:t>
            </w:r>
          </w:p>
          <w:p>
            <w:pPr>
              <w:keepNext w:val="0"/>
              <w:keepLines w:val="0"/>
              <w:pageBreakBefore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bookmarkStart w:id="24" w:name="_Toc23100"/>
            <w:bookmarkStart w:id="25" w:name="_Toc16605"/>
            <w:bookmarkStart w:id="26" w:name="_Toc24011"/>
            <w:bookmarkStart w:id="27" w:name="_Toc9743"/>
            <w:bookmarkStart w:id="28" w:name="_Toc1587"/>
            <w:r>
              <w:rPr>
                <w:rFonts w:hint="default" w:ascii="Times New Roman" w:hAnsi="Times New Roman" w:eastAsia="宋体" w:cs="Times New Roman"/>
                <w:color w:val="auto"/>
                <w:kern w:val="0"/>
                <w:sz w:val="24"/>
              </w:rPr>
              <w:t>③恢复与补偿措施</w:t>
            </w:r>
            <w:bookmarkEnd w:id="24"/>
            <w:bookmarkEnd w:id="25"/>
            <w:bookmarkEnd w:id="26"/>
            <w:bookmarkEnd w:id="27"/>
            <w:bookmarkEnd w:id="28"/>
          </w:p>
          <w:p>
            <w:pPr>
              <w:keepNext w:val="0"/>
              <w:keepLines w:val="0"/>
              <w:pageBreakBefore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工程结束后，对</w:t>
            </w:r>
            <w:r>
              <w:rPr>
                <w:rFonts w:hint="default" w:ascii="Times New Roman" w:hAnsi="Times New Roman" w:eastAsia="宋体" w:cs="Times New Roman"/>
                <w:color w:val="auto"/>
                <w:kern w:val="0"/>
                <w:sz w:val="24"/>
                <w:lang w:val="en-US" w:eastAsia="zh-CN"/>
              </w:rPr>
              <w:t>施工区域</w:t>
            </w:r>
            <w:r>
              <w:rPr>
                <w:rFonts w:hint="default" w:ascii="Times New Roman" w:hAnsi="Times New Roman" w:eastAsia="宋体" w:cs="Times New Roman"/>
                <w:color w:val="auto"/>
                <w:kern w:val="0"/>
                <w:sz w:val="24"/>
              </w:rPr>
              <w:t>应进行场地清理、土地整治后采取复垦的方式恢复</w:t>
            </w:r>
            <w:r>
              <w:rPr>
                <w:rFonts w:hint="eastAsia" w:cs="Times New Roman"/>
                <w:color w:val="auto"/>
                <w:kern w:val="0"/>
                <w:sz w:val="24"/>
                <w:lang w:val="en-US" w:eastAsia="zh-CN"/>
              </w:rPr>
              <w:t>生态环境</w:t>
            </w:r>
            <w:r>
              <w:rPr>
                <w:rFonts w:hint="default" w:ascii="Times New Roman" w:hAnsi="Times New Roman" w:eastAsia="宋体" w:cs="Times New Roman"/>
                <w:color w:val="auto"/>
                <w:kern w:val="0"/>
                <w:sz w:val="24"/>
              </w:rPr>
              <w:t>。植被恢复时应遵循“适地适草”的原则。在植被恢复措施中应注意的技术要点有：</w:t>
            </w:r>
          </w:p>
          <w:p>
            <w:pPr>
              <w:keepNext w:val="0"/>
              <w:keepLines w:val="0"/>
              <w:pageBreakBefore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保护原有生态系统：在植被修复过程中，必须尽量保护占地区域原有体系的生态环境。</w:t>
            </w:r>
          </w:p>
          <w:p>
            <w:pPr>
              <w:keepNext w:val="0"/>
              <w:keepLines w:val="0"/>
              <w:pageBreakBefore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选择适宜的恢复物种：尽量选用适生性强、生长快、自我繁殖和更新能力强的乡土植物进行植被恢复，同时为提高区域生物多样性，应适当引进新的优良植物，在恢复物种选择时应防止外来入侵种的扩散。</w:t>
            </w:r>
          </w:p>
          <w:p>
            <w:pPr>
              <w:keepNext w:val="0"/>
              <w:keepLines w:val="0"/>
              <w:pageBreakBefore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bookmarkStart w:id="29" w:name="_Toc28522"/>
            <w:bookmarkStart w:id="30" w:name="_Toc21852"/>
            <w:bookmarkStart w:id="31" w:name="_Toc5854"/>
            <w:bookmarkStart w:id="32" w:name="_Toc4179"/>
            <w:bookmarkStart w:id="33" w:name="_Toc21504"/>
            <w:r>
              <w:rPr>
                <w:rFonts w:hint="default" w:ascii="Times New Roman" w:hAnsi="Times New Roman" w:eastAsia="宋体" w:cs="Times New Roman"/>
                <w:color w:val="auto"/>
                <w:kern w:val="0"/>
                <w:sz w:val="24"/>
              </w:rPr>
              <w:t>④管理措施</w:t>
            </w:r>
            <w:bookmarkEnd w:id="29"/>
            <w:bookmarkEnd w:id="30"/>
            <w:bookmarkEnd w:id="31"/>
            <w:bookmarkEnd w:id="32"/>
            <w:bookmarkEnd w:id="33"/>
          </w:p>
          <w:p>
            <w:pPr>
              <w:keepNext w:val="0"/>
              <w:keepLines w:val="0"/>
              <w:pageBreakBefore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制定工程建设的生态保护规定。成立项目生态保护工作领导小组，明确职责和工作范围，加强对工程建设过程中生态保护工作的领导和监督。</w:t>
            </w:r>
          </w:p>
          <w:p>
            <w:pPr>
              <w:keepNext w:val="0"/>
              <w:keepLines w:val="0"/>
              <w:pageBreakBefore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在工程管理机构应设置生态环境管理人员，建立各种生态管理及报告制度。</w:t>
            </w:r>
          </w:p>
          <w:p>
            <w:pPr>
              <w:keepNext w:val="0"/>
              <w:keepLines w:val="0"/>
              <w:pageBreakBefore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加强对施工人员、周边居民的宣传教育培训工作，树立生态绿色施工理念，提高环保认知。</w:t>
            </w:r>
          </w:p>
          <w:p>
            <w:pPr>
              <w:keepNext w:val="0"/>
              <w:keepLines w:val="0"/>
              <w:pageBreakBefore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加强对施工人员及施工活动的管理。施工过程中，加强人员的管理，禁止施工人员对植被滥砍滥伐，严格限制施工人员在施工现场的活动范围，防止破坏沿线的生态环境。</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b/>
                <w:bCs w:val="0"/>
                <w:color w:val="0000FF"/>
                <w:spacing w:val="10"/>
                <w:sz w:val="24"/>
              </w:rPr>
            </w:pPr>
            <w:r>
              <w:rPr>
                <w:rFonts w:hint="default" w:ascii="Times New Roman" w:hAnsi="Times New Roman" w:eastAsia="宋体" w:cs="Times New Roman"/>
                <w:color w:val="auto"/>
                <w:kern w:val="0"/>
                <w:sz w:val="24"/>
              </w:rPr>
              <w:t>虽然评价区未发现重点保护野生植物，但仍建议制定评价区内可能出现的重点保护野生植物宣传册，提高施工人员识别能力，发现后及时上报并采取相应的保护措施。</w:t>
            </w:r>
          </w:p>
          <w:p>
            <w:pPr>
              <w:keepNext w:val="0"/>
              <w:keepLines w:val="0"/>
              <w:pageBreakBefore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2）动物保护措施</w:t>
            </w:r>
          </w:p>
          <w:p>
            <w:pPr>
              <w:keepNext w:val="0"/>
              <w:keepLines w:val="0"/>
              <w:pageBreakBefore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bookmarkStart w:id="34" w:name="_Toc698"/>
            <w:bookmarkStart w:id="35" w:name="_Toc26569"/>
            <w:bookmarkStart w:id="36" w:name="_Toc936"/>
            <w:bookmarkStart w:id="37" w:name="_Toc16462"/>
            <w:bookmarkStart w:id="38" w:name="_Toc13991"/>
            <w:r>
              <w:rPr>
                <w:rFonts w:hint="default" w:ascii="Times New Roman" w:hAnsi="Times New Roman" w:eastAsia="宋体" w:cs="Times New Roman"/>
                <w:color w:val="auto"/>
                <w:kern w:val="0"/>
                <w:sz w:val="24"/>
              </w:rPr>
              <w:t>①避免和消减措施</w:t>
            </w:r>
            <w:bookmarkEnd w:id="34"/>
            <w:bookmarkEnd w:id="35"/>
            <w:bookmarkEnd w:id="36"/>
            <w:bookmarkEnd w:id="37"/>
            <w:bookmarkEnd w:id="38"/>
          </w:p>
          <w:p>
            <w:pPr>
              <w:keepNext w:val="0"/>
              <w:keepLines w:val="0"/>
              <w:pageBreakBefore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增强工程人员的保护意识，严禁捕猎野生动物。工人必须遵守《中华人民共和国野生动物保护法》。对工人进行宣传教育，严禁捕杀野生动物，施工过程中如遇到要尽量保护。</w:t>
            </w:r>
          </w:p>
          <w:p>
            <w:pPr>
              <w:keepNext w:val="0"/>
              <w:keepLines w:val="0"/>
              <w:pageBreakBefore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高噪声作业等要避开野生动物活动的高峰期，如晨昏等。夜行</w:t>
            </w:r>
            <w:r>
              <w:rPr>
                <w:rFonts w:hint="default" w:ascii="Times New Roman" w:hAnsi="Times New Roman" w:eastAsia="宋体" w:cs="Times New Roman"/>
                <w:color w:val="auto"/>
                <w:kern w:val="0"/>
                <w:sz w:val="24"/>
                <w:lang w:eastAsia="zh-CN"/>
              </w:rPr>
              <w:t>性</w:t>
            </w:r>
            <w:r>
              <w:rPr>
                <w:rFonts w:hint="default" w:ascii="Times New Roman" w:hAnsi="Times New Roman" w:eastAsia="宋体" w:cs="Times New Roman"/>
                <w:color w:val="auto"/>
                <w:kern w:val="0"/>
                <w:sz w:val="24"/>
              </w:rPr>
              <w:t>动物对灯光较为敏感，开工尽量安排在白天进行，避免夜间施工对野生动物正常栖息生活造成影响。禁止高噪声设备在晨昏和夜间运行，减少噪声对动物的干扰。</w:t>
            </w:r>
          </w:p>
          <w:p>
            <w:pPr>
              <w:keepNext w:val="0"/>
              <w:keepLines w:val="0"/>
              <w:pageBreakBefore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加强施工管理，严格控制在征地范围内施工，避免对征地范围外</w:t>
            </w:r>
            <w:r>
              <w:rPr>
                <w:rFonts w:hint="default" w:ascii="Times New Roman" w:hAnsi="Times New Roman" w:eastAsia="宋体" w:cs="Times New Roman"/>
                <w:color w:val="auto"/>
                <w:kern w:val="0"/>
                <w:sz w:val="24"/>
                <w:lang w:eastAsia="zh-CN"/>
              </w:rPr>
              <w:t>的其他</w:t>
            </w:r>
            <w:r>
              <w:rPr>
                <w:rFonts w:hint="default" w:ascii="Times New Roman" w:hAnsi="Times New Roman" w:eastAsia="宋体" w:cs="Times New Roman"/>
                <w:color w:val="auto"/>
                <w:kern w:val="0"/>
                <w:sz w:val="24"/>
              </w:rPr>
              <w:t>土地的占用，减少对野生动物</w:t>
            </w:r>
            <w:r>
              <w:rPr>
                <w:rFonts w:hint="eastAsia" w:ascii="Times New Roman" w:hAnsi="Times New Roman" w:eastAsia="宋体" w:cs="Times New Roman"/>
                <w:color w:val="auto"/>
                <w:kern w:val="0"/>
                <w:sz w:val="24"/>
                <w:lang w:val="en-US" w:eastAsia="zh-CN"/>
              </w:rPr>
              <w:t>生存环境</w:t>
            </w:r>
            <w:r>
              <w:rPr>
                <w:rFonts w:hint="default" w:ascii="Times New Roman" w:hAnsi="Times New Roman" w:eastAsia="宋体" w:cs="Times New Roman"/>
                <w:color w:val="auto"/>
                <w:kern w:val="0"/>
                <w:sz w:val="24"/>
              </w:rPr>
              <w:t>的占用。</w:t>
            </w:r>
          </w:p>
          <w:p>
            <w:pPr>
              <w:keepNext w:val="0"/>
              <w:keepLines w:val="0"/>
              <w:pageBreakBefore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设置警示牌，严格控制车速，避免对两栖爬行类及小型兽类造成碾压。</w:t>
            </w:r>
          </w:p>
          <w:p>
            <w:pPr>
              <w:keepNext w:val="0"/>
              <w:keepLines w:val="0"/>
              <w:pageBreakBefore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施工期间加强施工人员管理，</w:t>
            </w:r>
            <w:bookmarkStart w:id="52" w:name="_GoBack"/>
            <w:bookmarkEnd w:id="52"/>
            <w:r>
              <w:rPr>
                <w:rFonts w:hint="default" w:ascii="Times New Roman" w:hAnsi="Times New Roman" w:eastAsia="宋体" w:cs="Times New Roman"/>
                <w:color w:val="auto"/>
                <w:kern w:val="0"/>
                <w:sz w:val="24"/>
              </w:rPr>
              <w:t>严禁使用烟火，防止发生火灾。</w:t>
            </w:r>
          </w:p>
          <w:p>
            <w:pPr>
              <w:keepNext w:val="0"/>
              <w:keepLines w:val="0"/>
              <w:pageBreakBefore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bookmarkStart w:id="39" w:name="_Toc27065"/>
            <w:bookmarkStart w:id="40" w:name="_Toc8386"/>
            <w:bookmarkStart w:id="41" w:name="_Toc4656"/>
            <w:bookmarkStart w:id="42" w:name="_Toc26621"/>
            <w:bookmarkStart w:id="43" w:name="_Toc1188"/>
            <w:r>
              <w:rPr>
                <w:rFonts w:hint="default" w:ascii="Times New Roman" w:hAnsi="Times New Roman" w:eastAsia="宋体" w:cs="Times New Roman"/>
                <w:color w:val="auto"/>
                <w:kern w:val="0"/>
                <w:sz w:val="24"/>
              </w:rPr>
              <w:t>②恢复和补偿措施</w:t>
            </w:r>
            <w:bookmarkEnd w:id="39"/>
            <w:bookmarkEnd w:id="40"/>
            <w:bookmarkEnd w:id="41"/>
            <w:bookmarkEnd w:id="42"/>
            <w:bookmarkEnd w:id="43"/>
          </w:p>
          <w:p>
            <w:pPr>
              <w:keepNext w:val="0"/>
              <w:keepLines w:val="0"/>
              <w:pageBreakBefore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项目工程完成后，采取一些人工辅助的生态恢复措施，对</w:t>
            </w:r>
            <w:r>
              <w:rPr>
                <w:rFonts w:hint="default" w:ascii="Times New Roman" w:hAnsi="Times New Roman" w:eastAsia="宋体" w:cs="Times New Roman"/>
                <w:color w:val="auto"/>
                <w:kern w:val="0"/>
                <w:sz w:val="24"/>
                <w:lang w:val="en-US" w:eastAsia="zh-CN"/>
              </w:rPr>
              <w:t>施工区域</w:t>
            </w:r>
            <w:r>
              <w:rPr>
                <w:rFonts w:hint="default" w:ascii="Times New Roman" w:hAnsi="Times New Roman" w:eastAsia="宋体" w:cs="Times New Roman"/>
                <w:color w:val="auto"/>
                <w:kern w:val="0"/>
                <w:sz w:val="24"/>
              </w:rPr>
              <w:t>及时进行植被恢复。</w:t>
            </w:r>
          </w:p>
          <w:p>
            <w:pPr>
              <w:keepNext w:val="0"/>
              <w:keepLines w:val="0"/>
              <w:pageBreakBefore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bookmarkStart w:id="44" w:name="_Toc12586"/>
            <w:bookmarkStart w:id="45" w:name="_Toc14366"/>
            <w:bookmarkStart w:id="46" w:name="_Toc29949"/>
            <w:bookmarkStart w:id="47" w:name="_Toc15057"/>
            <w:bookmarkStart w:id="48" w:name="_Toc25811"/>
            <w:r>
              <w:rPr>
                <w:rFonts w:hint="default" w:ascii="Times New Roman" w:hAnsi="Times New Roman" w:eastAsia="宋体" w:cs="Times New Roman"/>
                <w:color w:val="auto"/>
                <w:kern w:val="0"/>
                <w:sz w:val="24"/>
              </w:rPr>
              <w:t>③管理措施</w:t>
            </w:r>
            <w:bookmarkEnd w:id="44"/>
            <w:bookmarkEnd w:id="45"/>
            <w:bookmarkEnd w:id="46"/>
            <w:bookmarkEnd w:id="47"/>
            <w:bookmarkEnd w:id="48"/>
          </w:p>
          <w:p>
            <w:pPr>
              <w:keepNext w:val="0"/>
              <w:keepLines w:val="0"/>
              <w:pageBreakBefore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加强施工监控和管理。企业必须配备包括保护野生动物和生态环境在内的专职或兼职巡护人员，加强生态环境的监控和管理，防止人类开发活动加剧造成的诸如动植物资源的破坏、水环境污染和火灾等对当地生物多样性的破坏。</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b/>
                <w:bCs w:val="0"/>
                <w:color w:val="0000FF"/>
                <w:spacing w:val="10"/>
                <w:sz w:val="24"/>
              </w:rPr>
            </w:pPr>
            <w:r>
              <w:rPr>
                <w:rFonts w:hint="default" w:ascii="Times New Roman" w:hAnsi="Times New Roman" w:eastAsia="宋体" w:cs="Times New Roman"/>
                <w:color w:val="auto"/>
                <w:kern w:val="0"/>
                <w:sz w:val="24"/>
              </w:rPr>
              <w:t>工程期间一定时间内在评价区内进行生态监测，以及时评估项目对生态环境的影响。</w:t>
            </w:r>
          </w:p>
          <w:p>
            <w:pPr>
              <w:keepNext w:val="0"/>
              <w:keepLines w:val="0"/>
              <w:pageBreakBefore w:val="0"/>
              <w:suppressLineNumbers w:val="0"/>
              <w:kinsoku/>
              <w:wordWrap/>
              <w:overflowPunct/>
              <w:topLinePunct w:val="0"/>
              <w:bidi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rPr>
              <w:t>3）</w:t>
            </w:r>
            <w:r>
              <w:rPr>
                <w:rFonts w:hint="default" w:ascii="Times New Roman" w:hAnsi="Times New Roman" w:eastAsia="宋体" w:cs="Times New Roman"/>
                <w:color w:val="auto"/>
                <w:kern w:val="0"/>
                <w:sz w:val="24"/>
                <w:lang w:bidi="ar"/>
              </w:rPr>
              <w:t>农田保护措施</w:t>
            </w:r>
          </w:p>
          <w:p>
            <w:pPr>
              <w:keepNext w:val="0"/>
              <w:keepLines w:val="0"/>
              <w:pageBreakBefore w:val="0"/>
              <w:suppressLineNumbers w:val="0"/>
              <w:kinsoku/>
              <w:wordWrap/>
              <w:overflowPunct/>
              <w:topLinePunct w:val="0"/>
              <w:bidi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rPr>
              <w:t>①</w:t>
            </w:r>
            <w:r>
              <w:rPr>
                <w:rFonts w:hint="default" w:ascii="Times New Roman" w:hAnsi="Times New Roman" w:eastAsia="宋体" w:cs="Times New Roman"/>
                <w:color w:val="auto"/>
                <w:kern w:val="0"/>
                <w:sz w:val="24"/>
                <w:lang w:bidi="ar"/>
              </w:rPr>
              <w:t>施工所产生的土方、废料以及底泥，存放于工程红线区内，采用围堰、遮盖等措施，不得占用农田。</w:t>
            </w:r>
          </w:p>
          <w:p>
            <w:pPr>
              <w:keepNext w:val="0"/>
              <w:keepLines w:val="0"/>
              <w:pageBreakBefore w:val="0"/>
              <w:suppressLineNumbers w:val="0"/>
              <w:kinsoku/>
              <w:wordWrap/>
              <w:overflowPunct/>
              <w:topLinePunct w:val="0"/>
              <w:bidi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rPr>
              <w:t>②</w:t>
            </w:r>
            <w:r>
              <w:rPr>
                <w:rFonts w:hint="default" w:ascii="Times New Roman" w:hAnsi="Times New Roman" w:eastAsia="宋体" w:cs="Times New Roman"/>
                <w:color w:val="auto"/>
                <w:kern w:val="0"/>
                <w:sz w:val="24"/>
                <w:lang w:bidi="ar"/>
              </w:rPr>
              <w:t>加强施工人员管理，不得踩踏农田，不得在农田丢弃垃圾。</w:t>
            </w:r>
          </w:p>
          <w:p>
            <w:pPr>
              <w:keepNext w:val="0"/>
              <w:keepLines w:val="0"/>
              <w:pageBreakBefore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rPr>
              <w:t>③</w:t>
            </w:r>
            <w:r>
              <w:rPr>
                <w:rFonts w:hint="default" w:ascii="Times New Roman" w:hAnsi="Times New Roman" w:eastAsia="宋体" w:cs="Times New Roman"/>
                <w:color w:val="auto"/>
                <w:kern w:val="0"/>
                <w:sz w:val="24"/>
                <w:lang w:bidi="ar"/>
              </w:rPr>
              <w:t>本工程应合理安排施工期，避开风、雨天气，避开农田灌溉期。</w:t>
            </w:r>
          </w:p>
          <w:p>
            <w:pPr>
              <w:keepNext w:val="0"/>
              <w:keepLines w:val="0"/>
              <w:pageBreakBefore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bidi="ar"/>
              </w:rPr>
              <w:t>4）</w:t>
            </w:r>
            <w:r>
              <w:rPr>
                <w:rFonts w:hint="default" w:ascii="Times New Roman" w:hAnsi="Times New Roman" w:eastAsia="宋体" w:cs="Times New Roman"/>
                <w:color w:val="auto"/>
                <w:kern w:val="0"/>
                <w:sz w:val="24"/>
              </w:rPr>
              <w:t>水土保持措施</w:t>
            </w:r>
          </w:p>
          <w:p>
            <w:pPr>
              <w:keepNext w:val="0"/>
              <w:keepLines w:val="0"/>
              <w:pageBreakBefore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本项目在建设过程中，容易造成水土流失，必须采取必要的防治措施以避免或减少水土流失。</w:t>
            </w:r>
          </w:p>
          <w:p>
            <w:pPr>
              <w:keepNext w:val="0"/>
              <w:keepLines w:val="0"/>
              <w:pageBreakBefore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①工程措施：刮大风和降雨时应停止施工，以免造成水土流失；施工建设中，临时堆土可就近堆放，减少倒运，必要时采取拦挡措施、必须采取苫盖等措施；施工建设场地应统一规划，并采取临时性的防护措施，如布设临时拦挡、苫盖等设施，防治施工期间的水土流失；施工中对下游及周边造成影响的，必须采取相应的防护措施；施工中的裸露地，在遇暴雨时应布设防护措施。临时堆土裸露时间超过一个生长季节的，应进行临时植草加以防护。</w:t>
            </w:r>
          </w:p>
          <w:p>
            <w:pPr>
              <w:keepNext w:val="0"/>
              <w:keepLines w:val="0"/>
              <w:pageBreakBefore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②防治分区原则：根据实地调查（勘测）结果，在确定的防治责任范围内，依据工程布局、施工扰动特点、建设时序、地貌特征、自然属性、水土流失影响等进行水土流失防治分区。</w:t>
            </w:r>
          </w:p>
          <w:p>
            <w:pPr>
              <w:keepNext w:val="0"/>
              <w:keepLines w:val="0"/>
              <w:pageBreakBefore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③管理措施：需加强施工管理，机械和工人要按照作业范围进行，工程作业全部控制在红线之内。机械及其他材料不得乱停乱放，防止扰动道路红线以外的植被，爱护生态环境，禁止破坏道路红线以外的植被。</w:t>
            </w:r>
          </w:p>
          <w:p>
            <w:pPr>
              <w:pStyle w:val="1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auto"/>
              <w:outlineLvl w:val="9"/>
              <w:rPr>
                <w:rFonts w:hint="default" w:ascii="Times New Roman" w:hAnsi="Times New Roman" w:cs="Times New Roman"/>
                <w:snapToGrid w:val="0"/>
                <w:color w:val="auto"/>
                <w:sz w:val="24"/>
                <w:szCs w:val="24"/>
                <w:highlight w:val="none"/>
                <w:vertAlign w:val="baseline"/>
                <w:lang w:val="en-US" w:eastAsia="zh-CN"/>
              </w:rPr>
            </w:pPr>
            <w:r>
              <w:rPr>
                <w:rFonts w:hint="eastAsia" w:ascii="Times New Roman" w:hAnsi="Times New Roman" w:cs="Times New Roman"/>
                <w:snapToGrid w:val="0"/>
                <w:color w:val="auto"/>
                <w:sz w:val="24"/>
                <w:szCs w:val="24"/>
                <w:highlight w:val="none"/>
                <w:vertAlign w:val="baseline"/>
                <w:lang w:val="en-US" w:eastAsia="zh-CN"/>
              </w:rPr>
              <w:t>④植物措施</w:t>
            </w:r>
          </w:p>
          <w:p>
            <w:pPr>
              <w:pStyle w:val="1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auto"/>
              <w:outlineLvl w:val="9"/>
              <w:rPr>
                <w:rFonts w:hint="default" w:ascii="Times New Roman" w:hAnsi="Times New Roman" w:cs="Times New Roman"/>
                <w:snapToGrid w:val="0"/>
                <w:color w:val="auto"/>
                <w:sz w:val="24"/>
                <w:szCs w:val="24"/>
                <w:highlight w:val="none"/>
                <w:vertAlign w:val="baseline"/>
                <w:lang w:val="en-US" w:eastAsia="zh-CN"/>
              </w:rPr>
            </w:pPr>
            <w:r>
              <w:rPr>
                <w:rFonts w:hint="default" w:ascii="Times New Roman" w:hAnsi="Times New Roman" w:cs="Times New Roman"/>
                <w:snapToGrid w:val="0"/>
                <w:color w:val="auto"/>
                <w:sz w:val="24"/>
                <w:szCs w:val="24"/>
                <w:highlight w:val="none"/>
                <w:vertAlign w:val="baseline"/>
                <w:lang w:val="en-US" w:eastAsia="zh-CN"/>
              </w:rPr>
              <w:t>施工生产生活区域通过种草措施对路边及田埂进行植被恢复。草种选用油蒿、扁穗冰草进行混播，混播比例为3:16。</w:t>
            </w:r>
          </w:p>
          <w:p>
            <w:pPr>
              <w:keepNext w:val="0"/>
              <w:keepLines w:val="0"/>
              <w:pageBreakBefore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textAlignment w:val="auto"/>
              <w:rPr>
                <w:rFonts w:hint="eastAsia" w:cs="Times New Roman"/>
                <w:color w:val="auto"/>
                <w:kern w:val="0"/>
                <w:sz w:val="24"/>
                <w:lang w:eastAsia="zh-CN"/>
              </w:rPr>
            </w:pPr>
            <w:r>
              <w:rPr>
                <w:rFonts w:hint="eastAsia" w:cs="Times New Roman"/>
                <w:color w:val="auto"/>
                <w:kern w:val="0"/>
                <w:sz w:val="24"/>
                <w:lang w:eastAsia="zh-CN"/>
              </w:rPr>
              <w:t>⑤临时措施</w:t>
            </w:r>
          </w:p>
          <w:p>
            <w:pPr>
              <w:pStyle w:val="1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auto"/>
              <w:outlineLvl w:val="9"/>
              <w:rPr>
                <w:rFonts w:hint="eastAsia" w:ascii="Times New Roman" w:hAnsi="Times New Roman"/>
                <w:snapToGrid w:val="0"/>
                <w:color w:val="auto"/>
                <w:sz w:val="24"/>
                <w:szCs w:val="24"/>
                <w:highlight w:val="none"/>
                <w:vertAlign w:val="baseline"/>
                <w:lang w:val="en-US" w:eastAsia="zh-CN"/>
              </w:rPr>
            </w:pPr>
            <w:r>
              <w:rPr>
                <w:rFonts w:hint="eastAsia" w:ascii="Times New Roman" w:hAnsi="Times New Roman"/>
                <w:snapToGrid w:val="0"/>
                <w:color w:val="auto"/>
                <w:sz w:val="24"/>
                <w:szCs w:val="24"/>
                <w:highlight w:val="none"/>
                <w:vertAlign w:val="baseline"/>
                <w:lang w:val="en-US" w:eastAsia="zh-CN"/>
              </w:rPr>
              <w:t>表土苫盖：为防止风蚀和减小面蚀强度，对临时堆土场剥离的表土根据占地区实际情况定点堆放，堆高不大于3m，表面采用纤维网进行苫盖，苫盖面积为100m</w:t>
            </w:r>
            <w:r>
              <w:rPr>
                <w:rFonts w:hint="eastAsia" w:ascii="Times New Roman" w:hAnsi="Times New Roman"/>
                <w:snapToGrid w:val="0"/>
                <w:color w:val="auto"/>
                <w:sz w:val="24"/>
                <w:szCs w:val="24"/>
                <w:highlight w:val="none"/>
                <w:vertAlign w:val="superscript"/>
                <w:lang w:val="en-US" w:eastAsia="zh-CN"/>
              </w:rPr>
              <w:t>2</w:t>
            </w:r>
            <w:r>
              <w:rPr>
                <w:rFonts w:hint="eastAsia" w:ascii="Times New Roman" w:hAnsi="Times New Roman"/>
                <w:snapToGrid w:val="0"/>
                <w:color w:val="auto"/>
                <w:sz w:val="24"/>
                <w:szCs w:val="24"/>
                <w:highlight w:val="none"/>
                <w:vertAlign w:val="baseline"/>
                <w:lang w:val="en-US" w:eastAsia="zh-CN"/>
              </w:rPr>
              <w:t>。</w:t>
            </w:r>
          </w:p>
          <w:p>
            <w:pPr>
              <w:pStyle w:val="1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auto"/>
              <w:outlineLvl w:val="9"/>
              <w:rPr>
                <w:rFonts w:hint="eastAsia" w:ascii="Times New Roman" w:hAnsi="Times New Roman"/>
                <w:snapToGrid w:val="0"/>
                <w:color w:val="auto"/>
                <w:sz w:val="24"/>
                <w:szCs w:val="24"/>
                <w:highlight w:val="none"/>
                <w:vertAlign w:val="baseline"/>
                <w:lang w:val="en-US" w:eastAsia="zh-CN"/>
              </w:rPr>
            </w:pPr>
            <w:r>
              <w:rPr>
                <w:rFonts w:hint="eastAsia" w:ascii="Times New Roman" w:hAnsi="Times New Roman"/>
                <w:snapToGrid w:val="0"/>
                <w:color w:val="auto"/>
                <w:sz w:val="24"/>
                <w:szCs w:val="24"/>
                <w:highlight w:val="none"/>
                <w:vertAlign w:val="baseline"/>
                <w:lang w:val="en-US" w:eastAsia="zh-CN"/>
              </w:rPr>
              <w:t>洒水降尘：弃土过程中，为防止尘土飞扬，对弃土区域内的拉运道路进行洒水降尘措施，洒水量以满足施工现场表面含水率大于3%为宜，每次洒水按3mm计，本项目暂定洒水时间按3个月计算，洒水车采用8m</w:t>
            </w:r>
            <w:r>
              <w:rPr>
                <w:rFonts w:hint="eastAsia" w:ascii="Times New Roman" w:hAnsi="Times New Roman"/>
                <w:snapToGrid w:val="0"/>
                <w:color w:val="auto"/>
                <w:sz w:val="24"/>
                <w:szCs w:val="24"/>
                <w:highlight w:val="none"/>
                <w:vertAlign w:val="superscript"/>
                <w:lang w:val="en-US" w:eastAsia="zh-CN"/>
              </w:rPr>
              <w:t>3</w:t>
            </w:r>
            <w:r>
              <w:rPr>
                <w:rFonts w:hint="eastAsia" w:ascii="Times New Roman" w:hAnsi="Times New Roman"/>
                <w:snapToGrid w:val="0"/>
                <w:color w:val="auto"/>
                <w:sz w:val="24"/>
                <w:szCs w:val="24"/>
                <w:highlight w:val="none"/>
                <w:vertAlign w:val="baseline"/>
                <w:lang w:val="en-US" w:eastAsia="zh-CN"/>
              </w:rPr>
              <w:t>，洒水面积为0.35hm</w:t>
            </w:r>
            <w:r>
              <w:rPr>
                <w:rFonts w:hint="eastAsia" w:ascii="Times New Roman" w:hAnsi="Times New Roman"/>
                <w:snapToGrid w:val="0"/>
                <w:color w:val="auto"/>
                <w:sz w:val="24"/>
                <w:szCs w:val="24"/>
                <w:highlight w:val="none"/>
                <w:vertAlign w:val="superscript"/>
                <w:lang w:val="en-US" w:eastAsia="zh-CN"/>
              </w:rPr>
              <w:t>2</w:t>
            </w:r>
            <w:r>
              <w:rPr>
                <w:rFonts w:hint="eastAsia" w:ascii="Times New Roman" w:hAnsi="Times New Roman"/>
                <w:snapToGrid w:val="0"/>
                <w:color w:val="auto"/>
                <w:sz w:val="24"/>
                <w:szCs w:val="24"/>
                <w:highlight w:val="none"/>
                <w:vertAlign w:val="baseline"/>
                <w:lang w:val="en-US" w:eastAsia="zh-CN"/>
              </w:rPr>
              <w:t>，共洒水30m</w:t>
            </w:r>
            <w:r>
              <w:rPr>
                <w:rFonts w:hint="eastAsia" w:ascii="Times New Roman" w:hAnsi="Times New Roman"/>
                <w:snapToGrid w:val="0"/>
                <w:color w:val="auto"/>
                <w:sz w:val="24"/>
                <w:szCs w:val="24"/>
                <w:highlight w:val="none"/>
                <w:vertAlign w:val="superscript"/>
                <w:lang w:val="en-US" w:eastAsia="zh-CN"/>
              </w:rPr>
              <w:t>3</w:t>
            </w:r>
            <w:r>
              <w:rPr>
                <w:rFonts w:hint="eastAsia" w:ascii="Times New Roman" w:hAnsi="Times New Roman"/>
                <w:snapToGrid w:val="0"/>
                <w:color w:val="auto"/>
                <w:sz w:val="24"/>
                <w:szCs w:val="24"/>
                <w:highlight w:val="none"/>
                <w:vertAlign w:val="baseline"/>
                <w:lang w:val="en-US" w:eastAsia="zh-CN"/>
              </w:rPr>
              <w:t>。</w:t>
            </w:r>
          </w:p>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firstLine="480" w:firstLineChars="200"/>
              <w:jc w:val="center"/>
              <w:textAlignment w:val="auto"/>
              <w:rPr>
                <w:rFonts w:hint="eastAsia" w:cs="Times New Roman"/>
                <w:color w:val="auto"/>
                <w:kern w:val="0"/>
                <w:sz w:val="24"/>
                <w:lang w:eastAsia="zh-CN"/>
              </w:rPr>
            </w:pPr>
            <w:r>
              <w:rPr>
                <w:rFonts w:hint="eastAsia" w:cs="Times New Roman"/>
                <w:color w:val="auto"/>
                <w:kern w:val="0"/>
                <w:sz w:val="24"/>
                <w:lang w:eastAsia="zh-CN"/>
              </w:rPr>
              <w:drawing>
                <wp:inline distT="0" distB="0" distL="114300" distR="114300">
                  <wp:extent cx="4652645" cy="3477260"/>
                  <wp:effectExtent l="0" t="0" r="14605" b="8890"/>
                  <wp:docPr id="7" name="图片 7" descr="微信图片_2025040917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50409172745"/>
                          <pic:cNvPicPr>
                            <a:picLocks noChangeAspect="1"/>
                          </pic:cNvPicPr>
                        </pic:nvPicPr>
                        <pic:blipFill>
                          <a:blip r:embed="rId21"/>
                          <a:stretch>
                            <a:fillRect/>
                          </a:stretch>
                        </pic:blipFill>
                        <pic:spPr>
                          <a:xfrm>
                            <a:off x="0" y="0"/>
                            <a:ext cx="4652645" cy="3477260"/>
                          </a:xfrm>
                          <a:prstGeom prst="rect">
                            <a:avLst/>
                          </a:prstGeom>
                        </pic:spPr>
                      </pic:pic>
                    </a:graphicData>
                  </a:graphic>
                </wp:inline>
              </w:drawing>
            </w:r>
          </w:p>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firstLine="482" w:firstLineChars="200"/>
              <w:jc w:val="center"/>
              <w:textAlignment w:val="auto"/>
              <w:rPr>
                <w:rFonts w:hint="eastAsia" w:cs="Times New Roman"/>
                <w:b/>
                <w:color w:val="auto"/>
                <w:kern w:val="0"/>
                <w:sz w:val="24"/>
                <w:lang w:val="en-US" w:eastAsia="zh-CN"/>
              </w:rPr>
            </w:pPr>
            <w:r>
              <w:rPr>
                <w:rFonts w:hint="eastAsia" w:cs="Times New Roman"/>
                <w:b/>
                <w:color w:val="auto"/>
                <w:kern w:val="0"/>
                <w:sz w:val="24"/>
                <w:lang w:val="en-US" w:eastAsia="zh-CN"/>
              </w:rPr>
              <w:t>图5-1  植物保护和恢复方案措施典型设计图</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2" w:firstLineChars="200"/>
              <w:textAlignment w:val="auto"/>
              <w:rPr>
                <w:rFonts w:hint="default" w:ascii="Times New Roman" w:hAnsi="Times New Roman" w:eastAsia="宋体" w:cs="Times New Roman"/>
                <w:b/>
                <w:color w:val="auto"/>
                <w:kern w:val="0"/>
                <w:sz w:val="24"/>
                <w:lang w:val="en-US" w:eastAsia="zh-CN"/>
              </w:rPr>
            </w:pPr>
            <w:r>
              <w:rPr>
                <w:rFonts w:hint="default" w:ascii="Times New Roman" w:hAnsi="Times New Roman" w:eastAsia="宋体" w:cs="Times New Roman"/>
                <w:b/>
                <w:color w:val="auto"/>
                <w:kern w:val="0"/>
                <w:sz w:val="24"/>
              </w:rPr>
              <w:t>2、大气环境保护措施</w:t>
            </w:r>
            <w:r>
              <w:rPr>
                <w:rFonts w:hint="eastAsia" w:cs="Times New Roman"/>
                <w:b/>
                <w:color w:val="auto"/>
                <w:kern w:val="0"/>
                <w:sz w:val="24"/>
                <w:lang w:eastAsia="zh-CN"/>
              </w:rPr>
              <w:t>图</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eastAsia" w:ascii="Times New Roman" w:hAnsi="Times New Roman" w:eastAsia="宋体" w:cs="Times New Roman"/>
                <w:color w:val="auto"/>
                <w:kern w:val="0"/>
                <w:sz w:val="24"/>
                <w:lang w:eastAsia="zh-CN"/>
              </w:rPr>
            </w:pPr>
            <w:r>
              <w:rPr>
                <w:rFonts w:hint="default" w:ascii="Times New Roman" w:hAnsi="Times New Roman" w:eastAsia="宋体" w:cs="Times New Roman"/>
                <w:color w:val="auto"/>
                <w:kern w:val="0"/>
                <w:sz w:val="24"/>
              </w:rPr>
              <w:t>施工期的大气污染物主要为施工扬尘、施工机械和车辆尾气</w:t>
            </w:r>
            <w:r>
              <w:rPr>
                <w:rFonts w:hint="eastAsia" w:cs="Times New Roman"/>
                <w:color w:val="auto"/>
                <w:kern w:val="0"/>
                <w:sz w:val="24"/>
                <w:lang w:eastAsia="zh-CN"/>
              </w:rPr>
              <w:t>。</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⑴扬尘</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为减少施工扬尘，施工时须满足《关于进一步加强施工工地和道路扬尘管控工作的通知》（建办质[2019]23号）、《宁夏回族自治区大气污染防治条例》、《</w:t>
            </w:r>
            <w:r>
              <w:rPr>
                <w:rFonts w:hint="eastAsia" w:cs="Times New Roman"/>
                <w:color w:val="auto"/>
                <w:kern w:val="0"/>
                <w:sz w:val="24"/>
                <w:lang w:eastAsia="zh-CN"/>
              </w:rPr>
              <w:t>固原市</w:t>
            </w:r>
            <w:r>
              <w:rPr>
                <w:rFonts w:hint="default" w:ascii="Times New Roman" w:hAnsi="Times New Roman" w:eastAsia="宋体" w:cs="Times New Roman"/>
                <w:color w:val="auto"/>
                <w:kern w:val="0"/>
                <w:sz w:val="24"/>
              </w:rPr>
              <w:t>城市扬尘污染防治管理办法》相关要求：出入口100%设置冲洗设施，驶出车辆100%冲洗，沙石渣土车辆100%遮盖，施工区域裸露堆场100%遮盖防尘网或喷洒水，施工作业避开五级大风天气等措施。在采取上述措施后，施工作业现场产生的扬尘对周围环境影响较小。</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针对本项目的施工特点，主要采取如下防治措施：</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①对施工现场进行科学管理，砂石料统一堆放，多余的砂石料及建筑材料应及时清运；施工单位有专人负责逸散性材料、渣土等覆盖、洒水作业和车辆清洗作业；</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②在运输道路上及时洒水，防止道路扬尘；</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③运输车辆在出入施工场地时，对车辆轮胎进行冲洗，避免运输扬尘；对运输物料的车辆不装载过满，对运输车辆采取遮盖、密闭措施，避免沿途物料抛洒。散装车辆装运货物的高度不超过马槽的高度，文明装卸和驾驶，在装卸点对散落在车顶、篷布外部等处的物料进行清扫；</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④施工现场靠近环境敏感点处围挡高度不低于2.5m；</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⑤不在大风天气下施工，风速超过四级时停止施工作业；本项目沟道施工过程中采取分段施工方法进行，所以施工扬尘对沿线周围环境影响周期较短，影响程度较小。采取上述措施后，将施工扬尘对周围环境的影响降到较小。</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bCs/>
                <w:color w:val="auto"/>
                <w:kern w:val="0"/>
                <w:sz w:val="24"/>
              </w:rPr>
            </w:pPr>
            <w:r>
              <w:rPr>
                <w:rFonts w:hint="default" w:ascii="Times New Roman" w:hAnsi="Times New Roman" w:eastAsia="宋体" w:cs="Times New Roman"/>
                <w:bCs/>
                <w:color w:val="auto"/>
                <w:kern w:val="0"/>
                <w:sz w:val="24"/>
              </w:rPr>
              <w:t>在项目施工期，采取上述防治措施后，扬尘对周围环境的影响可得到有效控制，对周围大气环境影响较小。</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⑵施工机械和车辆尾气</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施工机械和车辆尾气主要含有HC、NOx、CO等，根据本项目初步设计，尾气排放量较小，属于间歇性排放，经扩散稀释后对周围环境影响较小。</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为使施工期尾气对周围环境的影响降至最低，应采取如下措施：</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①加强对施工机械及车辆使用管理和保养维修，合理降低使用次数，提高使用效率，禁止施工机械超负荷工作和运输车辆超载；不得使用劣质燃料。</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②施工现场应合理布置运输车辆行驶路线，配合有关部门搞好施工期周围道路的交通组织，保证行驶速度，减少怠速时间，以及车辆尾气的排放。</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综上所述，施工期大气影响是暂时的，随着施工期的结束，影响也随之结束。建设单位应加强施工管理，采取相应措施，尽可能减少对周围环境的影响。</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2" w:firstLineChars="200"/>
              <w:textAlignment w:val="auto"/>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3、水环境保护措施</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本项目施工期废水主要为施工废水和施工人员生活污水。本项目在施工区设置1座</w:t>
            </w:r>
            <w:r>
              <w:rPr>
                <w:rFonts w:hint="default" w:ascii="Times New Roman" w:hAnsi="Times New Roman" w:eastAsia="宋体" w:cs="Times New Roman"/>
                <w:color w:val="auto"/>
                <w:kern w:val="0"/>
                <w:sz w:val="24"/>
                <w:lang w:val="en-US" w:eastAsia="zh-CN"/>
              </w:rPr>
              <w:t>5</w:t>
            </w:r>
            <w:r>
              <w:rPr>
                <w:rFonts w:hint="default" w:ascii="Times New Roman" w:hAnsi="Times New Roman" w:eastAsia="宋体" w:cs="Times New Roman"/>
                <w:color w:val="auto"/>
                <w:kern w:val="0"/>
                <w:sz w:val="24"/>
              </w:rPr>
              <w:t>m</w:t>
            </w:r>
            <w:r>
              <w:rPr>
                <w:rFonts w:hint="default" w:ascii="Times New Roman" w:hAnsi="Times New Roman" w:eastAsia="宋体" w:cs="Times New Roman"/>
                <w:color w:val="auto"/>
                <w:kern w:val="0"/>
                <w:sz w:val="24"/>
                <w:vertAlign w:val="superscript"/>
              </w:rPr>
              <w:t>3</w:t>
            </w:r>
            <w:r>
              <w:rPr>
                <w:rFonts w:hint="default" w:ascii="Times New Roman" w:hAnsi="Times New Roman" w:eastAsia="宋体" w:cs="Times New Roman"/>
                <w:color w:val="auto"/>
                <w:kern w:val="0"/>
                <w:sz w:val="24"/>
              </w:rPr>
              <w:t>沉淀池，施工废水沉淀后用于施工场地洒水抑尘，不外排。施工期施工人员依托周边村庄居住，不设生活营地。本项目施工期禁止在现场进行机械、设备维修作业，因此不产生含油机修废水。因此，项目施工期产生的废水不外排，对周围环境影响较小。</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废水治理责任主体为建设单位，施工期及时足额支付废水治理费用；施工单位应建立健全施工废水治理责任制，设专职管理人员负责落实废水治理措施，建立建设单位、项目部、专职管理人员“三级检查制度”。</w:t>
            </w:r>
          </w:p>
          <w:p>
            <w:pPr>
              <w:keepNext w:val="0"/>
              <w:keepLines w:val="0"/>
              <w:pageBreakBefore w:val="0"/>
              <w:suppressLineNumbers w:val="0"/>
              <w:kinsoku/>
              <w:wordWrap/>
              <w:overflowPunct/>
              <w:topLinePunct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项目施工应严格控制施工红线，</w:t>
            </w:r>
            <w:r>
              <w:rPr>
                <w:rFonts w:hint="default" w:ascii="Times New Roman" w:hAnsi="Times New Roman" w:eastAsia="宋体" w:cs="Times New Roman"/>
                <w:color w:val="auto"/>
                <w:sz w:val="24"/>
              </w:rPr>
              <w:t>运输车辆出入在经过水源地时，对车辆轮胎须冲洗干净，利用已有施工道路；工程施工期临时设施不涉及水源地的保护范围，施工期间不得随意调整临时设施的位置；严格施工要求和管理，尽量减少对水源地的影响。</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综上所述，施工期废水妥善处理，对本项目</w:t>
            </w:r>
            <w:r>
              <w:rPr>
                <w:rFonts w:hint="default" w:ascii="Times New Roman" w:hAnsi="Times New Roman" w:eastAsia="宋体" w:cs="Times New Roman"/>
                <w:color w:val="auto"/>
                <w:kern w:val="0"/>
                <w:sz w:val="24"/>
                <w:lang w:val="en-US" w:eastAsia="zh-CN"/>
              </w:rPr>
              <w:t>沟</w:t>
            </w:r>
            <w:r>
              <w:rPr>
                <w:rFonts w:hint="default" w:ascii="Times New Roman" w:hAnsi="Times New Roman" w:eastAsia="宋体" w:cs="Times New Roman"/>
                <w:color w:val="auto"/>
                <w:kern w:val="0"/>
                <w:sz w:val="24"/>
              </w:rPr>
              <w:t>道及周围水环境影响较小，防治措施合理可行。</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2" w:firstLineChars="200"/>
              <w:textAlignment w:val="auto"/>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4、声环境影响分析及防治措施</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本项目施工期的噪声主要来源于施工现场的各类机械设备噪声和运输车辆噪声。</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对施工期产生的噪声还应采取以下措施，减轻影响。</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①各施工单位要合理安排工期，做好申报登记，并采取必要的降噪防噪措施。</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②施工过程中要尽量选用低噪声设备，对机械设备精心养护，保持良好的运行工况，减低设备运行噪声。</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③靠近居民点段要对施工噪声进行监测，夜间禁止施工，根据施工项目和周围环境敏感情况设立监测点，监测昼夜间噪声值，并根据监测结果调整施工节奏。</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④控制车辆鸣笛。</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考虑到本项目施工周期较短，项目施工噪声对工业企业的影响周期很短，施工单位通过合理安排施工机械设备的位置，并对高噪声设备采取减振、隔音、选择合理施工时间等措施，保证项目施工期产生的噪声对敏感点的影响降到最低。</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通过采取上述综合降噪措施，可有效降低施工过程噪声对周围环境的影响，确保施工期各项施工活动产生的噪声达到《建筑施工场界环境噪声排放标准》（GB12523-2011）中的相关规定限值要求，对周围环境影响较小。</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2" w:firstLineChars="200"/>
              <w:textAlignment w:val="auto"/>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b/>
                <w:color w:val="auto"/>
                <w:kern w:val="0"/>
                <w:sz w:val="24"/>
                <w:highlight w:val="none"/>
              </w:rPr>
              <w:t>5、固体废物环境影响分析及防治措施</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本项目施工期产生的固体废物主要为施工场所产生施工人员活动产生的生活垃圾</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多余土方及</w:t>
            </w:r>
            <w:r>
              <w:rPr>
                <w:rFonts w:hint="eastAsia" w:cs="Times New Roman"/>
                <w:color w:val="auto"/>
                <w:kern w:val="0"/>
                <w:sz w:val="24"/>
                <w:highlight w:val="none"/>
                <w:lang w:val="en-US" w:eastAsia="zh-CN"/>
              </w:rPr>
              <w:t>排洪渠</w:t>
            </w:r>
            <w:r>
              <w:rPr>
                <w:rFonts w:hint="default" w:ascii="Times New Roman" w:hAnsi="Times New Roman" w:eastAsia="宋体" w:cs="Times New Roman"/>
                <w:color w:val="auto"/>
                <w:kern w:val="0"/>
                <w:sz w:val="24"/>
                <w:highlight w:val="none"/>
                <w:lang w:val="en-US" w:eastAsia="zh-CN"/>
              </w:rPr>
              <w:t>清理产生</w:t>
            </w:r>
            <w:r>
              <w:rPr>
                <w:rFonts w:hint="eastAsia" w:cs="Times New Roman"/>
                <w:color w:val="auto"/>
                <w:kern w:val="0"/>
                <w:sz w:val="24"/>
                <w:highlight w:val="none"/>
                <w:lang w:val="en-US" w:eastAsia="zh-CN"/>
              </w:rPr>
              <w:t>的植物枯叶和少量沙土</w:t>
            </w:r>
            <w:r>
              <w:rPr>
                <w:rFonts w:hint="default" w:ascii="Times New Roman" w:hAnsi="Times New Roman" w:eastAsia="宋体" w:cs="Times New Roman"/>
                <w:color w:val="auto"/>
                <w:kern w:val="0"/>
                <w:sz w:val="24"/>
                <w:highlight w:val="none"/>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eastAsia" w:ascii="Times New Roman" w:hAnsi="Times New Roman" w:eastAsia="宋体" w:cs="Times New Roman"/>
                <w:color w:val="FF0000"/>
                <w:kern w:val="0"/>
                <w:sz w:val="24"/>
                <w:highlight w:val="none"/>
                <w:lang w:eastAsia="zh-CN" w:bidi="ar"/>
              </w:rPr>
            </w:pPr>
            <w:r>
              <w:rPr>
                <w:rFonts w:hint="default" w:ascii="Times New Roman" w:hAnsi="Times New Roman" w:eastAsia="宋体" w:cs="Times New Roman"/>
                <w:color w:val="auto"/>
                <w:sz w:val="24"/>
                <w:highlight w:val="none"/>
              </w:rPr>
              <w:t>剩余土方和</w:t>
            </w:r>
            <w:r>
              <w:rPr>
                <w:rFonts w:hint="eastAsia" w:cs="Times New Roman"/>
                <w:color w:val="auto"/>
                <w:sz w:val="24"/>
                <w:highlight w:val="none"/>
                <w:lang w:eastAsia="zh-CN"/>
              </w:rPr>
              <w:t>排洪渠沙土</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szCs w:val="24"/>
                <w:highlight w:val="none"/>
                <w:lang w:val="en-US" w:eastAsia="zh-CN" w:bidi="ar"/>
              </w:rPr>
              <w:t>本项目建设期土石方开挖总量为</w:t>
            </w:r>
            <w:r>
              <w:rPr>
                <w:rFonts w:hint="eastAsia" w:cs="Times New Roman"/>
                <w:color w:val="auto"/>
                <w:kern w:val="0"/>
                <w:sz w:val="24"/>
                <w:szCs w:val="24"/>
                <w:highlight w:val="none"/>
                <w:lang w:val="en-US" w:eastAsia="zh-CN" w:bidi="ar"/>
              </w:rPr>
              <w:t>1.79</w:t>
            </w:r>
            <w:r>
              <w:rPr>
                <w:rFonts w:hint="default" w:ascii="Times New Roman" w:hAnsi="Times New Roman" w:eastAsia="宋体" w:cs="Times New Roman"/>
                <w:color w:val="auto"/>
                <w:kern w:val="0"/>
                <w:sz w:val="24"/>
                <w:szCs w:val="24"/>
                <w:highlight w:val="none"/>
                <w:lang w:val="en-US" w:eastAsia="zh-CN" w:bidi="ar"/>
              </w:rPr>
              <w:t>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，回填总量为</w:t>
            </w:r>
            <w:r>
              <w:rPr>
                <w:rFonts w:hint="eastAsia" w:cs="Times New Roman"/>
                <w:b w:val="0"/>
                <w:bCs w:val="0"/>
                <w:color w:val="auto"/>
                <w:kern w:val="2"/>
                <w:sz w:val="24"/>
                <w:szCs w:val="24"/>
                <w:highlight w:val="none"/>
                <w:lang w:val="en-US" w:eastAsia="zh-CN" w:bidi="ar-SA"/>
              </w:rPr>
              <w:t>0.64</w:t>
            </w:r>
            <w:r>
              <w:rPr>
                <w:rFonts w:hint="default" w:ascii="Times New Roman" w:hAnsi="Times New Roman" w:eastAsia="宋体" w:cs="Times New Roman"/>
                <w:b w:val="0"/>
                <w:bCs w:val="0"/>
                <w:color w:val="auto"/>
                <w:kern w:val="2"/>
                <w:sz w:val="24"/>
                <w:szCs w:val="24"/>
                <w:highlight w:val="none"/>
                <w:lang w:val="en-US" w:eastAsia="zh-CN" w:bidi="ar-SA"/>
              </w:rPr>
              <w:t>万</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rPr>
              <w:t>废弃土方</w:t>
            </w:r>
            <w:r>
              <w:rPr>
                <w:rFonts w:hint="eastAsia" w:cs="Times New Roman"/>
                <w:color w:val="auto"/>
                <w:kern w:val="0"/>
                <w:sz w:val="24"/>
                <w:lang w:val="en-US" w:eastAsia="zh-CN"/>
              </w:rPr>
              <w:t>1.14</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lang w:eastAsia="zh-CN"/>
              </w:rPr>
              <w:t>。产生的弃方运送至附近的建筑垃圾填埋场进行填埋。</w:t>
            </w:r>
            <w:r>
              <w:rPr>
                <w:rFonts w:hint="eastAsia" w:cs="Times New Roman"/>
                <w:color w:val="auto"/>
                <w:kern w:val="0"/>
                <w:sz w:val="24"/>
                <w:lang w:eastAsia="zh-CN" w:bidi="ar"/>
              </w:rPr>
              <w:t>根据项目实地考察，沟道产生的固体废弃物为雨水冲刷山体产生的植物枯叶和少量沙土，对环境无影响，由建设单位</w:t>
            </w:r>
            <w:r>
              <w:rPr>
                <w:rFonts w:hint="eastAsia" w:cs="Times New Roman"/>
                <w:color w:val="auto"/>
                <w:kern w:val="0"/>
                <w:sz w:val="24"/>
                <w:lang w:eastAsia="zh-CN"/>
              </w:rPr>
              <w:t>清理至建筑垃圾填埋场处理。</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highlight w:val="yellow"/>
              </w:rPr>
            </w:pPr>
            <w:r>
              <w:rPr>
                <w:rFonts w:hint="default" w:ascii="Times New Roman" w:hAnsi="Times New Roman" w:eastAsia="宋体" w:cs="Times New Roman"/>
                <w:color w:val="auto"/>
                <w:kern w:val="0"/>
                <w:sz w:val="24"/>
                <w:highlight w:val="none"/>
              </w:rPr>
              <w:t>生活垃圾：生活垃圾主要污染物为垃圾袋、果核、矿泉水瓶等，集中收集后由施工单位清运至垃圾中转站，由环卫部门统一处理。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采取上述固体废物处置措施后，项目施工期产生的固体废物对主要环境保护目标的影响较小。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40" w:hRule="atLeast"/>
          <w:jc w:val="center"/>
        </w:trPr>
        <w:tc>
          <w:tcPr>
            <w:tcW w:w="722" w:type="dxa"/>
            <w:tcBorders>
              <w:tl2br w:val="nil"/>
              <w:tr2bl w:val="nil"/>
            </w:tcBorders>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0000FF"/>
                <w:spacing w:val="10"/>
                <w:sz w:val="24"/>
              </w:rPr>
            </w:pPr>
            <w:r>
              <w:rPr>
                <w:rFonts w:hint="default" w:ascii="Times New Roman" w:hAnsi="Times New Roman" w:eastAsia="宋体" w:cs="Times New Roman"/>
                <w:b/>
                <w:bCs w:val="0"/>
                <w:color w:val="auto"/>
                <w:spacing w:val="10"/>
                <w:sz w:val="24"/>
              </w:rPr>
              <w:t>运营期生态环境保护措施</w:t>
            </w:r>
          </w:p>
        </w:tc>
        <w:tc>
          <w:tcPr>
            <w:tcW w:w="8371" w:type="dxa"/>
            <w:tcBorders>
              <w:tl2br w:val="nil"/>
              <w:tr2bl w:val="nil"/>
            </w:tcBorders>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本项目属于</w:t>
            </w:r>
            <w:r>
              <w:rPr>
                <w:rFonts w:hint="eastAsia" w:cs="Times New Roman"/>
                <w:color w:val="auto"/>
                <w:sz w:val="24"/>
                <w:lang w:eastAsia="zh-CN"/>
              </w:rPr>
              <w:t>排水防涝</w:t>
            </w:r>
            <w:r>
              <w:rPr>
                <w:rFonts w:hint="default" w:ascii="Times New Roman" w:hAnsi="Times New Roman" w:eastAsia="宋体" w:cs="Times New Roman"/>
                <w:color w:val="auto"/>
                <w:sz w:val="24"/>
              </w:rPr>
              <w:t>工程</w:t>
            </w:r>
            <w:r>
              <w:rPr>
                <w:rFonts w:hint="default" w:ascii="Times New Roman" w:hAnsi="Times New Roman" w:eastAsia="宋体" w:cs="Times New Roman"/>
                <w:color w:val="auto"/>
                <w:kern w:val="0"/>
                <w:sz w:val="24"/>
              </w:rPr>
              <w:t>。项目运营期将会产生较大的生态环境效益。根据本项目特点，项目营运期不产生废气、废水</w:t>
            </w:r>
            <w:r>
              <w:rPr>
                <w:rFonts w:hint="default" w:ascii="Times New Roman" w:hAnsi="Times New Roman" w:eastAsia="宋体" w:cs="Times New Roman"/>
                <w:color w:val="auto"/>
                <w:kern w:val="0"/>
                <w:sz w:val="24"/>
                <w:lang w:val="en-US" w:eastAsia="zh-CN"/>
              </w:rPr>
              <w:t>和</w:t>
            </w:r>
            <w:r>
              <w:rPr>
                <w:rFonts w:hint="default" w:ascii="Times New Roman" w:hAnsi="Times New Roman" w:eastAsia="宋体" w:cs="Times New Roman"/>
                <w:color w:val="auto"/>
                <w:kern w:val="0"/>
                <w:sz w:val="24"/>
              </w:rPr>
              <w:t>噪声</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仅有固体废物产生。</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jc w:val="both"/>
              <w:textAlignment w:val="auto"/>
              <w:rPr>
                <w:rFonts w:hint="eastAsia" w:ascii="Times New Roman" w:hAnsi="Times New Roman" w:eastAsia="宋体" w:cs="Times New Roman"/>
                <w:bCs/>
                <w:color w:val="0000FF"/>
                <w:spacing w:val="10"/>
                <w:sz w:val="24"/>
                <w:lang w:eastAsia="zh-CN"/>
              </w:rPr>
            </w:pPr>
            <w:r>
              <w:rPr>
                <w:rFonts w:hint="default" w:ascii="Times New Roman" w:hAnsi="Times New Roman" w:eastAsia="宋体" w:cs="Times New Roman"/>
                <w:color w:val="auto"/>
                <w:kern w:val="0"/>
                <w:sz w:val="24"/>
              </w:rPr>
              <w:t>项目运营期</w:t>
            </w:r>
            <w:r>
              <w:rPr>
                <w:rFonts w:hint="default" w:ascii="Times New Roman" w:hAnsi="Times New Roman" w:eastAsia="宋体" w:cs="Times New Roman"/>
                <w:color w:val="auto"/>
                <w:kern w:val="0"/>
                <w:sz w:val="24"/>
                <w:lang w:val="en-US" w:eastAsia="zh-CN"/>
              </w:rPr>
              <w:t>固体废物主要有</w:t>
            </w:r>
            <w:r>
              <w:rPr>
                <w:rFonts w:hint="eastAsia" w:cs="Times New Roman"/>
                <w:color w:val="auto"/>
                <w:kern w:val="0"/>
                <w:sz w:val="24"/>
                <w:lang w:eastAsia="zh-CN" w:bidi="ar"/>
              </w:rPr>
              <w:t>植物枯叶和少量沙土</w:t>
            </w:r>
            <w:r>
              <w:rPr>
                <w:rFonts w:hint="default" w:ascii="Times New Roman" w:hAnsi="Times New Roman" w:eastAsia="宋体" w:cs="Times New Roman"/>
                <w:color w:val="auto"/>
                <w:kern w:val="0"/>
                <w:sz w:val="24"/>
              </w:rPr>
              <w:t>，</w:t>
            </w:r>
            <w:r>
              <w:rPr>
                <w:rFonts w:hint="eastAsia" w:cs="Times New Roman"/>
                <w:color w:val="auto"/>
                <w:kern w:val="0"/>
                <w:sz w:val="24"/>
                <w:lang w:eastAsia="zh-CN"/>
              </w:rPr>
              <w:t>由建设单位不定期清理至建筑垃圾填埋场处理。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22" w:type="dxa"/>
            <w:tcBorders>
              <w:tl2br w:val="nil"/>
              <w:tr2bl w:val="nil"/>
            </w:tcBorders>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val="0"/>
                <w:color w:val="auto"/>
                <w:spacing w:val="10"/>
                <w:sz w:val="24"/>
                <w:lang w:eastAsia="zh-CN"/>
              </w:rPr>
            </w:pPr>
            <w:r>
              <w:rPr>
                <w:rFonts w:hint="eastAsia" w:cs="Times New Roman"/>
                <w:b/>
                <w:bCs w:val="0"/>
                <w:color w:val="auto"/>
                <w:spacing w:val="10"/>
                <w:sz w:val="24"/>
                <w:lang w:eastAsia="zh-CN"/>
              </w:rPr>
              <w:t>环境管理</w:t>
            </w:r>
          </w:p>
        </w:tc>
        <w:tc>
          <w:tcPr>
            <w:tcW w:w="8371" w:type="dxa"/>
            <w:tcBorders>
              <w:tl2br w:val="nil"/>
              <w:tr2bl w:val="nil"/>
            </w:tcBorders>
            <w:vAlign w:val="center"/>
          </w:tcPr>
          <w:p>
            <w:pPr>
              <w:keepNext w:val="0"/>
              <w:keepLines w:val="0"/>
              <w:widowControl/>
              <w:suppressLineNumbers w:val="0"/>
              <w:spacing w:before="0" w:beforeAutospacing="0" w:after="0" w:afterAutospacing="0"/>
              <w:ind w:left="0" w:right="0"/>
              <w:jc w:val="left"/>
              <w:rPr>
                <w:rFonts w:hint="default"/>
              </w:rPr>
            </w:pPr>
            <w:r>
              <w:rPr>
                <w:rFonts w:hint="eastAsia" w:ascii="宋体" w:hAnsi="宋体" w:eastAsia="宋体" w:cs="宋体"/>
                <w:color w:val="000000"/>
                <w:kern w:val="0"/>
                <w:sz w:val="24"/>
                <w:szCs w:val="24"/>
                <w:lang w:val="en-US" w:eastAsia="zh-CN" w:bidi="ar"/>
              </w:rPr>
              <w:t xml:space="preserve">环境管理是工程管理的一部分，是工程环境保护工作有效实施的重要环节。环境管理目的主要是保证本工程各项环境保护措施的顺利落实，符合环保“三同时”的要求，使工程建设对环境的不利影响得以减免和控制，保护好评价区自然环境和生态环境，以保持工程地区生态系统的良性发展。 </w:t>
            </w:r>
          </w:p>
          <w:p>
            <w:pPr>
              <w:keepNext w:val="0"/>
              <w:keepLines w:val="0"/>
              <w:widowControl/>
              <w:suppressLineNumbers w:val="0"/>
              <w:spacing w:before="0" w:beforeAutospacing="0" w:after="0" w:afterAutospacing="0"/>
              <w:ind w:left="0" w:right="0"/>
              <w:jc w:val="left"/>
              <w:rPr>
                <w:rFonts w:hint="default"/>
              </w:rPr>
            </w:pPr>
            <w:r>
              <w:rPr>
                <w:rFonts w:hint="default" w:ascii="Times New Roman" w:hAnsi="Times New Roman" w:eastAsia="宋体" w:cs="Times New Roman"/>
                <w:b/>
                <w:bCs/>
                <w:color w:val="000000"/>
                <w:kern w:val="0"/>
                <w:sz w:val="24"/>
                <w:szCs w:val="24"/>
                <w:lang w:val="en-US" w:eastAsia="zh-CN" w:bidi="ar"/>
              </w:rPr>
              <w:t>1</w:t>
            </w:r>
            <w:r>
              <w:rPr>
                <w:rFonts w:hint="eastAsia" w:ascii="宋体" w:hAnsi="宋体" w:eastAsia="宋体" w:cs="宋体"/>
                <w:b/>
                <w:bCs/>
                <w:color w:val="000000"/>
                <w:kern w:val="0"/>
                <w:sz w:val="24"/>
                <w:szCs w:val="24"/>
                <w:lang w:val="en-US" w:eastAsia="zh-CN" w:bidi="ar"/>
              </w:rPr>
              <w:t xml:space="preserve">、施工期环境管理 </w:t>
            </w:r>
          </w:p>
          <w:p>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项目应安排一名熟悉环保政策和法规的专业技术人员负责落实环保措施，同时组成一个由指挥长为组长的环境管理小组，以协调施工单位的环保工作。监理公司配置环保专业人员，负责施工过程中的环保工程监理，并检查“三同时”的落实情况。环境监理部门应充分了解本项目施工计划，制定详细的监理计划，施工中环境监理人员可根据情况，对重要地段或敏感点提出环境监测计划，掌握施工期的环境状况，确保不发生重大的环境事故。</w:t>
            </w:r>
          </w:p>
          <w:p>
            <w:pPr>
              <w:keepNext w:val="0"/>
              <w:keepLines w:val="0"/>
              <w:widowControl/>
              <w:suppressLineNumbers w:val="0"/>
              <w:spacing w:before="0" w:beforeAutospacing="0" w:after="0" w:afterAutospacing="0"/>
              <w:ind w:left="0" w:right="0"/>
              <w:jc w:val="left"/>
              <w:rPr>
                <w:rFonts w:hint="default"/>
              </w:rPr>
            </w:pPr>
            <w:r>
              <w:rPr>
                <w:rFonts w:hint="eastAsia" w:ascii="宋体" w:hAnsi="宋体" w:eastAsia="宋体" w:cs="宋体"/>
                <w:color w:val="000000"/>
                <w:kern w:val="0"/>
                <w:sz w:val="24"/>
                <w:szCs w:val="24"/>
                <w:lang w:val="en-US" w:eastAsia="zh-CN" w:bidi="ar"/>
              </w:rPr>
              <w:t xml:space="preserve">项目施工期会对环境造成一定影响，在加强施工期的环境管理并采取环评建议和要求的环保措施的基础上，可将其影响控制在最低程度。 </w:t>
            </w:r>
          </w:p>
          <w:p>
            <w:pPr>
              <w:keepNext w:val="0"/>
              <w:keepLines w:val="0"/>
              <w:widowControl/>
              <w:suppressLineNumbers w:val="0"/>
              <w:spacing w:before="0" w:beforeAutospacing="0" w:after="0" w:afterAutospacing="0"/>
              <w:ind w:left="0" w:right="0"/>
              <w:jc w:val="left"/>
              <w:rPr>
                <w:rFonts w:hint="default"/>
              </w:rPr>
            </w:pPr>
            <w:r>
              <w:rPr>
                <w:rFonts w:hint="default" w:ascii="Times New Roman" w:hAnsi="Times New Roman" w:eastAsia="宋体" w:cs="Times New Roman"/>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 xml:space="preserve">、营运期环境管理 </w:t>
            </w:r>
          </w:p>
          <w:p>
            <w:pPr>
              <w:keepNext w:val="0"/>
              <w:keepLines w:val="0"/>
              <w:widowControl/>
              <w:suppressLineNumbers w:val="0"/>
              <w:spacing w:before="0" w:beforeAutospacing="0" w:after="0" w:afterAutospacing="0"/>
              <w:ind w:left="0" w:right="0"/>
              <w:jc w:val="left"/>
              <w:rPr>
                <w:rFonts w:hint="default"/>
              </w:rPr>
            </w:pPr>
            <w:r>
              <w:rPr>
                <w:rFonts w:hint="eastAsia" w:ascii="宋体" w:hAnsi="宋体" w:eastAsia="宋体" w:cs="宋体"/>
                <w:color w:val="000000"/>
                <w:kern w:val="0"/>
                <w:sz w:val="24"/>
                <w:szCs w:val="24"/>
                <w:lang w:val="en-US" w:eastAsia="zh-CN" w:bidi="ar"/>
              </w:rPr>
              <w:t>工程实施完成后，运营期监督管理环境恢复监测和环境恢复计划的落实情况及环保处理设施运行情况。检查生态恢复和污染防治措施的落实情况。参与环境工程验收活动，协助建设单位组织人员的环境保护培训，负责工程环境监理工作计划和总结。</w:t>
            </w:r>
          </w:p>
          <w:p>
            <w:pPr>
              <w:keepNext w:val="0"/>
              <w:keepLines w:val="0"/>
              <w:widowControl/>
              <w:suppressLineNumbers w:val="0"/>
              <w:spacing w:before="0" w:beforeAutospacing="0" w:after="0" w:afterAutospacing="0"/>
              <w:ind w:left="0" w:right="0"/>
              <w:jc w:val="left"/>
              <w:rPr>
                <w:rFonts w:hint="default"/>
              </w:rPr>
            </w:pPr>
            <w:r>
              <w:rPr>
                <w:rFonts w:hint="default" w:ascii="Times New Roman" w:hAnsi="Times New Roman" w:eastAsia="宋体" w:cs="Times New Roman"/>
                <w:b/>
                <w:bCs/>
                <w:color w:val="000000"/>
                <w:kern w:val="0"/>
                <w:sz w:val="24"/>
                <w:szCs w:val="24"/>
                <w:lang w:val="en-US" w:eastAsia="zh-CN" w:bidi="ar"/>
              </w:rPr>
              <w:t>3</w:t>
            </w:r>
            <w:r>
              <w:rPr>
                <w:rFonts w:hint="eastAsia" w:ascii="宋体" w:hAnsi="宋体" w:eastAsia="宋体" w:cs="宋体"/>
                <w:b/>
                <w:bCs/>
                <w:color w:val="000000"/>
                <w:kern w:val="0"/>
                <w:sz w:val="24"/>
                <w:szCs w:val="24"/>
                <w:lang w:val="en-US" w:eastAsia="zh-CN" w:bidi="ar"/>
              </w:rPr>
              <w:t>、环境监测计划</w:t>
            </w:r>
          </w:p>
          <w:p>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根据《排污单位自行监测技术指南 总则》（</w:t>
            </w:r>
            <w:r>
              <w:rPr>
                <w:rFonts w:hint="default" w:ascii="Times New Roman" w:hAnsi="Times New Roman" w:eastAsia="宋体" w:cs="Times New Roman"/>
                <w:color w:val="000000"/>
                <w:kern w:val="0"/>
                <w:sz w:val="24"/>
                <w:szCs w:val="24"/>
                <w:lang w:val="en-US" w:eastAsia="zh-CN" w:bidi="ar"/>
              </w:rPr>
              <w:t>HJ819-2017</w:t>
            </w:r>
            <w:r>
              <w:rPr>
                <w:rFonts w:hint="eastAsia" w:ascii="宋体" w:hAnsi="宋体" w:eastAsia="宋体" w:cs="宋体"/>
                <w:color w:val="000000"/>
                <w:kern w:val="0"/>
                <w:sz w:val="24"/>
                <w:szCs w:val="24"/>
                <w:lang w:val="en-US" w:eastAsia="zh-CN" w:bidi="ar"/>
              </w:rPr>
              <w:t>）的相关规定，并参照其他同类型项目制定本项目的监测计划，建设单位可委托具有资质的检（监）测机构开展监测。</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具体监测计划详见表</w:t>
            </w:r>
            <w:r>
              <w:rPr>
                <w:rFonts w:hint="eastAsia" w:ascii="Times New Roman" w:hAnsi="Times New Roman" w:eastAsia="宋体"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0" w:firstLineChars="0"/>
              <w:jc w:val="center"/>
              <w:textAlignment w:val="auto"/>
              <w:rPr>
                <w:rFonts w:hint="eastAsia" w:ascii="宋体" w:hAnsi="宋体" w:eastAsia="宋体" w:cs="宋体"/>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5-1</w:t>
            </w:r>
            <w:r>
              <w:rPr>
                <w:rFonts w:hint="default" w:ascii="Times New Roman" w:hAnsi="Times New Roman" w:eastAsia="宋体" w:cs="Times New Roman"/>
                <w:b/>
                <w:bCs/>
                <w:color w:val="auto"/>
                <w:sz w:val="24"/>
                <w:szCs w:val="24"/>
              </w:rPr>
              <w:t xml:space="preserve">  </w:t>
            </w:r>
            <w:bookmarkStart w:id="49" w:name="OLE_LINK16"/>
            <w:r>
              <w:rPr>
                <w:rFonts w:hint="default" w:ascii="Times New Roman" w:hAnsi="Times New Roman" w:eastAsia="宋体" w:cs="Times New Roman"/>
                <w:b/>
                <w:bCs/>
                <w:color w:val="auto"/>
                <w:sz w:val="24"/>
                <w:szCs w:val="24"/>
              </w:rPr>
              <w:t>环境监测计划</w:t>
            </w:r>
            <w:r>
              <w:rPr>
                <w:rFonts w:hint="eastAsia" w:ascii="宋体" w:hAnsi="宋体" w:eastAsia="宋体" w:cs="宋体"/>
                <w:b/>
                <w:bCs/>
                <w:color w:val="auto"/>
                <w:sz w:val="24"/>
                <w:szCs w:val="24"/>
              </w:rPr>
              <w:t>表</w:t>
            </w:r>
            <w:bookmarkEnd w:id="49"/>
          </w:p>
          <w:tbl>
            <w:tblPr>
              <w:tblStyle w:val="21"/>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048"/>
              <w:gridCol w:w="2411"/>
              <w:gridCol w:w="2256"/>
              <w:gridCol w:w="17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07"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b/>
                      <w:color w:val="auto"/>
                      <w:sz w:val="21"/>
                      <w:szCs w:val="21"/>
                    </w:rPr>
                  </w:pPr>
                  <w:r>
                    <w:rPr>
                      <w:rFonts w:hint="default" w:cs="Times New Roman"/>
                      <w:b/>
                      <w:color w:val="auto"/>
                      <w:sz w:val="21"/>
                      <w:szCs w:val="21"/>
                    </w:rPr>
                    <w:t>监测时期</w:t>
                  </w:r>
                </w:p>
              </w:tc>
              <w:tc>
                <w:tcPr>
                  <w:tcW w:w="1048"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b/>
                      <w:color w:val="auto"/>
                      <w:sz w:val="21"/>
                      <w:szCs w:val="21"/>
                    </w:rPr>
                  </w:pPr>
                  <w:r>
                    <w:rPr>
                      <w:rFonts w:hint="default" w:cs="Times New Roman"/>
                      <w:b/>
                      <w:color w:val="auto"/>
                      <w:sz w:val="21"/>
                      <w:szCs w:val="21"/>
                    </w:rPr>
                    <w:t>监测项目</w:t>
                  </w:r>
                </w:p>
              </w:tc>
              <w:tc>
                <w:tcPr>
                  <w:tcW w:w="241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b/>
                      <w:color w:val="auto"/>
                      <w:sz w:val="21"/>
                      <w:szCs w:val="21"/>
                    </w:rPr>
                  </w:pPr>
                  <w:r>
                    <w:rPr>
                      <w:rFonts w:hint="default" w:cs="Times New Roman"/>
                      <w:b/>
                      <w:color w:val="auto"/>
                      <w:sz w:val="21"/>
                      <w:szCs w:val="21"/>
                    </w:rPr>
                    <w:t>指标</w:t>
                  </w:r>
                </w:p>
              </w:tc>
              <w:tc>
                <w:tcPr>
                  <w:tcW w:w="2256"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b/>
                      <w:color w:val="auto"/>
                      <w:sz w:val="21"/>
                      <w:szCs w:val="21"/>
                    </w:rPr>
                  </w:pPr>
                  <w:r>
                    <w:rPr>
                      <w:rFonts w:hint="default" w:cs="Times New Roman"/>
                      <w:b/>
                      <w:color w:val="auto"/>
                      <w:sz w:val="21"/>
                      <w:szCs w:val="21"/>
                    </w:rPr>
                    <w:t>频次</w:t>
                  </w:r>
                </w:p>
              </w:tc>
              <w:tc>
                <w:tcPr>
                  <w:tcW w:w="1798"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b/>
                      <w:color w:val="auto"/>
                      <w:sz w:val="21"/>
                      <w:szCs w:val="21"/>
                    </w:rPr>
                  </w:pPr>
                  <w:r>
                    <w:rPr>
                      <w:rFonts w:hint="default" w:cs="Times New Roman"/>
                      <w:b/>
                      <w:color w:val="auto"/>
                      <w:sz w:val="21"/>
                      <w:szCs w:val="21"/>
                    </w:rPr>
                    <w:t>监测点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07" w:type="dxa"/>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施工期</w:t>
                  </w:r>
                </w:p>
              </w:tc>
              <w:tc>
                <w:tcPr>
                  <w:tcW w:w="1048"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大气监测</w:t>
                  </w:r>
                </w:p>
              </w:tc>
              <w:tc>
                <w:tcPr>
                  <w:tcW w:w="241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TSP</w:t>
                  </w:r>
                </w:p>
              </w:tc>
              <w:tc>
                <w:tcPr>
                  <w:tcW w:w="2256"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高峰期监测1次，每次连续监测3天，每天分4个时段监测</w:t>
                  </w:r>
                </w:p>
              </w:tc>
              <w:tc>
                <w:tcPr>
                  <w:tcW w:w="1798"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施工现场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07"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cs="Times New Roman"/>
                      <w:color w:val="auto"/>
                      <w:sz w:val="21"/>
                      <w:szCs w:val="21"/>
                    </w:rPr>
                  </w:pPr>
                </w:p>
              </w:tc>
              <w:tc>
                <w:tcPr>
                  <w:tcW w:w="1048"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声环境监测</w:t>
                  </w:r>
                </w:p>
              </w:tc>
              <w:tc>
                <w:tcPr>
                  <w:tcW w:w="241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等效连续A声级</w:t>
                  </w:r>
                </w:p>
              </w:tc>
              <w:tc>
                <w:tcPr>
                  <w:tcW w:w="2256"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施工期内至少一次，连续监测2天，每天昼、夜间监测1次</w:t>
                  </w:r>
                </w:p>
              </w:tc>
              <w:tc>
                <w:tcPr>
                  <w:tcW w:w="1798"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施工现场边界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07"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cs="Times New Roman"/>
                      <w:color w:val="auto"/>
                      <w:sz w:val="21"/>
                      <w:szCs w:val="21"/>
                    </w:rPr>
                  </w:pPr>
                </w:p>
              </w:tc>
              <w:tc>
                <w:tcPr>
                  <w:tcW w:w="1048"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固体废物</w:t>
                  </w:r>
                </w:p>
              </w:tc>
              <w:tc>
                <w:tcPr>
                  <w:tcW w:w="241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eastAsia" w:cs="Times New Roman"/>
                      <w:color w:val="auto"/>
                      <w:sz w:val="21"/>
                      <w:szCs w:val="21"/>
                      <w:lang w:eastAsia="zh-CN"/>
                    </w:rPr>
                    <w:t>排洪渠沙土</w:t>
                  </w:r>
                  <w:r>
                    <w:rPr>
                      <w:rFonts w:hint="default" w:cs="Times New Roman"/>
                      <w:color w:val="auto"/>
                      <w:sz w:val="21"/>
                      <w:szCs w:val="21"/>
                    </w:rPr>
                    <w:t>土方量</w:t>
                  </w:r>
                </w:p>
              </w:tc>
              <w:tc>
                <w:tcPr>
                  <w:tcW w:w="2256"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每天进行统计</w:t>
                  </w:r>
                </w:p>
              </w:tc>
              <w:tc>
                <w:tcPr>
                  <w:tcW w:w="1798"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施工现场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07"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运营期</w:t>
                  </w:r>
                </w:p>
              </w:tc>
              <w:tc>
                <w:tcPr>
                  <w:tcW w:w="1048"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固体废物</w:t>
                  </w:r>
                </w:p>
              </w:tc>
              <w:tc>
                <w:tcPr>
                  <w:tcW w:w="241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sz w:val="21"/>
                      <w:szCs w:val="21"/>
                      <w:lang w:eastAsia="zh-CN"/>
                    </w:rPr>
                  </w:pPr>
                  <w:r>
                    <w:rPr>
                      <w:rFonts w:hint="eastAsia" w:cs="Times New Roman"/>
                      <w:color w:val="auto"/>
                      <w:sz w:val="21"/>
                      <w:szCs w:val="21"/>
                      <w:lang w:eastAsia="zh-CN"/>
                    </w:rPr>
                    <w:t>排洪渠植物枯叶及沙土方量</w:t>
                  </w:r>
                </w:p>
              </w:tc>
              <w:tc>
                <w:tcPr>
                  <w:tcW w:w="2256"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cs="Times New Roman"/>
                      <w:color w:val="auto"/>
                      <w:sz w:val="21"/>
                      <w:szCs w:val="21"/>
                      <w:lang w:eastAsia="zh-CN"/>
                    </w:rPr>
                  </w:pPr>
                  <w:r>
                    <w:rPr>
                      <w:rFonts w:hint="eastAsia" w:cs="Times New Roman"/>
                      <w:color w:val="auto"/>
                      <w:sz w:val="21"/>
                      <w:szCs w:val="21"/>
                      <w:lang w:eastAsia="zh-CN"/>
                    </w:rPr>
                    <w:t>定期统计</w:t>
                  </w:r>
                </w:p>
              </w:tc>
              <w:tc>
                <w:tcPr>
                  <w:tcW w:w="1798"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cs="Times New Roman"/>
                      <w:color w:val="auto"/>
                      <w:sz w:val="21"/>
                      <w:szCs w:val="21"/>
                      <w:lang w:eastAsia="zh-CN"/>
                    </w:rPr>
                  </w:pPr>
                  <w:r>
                    <w:rPr>
                      <w:rFonts w:hint="eastAsia" w:cs="Times New Roman"/>
                      <w:color w:val="auto"/>
                      <w:sz w:val="21"/>
                      <w:szCs w:val="21"/>
                      <w:lang w:eastAsia="zh-CN"/>
                    </w:rPr>
                    <w:t>项目现场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07"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p>
              </w:tc>
              <w:tc>
                <w:tcPr>
                  <w:tcW w:w="1048"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生态</w:t>
                  </w:r>
                </w:p>
              </w:tc>
              <w:tc>
                <w:tcPr>
                  <w:tcW w:w="241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eastAsia" w:cs="Times New Roman"/>
                      <w:color w:val="auto"/>
                      <w:sz w:val="21"/>
                      <w:szCs w:val="21"/>
                      <w:lang w:eastAsia="zh-CN"/>
                    </w:rPr>
                    <w:t>排洪渠</w:t>
                  </w:r>
                  <w:r>
                    <w:rPr>
                      <w:rFonts w:hint="default" w:cs="Times New Roman"/>
                      <w:color w:val="auto"/>
                      <w:sz w:val="21"/>
                      <w:szCs w:val="21"/>
                    </w:rPr>
                    <w:t>周围绿化区域</w:t>
                  </w:r>
                </w:p>
              </w:tc>
              <w:tc>
                <w:tcPr>
                  <w:tcW w:w="2256"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生物损失量，植被覆盖率及水土流失恢复率</w:t>
                  </w:r>
                </w:p>
              </w:tc>
              <w:tc>
                <w:tcPr>
                  <w:tcW w:w="1798"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土质边坡和右堤堤顶</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157" w:beforeLines="50" w:beforeAutospacing="0" w:after="0" w:afterAutospacing="0" w:line="540" w:lineRule="exact"/>
              <w:ind w:left="0" w:right="0" w:firstLine="522" w:firstLineChars="200"/>
              <w:textAlignment w:val="auto"/>
              <w:rPr>
                <w:rFonts w:hint="default" w:ascii="Times New Roman" w:hAnsi="Times New Roman" w:eastAsia="宋体" w:cs="Times New Roman"/>
                <w:b/>
                <w:bCs/>
                <w:color w:val="auto"/>
                <w:spacing w:val="10"/>
                <w:sz w:val="24"/>
              </w:rPr>
            </w:pPr>
            <w:r>
              <w:rPr>
                <w:rFonts w:hint="default" w:ascii="Times New Roman" w:hAnsi="Times New Roman" w:eastAsia="宋体" w:cs="Times New Roman"/>
                <w:b/>
                <w:bCs/>
                <w:color w:val="auto"/>
                <w:spacing w:val="10"/>
                <w:sz w:val="24"/>
                <w:lang w:val="en-US" w:eastAsia="zh-CN"/>
              </w:rPr>
              <w:t>4</w:t>
            </w:r>
            <w:r>
              <w:rPr>
                <w:rFonts w:hint="default" w:ascii="Times New Roman" w:hAnsi="Times New Roman" w:eastAsia="宋体" w:cs="Times New Roman"/>
                <w:b/>
                <w:bCs/>
                <w:color w:val="auto"/>
                <w:spacing w:val="10"/>
                <w:sz w:val="24"/>
              </w:rPr>
              <w:t>、环境污染防治设施竣工验收管理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对施工期“三废”、噪声的防治均通过设置合理可行的环保设施，采取行之有效的防治措施来降低对环境的污染影响及危害程度，因此，本项目制定环境污染防治设施竣工验收清单，通过此竣工验收清单来确保本项目环保设施及污染防治措施的顺利进行。</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40" w:lineRule="exact"/>
              <w:ind w:left="0" w:leftChars="0" w:right="0" w:firstLine="0" w:firstLineChars="0"/>
              <w:jc w:val="center"/>
              <w:textAlignment w:val="auto"/>
              <w:rPr>
                <w:rFonts w:hint="eastAsia" w:ascii="宋体" w:hAnsi="宋体" w:eastAsia="宋体" w:cs="宋体"/>
                <w:b/>
                <w:bCs/>
                <w:color w:val="auto"/>
                <w:kern w:val="0"/>
                <w:sz w:val="24"/>
                <w:szCs w:val="24"/>
                <w:lang w:val="en-US" w:eastAsia="zh-CN" w:bidi="ar-SA"/>
              </w:rPr>
            </w:pPr>
            <w:r>
              <w:rPr>
                <w:rFonts w:hint="eastAsia" w:ascii="宋体" w:hAnsi="宋体" w:eastAsia="宋体" w:cs="宋体"/>
                <w:b/>
                <w:bCs/>
                <w:lang w:val="en-US" w:eastAsia="zh-CN"/>
              </w:rPr>
              <w:t>表</w:t>
            </w:r>
            <w:r>
              <w:rPr>
                <w:rFonts w:hint="default" w:ascii="Times New Roman" w:hAnsi="Times New Roman" w:eastAsia="宋体" w:cs="Times New Roman"/>
                <w:b/>
                <w:bCs/>
                <w:lang w:val="en-US" w:eastAsia="zh-CN"/>
              </w:rPr>
              <w:t>5-2</w:t>
            </w:r>
            <w:r>
              <w:rPr>
                <w:rFonts w:hint="eastAsia" w:ascii="宋体" w:hAnsi="宋体" w:eastAsia="宋体" w:cs="宋体"/>
                <w:b/>
                <w:bCs/>
                <w:lang w:val="en-US" w:eastAsia="zh-CN"/>
              </w:rPr>
              <w:t xml:space="preserve">  </w:t>
            </w:r>
            <w:bookmarkStart w:id="50" w:name="OLE_LINK14"/>
            <w:r>
              <w:rPr>
                <w:rFonts w:hint="eastAsia" w:ascii="宋体" w:hAnsi="宋体" w:eastAsia="宋体" w:cs="宋体"/>
                <w:b/>
                <w:bCs/>
                <w:lang w:val="en-US" w:eastAsia="zh-CN"/>
              </w:rPr>
              <w:t>环保设施“三同时”验收内容一览表</w:t>
            </w:r>
            <w:bookmarkEnd w:id="50"/>
          </w:p>
          <w:tbl>
            <w:tblPr>
              <w:tblStyle w:val="21"/>
              <w:tblW w:w="815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2"/>
              <w:gridCol w:w="683"/>
              <w:gridCol w:w="1234"/>
              <w:gridCol w:w="3719"/>
              <w:gridCol w:w="18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2"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时段</w:t>
                  </w:r>
                </w:p>
              </w:tc>
              <w:tc>
                <w:tcPr>
                  <w:tcW w:w="1917" w:type="dxa"/>
                  <w:gridSpan w:val="2"/>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 w:right="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w:t>
                  </w:r>
                </w:p>
              </w:tc>
              <w:tc>
                <w:tcPr>
                  <w:tcW w:w="3719"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环保措施及设施</w:t>
                  </w:r>
                </w:p>
              </w:tc>
              <w:tc>
                <w:tcPr>
                  <w:tcW w:w="1835"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2" w:type="dxa"/>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w:t>
                  </w:r>
                </w:p>
              </w:tc>
              <w:tc>
                <w:tcPr>
                  <w:tcW w:w="683"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1234"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扬尘</w:t>
                  </w:r>
                </w:p>
              </w:tc>
              <w:tc>
                <w:tcPr>
                  <w:tcW w:w="3719"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8" w:leftChars="2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定期洒水、运输车辆加盖篷布，施工现场设置围挡</w:t>
                  </w:r>
                </w:p>
              </w:tc>
              <w:tc>
                <w:tcPr>
                  <w:tcW w:w="1835" w:type="dxa"/>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105" w:firstLine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《大气污染物综合排放标准》（GB16297-1996）二级标准中无组织排放监控浓度限值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jc w:val="center"/>
              </w:trPr>
              <w:tc>
                <w:tcPr>
                  <w:tcW w:w="68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rPr>
                  </w:pPr>
                </w:p>
              </w:tc>
              <w:tc>
                <w:tcPr>
                  <w:tcW w:w="683" w:type="dxa"/>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1234"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8" w:leftChars="2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p>
              </w:tc>
              <w:tc>
                <w:tcPr>
                  <w:tcW w:w="3719"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8" w:leftChars="2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施工人员</w:t>
                  </w:r>
                  <w:r>
                    <w:rPr>
                      <w:rFonts w:hint="default" w:ascii="Times New Roman" w:hAnsi="Times New Roman" w:eastAsia="宋体" w:cs="Times New Roman"/>
                      <w:color w:val="auto"/>
                      <w:sz w:val="21"/>
                      <w:szCs w:val="21"/>
                      <w:lang w:eastAsia="zh-CN"/>
                    </w:rPr>
                    <w:t>如厕</w:t>
                  </w:r>
                  <w:r>
                    <w:rPr>
                      <w:rFonts w:hint="default" w:ascii="Times New Roman" w:hAnsi="Times New Roman" w:eastAsia="宋体" w:cs="Times New Roman"/>
                      <w:color w:val="auto"/>
                      <w:sz w:val="21"/>
                      <w:szCs w:val="21"/>
                    </w:rPr>
                    <w:t>依托附近村民设施</w:t>
                  </w:r>
                </w:p>
              </w:tc>
              <w:tc>
                <w:tcPr>
                  <w:tcW w:w="1835" w:type="dxa"/>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48" w:leftChars="20" w:right="0" w:firstLine="105" w:firstLine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全部综合利用不外排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68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rPr>
                  </w:pPr>
                </w:p>
              </w:tc>
              <w:tc>
                <w:tcPr>
                  <w:tcW w:w="68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rPr>
                  </w:pPr>
                </w:p>
              </w:tc>
              <w:tc>
                <w:tcPr>
                  <w:tcW w:w="1234"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8" w:leftChars="2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施工废水</w:t>
                  </w:r>
                </w:p>
              </w:tc>
              <w:tc>
                <w:tcPr>
                  <w:tcW w:w="3719"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8" w:leftChars="2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施工废水经简易沉淀池处理后循环使用</w:t>
                  </w:r>
                </w:p>
              </w:tc>
              <w:tc>
                <w:tcPr>
                  <w:tcW w:w="183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rPr>
                  </w:pPr>
                </w:p>
              </w:tc>
              <w:tc>
                <w:tcPr>
                  <w:tcW w:w="683"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234"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8" w:leftChars="2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机械噪声、施工作业噪声和施工车辆噪声</w:t>
                  </w:r>
                </w:p>
              </w:tc>
              <w:tc>
                <w:tcPr>
                  <w:tcW w:w="3719"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8" w:leftChars="2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加强施工管理，合理安排施工作业时间，采用先进的施工设备，对高噪设备加装减震垫</w:t>
                  </w:r>
                </w:p>
              </w:tc>
              <w:tc>
                <w:tcPr>
                  <w:tcW w:w="1835" w:type="dxa"/>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105" w:firstLine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满足《建筑施工场界环境噪声排放标准》（GB12523-2011）标准限值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rPr>
                  </w:pPr>
                </w:p>
              </w:tc>
              <w:tc>
                <w:tcPr>
                  <w:tcW w:w="683" w:type="dxa"/>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1234"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8" w:leftChars="2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排洪渠泥沙</w:t>
                  </w:r>
                </w:p>
              </w:tc>
              <w:tc>
                <w:tcPr>
                  <w:tcW w:w="3719"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8" w:leftChars="20" w:right="0"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排洪渠清於产生的植物枯叶及沙土，</w:t>
                  </w:r>
                  <w:r>
                    <w:rPr>
                      <w:rFonts w:hint="eastAsia" w:ascii="Times New Roman" w:hAnsi="Times New Roman" w:eastAsia="宋体" w:cs="Times New Roman"/>
                      <w:color w:val="auto"/>
                      <w:sz w:val="21"/>
                      <w:szCs w:val="21"/>
                      <w:lang w:eastAsia="zh-CN"/>
                    </w:rPr>
                    <w:t>建设单位清理至建筑垃圾填埋场</w:t>
                  </w:r>
                </w:p>
              </w:tc>
              <w:tc>
                <w:tcPr>
                  <w:tcW w:w="1835" w:type="dxa"/>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105" w:firstLine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无害化处置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rPr>
                  </w:pPr>
                </w:p>
              </w:tc>
              <w:tc>
                <w:tcPr>
                  <w:tcW w:w="683"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234"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8" w:leftChars="20" w:right="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生活垃圾</w:t>
                  </w:r>
                </w:p>
              </w:tc>
              <w:tc>
                <w:tcPr>
                  <w:tcW w:w="3719" w:type="dxa"/>
                  <w:tcBorders>
                    <w:tl2br w:val="nil"/>
                    <w:tr2bl w:val="nil"/>
                  </w:tcBorders>
                  <w:vAlign w:val="center"/>
                </w:tcPr>
                <w:p>
                  <w:pPr>
                    <w:keepNext w:val="0"/>
                    <w:keepLines w:val="0"/>
                    <w:suppressLineNumbers w:val="0"/>
                    <w:spacing w:before="0" w:beforeLines="0" w:beforeAutospacing="0" w:after="0" w:afterLines="0" w:afterAutospacing="0"/>
                    <w:ind w:left="0" w:leftChars="0" w:right="0" w:firstLine="0" w:firstLineChars="0"/>
                    <w:jc w:val="left"/>
                    <w:rPr>
                      <w:rFonts w:hint="eastAsia" w:cs="Times New Roman"/>
                      <w:color w:val="auto"/>
                      <w:sz w:val="21"/>
                      <w:szCs w:val="21"/>
                      <w:lang w:eastAsia="zh-CN"/>
                    </w:rPr>
                  </w:pPr>
                  <w:r>
                    <w:rPr>
                      <w:rFonts w:hint="eastAsia" w:cs="Times New Roman"/>
                      <w:color w:val="auto"/>
                      <w:sz w:val="21"/>
                      <w:szCs w:val="21"/>
                      <w:lang w:eastAsia="zh-CN"/>
                    </w:rPr>
                    <w:t>设置生活垃圾桶</w:t>
                  </w:r>
                  <w:r>
                    <w:rPr>
                      <w:rFonts w:hint="eastAsia" w:ascii="宋体" w:hAnsi="宋体" w:eastAsia="宋体"/>
                      <w:sz w:val="21"/>
                      <w:szCs w:val="24"/>
                    </w:rPr>
                    <w:t>，交环卫部门统一</w:t>
                  </w:r>
                  <w:r>
                    <w:rPr>
                      <w:rFonts w:hint="eastAsia" w:ascii="宋体" w:hAnsi="宋体" w:eastAsia="宋体"/>
                      <w:sz w:val="21"/>
                      <w:szCs w:val="24"/>
                      <w:lang w:eastAsia="zh-CN"/>
                    </w:rPr>
                    <w:t>清理</w:t>
                  </w:r>
                </w:p>
              </w:tc>
              <w:tc>
                <w:tcPr>
                  <w:tcW w:w="1835" w:type="dxa"/>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105" w:firstLineChars="5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70" w:hRule="atLeast"/>
                <w:jc w:val="center"/>
              </w:trPr>
              <w:tc>
                <w:tcPr>
                  <w:tcW w:w="682" w:type="dxa"/>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运营期</w:t>
                  </w:r>
                </w:p>
              </w:tc>
              <w:tc>
                <w:tcPr>
                  <w:tcW w:w="683" w:type="dxa"/>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生态环境</w:t>
                  </w:r>
                </w:p>
              </w:tc>
              <w:tc>
                <w:tcPr>
                  <w:tcW w:w="1234"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绿化</w:t>
                  </w:r>
                </w:p>
              </w:tc>
              <w:tc>
                <w:tcPr>
                  <w:tcW w:w="3719"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8" w:leftChars="2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对项目所在地两</w:t>
                  </w:r>
                  <w:r>
                    <w:rPr>
                      <w:rFonts w:hint="default" w:ascii="Times New Roman" w:hAnsi="Times New Roman" w:eastAsia="宋体" w:cs="Times New Roman"/>
                      <w:color w:val="auto"/>
                      <w:sz w:val="21"/>
                      <w:szCs w:val="21"/>
                      <w:lang w:val="en-US" w:eastAsia="zh-CN"/>
                    </w:rPr>
                    <w:t>岸</w:t>
                  </w:r>
                  <w:r>
                    <w:rPr>
                      <w:rFonts w:hint="default" w:ascii="Times New Roman" w:hAnsi="Times New Roman" w:eastAsia="宋体" w:cs="Times New Roman"/>
                      <w:color w:val="auto"/>
                      <w:sz w:val="21"/>
                      <w:szCs w:val="21"/>
                    </w:rPr>
                    <w:t>适当绿化，减少水土流失</w:t>
                  </w:r>
                </w:p>
              </w:tc>
              <w:tc>
                <w:tcPr>
                  <w:tcW w:w="1835" w:type="dxa"/>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105" w:firstLine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682"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683"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234"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8" w:leftChars="2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排洪渠泥沙</w:t>
                  </w:r>
                </w:p>
              </w:tc>
              <w:tc>
                <w:tcPr>
                  <w:tcW w:w="3719"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8" w:leftChars="20" w:right="0"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排洪渠产生的植物枯叶及沙土</w:t>
                  </w:r>
                  <w:r>
                    <w:rPr>
                      <w:rFonts w:hint="eastAsia" w:ascii="Times New Roman" w:hAnsi="Times New Roman" w:eastAsia="宋体" w:cs="Times New Roman"/>
                      <w:color w:val="auto"/>
                      <w:sz w:val="21"/>
                      <w:szCs w:val="21"/>
                      <w:lang w:eastAsia="zh-CN"/>
                    </w:rPr>
                    <w:t>建设单位不定期清理至建筑垃圾填埋场</w:t>
                  </w:r>
                </w:p>
              </w:tc>
              <w:tc>
                <w:tcPr>
                  <w:tcW w:w="1835" w:type="dxa"/>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105" w:firstLine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0" w:firstLineChars="0"/>
              <w:jc w:val="both"/>
              <w:textAlignment w:val="auto"/>
              <w:rPr>
                <w:rFonts w:hint="default" w:ascii="Times New Roman" w:hAnsi="Times New Roman" w:eastAsia="宋体" w:cs="Times New Roman"/>
                <w:bCs/>
                <w:color w:val="0000FF"/>
                <w:spacing w:val="10"/>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1" w:hRule="atLeast"/>
          <w:jc w:val="center"/>
        </w:trPr>
        <w:tc>
          <w:tcPr>
            <w:tcW w:w="72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pacing w:val="10"/>
                <w:sz w:val="24"/>
              </w:rPr>
            </w:pPr>
            <w:r>
              <w:rPr>
                <w:rFonts w:hint="default" w:ascii="Times New Roman" w:hAnsi="Times New Roman" w:eastAsia="宋体" w:cs="Times New Roman"/>
                <w:b/>
                <w:bCs w:val="0"/>
                <w:color w:val="auto"/>
                <w:sz w:val="24"/>
              </w:rPr>
              <w:t>环保投资</w:t>
            </w:r>
          </w:p>
        </w:tc>
        <w:tc>
          <w:tcPr>
            <w:tcW w:w="8371" w:type="dxa"/>
            <w:tcBorders>
              <w:tl2br w:val="nil"/>
              <w:tr2bl w:val="nil"/>
            </w:tcBorders>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项目总投资为</w:t>
            </w:r>
            <w:r>
              <w:rPr>
                <w:rFonts w:hint="eastAsia" w:cs="Times New Roman"/>
                <w:color w:val="auto"/>
                <w:kern w:val="0"/>
                <w:sz w:val="24"/>
                <w:lang w:val="en-US" w:eastAsia="zh-CN"/>
              </w:rPr>
              <w:t>3842.31</w:t>
            </w:r>
            <w:r>
              <w:rPr>
                <w:rFonts w:hint="default" w:ascii="Times New Roman" w:hAnsi="Times New Roman" w:eastAsia="宋体" w:cs="Times New Roman"/>
                <w:color w:val="auto"/>
                <w:kern w:val="0"/>
                <w:sz w:val="24"/>
              </w:rPr>
              <w:t>万元，其中环保投资</w:t>
            </w:r>
            <w:r>
              <w:rPr>
                <w:rFonts w:hint="eastAsia" w:cs="Times New Roman"/>
                <w:color w:val="auto"/>
                <w:kern w:val="0"/>
                <w:sz w:val="24"/>
                <w:lang w:val="en-US" w:eastAsia="zh-CN"/>
              </w:rPr>
              <w:t>97</w:t>
            </w:r>
            <w:r>
              <w:rPr>
                <w:rFonts w:hint="default" w:ascii="Times New Roman" w:hAnsi="Times New Roman" w:eastAsia="宋体" w:cs="Times New Roman"/>
                <w:color w:val="auto"/>
                <w:kern w:val="0"/>
                <w:sz w:val="24"/>
                <w:lang w:val="en-US" w:eastAsia="zh-CN"/>
              </w:rPr>
              <w:t>万元</w:t>
            </w:r>
            <w:r>
              <w:rPr>
                <w:rFonts w:hint="default" w:ascii="Times New Roman" w:hAnsi="Times New Roman" w:eastAsia="宋体" w:cs="Times New Roman"/>
                <w:color w:val="auto"/>
                <w:kern w:val="0"/>
                <w:sz w:val="24"/>
              </w:rPr>
              <w:t>，占总投资的</w:t>
            </w:r>
            <w:r>
              <w:rPr>
                <w:rFonts w:hint="eastAsia" w:cs="Times New Roman"/>
                <w:color w:val="auto"/>
                <w:kern w:val="0"/>
                <w:sz w:val="24"/>
                <w:lang w:val="en-US" w:eastAsia="zh-CN"/>
              </w:rPr>
              <w:t>2.52</w:t>
            </w:r>
            <w:r>
              <w:rPr>
                <w:rFonts w:hint="default" w:ascii="Times New Roman" w:hAnsi="Times New Roman" w:eastAsia="宋体" w:cs="Times New Roman"/>
                <w:color w:val="auto"/>
                <w:kern w:val="0"/>
                <w:sz w:val="24"/>
              </w:rPr>
              <w:t>%，工程环保投资见表</w:t>
            </w:r>
            <w:r>
              <w:rPr>
                <w:rFonts w:hint="eastAsia" w:cs="Times New Roman"/>
                <w:color w:val="auto"/>
                <w:kern w:val="0"/>
                <w:sz w:val="24"/>
                <w:lang w:val="en-US" w:eastAsia="zh-CN"/>
              </w:rPr>
              <w:t>5-3</w:t>
            </w:r>
            <w:r>
              <w:rPr>
                <w:rFonts w:hint="default" w:ascii="Times New Roman" w:hAnsi="Times New Roman" w:eastAsia="宋体" w:cs="Times New Roman"/>
                <w:color w:val="auto"/>
                <w:kern w:val="0"/>
                <w:sz w:val="24"/>
              </w:rPr>
              <w:t>。</w:t>
            </w:r>
          </w:p>
          <w:p>
            <w:pPr>
              <w:keepNext w:val="0"/>
              <w:keepLines w:val="0"/>
              <w:suppressLineNumbers w:val="0"/>
              <w:spacing w:before="0" w:beforeAutospacing="0" w:after="0" w:afterAutospacing="0"/>
              <w:ind w:left="0" w:leftChars="0" w:right="0" w:firstLine="0" w:firstLineChars="0"/>
              <w:jc w:val="center"/>
              <w:rPr>
                <w:rFonts w:hint="default"/>
                <w:lang w:val="en-US" w:eastAsia="zh-CN"/>
              </w:rPr>
            </w:pPr>
            <w:r>
              <w:rPr>
                <w:rFonts w:hint="eastAsia" w:ascii="宋体" w:hAnsi="宋体" w:eastAsia="宋体" w:cs="宋体"/>
                <w:b/>
                <w:bCs/>
                <w:lang w:val="en-US" w:eastAsia="zh-CN"/>
              </w:rPr>
              <w:t>表</w:t>
            </w:r>
            <w:r>
              <w:rPr>
                <w:rFonts w:hint="default" w:ascii="Times New Roman" w:hAnsi="Times New Roman" w:eastAsia="宋体" w:cs="Times New Roman"/>
                <w:b/>
                <w:bCs/>
                <w:lang w:val="en-US" w:eastAsia="zh-CN"/>
              </w:rPr>
              <w:t>5-3</w:t>
            </w:r>
            <w:r>
              <w:rPr>
                <w:rFonts w:hint="eastAsia" w:ascii="宋体" w:hAnsi="宋体" w:eastAsia="宋体" w:cs="宋体"/>
                <w:b/>
                <w:bCs/>
                <w:lang w:val="en-US" w:eastAsia="zh-CN"/>
              </w:rPr>
              <w:t xml:space="preserve">  工程</w:t>
            </w:r>
            <w:bookmarkStart w:id="51" w:name="OLE_LINK6"/>
            <w:r>
              <w:rPr>
                <w:rFonts w:hint="eastAsia" w:ascii="宋体" w:hAnsi="宋体" w:eastAsia="宋体" w:cs="宋体"/>
                <w:b/>
                <w:bCs/>
                <w:lang w:val="en-US" w:eastAsia="zh-CN"/>
              </w:rPr>
              <w:t>环保投资一览表</w:t>
            </w:r>
            <w:bookmarkEnd w:id="51"/>
          </w:p>
          <w:tbl>
            <w:tblPr>
              <w:tblStyle w:val="21"/>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7"/>
              <w:gridCol w:w="589"/>
              <w:gridCol w:w="1641"/>
              <w:gridCol w:w="3739"/>
              <w:gridCol w:w="751"/>
              <w:gridCol w:w="9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37"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时段</w:t>
                  </w:r>
                </w:p>
              </w:tc>
              <w:tc>
                <w:tcPr>
                  <w:tcW w:w="2230" w:type="dxa"/>
                  <w:gridSpan w:val="2"/>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w:t>
                  </w:r>
                </w:p>
              </w:tc>
              <w:tc>
                <w:tcPr>
                  <w:tcW w:w="3739"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环保措施及设施</w:t>
                  </w:r>
                </w:p>
              </w:tc>
              <w:tc>
                <w:tcPr>
                  <w:tcW w:w="75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投资</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（万元）</w:t>
                  </w:r>
                </w:p>
              </w:tc>
              <w:tc>
                <w:tcPr>
                  <w:tcW w:w="963"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比例（%）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37" w:type="dxa"/>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w:t>
                  </w:r>
                </w:p>
              </w:tc>
              <w:tc>
                <w:tcPr>
                  <w:tcW w:w="589" w:type="dxa"/>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164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施工扬尘</w:t>
                  </w:r>
                </w:p>
              </w:tc>
              <w:tc>
                <w:tcPr>
                  <w:tcW w:w="3739"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每日定时洒水、运输车辆加盖篷布，施工现场设置围挡</w:t>
                  </w:r>
                </w:p>
              </w:tc>
              <w:tc>
                <w:tcPr>
                  <w:tcW w:w="75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10</w:t>
                  </w:r>
                </w:p>
              </w:tc>
              <w:tc>
                <w:tcPr>
                  <w:tcW w:w="9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10.2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37"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p>
              </w:tc>
              <w:tc>
                <w:tcPr>
                  <w:tcW w:w="589"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p>
              </w:tc>
              <w:tc>
                <w:tcPr>
                  <w:tcW w:w="164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机械废气</w:t>
                  </w:r>
                </w:p>
              </w:tc>
              <w:tc>
                <w:tcPr>
                  <w:tcW w:w="3739"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施工机械采用符合国家标准的设备，施工期加强管理，确保尾气排放达标，加强设备养护</w:t>
                  </w:r>
                </w:p>
              </w:tc>
              <w:tc>
                <w:tcPr>
                  <w:tcW w:w="75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5</w:t>
                  </w:r>
                </w:p>
              </w:tc>
              <w:tc>
                <w:tcPr>
                  <w:tcW w:w="9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37"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p>
              </w:tc>
              <w:tc>
                <w:tcPr>
                  <w:tcW w:w="589" w:type="dxa"/>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1641" w:type="dxa"/>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施工废水</w:t>
                  </w:r>
                </w:p>
              </w:tc>
              <w:tc>
                <w:tcPr>
                  <w:tcW w:w="3739"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设置1座沉淀池（</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），废水沉淀后用于洒水降尘</w:t>
                  </w:r>
                </w:p>
              </w:tc>
              <w:tc>
                <w:tcPr>
                  <w:tcW w:w="75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10</w:t>
                  </w:r>
                </w:p>
              </w:tc>
              <w:tc>
                <w:tcPr>
                  <w:tcW w:w="9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10.2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37"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rPr>
                  </w:pPr>
                </w:p>
              </w:tc>
              <w:tc>
                <w:tcPr>
                  <w:tcW w:w="589"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rPr>
                  </w:pPr>
                </w:p>
              </w:tc>
              <w:tc>
                <w:tcPr>
                  <w:tcW w:w="1641"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rPr>
                  </w:pPr>
                </w:p>
              </w:tc>
              <w:tc>
                <w:tcPr>
                  <w:tcW w:w="37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施工期施工人员依托周边村庄居住，不设生活营地</w:t>
                  </w:r>
                </w:p>
              </w:tc>
              <w:tc>
                <w:tcPr>
                  <w:tcW w:w="75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37"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p>
              </w:tc>
              <w:tc>
                <w:tcPr>
                  <w:tcW w:w="589"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64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机械噪声、施工作业噪声和施工车辆噪声</w:t>
                  </w:r>
                </w:p>
              </w:tc>
              <w:tc>
                <w:tcPr>
                  <w:tcW w:w="3739"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加强施工管理，合理安排施工作业时间，采用先进的施工设备，对高噪设备加装减震垫</w:t>
                  </w:r>
                </w:p>
              </w:tc>
              <w:tc>
                <w:tcPr>
                  <w:tcW w:w="75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2</w:t>
                  </w:r>
                </w:p>
              </w:tc>
              <w:tc>
                <w:tcPr>
                  <w:tcW w:w="9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37"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p>
              </w:tc>
              <w:tc>
                <w:tcPr>
                  <w:tcW w:w="589" w:type="dxa"/>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164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清淤</w:t>
                  </w:r>
                  <w:r>
                    <w:rPr>
                      <w:rFonts w:hint="eastAsia" w:cs="Times New Roman"/>
                      <w:color w:val="auto"/>
                      <w:sz w:val="21"/>
                      <w:szCs w:val="21"/>
                      <w:lang w:eastAsia="zh-CN"/>
                    </w:rPr>
                    <w:t>泥沙</w:t>
                  </w:r>
                </w:p>
              </w:tc>
              <w:tc>
                <w:tcPr>
                  <w:tcW w:w="3739"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排洪渠清於产生的植物枯叶及沙土，</w:t>
                  </w:r>
                  <w:r>
                    <w:rPr>
                      <w:rFonts w:hint="eastAsia" w:ascii="Times New Roman" w:hAnsi="Times New Roman" w:eastAsia="宋体" w:cs="Times New Roman"/>
                      <w:color w:val="auto"/>
                      <w:sz w:val="21"/>
                      <w:szCs w:val="21"/>
                      <w:lang w:eastAsia="zh-CN"/>
                    </w:rPr>
                    <w:t>建设单位清理至建筑垃圾填埋场</w:t>
                  </w:r>
                </w:p>
              </w:tc>
              <w:tc>
                <w:tcPr>
                  <w:tcW w:w="75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15</w:t>
                  </w:r>
                </w:p>
              </w:tc>
              <w:tc>
                <w:tcPr>
                  <w:tcW w:w="9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15.3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37"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p>
              </w:tc>
              <w:tc>
                <w:tcPr>
                  <w:tcW w:w="589"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p>
              </w:tc>
              <w:tc>
                <w:tcPr>
                  <w:tcW w:w="164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3739"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设置生活垃圾桶，</w:t>
                  </w:r>
                  <w:r>
                    <w:rPr>
                      <w:rFonts w:hint="default" w:ascii="Times New Roman" w:hAnsi="Times New Roman" w:eastAsia="宋体" w:cs="Times New Roman"/>
                      <w:color w:val="auto"/>
                      <w:sz w:val="21"/>
                      <w:szCs w:val="21"/>
                    </w:rPr>
                    <w:t>生活垃圾集中收集后交由环卫部门统一处理</w:t>
                  </w:r>
                </w:p>
              </w:tc>
              <w:tc>
                <w:tcPr>
                  <w:tcW w:w="75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5</w:t>
                  </w:r>
                </w:p>
              </w:tc>
              <w:tc>
                <w:tcPr>
                  <w:tcW w:w="9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45" w:hRule="atLeast"/>
                <w:jc w:val="center"/>
              </w:trPr>
              <w:tc>
                <w:tcPr>
                  <w:tcW w:w="537"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p>
              </w:tc>
              <w:tc>
                <w:tcPr>
                  <w:tcW w:w="589"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绿化恢复</w:t>
                  </w:r>
                </w:p>
              </w:tc>
              <w:tc>
                <w:tcPr>
                  <w:tcW w:w="164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绿化、人行道</w:t>
                  </w:r>
                </w:p>
              </w:tc>
              <w:tc>
                <w:tcPr>
                  <w:tcW w:w="3739"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施工结束，恢复人行道、绿化带、行道树</w:t>
                  </w:r>
                </w:p>
              </w:tc>
              <w:tc>
                <w:tcPr>
                  <w:tcW w:w="75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50</w:t>
                  </w:r>
                </w:p>
              </w:tc>
              <w:tc>
                <w:tcPr>
                  <w:tcW w:w="9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67" w:type="dxa"/>
                  <w:gridSpan w:val="3"/>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合计</w:t>
                  </w:r>
                </w:p>
              </w:tc>
              <w:tc>
                <w:tcPr>
                  <w:tcW w:w="3739"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75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bidi="ar"/>
                    </w:rPr>
                  </w:pPr>
                  <w:r>
                    <w:rPr>
                      <w:rFonts w:hint="eastAsia" w:cs="Times New Roman"/>
                      <w:color w:val="auto"/>
                      <w:kern w:val="0"/>
                      <w:sz w:val="21"/>
                      <w:szCs w:val="21"/>
                      <w:lang w:val="en-US" w:eastAsia="zh-CN" w:bidi="ar"/>
                    </w:rPr>
                    <w:t>97</w:t>
                  </w:r>
                </w:p>
              </w:tc>
              <w:tc>
                <w:tcPr>
                  <w:tcW w:w="9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100</w:t>
                  </w:r>
                </w:p>
              </w:tc>
            </w:tr>
          </w:tbl>
          <w:p>
            <w:pPr>
              <w:keepNext w:val="0"/>
              <w:keepLines w:val="0"/>
              <w:widowControl w:val="0"/>
              <w:suppressLineNumbers w:val="0"/>
              <w:spacing w:before="0" w:beforeAutospacing="0" w:after="0" w:afterAutospacing="0"/>
              <w:ind w:left="0" w:leftChars="0" w:right="0" w:firstLine="0" w:firstLineChars="0"/>
              <w:jc w:val="both"/>
              <w:rPr>
                <w:rFonts w:hint="default" w:ascii="Times New Roman" w:hAnsi="Times New Roman" w:eastAsia="宋体" w:cs="Times New Roman"/>
                <w:kern w:val="2"/>
                <w:sz w:val="21"/>
                <w:szCs w:val="22"/>
                <w:lang w:val="en-US" w:eastAsia="zh-CN" w:bidi="ar-SA"/>
              </w:rPr>
            </w:pPr>
          </w:p>
        </w:tc>
      </w:tr>
    </w:tbl>
    <w:p>
      <w:pPr>
        <w:rPr>
          <w:rFonts w:hint="default" w:ascii="Times New Roman" w:hAnsi="Times New Roman" w:cs="Times New Roman"/>
          <w:color w:val="0000FF"/>
        </w:rPr>
        <w:sectPr>
          <w:pgSz w:w="11907" w:h="16840"/>
          <w:pgMar w:top="1417" w:right="1417" w:bottom="1417" w:left="1417" w:header="851" w:footer="1077" w:gutter="0"/>
          <w:pgBorders>
            <w:top w:val="none" w:sz="0" w:space="0"/>
            <w:left w:val="none" w:sz="0" w:space="0"/>
            <w:bottom w:val="none" w:sz="0" w:space="0"/>
            <w:right w:val="none" w:sz="0" w:space="0"/>
          </w:pgBorders>
          <w:pgNumType w:fmt="numberInDash"/>
          <w:cols w:space="720" w:num="1"/>
          <w:docGrid w:linePitch="312" w:charSpace="0"/>
        </w:sectPr>
      </w:pPr>
    </w:p>
    <w:p>
      <w:pPr>
        <w:widowControl/>
        <w:spacing w:before="100" w:beforeAutospacing="1" w:after="100" w:afterAutospacing="1"/>
        <w:jc w:val="center"/>
        <w:outlineLvl w:val="0"/>
        <w:rPr>
          <w:rFonts w:hint="default" w:ascii="Times New Roman" w:hAnsi="Times New Roman" w:eastAsia="黑体" w:cs="Times New Roman"/>
          <w:snapToGrid w:val="0"/>
          <w:color w:val="auto"/>
          <w:kern w:val="0"/>
          <w:sz w:val="30"/>
          <w:szCs w:val="30"/>
          <w:lang w:val="en-US" w:eastAsia="zh-CN" w:bidi="ar-SA"/>
        </w:rPr>
      </w:pPr>
      <w:r>
        <w:rPr>
          <w:rFonts w:hint="default" w:ascii="Times New Roman" w:hAnsi="Times New Roman" w:eastAsia="黑体" w:cs="Times New Roman"/>
          <w:snapToGrid w:val="0"/>
          <w:color w:val="auto"/>
          <w:kern w:val="0"/>
          <w:sz w:val="30"/>
          <w:szCs w:val="30"/>
          <w:lang w:val="en-US" w:eastAsia="zh-CN" w:bidi="ar-SA"/>
        </w:rPr>
        <w:t>六、生态环境保护措施监督检查清单</w:t>
      </w:r>
    </w:p>
    <w:tbl>
      <w:tblPr>
        <w:tblStyle w:val="21"/>
        <w:tblW w:w="822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2919"/>
        <w:gridCol w:w="1580"/>
        <w:gridCol w:w="1541"/>
        <w:gridCol w:w="9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15" w:type="dxa"/>
            <w:vMerge w:val="restart"/>
            <w:tcBorders>
              <w:tl2br w:val="nil"/>
              <w:tr2bl w:val="nil"/>
            </w:tcBorders>
            <w:tcMar>
              <w:top w:w="0" w:type="dxa"/>
              <w:left w:w="0" w:type="dxa"/>
              <w:bottom w:w="0" w:type="dxa"/>
              <w:right w:w="0" w:type="dxa"/>
            </w:tcMar>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 xml:space="preserve">    内容</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要素</w:t>
            </w:r>
          </w:p>
        </w:tc>
        <w:tc>
          <w:tcPr>
            <w:tcW w:w="4499" w:type="dxa"/>
            <w:gridSpan w:val="2"/>
            <w:tcBorders>
              <w:tl2br w:val="nil"/>
              <w:tr2bl w:val="nil"/>
            </w:tcBorders>
            <w:tcMar>
              <w:top w:w="0" w:type="dxa"/>
              <w:left w:w="0" w:type="dxa"/>
              <w:bottom w:w="0" w:type="dxa"/>
              <w:right w:w="0" w:type="dxa"/>
            </w:tcMar>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施工期</w:t>
            </w:r>
          </w:p>
        </w:tc>
        <w:tc>
          <w:tcPr>
            <w:tcW w:w="2506" w:type="dxa"/>
            <w:gridSpan w:val="2"/>
            <w:tcBorders>
              <w:tl2br w:val="nil"/>
              <w:tr2bl w:val="nil"/>
            </w:tcBorders>
            <w:tcMar>
              <w:top w:w="0" w:type="dxa"/>
              <w:left w:w="0" w:type="dxa"/>
              <w:bottom w:w="0" w:type="dxa"/>
              <w:right w:w="0" w:type="dxa"/>
            </w:tcMar>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运营期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15" w:type="dxa"/>
            <w:vMerge w:val="continue"/>
            <w:tcBorders>
              <w:tl2br w:val="nil"/>
              <w:tr2bl w:val="nil"/>
            </w:tcBorders>
            <w:tcMar>
              <w:top w:w="0" w:type="dxa"/>
              <w:left w:w="0" w:type="dxa"/>
              <w:bottom w:w="0" w:type="dxa"/>
              <w:right w:w="0" w:type="dxa"/>
            </w:tcMar>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rPr>
            </w:pPr>
          </w:p>
        </w:tc>
        <w:tc>
          <w:tcPr>
            <w:tcW w:w="2919" w:type="dxa"/>
            <w:tcBorders>
              <w:tl2br w:val="nil"/>
              <w:tr2bl w:val="nil"/>
            </w:tcBorders>
            <w:tcMar>
              <w:top w:w="0" w:type="dxa"/>
              <w:left w:w="0" w:type="dxa"/>
              <w:bottom w:w="0" w:type="dxa"/>
              <w:right w:w="0" w:type="dxa"/>
            </w:tcMar>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环境保护措施</w:t>
            </w:r>
          </w:p>
        </w:tc>
        <w:tc>
          <w:tcPr>
            <w:tcW w:w="1580" w:type="dxa"/>
            <w:tcBorders>
              <w:tl2br w:val="nil"/>
              <w:tr2bl w:val="nil"/>
            </w:tcBorders>
            <w:tcMar>
              <w:top w:w="0" w:type="dxa"/>
              <w:left w:w="0" w:type="dxa"/>
              <w:bottom w:w="0" w:type="dxa"/>
              <w:right w:w="0" w:type="dxa"/>
            </w:tcMar>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验收要求</w:t>
            </w:r>
          </w:p>
        </w:tc>
        <w:tc>
          <w:tcPr>
            <w:tcW w:w="1541" w:type="dxa"/>
            <w:tcBorders>
              <w:tl2br w:val="nil"/>
              <w:tr2bl w:val="nil"/>
            </w:tcBorders>
            <w:tcMar>
              <w:top w:w="0" w:type="dxa"/>
              <w:left w:w="0" w:type="dxa"/>
              <w:bottom w:w="0" w:type="dxa"/>
              <w:right w:w="0" w:type="dxa"/>
            </w:tcMar>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环境保护措施</w:t>
            </w:r>
          </w:p>
        </w:tc>
        <w:tc>
          <w:tcPr>
            <w:tcW w:w="965" w:type="dxa"/>
            <w:tcBorders>
              <w:tl2br w:val="nil"/>
              <w:tr2bl w:val="nil"/>
            </w:tcBorders>
            <w:tcMar>
              <w:top w:w="0" w:type="dxa"/>
              <w:left w:w="0" w:type="dxa"/>
              <w:bottom w:w="0" w:type="dxa"/>
              <w:right w:w="0" w:type="dxa"/>
            </w:tcMar>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验收要求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15"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陆生生态</w:t>
            </w:r>
          </w:p>
        </w:tc>
        <w:tc>
          <w:tcPr>
            <w:tcW w:w="2919"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明确施工建筑红线，严禁跨越红线施工</w:t>
            </w:r>
          </w:p>
        </w:tc>
        <w:tc>
          <w:tcPr>
            <w:tcW w:w="1580"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保护陆生生态环境质量不改变</w:t>
            </w:r>
          </w:p>
        </w:tc>
        <w:tc>
          <w:tcPr>
            <w:tcW w:w="1541"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65"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15"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水生生态</w:t>
            </w:r>
          </w:p>
        </w:tc>
        <w:tc>
          <w:tcPr>
            <w:tcW w:w="2919"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项目采取分段施工</w:t>
            </w:r>
          </w:p>
        </w:tc>
        <w:tc>
          <w:tcPr>
            <w:tcW w:w="1580"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保护水生生态环境质量有所改善</w:t>
            </w:r>
          </w:p>
        </w:tc>
        <w:tc>
          <w:tcPr>
            <w:tcW w:w="1541"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65"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保护水生生态环境质量有所改善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15"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2919"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施工废水经沉淀处理后用于施工场地和道路洒水降尘；施工期施工人员依托周边村庄居住，不设生活营地</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本项目</w:t>
            </w:r>
            <w:r>
              <w:rPr>
                <w:rFonts w:hint="default" w:ascii="Times New Roman" w:hAnsi="Times New Roman" w:eastAsia="宋体" w:cs="Times New Roman"/>
                <w:color w:val="auto"/>
                <w:sz w:val="21"/>
                <w:szCs w:val="21"/>
              </w:rPr>
              <w:t>采用单侧围堰施工方法进行施工</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工程段施工排水采用潜水泵将砌护段落基坑内沟水及渗水抽排至</w:t>
            </w:r>
            <w:r>
              <w:rPr>
                <w:rFonts w:hint="default" w:ascii="Times New Roman" w:hAnsi="Times New Roman" w:eastAsia="宋体" w:cs="Times New Roman"/>
                <w:color w:val="auto"/>
                <w:sz w:val="21"/>
                <w:szCs w:val="21"/>
                <w:lang w:val="en-US" w:eastAsia="zh-CN"/>
              </w:rPr>
              <w:t>围堰</w:t>
            </w:r>
            <w:r>
              <w:rPr>
                <w:rFonts w:hint="default" w:ascii="Times New Roman" w:hAnsi="Times New Roman" w:eastAsia="宋体" w:cs="Times New Roman"/>
                <w:color w:val="auto"/>
                <w:sz w:val="21"/>
                <w:szCs w:val="21"/>
              </w:rPr>
              <w:t>内</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从而降低对水环境的影响。</w:t>
            </w:r>
          </w:p>
        </w:tc>
        <w:tc>
          <w:tcPr>
            <w:tcW w:w="1580"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废水不外排</w:t>
            </w:r>
          </w:p>
        </w:tc>
        <w:tc>
          <w:tcPr>
            <w:tcW w:w="1541"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65"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15"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地下水及土壤环境</w:t>
            </w:r>
          </w:p>
        </w:tc>
        <w:tc>
          <w:tcPr>
            <w:tcW w:w="2919"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580"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541"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65"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15"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2919"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加强施工管理，合理安排施工作业时间，采用先进的施工设备</w:t>
            </w:r>
          </w:p>
        </w:tc>
        <w:tc>
          <w:tcPr>
            <w:tcW w:w="1580"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《建筑施工场界环境噪声排放标准》（GB12523-2011）</w:t>
            </w:r>
          </w:p>
        </w:tc>
        <w:tc>
          <w:tcPr>
            <w:tcW w:w="1541"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65"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15"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振动</w:t>
            </w:r>
          </w:p>
        </w:tc>
        <w:tc>
          <w:tcPr>
            <w:tcW w:w="2919"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580"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541"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65"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15"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2919" w:type="dxa"/>
            <w:tcBorders>
              <w:tl2br w:val="nil"/>
              <w:tr2bl w:val="nil"/>
            </w:tcBorders>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定期洒水、运输车辆及堆土加盖篷布</w:t>
            </w:r>
            <w:r>
              <w:rPr>
                <w:rFonts w:hint="default" w:ascii="Times New Roman" w:hAnsi="Times New Roman" w:eastAsia="宋体" w:cs="Times New Roman"/>
                <w:color w:val="auto"/>
                <w:sz w:val="21"/>
                <w:szCs w:val="21"/>
                <w:lang w:eastAsia="zh-CN"/>
              </w:rPr>
              <w:t>；</w:t>
            </w:r>
          </w:p>
        </w:tc>
        <w:tc>
          <w:tcPr>
            <w:tcW w:w="1580"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《大气污染物综合排放标准》（GB16297-1996）二级标准中无组织排放监控浓度限值</w:t>
            </w:r>
          </w:p>
        </w:tc>
        <w:tc>
          <w:tcPr>
            <w:tcW w:w="1541"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65"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15"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2919"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生活垃圾及时清运至就近环卫部门处；</w:t>
            </w:r>
            <w:r>
              <w:rPr>
                <w:rFonts w:hint="eastAsia" w:cs="Times New Roman"/>
                <w:color w:val="auto"/>
                <w:sz w:val="21"/>
                <w:szCs w:val="21"/>
                <w:lang w:eastAsia="zh-CN"/>
              </w:rPr>
              <w:t>土方、植物枯叶及沙土</w:t>
            </w:r>
            <w:r>
              <w:rPr>
                <w:rFonts w:hint="default" w:ascii="Times New Roman" w:hAnsi="Times New Roman" w:eastAsia="宋体" w:cs="Times New Roman"/>
                <w:color w:val="auto"/>
                <w:sz w:val="21"/>
                <w:szCs w:val="21"/>
              </w:rPr>
              <w:t>，</w:t>
            </w:r>
            <w:r>
              <w:rPr>
                <w:rFonts w:hint="eastAsia" w:cs="Times New Roman"/>
                <w:color w:val="auto"/>
                <w:kern w:val="0"/>
                <w:sz w:val="21"/>
                <w:szCs w:val="21"/>
                <w:lang w:eastAsia="zh-CN"/>
              </w:rPr>
              <w:t>清理至建筑垃圾填埋场</w:t>
            </w:r>
          </w:p>
        </w:tc>
        <w:tc>
          <w:tcPr>
            <w:tcW w:w="1580"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541"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植物枯叶及沙土</w:t>
            </w:r>
            <w:r>
              <w:rPr>
                <w:rFonts w:hint="default" w:ascii="Times New Roman" w:hAnsi="Times New Roman" w:eastAsia="宋体" w:cs="Times New Roman"/>
                <w:color w:val="auto"/>
                <w:sz w:val="21"/>
                <w:szCs w:val="21"/>
              </w:rPr>
              <w:t>，</w:t>
            </w:r>
            <w:r>
              <w:rPr>
                <w:rFonts w:hint="eastAsia" w:cs="Times New Roman"/>
                <w:color w:val="auto"/>
                <w:kern w:val="0"/>
                <w:sz w:val="21"/>
                <w:szCs w:val="21"/>
                <w:lang w:eastAsia="zh-CN"/>
              </w:rPr>
              <w:t>清理至建筑垃圾填埋场</w:t>
            </w:r>
          </w:p>
        </w:tc>
        <w:tc>
          <w:tcPr>
            <w:tcW w:w="965"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15"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电磁环境</w:t>
            </w:r>
          </w:p>
        </w:tc>
        <w:tc>
          <w:tcPr>
            <w:tcW w:w="2919"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580"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541"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65"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15"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w:t>
            </w:r>
          </w:p>
        </w:tc>
        <w:tc>
          <w:tcPr>
            <w:tcW w:w="2919"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580"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541"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65"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15"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环境监测</w:t>
            </w:r>
          </w:p>
        </w:tc>
        <w:tc>
          <w:tcPr>
            <w:tcW w:w="2919"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见环境监测一览表</w:t>
            </w:r>
          </w:p>
        </w:tc>
        <w:tc>
          <w:tcPr>
            <w:tcW w:w="1580"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541"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65"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15"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w:t>
            </w:r>
          </w:p>
        </w:tc>
        <w:tc>
          <w:tcPr>
            <w:tcW w:w="2919"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580"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541"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65" w:type="dxa"/>
            <w:tcBorders>
              <w:tl2br w:val="nil"/>
              <w:tr2bl w:val="nil"/>
            </w:tcBorders>
            <w:tcMar>
              <w:top w:w="0" w:type="dxa"/>
              <w:left w:w="0" w:type="dxa"/>
              <w:bottom w:w="0" w:type="dxa"/>
              <w:right w:w="0"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pPr>
        <w:spacing w:before="192" w:beforeLines="80" w:beforeAutospacing="0"/>
        <w:jc w:val="center"/>
        <w:outlineLvl w:val="0"/>
        <w:rPr>
          <w:rFonts w:hint="default" w:ascii="Times New Roman" w:hAnsi="Times New Roman" w:eastAsia="黑体" w:cs="Times New Roman"/>
          <w:snapToGrid w:val="0"/>
          <w:color w:val="0000FF"/>
          <w:sz w:val="30"/>
          <w:szCs w:val="30"/>
        </w:rPr>
        <w:sectPr>
          <w:pgSz w:w="11906" w:h="16838"/>
          <w:pgMar w:top="1417" w:right="1417" w:bottom="1417" w:left="1417" w:header="851" w:footer="1077" w:gutter="0"/>
          <w:pgBorders>
            <w:top w:val="none" w:sz="0" w:space="0"/>
            <w:left w:val="none" w:sz="0" w:space="0"/>
            <w:bottom w:val="none" w:sz="0" w:space="0"/>
            <w:right w:val="none" w:sz="0" w:space="0"/>
          </w:pgBorders>
          <w:pgNumType w:fmt="numberInDash"/>
          <w:cols w:space="720" w:num="1"/>
          <w:docGrid w:linePitch="312" w:charSpace="0"/>
        </w:sectPr>
      </w:pPr>
    </w:p>
    <w:p>
      <w:pPr>
        <w:widowControl/>
        <w:spacing w:before="192" w:beforeLines="80" w:beforeAutospacing="0" w:after="100" w:afterAutospacing="1"/>
        <w:jc w:val="center"/>
        <w:outlineLvl w:val="0"/>
        <w:rPr>
          <w:rFonts w:hint="default" w:ascii="Times New Roman" w:hAnsi="Times New Roman" w:eastAsia="黑体" w:cs="Times New Roman"/>
          <w:snapToGrid w:val="0"/>
          <w:color w:val="auto"/>
          <w:kern w:val="0"/>
          <w:sz w:val="30"/>
          <w:szCs w:val="30"/>
          <w:lang w:val="en-US" w:eastAsia="zh-CN" w:bidi="ar-SA"/>
        </w:rPr>
      </w:pPr>
      <w:r>
        <w:rPr>
          <w:rFonts w:hint="default" w:ascii="Times New Roman" w:hAnsi="Times New Roman" w:eastAsia="黑体" w:cs="Times New Roman"/>
          <w:snapToGrid w:val="0"/>
          <w:color w:val="auto"/>
          <w:kern w:val="0"/>
          <w:sz w:val="30"/>
          <w:szCs w:val="30"/>
          <w:lang w:val="en-US" w:eastAsia="zh-CN" w:bidi="ar-SA"/>
        </w:rPr>
        <w:t>七、结论</w:t>
      </w:r>
    </w:p>
    <w:tbl>
      <w:tblPr>
        <w:tblStyle w:val="21"/>
        <w:tblW w:w="907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348" w:hRule="atLeast"/>
          <w:jc w:val="center"/>
        </w:trPr>
        <w:tc>
          <w:tcPr>
            <w:tcW w:w="9071" w:type="dxa"/>
            <w:tcBorders>
              <w:tl2br w:val="nil"/>
              <w:tr2bl w:val="nil"/>
            </w:tcBorders>
            <w:vAlign w:val="center"/>
          </w:tcPr>
          <w:p>
            <w:pPr>
              <w:keepNext w:val="0"/>
              <w:keepLines w:val="0"/>
              <w:suppressLineNumbers w:val="0"/>
              <w:spacing w:before="120" w:beforeLines="50" w:beforeAutospacing="0" w:after="0" w:afterAutospacing="0" w:line="360" w:lineRule="auto"/>
              <w:ind w:left="0" w:right="0"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rPr>
              <w:t>本项目符合国家相关产业政策，项目选址及总平面布局合理。项目建成后各类污染物经过处理后可以实现达标排放，项目实施后对所在区域的环境影响较小。</w:t>
            </w:r>
            <w:r>
              <w:rPr>
                <w:rFonts w:hint="eastAsia" w:cs="Times New Roman"/>
                <w:color w:val="auto"/>
                <w:sz w:val="24"/>
                <w:lang w:eastAsia="zh-CN"/>
              </w:rPr>
              <w:t>只要落实各项生态防护措施及污染防治措施，</w:t>
            </w:r>
            <w:r>
              <w:rPr>
                <w:rFonts w:hint="default" w:ascii="Times New Roman" w:hAnsi="Times New Roman" w:eastAsia="宋体" w:cs="Times New Roman"/>
                <w:color w:val="auto"/>
                <w:sz w:val="24"/>
              </w:rPr>
              <w:t>本项目建设从环境保护角度是可行的。</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right="0" w:firstLine="480" w:firstLineChars="200"/>
              <w:textAlignment w:val="auto"/>
              <w:rPr>
                <w:rFonts w:hint="default" w:ascii="Times New Roman" w:hAnsi="Times New Roman" w:eastAsia="宋体" w:cs="Times New Roman"/>
                <w:color w:val="0000FF"/>
                <w:kern w:val="0"/>
                <w:sz w:val="24"/>
              </w:rPr>
            </w:pPr>
          </w:p>
          <w:p>
            <w:pPr>
              <w:keepNext w:val="0"/>
              <w:keepLines w:val="0"/>
              <w:suppressLineNumbers w:val="0"/>
              <w:autoSpaceDE w:val="0"/>
              <w:autoSpaceDN w:val="0"/>
              <w:adjustRightInd w:val="0"/>
              <w:snapToGrid w:val="0"/>
              <w:spacing w:before="0" w:beforeAutospacing="0" w:after="0" w:afterAutospacing="0" w:line="360" w:lineRule="auto"/>
              <w:ind w:left="0" w:right="0" w:firstLine="520" w:firstLineChars="200"/>
              <w:rPr>
                <w:rFonts w:hint="default" w:ascii="Times New Roman" w:hAnsi="Times New Roman" w:eastAsia="宋体" w:cs="Times New Roman"/>
                <w:bCs/>
                <w:color w:val="0000FF"/>
                <w:spacing w:val="10"/>
                <w:sz w:val="24"/>
              </w:rPr>
            </w:pPr>
          </w:p>
          <w:p>
            <w:pPr>
              <w:keepNext w:val="0"/>
              <w:keepLines w:val="0"/>
              <w:suppressLineNumbers w:val="0"/>
              <w:autoSpaceDE w:val="0"/>
              <w:autoSpaceDN w:val="0"/>
              <w:adjustRightInd w:val="0"/>
              <w:snapToGrid w:val="0"/>
              <w:spacing w:before="0" w:beforeAutospacing="0" w:after="0" w:afterAutospacing="0" w:line="360" w:lineRule="auto"/>
              <w:ind w:left="0" w:right="0" w:firstLine="520" w:firstLineChars="200"/>
              <w:rPr>
                <w:rFonts w:hint="default" w:ascii="Times New Roman" w:hAnsi="Times New Roman" w:eastAsia="宋体" w:cs="Times New Roman"/>
                <w:bCs/>
                <w:color w:val="0000FF"/>
                <w:spacing w:val="10"/>
                <w:sz w:val="24"/>
              </w:rPr>
            </w:pPr>
          </w:p>
          <w:p>
            <w:pPr>
              <w:keepNext w:val="0"/>
              <w:keepLines w:val="0"/>
              <w:suppressLineNumbers w:val="0"/>
              <w:autoSpaceDE w:val="0"/>
              <w:autoSpaceDN w:val="0"/>
              <w:adjustRightInd w:val="0"/>
              <w:snapToGrid w:val="0"/>
              <w:spacing w:before="0" w:beforeAutospacing="0" w:after="0" w:afterAutospacing="0" w:line="360" w:lineRule="auto"/>
              <w:ind w:left="0" w:right="0" w:firstLine="520" w:firstLineChars="200"/>
              <w:rPr>
                <w:rFonts w:hint="default" w:ascii="Times New Roman" w:hAnsi="Times New Roman" w:eastAsia="宋体" w:cs="Times New Roman"/>
                <w:bCs/>
                <w:color w:val="0000FF"/>
                <w:spacing w:val="10"/>
                <w:sz w:val="24"/>
              </w:rPr>
            </w:pPr>
          </w:p>
          <w:p>
            <w:pPr>
              <w:keepNext w:val="0"/>
              <w:keepLines w:val="0"/>
              <w:suppressLineNumbers w:val="0"/>
              <w:autoSpaceDE w:val="0"/>
              <w:autoSpaceDN w:val="0"/>
              <w:adjustRightInd w:val="0"/>
              <w:snapToGrid w:val="0"/>
              <w:spacing w:before="0" w:beforeAutospacing="0" w:after="0" w:afterAutospacing="0" w:line="360" w:lineRule="auto"/>
              <w:ind w:left="0" w:right="0" w:firstLine="520" w:firstLineChars="200"/>
              <w:rPr>
                <w:rFonts w:hint="default" w:ascii="Times New Roman" w:hAnsi="Times New Roman" w:eastAsia="宋体" w:cs="Times New Roman"/>
                <w:bCs/>
                <w:color w:val="0000FF"/>
                <w:spacing w:val="10"/>
                <w:sz w:val="24"/>
              </w:rPr>
            </w:pPr>
          </w:p>
          <w:p>
            <w:pPr>
              <w:keepNext w:val="0"/>
              <w:keepLines w:val="0"/>
              <w:suppressLineNumbers w:val="0"/>
              <w:autoSpaceDE w:val="0"/>
              <w:autoSpaceDN w:val="0"/>
              <w:adjustRightInd w:val="0"/>
              <w:snapToGrid w:val="0"/>
              <w:spacing w:before="0" w:beforeAutospacing="0" w:after="0" w:afterAutospacing="0" w:line="360" w:lineRule="auto"/>
              <w:ind w:left="0" w:right="0" w:firstLine="520" w:firstLineChars="200"/>
              <w:rPr>
                <w:rFonts w:hint="default" w:ascii="Times New Roman" w:hAnsi="Times New Roman" w:eastAsia="宋体" w:cs="Times New Roman"/>
                <w:bCs/>
                <w:color w:val="0000FF"/>
                <w:spacing w:val="10"/>
                <w:sz w:val="24"/>
              </w:rPr>
            </w:pPr>
          </w:p>
          <w:p>
            <w:pPr>
              <w:keepNext w:val="0"/>
              <w:keepLines w:val="0"/>
              <w:suppressLineNumbers w:val="0"/>
              <w:autoSpaceDE w:val="0"/>
              <w:autoSpaceDN w:val="0"/>
              <w:adjustRightInd w:val="0"/>
              <w:snapToGrid w:val="0"/>
              <w:spacing w:before="0" w:beforeAutospacing="0" w:after="0" w:afterAutospacing="0" w:line="360" w:lineRule="auto"/>
              <w:ind w:left="0" w:right="0" w:firstLine="520" w:firstLineChars="200"/>
              <w:rPr>
                <w:rFonts w:hint="default" w:ascii="Times New Roman" w:hAnsi="Times New Roman" w:eastAsia="宋体" w:cs="Times New Roman"/>
                <w:bCs/>
                <w:color w:val="0000FF"/>
                <w:spacing w:val="10"/>
                <w:sz w:val="24"/>
              </w:rPr>
            </w:pPr>
          </w:p>
          <w:p>
            <w:pPr>
              <w:keepNext w:val="0"/>
              <w:keepLines w:val="0"/>
              <w:suppressLineNumbers w:val="0"/>
              <w:autoSpaceDE w:val="0"/>
              <w:autoSpaceDN w:val="0"/>
              <w:adjustRightInd w:val="0"/>
              <w:snapToGrid w:val="0"/>
              <w:spacing w:before="0" w:beforeAutospacing="0" w:after="0" w:afterAutospacing="0" w:line="360" w:lineRule="auto"/>
              <w:ind w:left="0" w:leftChars="0" w:right="0" w:firstLine="0" w:firstLineChars="0"/>
              <w:rPr>
                <w:rFonts w:hint="default" w:ascii="Times New Roman" w:hAnsi="Times New Roman" w:eastAsia="宋体" w:cs="Times New Roman"/>
                <w:bCs/>
                <w:color w:val="0000FF"/>
                <w:spacing w:val="10"/>
                <w:sz w:val="24"/>
              </w:rPr>
            </w:pPr>
          </w:p>
          <w:p>
            <w:pPr>
              <w:keepNext w:val="0"/>
              <w:keepLines w:val="0"/>
              <w:suppressLineNumbers w:val="0"/>
              <w:autoSpaceDE w:val="0"/>
              <w:autoSpaceDN w:val="0"/>
              <w:adjustRightInd w:val="0"/>
              <w:snapToGrid w:val="0"/>
              <w:spacing w:before="0" w:beforeAutospacing="0" w:after="0" w:afterAutospacing="0" w:line="360" w:lineRule="auto"/>
              <w:ind w:left="0" w:right="0" w:firstLine="520" w:firstLineChars="200"/>
              <w:rPr>
                <w:rFonts w:hint="default" w:ascii="Times New Roman" w:hAnsi="Times New Roman" w:eastAsia="宋体" w:cs="Times New Roman"/>
                <w:bCs/>
                <w:color w:val="0000FF"/>
                <w:spacing w:val="10"/>
                <w:sz w:val="24"/>
              </w:rPr>
            </w:pPr>
          </w:p>
          <w:p>
            <w:pPr>
              <w:keepNext w:val="0"/>
              <w:keepLines w:val="0"/>
              <w:suppressLineNumbers w:val="0"/>
              <w:autoSpaceDE w:val="0"/>
              <w:autoSpaceDN w:val="0"/>
              <w:adjustRightInd w:val="0"/>
              <w:snapToGrid w:val="0"/>
              <w:spacing w:before="0" w:beforeAutospacing="0" w:after="0" w:afterAutospacing="0" w:line="360" w:lineRule="auto"/>
              <w:ind w:left="0" w:right="0" w:firstLine="520" w:firstLineChars="200"/>
              <w:rPr>
                <w:rFonts w:hint="default" w:ascii="Times New Roman" w:hAnsi="Times New Roman" w:eastAsia="宋体" w:cs="Times New Roman"/>
                <w:bCs/>
                <w:color w:val="0000FF"/>
                <w:spacing w:val="10"/>
                <w:sz w:val="24"/>
              </w:rPr>
            </w:pPr>
          </w:p>
          <w:p>
            <w:pPr>
              <w:keepNext w:val="0"/>
              <w:keepLines w:val="0"/>
              <w:suppressLineNumbers w:val="0"/>
              <w:autoSpaceDE w:val="0"/>
              <w:autoSpaceDN w:val="0"/>
              <w:adjustRightInd w:val="0"/>
              <w:snapToGrid w:val="0"/>
              <w:spacing w:before="0" w:beforeAutospacing="0" w:after="0" w:afterAutospacing="0" w:line="360" w:lineRule="auto"/>
              <w:ind w:left="0" w:right="0" w:firstLine="520" w:firstLineChars="200"/>
              <w:rPr>
                <w:rFonts w:hint="default" w:ascii="Times New Roman" w:hAnsi="Times New Roman" w:eastAsia="宋体" w:cs="Times New Roman"/>
                <w:bCs/>
                <w:color w:val="0000FF"/>
                <w:spacing w:val="10"/>
                <w:sz w:val="24"/>
              </w:rPr>
            </w:pPr>
          </w:p>
          <w:p>
            <w:pPr>
              <w:keepNext w:val="0"/>
              <w:keepLines w:val="0"/>
              <w:suppressLineNumbers w:val="0"/>
              <w:autoSpaceDE w:val="0"/>
              <w:autoSpaceDN w:val="0"/>
              <w:adjustRightInd w:val="0"/>
              <w:snapToGrid w:val="0"/>
              <w:spacing w:before="0" w:beforeAutospacing="0" w:after="0" w:afterAutospacing="0" w:line="360" w:lineRule="auto"/>
              <w:ind w:left="0" w:right="0" w:firstLine="520" w:firstLineChars="200"/>
              <w:rPr>
                <w:rFonts w:hint="default" w:ascii="Times New Roman" w:hAnsi="Times New Roman" w:eastAsia="宋体" w:cs="Times New Roman"/>
                <w:bCs/>
                <w:color w:val="0000FF"/>
                <w:spacing w:val="10"/>
                <w:sz w:val="24"/>
              </w:rPr>
            </w:pPr>
          </w:p>
          <w:p>
            <w:pPr>
              <w:keepNext w:val="0"/>
              <w:keepLines w:val="0"/>
              <w:suppressLineNumbers w:val="0"/>
              <w:autoSpaceDE w:val="0"/>
              <w:autoSpaceDN w:val="0"/>
              <w:adjustRightInd w:val="0"/>
              <w:snapToGrid w:val="0"/>
              <w:spacing w:before="0" w:beforeAutospacing="0" w:after="0" w:afterAutospacing="0" w:line="360" w:lineRule="auto"/>
              <w:ind w:left="0" w:right="0" w:firstLine="520" w:firstLineChars="200"/>
              <w:rPr>
                <w:rFonts w:hint="default" w:ascii="Times New Roman" w:hAnsi="Times New Roman" w:eastAsia="宋体" w:cs="Times New Roman"/>
                <w:bCs/>
                <w:color w:val="0000FF"/>
                <w:spacing w:val="10"/>
                <w:sz w:val="24"/>
              </w:rPr>
            </w:pPr>
          </w:p>
          <w:p>
            <w:pPr>
              <w:keepNext w:val="0"/>
              <w:keepLines w:val="0"/>
              <w:widowControl w:val="0"/>
              <w:suppressLineNumbers w:val="0"/>
              <w:adjustRightInd/>
              <w:snapToGrid/>
              <w:spacing w:before="0" w:beforeAutospacing="0" w:after="0" w:afterAutospacing="0" w:line="360" w:lineRule="auto"/>
              <w:ind w:left="0" w:right="0" w:firstLine="200" w:firstLineChars="0"/>
              <w:jc w:val="both"/>
              <w:rPr>
                <w:rFonts w:hint="default" w:ascii="Times New Roman" w:hAnsi="Times New Roman" w:eastAsia="宋体" w:cs="Times New Roman"/>
                <w:bCs/>
                <w:color w:val="0000FF"/>
                <w:spacing w:val="10"/>
                <w:kern w:val="2"/>
                <w:sz w:val="24"/>
                <w:szCs w:val="24"/>
                <w:lang w:val="en-US" w:eastAsia="zh-CN" w:bidi="ar-SA"/>
              </w:rPr>
            </w:pPr>
          </w:p>
          <w:p>
            <w:pPr>
              <w:keepNext w:val="0"/>
              <w:keepLines w:val="0"/>
              <w:widowControl w:val="0"/>
              <w:suppressLineNumbers w:val="0"/>
              <w:adjustRightInd/>
              <w:snapToGrid/>
              <w:spacing w:before="0" w:beforeAutospacing="0" w:after="0" w:afterAutospacing="0" w:line="360" w:lineRule="auto"/>
              <w:ind w:left="0" w:right="0" w:firstLine="200" w:firstLineChars="0"/>
              <w:jc w:val="both"/>
              <w:rPr>
                <w:rFonts w:hint="default" w:ascii="Times New Roman" w:hAnsi="Times New Roman" w:eastAsia="宋体" w:cs="Times New Roman"/>
                <w:bCs/>
                <w:color w:val="0000FF"/>
                <w:spacing w:val="10"/>
                <w:kern w:val="2"/>
                <w:sz w:val="24"/>
                <w:szCs w:val="24"/>
                <w:lang w:val="en-US" w:eastAsia="zh-CN" w:bidi="ar-SA"/>
              </w:rPr>
            </w:pPr>
          </w:p>
          <w:p>
            <w:pPr>
              <w:keepNext w:val="0"/>
              <w:keepLines w:val="0"/>
              <w:widowControl w:val="0"/>
              <w:suppressLineNumbers w:val="0"/>
              <w:adjustRightInd/>
              <w:snapToGrid/>
              <w:spacing w:before="0" w:beforeAutospacing="0" w:after="0" w:afterAutospacing="0" w:line="360" w:lineRule="auto"/>
              <w:ind w:left="0" w:right="0" w:firstLine="200" w:firstLineChars="0"/>
              <w:jc w:val="both"/>
              <w:rPr>
                <w:rFonts w:hint="default" w:ascii="Times New Roman" w:hAnsi="Times New Roman" w:eastAsia="宋体" w:cs="Times New Roman"/>
                <w:bCs/>
                <w:color w:val="0000FF"/>
                <w:spacing w:val="10"/>
                <w:kern w:val="2"/>
                <w:sz w:val="24"/>
                <w:szCs w:val="24"/>
                <w:lang w:val="en-US" w:eastAsia="zh-CN" w:bidi="ar-SA"/>
              </w:rPr>
            </w:pPr>
          </w:p>
          <w:p>
            <w:pPr>
              <w:keepNext w:val="0"/>
              <w:keepLines w:val="0"/>
              <w:widowControl w:val="0"/>
              <w:suppressLineNumbers w:val="0"/>
              <w:adjustRightInd/>
              <w:snapToGrid/>
              <w:spacing w:before="0" w:beforeAutospacing="0" w:after="0" w:afterAutospacing="0" w:line="360" w:lineRule="auto"/>
              <w:ind w:left="0" w:right="0" w:firstLine="200" w:firstLineChars="0"/>
              <w:jc w:val="both"/>
              <w:rPr>
                <w:rFonts w:hint="default" w:ascii="Times New Roman" w:hAnsi="Times New Roman" w:eastAsia="宋体" w:cs="Times New Roman"/>
                <w:bCs/>
                <w:color w:val="0000FF"/>
                <w:spacing w:val="10"/>
                <w:kern w:val="2"/>
                <w:sz w:val="24"/>
                <w:szCs w:val="24"/>
                <w:lang w:val="en-US" w:eastAsia="zh-CN" w:bidi="ar-SA"/>
              </w:rPr>
            </w:pPr>
          </w:p>
          <w:p>
            <w:pPr>
              <w:keepNext w:val="0"/>
              <w:keepLines w:val="0"/>
              <w:widowControl w:val="0"/>
              <w:suppressLineNumbers w:val="0"/>
              <w:adjustRightInd/>
              <w:snapToGrid/>
              <w:spacing w:before="0" w:beforeAutospacing="0" w:after="0" w:afterAutospacing="0" w:line="360" w:lineRule="auto"/>
              <w:ind w:left="0" w:right="0" w:firstLine="200" w:firstLineChars="0"/>
              <w:jc w:val="both"/>
              <w:rPr>
                <w:rFonts w:hint="default" w:ascii="Times New Roman" w:hAnsi="Times New Roman" w:eastAsia="宋体" w:cs="Times New Roman"/>
                <w:bCs/>
                <w:color w:val="0000FF"/>
                <w:spacing w:val="10"/>
                <w:kern w:val="2"/>
                <w:sz w:val="24"/>
                <w:szCs w:val="24"/>
                <w:lang w:val="en-US" w:eastAsia="zh-CN" w:bidi="ar-SA"/>
              </w:rPr>
            </w:pPr>
          </w:p>
          <w:p>
            <w:pPr>
              <w:keepNext w:val="0"/>
              <w:keepLines w:val="0"/>
              <w:widowControl w:val="0"/>
              <w:suppressLineNumbers w:val="0"/>
              <w:adjustRightInd/>
              <w:snapToGrid/>
              <w:spacing w:before="0" w:beforeAutospacing="0" w:after="0" w:afterAutospacing="0" w:line="360" w:lineRule="auto"/>
              <w:ind w:left="0" w:right="0" w:firstLine="200" w:firstLineChars="0"/>
              <w:jc w:val="both"/>
              <w:rPr>
                <w:rFonts w:hint="default" w:ascii="Times New Roman" w:hAnsi="Times New Roman" w:eastAsia="宋体" w:cs="Times New Roman"/>
                <w:bCs/>
                <w:color w:val="0000FF"/>
                <w:spacing w:val="10"/>
                <w:kern w:val="2"/>
                <w:sz w:val="24"/>
                <w:szCs w:val="24"/>
                <w:lang w:val="en-US" w:eastAsia="zh-CN" w:bidi="ar-SA"/>
              </w:rPr>
            </w:pPr>
          </w:p>
          <w:p>
            <w:pPr>
              <w:keepNext w:val="0"/>
              <w:keepLines w:val="0"/>
              <w:widowControl w:val="0"/>
              <w:suppressLineNumbers w:val="0"/>
              <w:adjustRightInd/>
              <w:snapToGrid/>
              <w:spacing w:before="0" w:beforeAutospacing="0" w:after="0" w:afterAutospacing="0" w:line="360" w:lineRule="auto"/>
              <w:ind w:left="0" w:right="0" w:firstLine="200" w:firstLineChars="0"/>
              <w:jc w:val="both"/>
              <w:rPr>
                <w:rFonts w:hint="default" w:ascii="Times New Roman" w:hAnsi="Times New Roman" w:eastAsia="宋体" w:cs="Times New Roman"/>
                <w:bCs/>
                <w:color w:val="0000FF"/>
                <w:spacing w:val="10"/>
                <w:kern w:val="2"/>
                <w:sz w:val="24"/>
                <w:szCs w:val="24"/>
                <w:lang w:val="en-US" w:eastAsia="zh-CN" w:bidi="ar-SA"/>
              </w:rPr>
            </w:pPr>
          </w:p>
          <w:p>
            <w:pPr>
              <w:keepNext w:val="0"/>
              <w:keepLines w:val="0"/>
              <w:suppressLineNumbers w:val="0"/>
              <w:autoSpaceDE w:val="0"/>
              <w:autoSpaceDN w:val="0"/>
              <w:adjustRightInd w:val="0"/>
              <w:snapToGrid w:val="0"/>
              <w:spacing w:before="0" w:beforeAutospacing="0" w:after="0" w:afterAutospacing="0" w:line="360" w:lineRule="auto"/>
              <w:ind w:left="0" w:right="0" w:firstLine="520" w:firstLineChars="200"/>
              <w:rPr>
                <w:rFonts w:hint="default" w:ascii="Times New Roman" w:hAnsi="Times New Roman" w:eastAsia="宋体" w:cs="Times New Roman"/>
                <w:bCs/>
                <w:color w:val="0000FF"/>
                <w:spacing w:val="10"/>
                <w:sz w:val="24"/>
              </w:rPr>
            </w:pPr>
          </w:p>
          <w:p>
            <w:pPr>
              <w:keepNext w:val="0"/>
              <w:keepLines w:val="0"/>
              <w:suppressLineNumbers w:val="0"/>
              <w:autoSpaceDE w:val="0"/>
              <w:autoSpaceDN w:val="0"/>
              <w:adjustRightInd w:val="0"/>
              <w:snapToGrid w:val="0"/>
              <w:spacing w:before="0" w:beforeAutospacing="0" w:after="0" w:afterAutospacing="0" w:line="360" w:lineRule="auto"/>
              <w:ind w:left="0" w:right="0" w:firstLine="520" w:firstLineChars="200"/>
              <w:rPr>
                <w:rFonts w:hint="default" w:ascii="Times New Roman" w:hAnsi="Times New Roman" w:eastAsia="宋体" w:cs="Times New Roman"/>
                <w:bCs/>
                <w:color w:val="0000FF"/>
                <w:spacing w:val="10"/>
                <w:sz w:val="24"/>
              </w:rPr>
            </w:pPr>
          </w:p>
          <w:p>
            <w:pPr>
              <w:keepNext w:val="0"/>
              <w:keepLines w:val="0"/>
              <w:suppressLineNumbers w:val="0"/>
              <w:autoSpaceDE w:val="0"/>
              <w:autoSpaceDN w:val="0"/>
              <w:adjustRightInd w:val="0"/>
              <w:snapToGrid w:val="0"/>
              <w:spacing w:before="0" w:beforeAutospacing="0" w:after="0" w:afterAutospacing="0" w:line="360" w:lineRule="auto"/>
              <w:ind w:left="0" w:right="0" w:firstLine="520" w:firstLineChars="200"/>
              <w:rPr>
                <w:rFonts w:hint="default" w:ascii="Times New Roman" w:hAnsi="Times New Roman" w:eastAsia="宋体" w:cs="Times New Roman"/>
                <w:bCs/>
                <w:color w:val="0000FF"/>
                <w:spacing w:val="10"/>
                <w:sz w:val="24"/>
              </w:rPr>
            </w:pPr>
          </w:p>
          <w:p>
            <w:pPr>
              <w:keepNext w:val="0"/>
              <w:keepLines w:val="0"/>
              <w:suppressLineNumbers w:val="0"/>
              <w:autoSpaceDE w:val="0"/>
              <w:autoSpaceDN w:val="0"/>
              <w:adjustRightInd w:val="0"/>
              <w:snapToGrid w:val="0"/>
              <w:spacing w:before="0" w:beforeAutospacing="0" w:after="0" w:afterAutospacing="0" w:line="360" w:lineRule="auto"/>
              <w:ind w:left="0" w:right="0" w:firstLine="0" w:firstLineChars="0"/>
              <w:rPr>
                <w:rFonts w:hint="default" w:ascii="Times New Roman" w:hAnsi="Times New Roman" w:eastAsia="宋体" w:cs="Times New Roman"/>
                <w:color w:val="0000FF"/>
                <w:sz w:val="24"/>
              </w:rPr>
            </w:pPr>
          </w:p>
        </w:tc>
      </w:tr>
      <w:bookmarkEnd w:id="0"/>
      <w:bookmarkEnd w:id="4"/>
    </w:tbl>
    <w:p>
      <w:pPr>
        <w:pStyle w:val="25"/>
      </w:pPr>
    </w:p>
    <w:sectPr>
      <w:pgSz w:w="11906" w:h="16838"/>
      <w:pgMar w:top="1417" w:right="1417" w:bottom="1417" w:left="1417" w:header="851" w:footer="1077" w:gutter="0"/>
      <w:pgBorders>
        <w:top w:val="none" w:sz="0" w:space="0"/>
        <w:left w:val="none" w:sz="0" w:space="0"/>
        <w:bottom w:val="none" w:sz="0" w:space="0"/>
        <w:right w:val="none" w:sz="0" w:space="0"/>
      </w:pgBorders>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Math">
    <w:panose1 w:val="02040503050406030204"/>
    <w:charset w:val="00"/>
    <w:family w:val="auto"/>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ind w:right="360" w:firstLine="360"/>
      <w:jc w:val="center"/>
      <w:rPr>
        <w:rFonts w:hint="eastAsia"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w:fldChar w:fldCharType="begin"/>
    </w:r>
    <w:r>
      <w:rPr>
        <w:rStyle w:val="19"/>
        <w:rFonts w:ascii="Times New Roman" w:hAnsi="Times New Roman" w:eastAsia="宋体" w:cs="Times New Roman"/>
        <w:kern w:val="2"/>
        <w:sz w:val="21"/>
        <w:szCs w:val="24"/>
        <w:lang w:val="en-US" w:eastAsia="zh-CN" w:bidi="ar-SA"/>
      </w:rPr>
      <w:instrText xml:space="preserve"> PAGE </w:instrText>
    </w:r>
    <w:r>
      <w:rPr>
        <w:rFonts w:ascii="Times New Roman" w:hAnsi="Times New Roman" w:eastAsia="宋体" w:cs="Times New Roman"/>
        <w:kern w:val="2"/>
        <w:sz w:val="18"/>
        <w:szCs w:val="18"/>
        <w:lang w:val="en-US" w:eastAsia="zh-CN" w:bidi="ar-SA"/>
      </w:rPr>
      <w:fldChar w:fldCharType="separate"/>
    </w:r>
    <w:r>
      <w:rPr>
        <w:rStyle w:val="19"/>
        <w:rFonts w:ascii="Times New Roman" w:hAnsi="Times New Roman" w:eastAsia="宋体" w:cs="Times New Roman"/>
        <w:kern w:val="2"/>
        <w:sz w:val="21"/>
        <w:szCs w:val="24"/>
        <w:lang w:val="en-US" w:eastAsia="zh-CN" w:bidi="ar-SA"/>
      </w:rPr>
      <w:t>- 2 -</w:t>
    </w:r>
    <w:r>
      <w:rPr>
        <w:rFonts w:ascii="Times New Roman" w:hAnsi="Times New Roman" w:eastAsia="宋体" w:cs="Times New Roman"/>
        <w:kern w:val="2"/>
        <w:sz w:val="18"/>
        <w:szCs w:val="18"/>
        <w:lang w:val="en-US" w:eastAsia="zh-CN" w:bidi="ar-SA"/>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28CA5DF"/>
    <w:multiLevelType w:val="singleLevel"/>
    <w:tmpl w:val="B28CA5DF"/>
    <w:lvl w:ilvl="0" w:tentative="0">
      <w:start w:val="1"/>
      <w:numFmt w:val="decimal"/>
      <w:suff w:val="nothing"/>
      <w:lvlText w:val="%1、"/>
      <w:lvlJc w:val="left"/>
    </w:lvl>
  </w:abstractNum>
  <w:abstractNum w:abstractNumId="1">
    <w:nsid w:val="4FF1B821"/>
    <w:multiLevelType w:val="singleLevel"/>
    <w:tmpl w:val="4FF1B821"/>
    <w:lvl w:ilvl="0" w:tentative="0">
      <w:start w:val="7"/>
      <w:numFmt w:val="decimal"/>
      <w:suff w:val="nothing"/>
      <w:lvlText w:val="%1、"/>
      <w:lvlJc w:val="left"/>
    </w:lvl>
  </w:abstractNum>
  <w:abstractNum w:abstractNumId="2">
    <w:nsid w:val="75096449"/>
    <w:multiLevelType w:val="singleLevel"/>
    <w:tmpl w:val="75096449"/>
    <w:lvl w:ilvl="0" w:tentative="0">
      <w:start w:val="3"/>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2MjIyYWZlMjI2ZTFkNGJkN2M4Y2ZiY2I3ODY4NzkifQ=="/>
  </w:docVars>
  <w:rsids>
    <w:rsidRoot w:val="00172A27"/>
    <w:rsid w:val="023616F3"/>
    <w:rsid w:val="03483348"/>
    <w:rsid w:val="03814218"/>
    <w:rsid w:val="039256D5"/>
    <w:rsid w:val="03E1720E"/>
    <w:rsid w:val="047E6525"/>
    <w:rsid w:val="049D5FC9"/>
    <w:rsid w:val="052E5261"/>
    <w:rsid w:val="057F3EAC"/>
    <w:rsid w:val="05AA1391"/>
    <w:rsid w:val="06CE5BFE"/>
    <w:rsid w:val="0912560D"/>
    <w:rsid w:val="0A0D79F1"/>
    <w:rsid w:val="0BD1074A"/>
    <w:rsid w:val="0BDA0874"/>
    <w:rsid w:val="0CD60C01"/>
    <w:rsid w:val="0D4A22B8"/>
    <w:rsid w:val="0D794566"/>
    <w:rsid w:val="0E187C87"/>
    <w:rsid w:val="0FF11E8A"/>
    <w:rsid w:val="10323295"/>
    <w:rsid w:val="116A4DD1"/>
    <w:rsid w:val="12742C38"/>
    <w:rsid w:val="12EB1CB9"/>
    <w:rsid w:val="14A30D26"/>
    <w:rsid w:val="15FD7563"/>
    <w:rsid w:val="19102702"/>
    <w:rsid w:val="202A6CA1"/>
    <w:rsid w:val="206A094A"/>
    <w:rsid w:val="22ED4DBC"/>
    <w:rsid w:val="22F15352"/>
    <w:rsid w:val="25A20B86"/>
    <w:rsid w:val="25D67A1E"/>
    <w:rsid w:val="26FC2A1F"/>
    <w:rsid w:val="277F43EC"/>
    <w:rsid w:val="29421B46"/>
    <w:rsid w:val="29FD39F5"/>
    <w:rsid w:val="2B0735E8"/>
    <w:rsid w:val="2B5C49C9"/>
    <w:rsid w:val="2BA00025"/>
    <w:rsid w:val="2CD830B9"/>
    <w:rsid w:val="2ECD0CEC"/>
    <w:rsid w:val="2FAD0853"/>
    <w:rsid w:val="2FC52A0D"/>
    <w:rsid w:val="314B3D5D"/>
    <w:rsid w:val="317E720B"/>
    <w:rsid w:val="33B017A1"/>
    <w:rsid w:val="340B7389"/>
    <w:rsid w:val="34A00986"/>
    <w:rsid w:val="350942EB"/>
    <w:rsid w:val="372F04C2"/>
    <w:rsid w:val="37BF037A"/>
    <w:rsid w:val="389D322E"/>
    <w:rsid w:val="39611D1D"/>
    <w:rsid w:val="3AC12DF9"/>
    <w:rsid w:val="3AE40740"/>
    <w:rsid w:val="3B131EB2"/>
    <w:rsid w:val="3B1A2538"/>
    <w:rsid w:val="3BC40DCC"/>
    <w:rsid w:val="3BF03A7B"/>
    <w:rsid w:val="3DB03948"/>
    <w:rsid w:val="3DB47A13"/>
    <w:rsid w:val="3F6065B1"/>
    <w:rsid w:val="40E92669"/>
    <w:rsid w:val="41A65969"/>
    <w:rsid w:val="43566827"/>
    <w:rsid w:val="443B538D"/>
    <w:rsid w:val="45F142D1"/>
    <w:rsid w:val="47476B01"/>
    <w:rsid w:val="49193BBE"/>
    <w:rsid w:val="49B27E76"/>
    <w:rsid w:val="4A667A11"/>
    <w:rsid w:val="4E726A98"/>
    <w:rsid w:val="51F36142"/>
    <w:rsid w:val="526F57C8"/>
    <w:rsid w:val="54186E57"/>
    <w:rsid w:val="54AE16BD"/>
    <w:rsid w:val="54E92F0F"/>
    <w:rsid w:val="55425416"/>
    <w:rsid w:val="554E6B03"/>
    <w:rsid w:val="568A7A97"/>
    <w:rsid w:val="579604A2"/>
    <w:rsid w:val="58C95CE8"/>
    <w:rsid w:val="58E459CC"/>
    <w:rsid w:val="5B9F1395"/>
    <w:rsid w:val="5C97102F"/>
    <w:rsid w:val="5C9926C7"/>
    <w:rsid w:val="5F06231C"/>
    <w:rsid w:val="5F0A2A26"/>
    <w:rsid w:val="6165151F"/>
    <w:rsid w:val="61730705"/>
    <w:rsid w:val="62EE2075"/>
    <w:rsid w:val="635D78BF"/>
    <w:rsid w:val="65040315"/>
    <w:rsid w:val="6578325C"/>
    <w:rsid w:val="659F1079"/>
    <w:rsid w:val="69385FFC"/>
    <w:rsid w:val="69E82960"/>
    <w:rsid w:val="6B130238"/>
    <w:rsid w:val="6D714693"/>
    <w:rsid w:val="6DB50C7A"/>
    <w:rsid w:val="6DDA7AA4"/>
    <w:rsid w:val="6F2D283B"/>
    <w:rsid w:val="6F46176F"/>
    <w:rsid w:val="6FD92474"/>
    <w:rsid w:val="716E57D7"/>
    <w:rsid w:val="730860CE"/>
    <w:rsid w:val="73520AC2"/>
    <w:rsid w:val="73B93C04"/>
    <w:rsid w:val="744C3764"/>
    <w:rsid w:val="76FB6FB7"/>
    <w:rsid w:val="78EF2413"/>
    <w:rsid w:val="7D697134"/>
    <w:rsid w:val="7DF70B2C"/>
    <w:rsid w:val="7E8F16E3"/>
    <w:rsid w:val="7F253931"/>
    <w:rsid w:val="7F6F781F"/>
    <w:rsid w:val="7F8372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40" w:lineRule="exact"/>
      <w:ind w:firstLine="720" w:firstLineChars="200"/>
      <w:jc w:val="both"/>
    </w:pPr>
    <w:rPr>
      <w:rFonts w:ascii="Times New Roman" w:hAnsi="Times New Roman" w:eastAsia="宋体" w:cs="宋体"/>
      <w:kern w:val="2"/>
      <w:sz w:val="24"/>
      <w:szCs w:val="24"/>
      <w:lang w:val="en-US" w:eastAsia="zh-CN" w:bidi="ar-SA"/>
    </w:rPr>
  </w:style>
  <w:style w:type="paragraph" w:styleId="3">
    <w:name w:val="heading 2"/>
    <w:basedOn w:val="1"/>
    <w:next w:val="1"/>
    <w:semiHidden/>
    <w:unhideWhenUsed/>
    <w:qFormat/>
    <w:uiPriority w:val="0"/>
    <w:pPr>
      <w:keepNext/>
      <w:keepLines/>
      <w:spacing w:before="50" w:beforeLines="50" w:beforeAutospacing="0" w:after="50" w:afterLines="50" w:afterAutospacing="0" w:line="360" w:lineRule="auto"/>
      <w:outlineLvl w:val="1"/>
    </w:pPr>
    <w:rPr>
      <w:rFonts w:ascii="Arial" w:hAnsi="Arial" w:eastAsia="宋体"/>
      <w:b/>
      <w:sz w:val="32"/>
    </w:rPr>
  </w:style>
  <w:style w:type="paragraph" w:styleId="4">
    <w:name w:val="heading 3"/>
    <w:basedOn w:val="1"/>
    <w:next w:val="1"/>
    <w:unhideWhenUsed/>
    <w:qFormat/>
    <w:uiPriority w:val="0"/>
    <w:pPr>
      <w:keepNext/>
      <w:keepLines/>
      <w:spacing w:line="360" w:lineRule="auto"/>
      <w:outlineLvl w:val="2"/>
    </w:pPr>
    <w:rPr>
      <w:rFonts w:ascii="Times New Roman" w:hAnsi="Times New Roman" w:eastAsia="宋体" w:cs="Times New Roman"/>
      <w:b/>
      <w:bCs/>
      <w:kern w:val="2"/>
      <w:sz w:val="24"/>
      <w:szCs w:val="32"/>
    </w:rPr>
  </w:style>
  <w:style w:type="paragraph" w:styleId="5">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Arial" w:hAnsi="Arial" w:eastAsia="宋体"/>
      <w:b/>
    </w:rPr>
  </w:style>
  <w:style w:type="character" w:default="1" w:styleId="17">
    <w:name w:val="Default Paragraph Font"/>
    <w:semiHidden/>
    <w:qFormat/>
    <w:uiPriority w:val="0"/>
  </w:style>
  <w:style w:type="table" w:default="1" w:styleId="21">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Layout w:type="fixed"/>
      <w:tblCellMar>
        <w:top w:w="0" w:type="dxa"/>
        <w:left w:w="108" w:type="dxa"/>
        <w:bottom w:w="0" w:type="dxa"/>
        <w:right w:w="108" w:type="dxa"/>
      </w:tblCellMar>
    </w:tblPr>
  </w:style>
  <w:style w:type="paragraph" w:styleId="2">
    <w:name w:val="table of figures"/>
    <w:basedOn w:val="1"/>
    <w:next w:val="1"/>
    <w:qFormat/>
    <w:uiPriority w:val="99"/>
    <w:pPr>
      <w:ind w:leftChars="200" w:hanging="200" w:hangingChars="200"/>
    </w:pPr>
    <w:rPr>
      <w:rFonts w:ascii="Calibri" w:hAnsi="Calibri"/>
      <w:szCs w:val="22"/>
    </w:rPr>
  </w:style>
  <w:style w:type="paragraph" w:styleId="6">
    <w:name w:val="Body Text First Indent"/>
    <w:basedOn w:val="1"/>
    <w:next w:val="1"/>
    <w:qFormat/>
    <w:uiPriority w:val="0"/>
    <w:pPr>
      <w:ind w:firstLine="420" w:firstLineChars="100"/>
    </w:pPr>
  </w:style>
  <w:style w:type="paragraph" w:styleId="7">
    <w:name w:val="Normal Indent"/>
    <w:basedOn w:val="1"/>
    <w:next w:val="8"/>
    <w:qFormat/>
    <w:uiPriority w:val="0"/>
    <w:pPr>
      <w:widowControl w:val="0"/>
      <w:adjustRightInd/>
      <w:snapToGrid/>
      <w:spacing w:line="240" w:lineRule="auto"/>
      <w:ind w:firstLine="0" w:firstLineChars="0"/>
      <w:jc w:val="both"/>
    </w:pPr>
    <w:rPr>
      <w:rFonts w:ascii="Times New Roman" w:hAnsi="Times New Roman"/>
      <w:kern w:val="2"/>
      <w:szCs w:val="24"/>
    </w:rPr>
  </w:style>
  <w:style w:type="paragraph" w:styleId="8">
    <w:name w:val="Body Text First Indent 2"/>
    <w:basedOn w:val="9"/>
    <w:next w:val="6"/>
    <w:unhideWhenUsed/>
    <w:qFormat/>
    <w:uiPriority w:val="99"/>
    <w:pPr>
      <w:widowControl/>
      <w:autoSpaceDE/>
      <w:autoSpaceDN/>
      <w:adjustRightInd/>
      <w:spacing w:after="120" w:line="240" w:lineRule="auto"/>
      <w:ind w:left="420" w:leftChars="200" w:firstLine="420"/>
    </w:pPr>
    <w:rPr>
      <w:rFonts w:cs="宋体"/>
      <w:szCs w:val="24"/>
    </w:rPr>
  </w:style>
  <w:style w:type="paragraph" w:styleId="9">
    <w:name w:val="Body Text Indent"/>
    <w:basedOn w:val="1"/>
    <w:next w:val="8"/>
    <w:semiHidden/>
    <w:qFormat/>
    <w:uiPriority w:val="0"/>
    <w:pPr>
      <w:spacing w:after="120"/>
      <w:ind w:left="420" w:leftChars="200"/>
    </w:pPr>
  </w:style>
  <w:style w:type="paragraph" w:styleId="10">
    <w:name w:val="annotation text"/>
    <w:basedOn w:val="1"/>
    <w:qFormat/>
    <w:uiPriority w:val="0"/>
    <w:pPr>
      <w:jc w:val="left"/>
    </w:pPr>
  </w:style>
  <w:style w:type="paragraph" w:styleId="11">
    <w:name w:val="Body Text"/>
    <w:basedOn w:val="1"/>
    <w:qFormat/>
    <w:uiPriority w:val="0"/>
    <w:pPr>
      <w:widowControl/>
      <w:snapToGrid w:val="0"/>
      <w:spacing w:before="60" w:after="160" w:line="259" w:lineRule="auto"/>
      <w:ind w:right="113"/>
    </w:pPr>
    <w:rPr>
      <w:kern w:val="0"/>
      <w:sz w:val="18"/>
      <w:szCs w:val="18"/>
    </w:rPr>
  </w:style>
  <w:style w:type="paragraph" w:styleId="12">
    <w:name w:val="Plain Text"/>
    <w:basedOn w:val="1"/>
    <w:qFormat/>
    <w:uiPriority w:val="0"/>
    <w:rPr>
      <w:rFonts w:ascii="宋体" w:hAnsi="Courier New"/>
      <w:kern w:val="0"/>
      <w:sz w:val="20"/>
      <w:szCs w:val="20"/>
    </w:rPr>
  </w:style>
  <w:style w:type="paragraph" w:styleId="13">
    <w:name w:val="footer"/>
    <w:basedOn w:val="1"/>
    <w:qFormat/>
    <w:uiPriority w:val="99"/>
    <w:pPr>
      <w:tabs>
        <w:tab w:val="center" w:pos="4153"/>
        <w:tab w:val="right" w:pos="8306"/>
      </w:tabs>
      <w:snapToGrid w:val="0"/>
      <w:jc w:val="left"/>
    </w:pPr>
    <w:rPr>
      <w:kern w:val="0"/>
      <w:sz w:val="18"/>
      <w:szCs w:val="20"/>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Body Text 2"/>
    <w:basedOn w:val="1"/>
    <w:qFormat/>
    <w:uiPriority w:val="0"/>
    <w:pPr>
      <w:jc w:val="center"/>
    </w:pPr>
    <w:rPr>
      <w:rFonts w:ascii="宋体" w:hAnsi="宋体"/>
      <w:color w:val="000000"/>
      <w:szCs w:val="21"/>
    </w:rPr>
  </w:style>
  <w:style w:type="paragraph" w:styleId="16">
    <w:name w:val="Normal (Web)"/>
    <w:basedOn w:val="1"/>
    <w:qFormat/>
    <w:uiPriority w:val="0"/>
    <w:pPr>
      <w:widowControl/>
      <w:spacing w:before="100" w:beforeAutospacing="1" w:after="100" w:afterAutospacing="1"/>
      <w:jc w:val="left"/>
    </w:pPr>
    <w:rPr>
      <w:rFonts w:ascii="宋体" w:hAnsi="宋体"/>
      <w:kern w:val="0"/>
      <w:sz w:val="24"/>
    </w:rPr>
  </w:style>
  <w:style w:type="character" w:styleId="18">
    <w:name w:val="Strong"/>
    <w:basedOn w:val="17"/>
    <w:qFormat/>
    <w:uiPriority w:val="0"/>
    <w:rPr>
      <w:b/>
    </w:rPr>
  </w:style>
  <w:style w:type="character" w:styleId="19">
    <w:name w:val="page number"/>
    <w:basedOn w:val="17"/>
    <w:qFormat/>
    <w:uiPriority w:val="0"/>
  </w:style>
  <w:style w:type="character" w:styleId="20">
    <w:name w:val="Emphasis"/>
    <w:basedOn w:val="17"/>
    <w:qFormat/>
    <w:uiPriority w:val="0"/>
    <w:rPr>
      <w:i/>
    </w:rPr>
  </w:style>
  <w:style w:type="table" w:styleId="22">
    <w:name w:val="Table Grid"/>
    <w:basedOn w:val="21"/>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3">
    <w:name w:val="样式 正文缩进正文缩进2正文缩进 Char Char正文缩进 Char Char Char Char正文缩进 Char ..."/>
    <w:basedOn w:val="7"/>
    <w:qFormat/>
    <w:uiPriority w:val="0"/>
    <w:pPr>
      <w:spacing w:line="360" w:lineRule="auto"/>
      <w:ind w:firstLine="200"/>
    </w:pPr>
    <w:rPr>
      <w:rFonts w:cs="宋体"/>
      <w:sz w:val="24"/>
    </w:rPr>
  </w:style>
  <w:style w:type="paragraph" w:customStyle="1" w:styleId="24">
    <w:name w:val="正文1"/>
    <w:basedOn w:val="1"/>
    <w:next w:val="1"/>
    <w:qFormat/>
    <w:uiPriority w:val="0"/>
    <w:pPr>
      <w:snapToGrid w:val="0"/>
      <w:spacing w:line="360" w:lineRule="atLeast"/>
      <w:jc w:val="center"/>
    </w:pPr>
    <w:rPr>
      <w:kern w:val="21"/>
    </w:rPr>
  </w:style>
  <w:style w:type="paragraph" w:customStyle="1" w:styleId="25">
    <w:name w:val="Default"/>
    <w:next w:val="15"/>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6">
    <w:name w:val="[1]LY正文"/>
    <w:basedOn w:val="1"/>
    <w:qFormat/>
    <w:uiPriority w:val="0"/>
    <w:pPr>
      <w:ind w:firstLine="200" w:firstLineChars="200"/>
    </w:pPr>
    <w:rPr>
      <w:rFonts w:ascii="Times New Roman" w:hAnsi="Times New Roman"/>
      <w:kern w:val="0"/>
      <w:sz w:val="24"/>
      <w:szCs w:val="28"/>
    </w:rPr>
  </w:style>
  <w:style w:type="paragraph" w:customStyle="1" w:styleId="27">
    <w:name w:val="正文（缩进）"/>
    <w:basedOn w:val="1"/>
    <w:next w:val="1"/>
    <w:qFormat/>
    <w:uiPriority w:val="99"/>
    <w:pPr>
      <w:spacing w:line="360" w:lineRule="auto"/>
      <w:ind w:firstLine="480" w:firstLineChars="200"/>
    </w:pPr>
    <w:rPr>
      <w:sz w:val="24"/>
    </w:rPr>
  </w:style>
  <w:style w:type="paragraph" w:customStyle="1" w:styleId="28">
    <w:name w:val="zw"/>
    <w:basedOn w:val="12"/>
    <w:next w:val="1"/>
    <w:qFormat/>
    <w:uiPriority w:val="0"/>
    <w:pPr>
      <w:spacing w:line="360" w:lineRule="auto"/>
      <w:ind w:firstLine="480" w:firstLineChars="200"/>
    </w:pPr>
    <w:rPr>
      <w:rFonts w:ascii="Times New Roman" w:hAnsi="Times New Roman" w:eastAsia="仿宋_GB2312"/>
      <w:kern w:val="2"/>
      <w:sz w:val="24"/>
      <w:lang w:val="en-US" w:eastAsia="zh-CN"/>
    </w:rPr>
  </w:style>
  <w:style w:type="paragraph" w:customStyle="1" w:styleId="29">
    <w:name w:val="Table Paragraph"/>
    <w:basedOn w:val="1"/>
    <w:qFormat/>
    <w:uiPriority w:val="1"/>
    <w:rPr>
      <w:rFonts w:ascii="宋体" w:hAnsi="宋体" w:eastAsia="宋体" w:cs="宋体"/>
    </w:rPr>
  </w:style>
  <w:style w:type="paragraph" w:customStyle="1" w:styleId="30">
    <w:name w:val="表一级标题"/>
    <w:basedOn w:val="1"/>
    <w:qFormat/>
    <w:uiPriority w:val="0"/>
    <w:pPr>
      <w:adjustRightInd w:val="0"/>
      <w:snapToGrid w:val="0"/>
      <w:spacing w:line="360" w:lineRule="auto"/>
      <w:jc w:val="left"/>
    </w:pPr>
    <w:rPr>
      <w:rFonts w:eastAsia="黑体"/>
      <w:kern w:val="0"/>
      <w:sz w:val="28"/>
      <w:szCs w:val="21"/>
    </w:rPr>
  </w:style>
  <w:style w:type="paragraph" w:customStyle="1" w:styleId="31">
    <w:name w:val="表格正文"/>
    <w:semiHidden/>
    <w:qFormat/>
    <w:uiPriority w:val="0"/>
    <w:pPr>
      <w:spacing w:before="60" w:after="60"/>
      <w:ind w:left="32"/>
      <w:jc w:val="center"/>
    </w:pPr>
    <w:rPr>
      <w:rFonts w:ascii="宋体" w:hAnsi="宋体" w:eastAsia="宋体" w:cs="Times New Roman"/>
      <w:bCs/>
      <w:sz w:val="21"/>
      <w:szCs w:val="21"/>
      <w:lang w:val="en-US" w:eastAsia="zh-CN" w:bidi="ar-SA"/>
    </w:rPr>
  </w:style>
  <w:style w:type="paragraph" w:customStyle="1" w:styleId="32">
    <w:name w:val="表题"/>
    <w:basedOn w:val="1"/>
    <w:next w:val="1"/>
    <w:qFormat/>
    <w:uiPriority w:val="0"/>
    <w:pPr>
      <w:jc w:val="center"/>
    </w:pPr>
    <w:rPr>
      <w:b/>
      <w:bCs/>
      <w:szCs w:val="20"/>
    </w:rPr>
  </w:style>
  <w:style w:type="table" w:customStyle="1" w:styleId="33">
    <w:name w:val="Table Normal"/>
    <w:semiHidden/>
    <w:unhideWhenUsed/>
    <w:qFormat/>
    <w:uiPriority w:val="0"/>
    <w:tblPr>
      <w:tblLayout w:type="fixed"/>
      <w:tblCellMar>
        <w:top w:w="0" w:type="dxa"/>
        <w:left w:w="0" w:type="dxa"/>
        <w:bottom w:w="0" w:type="dxa"/>
        <w:right w:w="0" w:type="dxa"/>
      </w:tblCellMar>
    </w:tblPr>
  </w:style>
  <w:style w:type="paragraph" w:customStyle="1" w:styleId="34">
    <w:name w:val="Table Text"/>
    <w:basedOn w:val="1"/>
    <w:semiHidden/>
    <w:qFormat/>
    <w:uiPriority w:val="0"/>
    <w:rPr>
      <w:rFonts w:ascii="宋体" w:hAnsi="宋体" w:eastAsia="宋体" w:cs="宋体"/>
      <w:sz w:val="28"/>
      <w:szCs w:val="28"/>
      <w:lang w:val="en-US" w:eastAsia="en-US" w:bidi="ar-SA"/>
    </w:rPr>
  </w:style>
  <w:style w:type="paragraph" w:customStyle="1" w:styleId="35">
    <w:name w:val="表格"/>
    <w:basedOn w:val="7"/>
    <w:next w:val="1"/>
    <w:qFormat/>
    <w:uiPriority w:val="0"/>
    <w:pPr>
      <w:spacing w:line="240" w:lineRule="auto"/>
      <w:ind w:firstLine="0" w:firstLineChars="0"/>
      <w:jc w:val="center"/>
    </w:pPr>
    <w:rPr>
      <w:rFonts w:eastAsia="宋体"/>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emf"/><Relationship Id="rId12" Type="http://schemas.openxmlformats.org/officeDocument/2006/relationships/image" Target="media/image8.emf"/><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74</Pages>
  <Words>12770</Words>
  <Characters>13672</Characters>
  <Lines>1</Lines>
  <Paragraphs>1</Paragraphs>
  <TotalTime>76</TotalTime>
  <ScaleCrop>false</ScaleCrop>
  <LinksUpToDate>false</LinksUpToDate>
  <CharactersWithSpaces>13779</CharactersWithSpaces>
  <Application>WPS Office_10.8.2.6784_F1E327BC-269C-435d-A152-05C5408002CA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2024-10-18T07:22:00Z</dcterms:created>
  <dc:creator>,,,,,,</dc:creator>
  <cp:lastModifiedBy>lenovo</cp:lastModifiedBy>
  <dcterms:modified xsi:type="dcterms:W3CDTF">2025-04-16T06:35:12Z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y fmtid="{D5CDD505-2E9C-101B-9397-08002B2CF9AE}" pid="3" name="ICV">
    <vt:lpwstr>96BFF1A93F354035B286D28DD5FEA4D3_13</vt:lpwstr>
  </property>
  <property fmtid="{D5CDD505-2E9C-101B-9397-08002B2CF9AE}" pid="4" name="KSOTemplateDocerSaveRecord">
    <vt:lpwstr>eyJoZGlkIjoiNzk1Zjg4YzRlZGZjY2YwYjQ4ZTQ1NGYyMzdkOWE4MDAiLCJ1c2VySWQiOiIyOTE2NzAzMTgifQ==</vt:lpwstr>
  </property>
</Properties>
</file>