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关于隆德县2024年财政预算执行情况和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2025年财政预算（草案）的报告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kern w:val="3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46" w:firstLineChars="170"/>
        <w:textAlignment w:val="auto"/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一、2024年财政预算执行情况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46" w:firstLineChars="170"/>
        <w:textAlignment w:val="auto"/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</w:t>
      </w: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一）预算执行情况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46" w:firstLineChars="170"/>
        <w:textAlignment w:val="auto"/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</w:t>
      </w:r>
      <w:r>
        <w:rPr>
          <w:rStyle w:val="11"/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一般公共预算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2024年全县一般公共预算总收入完成386827万元，其中：地方一般公共预算收入12150万元，同比增长9.21%（税收收入7256万元，同比增长4.7%；非税收入4894万元，同比增长16.66%），返还性收入4713万元，一般性转移支付收入276537万元，专项转移支付收入28620万元，上年结余31374万元，动用预算稳定调节基金325万元，地方政府一般债券转贷收入33108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2024年总支出完成386827万元，其中：一般公共预算支出330348万元，上解上级支出25万元，调出资金1778万元，债务还本支出19669万元，结转下年35007万元。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2.政府性基金预算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2024年政府性基金总收入完成60389万元，其中：县本级政府性基金收入711万元，上级补助收入12116万元，债务转贷收入43600万元，调入资金1778万元，上年结余2184万元。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政府性基金总支出完成60389万元，其中：政府性基金支出完成6930万元，债务还本支出45512万元，结转下年7947万元。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3.社会保险基金预算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2024年社会保险基金收入完成51407万元，其中：城乡居民基本养老保险基金收入9133万元，机关事业单位基本养老保险基金收入25131万元，上年结余17143万元。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2024年社会保险基金支出完成32646万元，其中：城乡居民基本养老保险基金支出7290万元，机关事业单位基本养老保险基金支出25356万元，年终结余18761万元。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4.国有资本经营预算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国有资本经营预算收入2万元，国有资本经营支出2万元。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5.政府债务管理情况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2023年末全县法定债务余额28.18亿元，2024年新增债务7.67亿元（新增一般债券1.58亿元，再融资债券6.09亿元），偿还债务3.49亿元（预算安排偿还0.36亿元，再融资债券偿还3.13亿元），上缴专项债券0.03亿元，年末债务余额32.33亿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（二）落实县人大预算决议和财政工作情况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2024年财政部门严格执行《中华人民共和国预算法》及其实施条例，全面落实县十八届人大四次会议有关决议和审查意见，全力以赴抓收入、优结构、保重点、防风险、促改革、强监管，确保财政平稳运行。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1.增收聚财增强实力，夯实财政运行“稳”的基础。</w:t>
      </w: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开源节流并重，多措并举育财源、抓收入、争资金、盘存量，稳住财源壮大的底盘根基。精耕细作培育财源。按照“先予后取、放水养鱼”原则，全面落实减税降费政策，积极争取财政奖补资金，优化营商环境，培育5家重点税源企业，努力构建“水深鱼多”的良性循环。精挖细研组织收入。强化财税联动，加力挖潜堵漏，确保依法征收、应收尽收，2024年地方一般公共预算收入完成12150万元，连续12个月保持9%以上的增长，财政收入质量进一步提升。精准发力争取资金。密切关注政策投向，找准切入点，聚焦社会民生、城市更新、生态环保等重点领域，争取各类转移支付资金36.74亿元，同比增长6.74%，其中争取财力性质的转移支付收入15.12亿元，同比增长3.5%，争取资金规模再创历史新高。精细管理盘活存量。化“沉淀资金资产”为“发展增量”，有效盘活全县预算单位存量资金9492万元，实现闲置资产处置收入1497.88万元，统筹用于化解债务、保障重点任务和民生项目。精打细算压减支出。严格落实党政机关过紧日子要求，从严从紧控制“三公”经费和“三项”费用，大力压减非刚性、非急需一般性支出，全县“三公”经费及“三项”费用控制在2019年决算数的80%以内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2.聚势赋能服务大局，积蓄经济发展“进”的力量。</w:t>
      </w: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紧盯县委、县政府重大决策部署，推动落实积极的财政政策，统筹财政资源，以财政“小资金”撬动社会“大资源”，推动县域经济社会“大发展”。用足用活增量政策。争取增发国债和超长期特别国债项目13个，资金总量达3.17亿元，位列全市各县（区）第一，有力带动全县基础设施投资稳定增长。抢抓国家“一次性较大规模债务限额置换存量隐性债务”政策机遇，争取一次性债务置换额度2.96亿元，争取法定债务再融资债券3.13亿元，是获取化债政策资源最大的一年。推进乡村全面振兴。争取各级衔接资金24043万元，实施乡村振兴项目490个，中央衔接资金用于产业发展比例达到69.05%。统筹闽宁协作、乡村振兴一般债等资金34254万元，支持产业发展、兑现各类惠农补贴、建设高标准农田、改善农村人居环境，推动巩固拓展脱贫攻坚成果上台阶、乡村全面振兴见实效。促进消费扩容提质。投入资金304万元，支持举办“非遗过大年 文旅促消费”“五一暖锅促消费”“家电下乡以旧换新”等系列促消费活动，发放消费券155万元，带动社会消费总收入3.24亿元。抢抓大规模设备和消费品“以旧换新”政策机遇，带动直接消费4260万元，推动全县消费稳中向好潜力持续释放。支持优势产业发展。投入资金8610万元，打造肉牛、中药材、冷凉蔬菜、食用菌四大产业集群，全县饲养肉牛17.15万头、种植冷凉蔬菜6.5万亩、发展中药材30万亩、栽培食用菌1030亩2000余万棒。“隆德牛肉”入选“全国名特优新农产品”名单，“六盘山黄芪”“葆易圣黄芪”分别入选2024年中国农业品牌目录、特质农品。加强生态文明建设。投入黄河流域生态保护修复等资金34260万元，支持水源涵养建设、天保工程、森林培育、山水林田湖草沙一体化保护和修复等重点项目实施；投入资金8505万元，支持农村污水管网建设及冬季清洁能源取暖项目；投入增发国债项目及配套资金24739万元，支持边庄水库工程等重点项目实施。强化财金协同联动。引导金融机构扩大信贷投放，支持小微企业和特色优势产业高质量发展，推动信贷资金投放稳步增长，各项贷款余额48.92亿元，其中小微企业贷款余额14.63元，特色优势产业贷款余额24.74亿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3.节用裕民保障重点，擦亮民生福祉“暖”的底色。</w:t>
      </w: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坚持以人民为中心的发展思想，全年民生领域支出28.99亿元，占一般公共预算支出的88%，民生领域支出增速明显高于一般公共预算支出增速。坚持“劳有所得”支持就业优先战略。投入资金4022.56万元，稳定就业渠道，提升就业质量，保障高校毕业生、残疾人等重点群体就业2029人，全年新增城镇就业1030人，农村劳动力转移就业4.4万人。发放创业担保贷款8052万元，财政贴息809.47万元，培育创业实体407户。坚持“学有所教”支持教育优先发展。投入资金49876万元，支持实施教育强县建设“十大工程”和“四名一优”工程，推进杨河中学综合教学楼、联财中学清洁能源取暖等14项工程建设，新建中小学校舍4039平方米。坚持“病有所医”提高医疗保障水平。城乡居民基本医疗保险财政补助标准提高至每人每年670元，基本公共卫生服务人均财政补助标准提高至每人每年94元。投入资金4437.32万元，支持公立医院综合改革、中医药传承与发展、卫生健康人才培养、重大传染病防控、重大疾病防治体系等重点项目建设。坚持“弱有所扶”完善社会保障体系。发放低保等各类社会救助资金1.2亿元、城乡居民养老金7016.07万元，城市低保提标20-40元、农村C类低保和城乡居民养老金分别提标30元，孤儿津贴提标至1200元每月，困难残疾人生活补贴提高至115元每月，重度残疾人护理补贴提高至130元每月，城乡居民基础养老金最低水平超过260元，位居全市前列。坚持“居有所宜”推进城乡面貌焕新。投入资金3150万元，实施老旧小区改造、保障安居工程、老旧小区管网升级等基础设施项目。投入资金650万元，新建3个高质量美丽宜居村庄、1个和美村庄；投入资金4126万元，支持全县75个行政村基础设施建设及人居环境改造提升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4.居安思危防范风险，坚守安全发展“牢”的底线。</w:t>
      </w: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统筹发展和安全，切实增强忧患意识，坚持底线思维，严守“三保”、债务、金融、安全生产风险底线。兜牢“三保”风险底线。始终坚持三保“两个优先”原则，足额编制预算，强化运行监测，全年统筹16.59亿元保障“三保”支出，兜牢兜实“三保”底线。守牢债务风险底线。持续落实好“1+4+3”一揽子化债方案，坚持化存量、遏增量，加强财政预算统筹和政府投资项目管理，坚持从源头、路径和程序上坚决遏制隐性债务增量，100%完成全年化债任务。树牢金融风险底线。强化部门联合，开展“扫楼清街”“伪持牌”“伪金交”等专项整治4次，“伪持牌”机构出清率达100%。开展防范打击非法集资、金融诈骗等宣传活动10余次，配合上级部门加强金融监管，维护金融领域健康稳定发展。筑牢安全风险底线。投入资金11033万元，支持危桥改造和路况提升；投入资金3733.7万元，支持地质灾害避险搬迁；投入资金5051万元，支持食品监管、校舍安全、防灾减灾、农村危房改造等重点领域安全生产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5.守正创新深化改革，提升财政管理“优”的质效。</w:t>
      </w: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始终把改革作为财政工作提质增效的关键一招，聚焦财政运行中的短板弱项，敢于啃硬骨头、打攻坚战，努力以改革促管理、以创新增效益。深化财政管理改革。配合财政厅推进省级以下财政体制改革，理顺收入分配及支出责任。充分运用预算一体化系统、衔接资金动态监控系统和直达资金监管平台，实时掌握各类财政项目进展和资金支付情况，推进单位实有账户资金纳入预算一体化管理，提高财政监管能力。严格审核政府投资项目资金来源，严控政府投资项目建设成本，坚决杜绝新增隐性债务。推进预算绩效管理。将绩效管理实质性融入预算编制、执行、监督全过程，深入推进预算绩效一体化管理，实行事前、事中、事后全过程绩效评价，选取全县重点项目开展综合绩效评价，力争实现绩效评价“横向到边、纵向到底”全覆盖。加强政府采购管理。坚持“无预算、超预算不采购”，全面推行政府采购全生命周期电子化管理，开展政府采购异地评标、信用评价和政府采购代理机构择优选用，提升政府采购工作质效。进一步支持中小企业发展，面向中小微企业预留份额达到1.489亿元，占比86.45%。全年组织全县行政事业单位开展政府采购活动218次，节约资金260.46万元。完善项目评审机制。牢固树立“不唯减、不唯增、只唯实”的评审理念，加强政府投资项目资金管理，全面推行限时办结制，在客观公正的基础上，结算审核审减率达到6.36%，节约财政资金3593.64万元，确保将有限的资金用在了“刀刃上”。强化财政监督管理。深入开展财会监督专项行动和会计法规执行情况执法检查，对全县12家行政事业单位、企业、社会团体和代理记账机构进行专项检查，狠抓整改落实，让财经纪律“带电”“生威”，不断提升财政治理效能。全面落实财政预决算公开机制，对124个部门（单位）预决算情况进行监督检查，全面提升财政预算执行公开透明度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二、2025年财政预算（草案）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2025年，财政部门将按照《中华人民共和国预算法》《中华人民共和国预算法实施条例》规定，结合自治区提前下达的转移性收入情况，遵循“量入为出、收支平衡、不列赤字”的原则，严格落实区市关于党政机关习惯过紧日子的要求，编制2025年预算草案。在编制过程中受财源基础薄弱、“三保”、债务还本付息等刚性支出需求影响，预算仍处于低水平紧平衡状态，无法腾出更多财力用于经济发展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（一）预算编制的指导思想和基本原则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坚持以习近平新时代中国特色社会主义思想为指导，全面贯彻党的二十大及二十届二中、三中全会精神，深入贯彻落实习近平总书记考察宁夏重要讲话精神，全面贯彻落实中央及区、市、县经济工作会议精神，认真贯彻落实自治区十三届十次、市委五届十四次、县委十五届八次全会精神，坚持稳中求进、以进促稳工作总基调，完整、准确、全面贯彻新发展理念，主动服务和融入新发展格局，落实更加积极的财政政策，全力组织收入，坚持党政机关过“紧日子”，强化财政资源和预算统筹，优化财政支出结构，兜牢兜实“三保”底线，增进民生福祉，深化财政体制改革，为完成“十四五”规划目标任务、实现“十五五”良好开局提供有力财政保障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根据上述总体要求，编制2025年预算着重把握以下原则：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1.坚定政治方向，全力服务中心大局。</w:t>
      </w: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坚持“以政领财，以财辅政”，牢牢把握财政工作政治属性，坚定拥护“两个确立”，坚决做到“两个维护”，始终胸怀“国之大者”，紧紧围绕中央、自治区、市、县重大决策部署、重大战略任务和重点民生保障，优化配置财政资源，确保财政工作始终坚持正确政治方向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2.优化支出结构，聚力保障重点支出。</w:t>
      </w: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抢抓重大机遇政策，积极向上争取资金，加大财源培植力度，多渠道增加可用财力，加大支出规模。新增财力重点保障特色优势产业发展、地质灾害避险搬迁等重大项目，持续加大困难群体救助、就业补助等重点民生投入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3.坚持过紧日子，加力强化绩效管理。</w:t>
      </w: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大力压减“三公经费”和“三项”费用等一般性支出。坚持预算编制与绩效管理挂钩，开展预算绩效前置审核，低效、无效项目坚决予以取消，腾出更多资金保障和改善民生。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4.坚持底线思维，倾力防范财政风险。</w:t>
      </w: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把防范化解地方债务风险摆在突出位置，推动政府债务管理不断取得新成效。坚持“三保”支出在财政支出中的优先顺序，及时预判和处置“三保”风险。严肃财经纪律，加强财会监督，严格规范财政收支管理。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5.站稳人民立场，着力保障改善民生。</w:t>
      </w: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把保障和改善民生建立在经济发展和财力可持续基础之上，尽力而为、量力而行，持续加大民生领域投入力度，兜住、兜准、兜牢民生底线。加强普惠性、基础性、兜底性民生建设，不断增强人民群众获得感、幸福感、安全感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（二）2025年预算安排情况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1.一般公共预算收入和支出安排情况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一般公共预算全口径收入269601万元，其中：地方一般公共预算收入安排12515万元，返还性收入4713万元，提前下达一般性转移支付收入201923万元，专项转移支付收入10861万元，债务转贷收入（再融资一般债券）13000万元，上年结余26589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一般公共预算全口径支出269601万元，其中：一般公共预算支出254982万元，专项上解85万元，地方政府一般债务还本支出14534万元。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2.政府性基金预算收入和支出安排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政府性基金预算全口径收入14749万元，其中：国有土地使用权出让收入910万元，其他政府性基金收入1484万元，政府性基金转移支付收入1808万元，债务转贷收入（再融资专项债券）2600万元，上年结余7947万元。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按照以收定支、收支平衡原则，政府性基金预算全口径支出14749万元，其中：节能环保支出495万元（全部为超长期特别国债安排的支出），城乡社区支出7061万元（全部为超长期特别国债安排的支出），农林水支出1万元，其他支出2198万元（其他政府性基金及对应专项债务收入安排的支出100万元，彩票公益金安排的支出2098万元），专项债务付息支出2328万元，专项债务还本支出2666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3.社会保险基金预算收入和支出安排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社会保险基金预算收入54850万元，其中：城乡居民基本养老保险基金收入9798万元，机关事业单位基本养老保险基金收入26291万元，上年结余18761万元。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社会保险基金预算支出54850万元，其中：城乡居民基本养老保险基金支出7938万元，机关事业单位基本养老保险基金支出27024万元，年终结余19888万元。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4.国有资本经营预算收入和支出安排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国有资本经营预算收入2万元，国有资本经营预算支出2万元。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5.县本级重点支出预算安排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认真贯彻落实县委十五届八次全会部署，坚持落实更加积极的财政政策，稳中求进、以进促稳，强化政策支持和资金保障，着力推动县域经济高质量发展。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兜牢基层“三保”。坚持“三保”支出“两个优先”原则，兜牢兜实“三保”底线，统筹安排资金170948万元，其中：保基本民生预算安排44203万元，保工资预算安排88328万元，保运转预算安排5982万元，其他刚性支出预算安排32435万元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增进民生福祉。加大保障和改善民生力度，推动政策向民生聚焦，财力向民生倾斜，服务向民生覆盖，统筹安排资金215167万元，确保全县80%以上财政支出用于民生领域。统筹安排资金46281万元，实施教育水平提优工程，确保教育支出“两个只增不减”，加快推进义务教育优质均衡发展示范县创建。统筹安排资金2855万元，实施医疗服务提质工程，推进医疗服务与保障能力提升。统筹安排资金2995万元，实施就业创业提档工程，及时兑付就业补贴及创业担保贷款贴息资金，建立健全创业服务体系。统筹安排资金47825万元，实施社会保障提效工程，切实保障优抚对象补助、困难群众补助、高龄津贴、残疾人生活补贴和护理补贴，兜牢机关事业单位养老保险、城乡居民基本养老保险、职业年金做实等社会保障底线。统筹安排资金1854万元，实施文化事业提能工程，支持公共文化服务体系建设、重大文旅活动保障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保障重大项目。严格落实自治区与市县财政事权和支出责任划分，统筹安排衔接资金15306万元，将发展特色优势产业作为主攻方向，持续擦亮“隆德牛肉、隆德黄芪、隆德暖锅”特色品牌，提高隆德特色优质农特产品的附加值和综合效益。统筹安排资金24320万元，支持农村综合改革、高标准农田建设、政策性农业保险、农村公路特色建设、路况质量精细化提升工程、防汛能力提升工程、县域商业体系建设、保障性安居工程、地质灾害避险搬迁工程、以工代赈等项目，确保县委、县政府各项决策部署全面落实，带动经济社会高质量发展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聚力生态保护。锚定建设“生态文旅康养先行县”的发展定位，坚持生态优先、绿色发展，统筹安排资金3127万元，支持林业草原生态保护恢复、林业草原改革发展、“三北”工程林草湿荒一体化保护修复项目，持续深入打好黄河“几字弯”攻坚战，争创全国生态文明建设示范县。统筹安排革命老区资金515万元，高标准推动中医药康养特色街区建设，建设全区中医药科普基地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防范债务风险。树牢总体国家安全观意识，坚持高质量发展和高水平安全良性互动，抓住抓牢政策机遇，用好用足新增政府债务限额资源，统筹安排资金36321万元，支持防范和化解政府债务风险，健全政府投资项目财政可承受能力评估机制，完善政府债务风险常态化监控机制，强化风险预警和监督，不断增强统筹发展和安全的实效，牢牢守住不发生系统性风险的底线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三、扎实做好2025年财政工作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预期目标：全县地方财政一般公共预算收入达到1.25亿元，增长3%，全县地方一般公共预算支出增长1%。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围绕上述预期目标，将重点做好以下四个方面工作：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（一）着力拓财源、抓增收，夯实财政运行基础。</w:t>
      </w: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严格预算执行管理，努力做到开源节流。一是高质量实施财源建设工程，积极培植财源，持续优化营商环境，落实减税降费等财税优惠政策，努力形成新的财政增长点。二是把握好新一轮财税改革有利时机，严格落实税费共治机制，涉税部门协同联动，精耕细作，精打细算，确保2025年全年财政收入增长3%。三是紧盯政策机遇，加强部门配合，加大国债、政府债券、专项资金争取力度，全力支持重大项目实施、乡村振兴和特色产业发展、促进安全环保等底线性任务的完成。四是全面梳理资产存量，依法依规有效盘活安置房、校舍等闲置资产，促进资产效益最大化，切实做到精准增收创收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（二）聚焦惠民生、保重点，增强财政保障能力。</w:t>
      </w: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坚持党政机关过紧日子不动摇，做到“小钱小气，大钱大方”，加强财政资源统筹，优化支出结构，切实保障民生事业和重大决策部署。一是坚持“尽力而为、量力而行”，持续完善基本公共服务制度体系，加强普惠性基础性兜底性民生建设，实施教育水平提优、医疗服务提质、就业创业提档、社会保障提效、文化事业提能“五大工程”，用心用情用力解决好群众急难愁盼问题，促进社会事业实现新提升。二是锚定建设“生态文旅康养先行县”的发展定位，加大财政资金支持力度，切实保障“现代特色农业示范区和绿色低碳工业集聚区”建设；支持特色优势产业发展，用力擦亮“隆德牛肉、隆德黄芪、隆德暖锅”特色品牌；支持城乡融合发展，加快乡村振兴步伐，稳步推进新型城镇化，优化城乡基础设施，千方百计促进群众增收；支持生态文明建设，协同推进降碳、减污、扩绿、增长，筑牢绿色生态屏障，加大污染防治力度，拓宽“两山”转化路径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（三）加强防风险、严监管，提升财政管理质效。</w:t>
      </w: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守好“三保”支出底线。强化“三保”预算约束，加强财政预算执行管理，合理调整支出结构，加强国库库款管理，优先保障“三保”支出需求。守好债务风险底线。全力做好债务化解工作，坚决遏制新增隐性债务，按照“1+4+3”债务化解方案，统筹调度各类资金资源，坚决落实年度化债目标。守好金融防范底线。强化金融稳定保障体系，切实开展防范化解金融风险工作，持续整治金融市场乱象，推进金融放贷、“伪持牌”“伪金交”排查等专项整治行动，严厉打击非法集资活动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1"/>
          <w:rFonts w:hint="eastAsia" w:ascii="仿宋_GB2312" w:hAnsi="仿宋_GB2312" w:eastAsia="仿宋_GB2312" w:cstheme="minorBidi"/>
          <w:b/>
          <w:bCs/>
          <w:color w:val="auto"/>
          <w:sz w:val="32"/>
          <w:szCs w:val="32"/>
          <w:lang w:val="en-US" w:eastAsia="zh-CN"/>
        </w:rPr>
        <w:t>（四）持续促改革、谋发展，健全财政制度体系。</w:t>
      </w:r>
      <w:r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  <w:t>深入推进零基预算改革。打破基数概念和支出固化格局，加强财政资源统筹，以零为基点编制预算，结合财力状况、政策要求、轻重缓急和实际需求情况，细化审核编制预算，硬化支出约束，构建有保有压、讲求绩效的预算安排机制，把有限的预算集中到重大决策部署和民生保障上来。坚定不移推动国企改革。实施新一轮国企改革深化提升行动，健全党对国有企业全面领导，按照“一企一策”原则，深入推动县属国有企业整合重组、产业结构优化调整，健全完善公司治理机制、市场化经营机制及国有资产监管体制，推进县属国有企业管理体系和管理能力现代化建设。持续加强财会监督。严格执行财经法规和管理制度，坚决查处违法违规行为，着力提高财会监督的权威性和威慑力。强化财会监督横向协调和纵向联动，强化对重点领域和关键环节的监督检查，不断规范财务管理，维护财经纪律，提升财政资金使用效益。</w:t>
      </w:r>
    </w:p>
    <w:p>
      <w:pPr>
        <w:pStyle w:val="5"/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eastAsia" w:ascii="仿宋_GB2312" w:hAnsi="仿宋_GB2312" w:eastAsia="仿宋_GB2312" w:cstheme="minorBidi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984" w:left="1587" w:header="720" w:footer="850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方正楷体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Nimbus Roman No9 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erif Gurmukhi">
    <w:panose1 w:val="02020502060505020204"/>
    <w:charset w:val="00"/>
    <w:family w:val="auto"/>
    <w:pitch w:val="default"/>
    <w:sig w:usb0="80028003" w:usb1="00006042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c33cr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c33creAgAAJgYAAA4AAAAAAAAAAQAgAAAAHwEAAGRycy9lMm9Eb2MueG1sUEsF&#10;BgAAAAAGAAYAWQEAAG8G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13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 "/>
      <w:lvlJc w:val="left"/>
      <w:pPr>
        <w:tabs>
          <w:tab w:val="left" w:pos="1800"/>
        </w:tabs>
        <w:ind w:left="180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1006182"/>
    <w:rsid w:val="00B043F5"/>
    <w:rsid w:val="00D0393F"/>
    <w:rsid w:val="00DC33DB"/>
    <w:rsid w:val="045B0C31"/>
    <w:rsid w:val="06A92095"/>
    <w:rsid w:val="080A1514"/>
    <w:rsid w:val="11F72B09"/>
    <w:rsid w:val="286D547B"/>
    <w:rsid w:val="2C18692F"/>
    <w:rsid w:val="2C7204BF"/>
    <w:rsid w:val="2FC17E5A"/>
    <w:rsid w:val="307765E8"/>
    <w:rsid w:val="31006182"/>
    <w:rsid w:val="31232B7B"/>
    <w:rsid w:val="32F14DD1"/>
    <w:rsid w:val="34EC78A9"/>
    <w:rsid w:val="36DF5F54"/>
    <w:rsid w:val="375D6229"/>
    <w:rsid w:val="37FE687E"/>
    <w:rsid w:val="43AE4585"/>
    <w:rsid w:val="487B2E45"/>
    <w:rsid w:val="48D013E2"/>
    <w:rsid w:val="4B7818BD"/>
    <w:rsid w:val="4DFC4A28"/>
    <w:rsid w:val="52F21F55"/>
    <w:rsid w:val="571F0F7D"/>
    <w:rsid w:val="598516EC"/>
    <w:rsid w:val="5C737BB0"/>
    <w:rsid w:val="634F0626"/>
    <w:rsid w:val="69450BD9"/>
    <w:rsid w:val="6D4D5460"/>
    <w:rsid w:val="70AE427B"/>
    <w:rsid w:val="79582A61"/>
    <w:rsid w:val="7CF84488"/>
    <w:rsid w:val="7EFF908D"/>
    <w:rsid w:val="CFECFC3A"/>
    <w:rsid w:val="EFDF310C"/>
    <w:rsid w:val="FBCFEBA4"/>
    <w:rsid w:val="FD7CBC18"/>
    <w:rsid w:val="FDDF0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beforeLines="0" w:after="260" w:afterLines="0" w:line="360" w:lineRule="auto"/>
      <w:outlineLvl w:val="2"/>
    </w:pPr>
    <w:rPr>
      <w:rFonts w:eastAsia="黑体"/>
      <w:b/>
      <w:bCs/>
      <w:sz w:val="30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spacing w:before="260" w:beforeLines="0" w:after="260" w:afterLines="0" w:line="413" w:lineRule="auto"/>
    </w:pPr>
    <w:rPr>
      <w:sz w:val="28"/>
      <w:szCs w:val="28"/>
    </w:rPr>
  </w:style>
  <w:style w:type="paragraph" w:styleId="4">
    <w:name w:val="Body Text Indent"/>
    <w:next w:val="1"/>
    <w:qFormat/>
    <w:uiPriority w:val="0"/>
    <w:pPr>
      <w:widowControl w:val="0"/>
      <w:suppressAutoHyphens/>
      <w:ind w:firstLine="656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next w:val="6"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next w:val="5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uppressAutoHyphens/>
      <w:snapToGrid w:val="0"/>
      <w:jc w:val="both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footnote text"/>
    <w:qFormat/>
    <w:uiPriority w:val="0"/>
    <w:pPr>
      <w:widowControl w:val="0"/>
      <w:suppressAutoHyphens/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8">
    <w:name w:val="Body Text First Indent 2"/>
    <w:next w:val="1"/>
    <w:qFormat/>
    <w:uiPriority w:val="0"/>
    <w:pPr>
      <w:widowControl w:val="0"/>
      <w:suppressAutoHyphens/>
      <w:ind w:left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NormalCharacter"/>
    <w:link w:val="12"/>
    <w:qFormat/>
    <w:uiPriority w:val="0"/>
    <w:rPr>
      <w:rFonts w:ascii="方正小标宋_GBK" w:hAnsi="方正小标宋_GBK" w:eastAsia="方正小标宋_GBK" w:cs="Times New Roman"/>
      <w:color w:val="000000"/>
      <w:kern w:val="2"/>
      <w:sz w:val="24"/>
      <w:szCs w:val="22"/>
      <w:lang w:val="en-US" w:eastAsia="zh-CN" w:bidi="ar-SA"/>
    </w:rPr>
  </w:style>
  <w:style w:type="paragraph" w:customStyle="1" w:styleId="12">
    <w:name w:val="UserStyle_0"/>
    <w:link w:val="11"/>
    <w:qFormat/>
    <w:uiPriority w:val="0"/>
    <w:pPr>
      <w:widowControl w:val="0"/>
      <w:suppressAutoHyphens/>
      <w:ind w:left="420" w:leftChars="200"/>
      <w:jc w:val="both"/>
      <w:textAlignment w:val="baseline"/>
    </w:pPr>
    <w:rPr>
      <w:rFonts w:ascii="方正小标宋_GBK" w:hAnsi="方正小标宋_GBK" w:eastAsia="方正小标宋_GBK" w:cs="Times New Roman"/>
      <w:color w:val="000000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1479</Words>
  <Characters>8435</Characters>
  <Lines>70</Lines>
  <Paragraphs>19</Paragraphs>
  <TotalTime>4</TotalTime>
  <ScaleCrop>false</ScaleCrop>
  <LinksUpToDate>false</LinksUpToDate>
  <CharactersWithSpaces>9895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2025-01-04T17:37:00Z</dcterms:created>
  <dc:creator>WPS_1704244840</dc:creator>
  <cp:lastModifiedBy>fsj</cp:lastModifiedBy>
  <cp:lastPrinted>2025-01-04T19:37:00Z</cp:lastPrinted>
  <dcterms:modified xsi:type="dcterms:W3CDTF">2025-09-12T09:43:23Z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28114A1904EB4101B1550B73E9FDF22B_13</vt:lpwstr>
  </property>
  <property fmtid="{D5CDD505-2E9C-101B-9397-08002B2CF9AE}" pid="4" name="KSOTemplateDocerSaveRecord">
    <vt:lpwstr>eyJoZGlkIjoiMTQ4YTQzOWZmOGU0NTgwNjMwYzgxYzNiYTY2Mjc2MDMiLCJ1c2VySWQiOiIxOTIyMDk4OTkifQ==</vt:lpwstr>
  </property>
</Properties>
</file>