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48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隆德县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食品安全抽检任务分配表</w:t>
      </w:r>
    </w:p>
    <w:tbl>
      <w:tblPr>
        <w:tblStyle w:val="9"/>
        <w:tblpPr w:leftFromText="180" w:rightFromText="180" w:vertAnchor="text" w:horzAnchor="page" w:tblpX="1379" w:tblpY="469"/>
        <w:tblOverlap w:val="never"/>
        <w:tblW w:w="86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335"/>
        <w:gridCol w:w="1215"/>
        <w:gridCol w:w="1500"/>
        <w:gridCol w:w="990"/>
        <w:gridCol w:w="896"/>
        <w:gridCol w:w="1117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 w:bidi="ar"/>
              </w:rPr>
              <w:t>区域名称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 w:bidi="ar"/>
              </w:rPr>
              <w:t>食用农产品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市级抽检（省抽任务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快速检测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  <w:t>ATP检测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隆德县食品药品检验检测中心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城关所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沙塘所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 w:bidi="ar"/>
              </w:rPr>
              <w:t>好水所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 w:bidi="ar"/>
              </w:rPr>
              <w:t>山河所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701" w:bottom="1984" w:left="1361" w:header="851" w:footer="14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303" w:charSpace="2613"/>
        </w:sectPr>
      </w:pPr>
    </w:p>
    <w:p>
      <w:pPr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隆德县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食品安全监督抽检（省抽任务Ⅱ）计划表</w:t>
      </w:r>
    </w:p>
    <w:tbl>
      <w:tblPr>
        <w:tblStyle w:val="9"/>
        <w:tblW w:w="13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842"/>
        <w:gridCol w:w="813"/>
        <w:gridCol w:w="929"/>
        <w:gridCol w:w="1252"/>
        <w:gridCol w:w="705"/>
        <w:gridCol w:w="5572"/>
        <w:gridCol w:w="147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食品大类（一级）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风险等级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抽检项目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val="en-US" w:eastAsia="zh-CN" w:bidi="ar"/>
              </w:rPr>
              <w:t>批次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snapToGrid w:val="0"/>
                <w:spacing w:val="-11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食用油、油脂及其制品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食用植物油（含煎炸用油）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食用植物油（半精炼、全精炼）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花生油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玉米油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芝麻油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菜籽油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大豆油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食用植物调和油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17"/>
                <w:kern w:val="0"/>
                <w:sz w:val="21"/>
                <w:szCs w:val="21"/>
                <w:lang w:bidi="ar"/>
              </w:rPr>
              <w:t>其他食用植物油(半精炼、全精炼)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酸值/酸价、过氧化值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氨基酸态氮、全氮（以氮计）、铵盐（以占氨基酸态氮的百分比计）、苯甲酸及其钠盐（以苯甲酸计）、山梨酸及其钾盐（以山梨酸计）、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总酸（以乙酸计）、不挥发酸（以乳酸计）、苯甲酸及其钠盐（以苯甲酸计）、山梨酸及其钾盐（以山梨酸计）、糖精钠（以糖精计）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调味料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固体复合调味料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鸡粉、鸡精调味料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调味料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半固体复合调味料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辣椒酱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火锅底料、麻辣烫底料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其他半固体调味料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调味料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液体复合调味料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其他液体调味料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spacing w:val="-11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食盐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食用盐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普通食用盐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碘（以I计）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包装饮用水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饮用纯净水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电导率、耗氧量（以</w:t>
            </w:r>
            <w:r>
              <w:rPr>
                <w:rStyle w:val="23"/>
                <w:color w:val="auto"/>
                <w:lang w:bidi="ar"/>
              </w:rPr>
              <w:t>O</w:t>
            </w:r>
            <w:r>
              <w:rPr>
                <w:rStyle w:val="27"/>
                <w:color w:val="auto"/>
                <w:lang w:bidi="ar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计）、余氯（游离氯）、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其他类饮用水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耗氧量（以</w:t>
            </w:r>
            <w:r>
              <w:rPr>
                <w:rStyle w:val="23"/>
                <w:color w:val="auto"/>
                <w:lang w:bidi="ar"/>
              </w:rPr>
              <w:t>O</w:t>
            </w:r>
            <w:r>
              <w:rPr>
                <w:rStyle w:val="27"/>
                <w:color w:val="auto"/>
                <w:lang w:bidi="ar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计）、余氯（游离氯）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果蔬汁类及其饮料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果蔬汁类及其饮料（含枸杞汁、枸杞原浆等）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其他方便食品</w:t>
            </w:r>
          </w:p>
        </w:tc>
        <w:tc>
          <w:tcPr>
            <w:tcW w:w="125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方便粥、方便盒饭、冷面及其他熟制方便食品等</w:t>
            </w:r>
          </w:p>
        </w:tc>
        <w:tc>
          <w:tcPr>
            <w:tcW w:w="70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vMerge w:val="restart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5572" w:type="dxa"/>
            <w:vMerge w:val="continue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酸价（以脂肪计）、过氧化值（以脂肪计）、苯甲酸及其钠盐（以苯甲酸计）、山梨酸及其钾盐（以山梨酸计）、铝的残留量（干样品，以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计）、</w:t>
            </w:r>
            <w:r>
              <w:rPr>
                <w:rStyle w:val="21"/>
                <w:rFonts w:hint="eastAsia"/>
                <w:color w:val="auto"/>
                <w:lang w:bidi="ar"/>
              </w:rPr>
              <w:t>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冷冻饮品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冷冻饮品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冷冻饮品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冰淇淋、雪糕、雪泥、冰棍、食用冰、甜味冰、其他类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甜蜜素（以环己基氨基磺酸计）、糖精钠（以糖精计）、阿斯巴甜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速冻食品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速冻面米食品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速冻面米食品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速冻面米生制品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过氧化值（以脂肪计）、糖精钠（以糖精计）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速冻面米熟制品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过氧化值（以脂肪计）、糖精钠（以糖精计）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膨化食品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20"/>
                <w:kern w:val="0"/>
                <w:sz w:val="21"/>
                <w:szCs w:val="21"/>
                <w:lang w:bidi="ar"/>
              </w:rPr>
              <w:t>含油型膨化食品和非含油型膨化食品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水分、酸价（以脂肪计）、过氧化值（以脂肪计）、糖精钠（以糖精计）、苯甲酸及其钠盐（以苯甲酸计）、山梨酸及其钾盐（以山梨酸计）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糖果制品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糖果制品(含巧克力及制品)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酒类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蒸馏酒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白酒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17"/>
                <w:kern w:val="0"/>
                <w:sz w:val="21"/>
                <w:szCs w:val="21"/>
                <w:lang w:bidi="ar"/>
              </w:rPr>
              <w:t>白酒、白酒（液态）、白酒（原酒）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酒精度、糖精钠（以糖精计）、甜蜜素（以环己基氨基磺酸计）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发酵酒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黄酒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黄酒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啤酒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啤酒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酒精度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葡萄酒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葡萄酒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酒精度、苯甲酸及其钠盐（以苯甲酸计）、山梨酸及其钾盐（以山梨酸计）、糖精钠（以糖精计）、二氧化硫残留量、甜蜜素（以环己基氨基磺酸计）、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果酒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果酒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酒精度、苯甲酸及其钠盐（以苯甲酸计）、糖精钠（以糖精计）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蔬菜制品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酱腌菜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酱腌菜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苯甲酸及其钠盐（以苯甲酸计）、山梨酸及其钾盐（以山梨酸计）、糖精钠（以糖精计）、甜蜜素（以环己基氨基磺酸计）、阿斯巴甜、亚硝酸盐（以Na</w:t>
            </w:r>
            <w:r>
              <w:rPr>
                <w:rStyle w:val="23"/>
                <w:color w:val="auto"/>
                <w:lang w:bidi="ar"/>
              </w:rPr>
              <w:t>NO</w:t>
            </w:r>
            <w:r>
              <w:rPr>
                <w:rStyle w:val="24"/>
                <w:rFonts w:hint="default"/>
                <w:color w:val="auto"/>
                <w:lang w:bidi="ar"/>
              </w:rPr>
              <w:t>2</w:t>
            </w:r>
            <w:r>
              <w:rPr>
                <w:rStyle w:val="25"/>
                <w:color w:val="auto"/>
                <w:lang w:bidi="ar"/>
              </w:rPr>
              <w:t xml:space="preserve"> -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蔬菜干制品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蔬菜干制品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11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苯甲酸及其钠盐（以苯甲酸计）、山梨酸及其钾盐（以山梨酸计）、二氧化硫残留量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水果制品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蜜饯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蜜饯类、凉果类、果脯类、话化类、果糕类（含枸杞果糕等）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苯甲酸及其钠盐（以苯甲酸计）、山梨酸及其钾盐（以山梨酸计）、糖精钠（以糖精计）、甜蜜素（以环己基氨基磺酸计）、二氧化硫残留量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水果干制品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水果干制品(不含干枸杞)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水果干制品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水果干制品(限干枸杞)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炒货食品及坚果制品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炒货食品及坚果制品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炒货食品及坚果制品（烘炒类、油炸类、其他类）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开心果、杏仁、扁桃仁、松仁、瓜子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其他炒货食品及坚果制品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酸价（以脂肪计）、过氧化值（以脂肪计）、苯甲酸及其钠盐（以苯甲酸计）、山梨酸及其钾盐（以山梨酸计）、糖精钠（以糖精计）、甜蜜素（以环己基氨基磺酸计）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食糖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食糖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食糖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白砂糖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二氧化硫残留量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冰糖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二氧化硫残留量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淀粉及淀粉制品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粉丝粉条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计）、二氧化硫残留量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其他淀粉制品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酸价（以脂肪计）、过氧化值（以脂肪计）、铅（以Pb计）、苯甲酸及其钠盐（以苯甲酸计）、山梨酸及其钾盐（以山梨酸计）、糖精钠（以糖精计）、甜蜜素（以环己基氨基磺酸计）铝的残留量（干样品，以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月饼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月饼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酸价（以脂肪计）、过氧化值（以脂肪计）、糖精钠（以糖精计）、苯甲酸及其钠盐（以苯甲酸计）、山梨酸及其钾盐（以山梨酸计）、铝的残留量（干样品，以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粽子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山梨酸及其钾盐（以山梨酸计）、糖精钠（以糖精计）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豆制品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豆制品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非发酵性豆制品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豆干、豆腐、豆皮等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腐竹、油皮及其再制品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spacing w:val="-11"/>
                <w:kern w:val="0"/>
                <w:sz w:val="21"/>
                <w:szCs w:val="21"/>
                <w:lang w:bidi="ar"/>
              </w:rPr>
              <w:t>苯甲酸及其钠盐（以苯甲酸计）、山梨酸及其钾盐（以山梨酸计））、铝的残留量（干样品，以Al计）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蜂产品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蜂产品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蜂蜜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蜂蜜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山梨酸及其钾盐（以山梨酸计）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4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保健食品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水分、可溶性固形物、酸价、过氧化值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餐饮食品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米面及其制品(自制)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小麦粉制品(自制)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发酵面制品(自制)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油炸面制品(自制)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594"/>
              </w:tabs>
              <w:adjustRightInd w:val="0"/>
              <w:snapToGrid w:val="0"/>
              <w:spacing w:line="280" w:lineRule="exact"/>
              <w:jc w:val="left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</w:rPr>
              <w:t>焙烤食品（自制）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594"/>
              </w:tabs>
              <w:adjustRightInd w:val="0"/>
              <w:snapToGrid w:val="0"/>
              <w:spacing w:line="280" w:lineRule="exact"/>
              <w:jc w:val="left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</w:rPr>
              <w:t>焙烤食品（自制）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糕点（自制）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酸价（以脂肪计）（KOH）、过氧化值（以脂肪计）、山梨酸及其钾盐（以山梨酸计）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淀粉制品（餐饮）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pacing w:val="-2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凉皮类（酿皮、粳皮等）（餐饮）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硼酸、苯甲酸及其钠盐（以苯甲酸计）、山梨酸及其钾盐（以山梨酸计）、铝的残留量（干样品，以</w:t>
            </w:r>
            <w:r>
              <w:rPr>
                <w:rStyle w:val="21"/>
                <w:color w:val="auto"/>
                <w:lang w:bidi="ar"/>
              </w:rPr>
              <w:t>Al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阿维菌素、敌敌畏、毒死蜱、甲胺磷、氧乐果、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芸薹属类蔬菜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结球甘蓝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甲胺磷、灭线磷、氧乐果、乙酰甲胺磷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菜薹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菠菜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阿维菌素、毒死蜱、氧乐果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茄果类蔬菜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茄子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辣椒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倍硫磷、敌敌畏、甲胺磷、氧乐果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甜椒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阿维菌素、甲胺磷、、氧乐果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黄瓜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spacing w:line="280" w:lineRule="exact"/>
              <w:jc w:val="left"/>
              <w:textAlignment w:val="top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阿维菌素、倍硫磷、敌敌畏、毒死蜱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根茎类和薯芋类蔬菜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芹菜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阿维菌素、敌敌畏、毒死蜱、氧乐果、乙酰甲胺磷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普通白菜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阿维菌素、敌敌畏、毒死蜱、甲胺磷、氧乐果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阿维菌素、毒死蜱、甲胺磷、氧乐果、乙酰甲胺磷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油麦菜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阿维菌素、毒死蜱、甲胺磷、、氧乐果、乙酰甲胺磷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茄果类蔬菜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敌敌畏、毒死蜱、甲胺磷、氧乐果、乙酰甲胺磷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豆类蔬菜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豇豆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阿维菌素、甲胺磷、氧乐果、乙酰甲胺磷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仁果类水果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苹果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敌敌畏、毒死蜱、氧乐果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梨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敌敌畏、毒死蜱、氧乐果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核果类水果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枣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氧乐果、糖精钠（以糖精计）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桃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敌敌畏、甲胺磷、氧乐果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柑、橘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氧乐果、毒死蜱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橙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4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</w:rPr>
              <w:t>食用农产品</w:t>
            </w: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葡萄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甲胺磷、氧乐果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草莓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阿维菌素、敌敌畏、氧乐果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瓜果类水果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西瓜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甜瓜类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氧乐果、乙酰甲胺磷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9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生干坚果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酸价（以脂肪计）、过氧化值（以脂肪计）、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生干籽类</w:t>
            </w:r>
          </w:p>
        </w:tc>
        <w:tc>
          <w:tcPr>
            <w:tcW w:w="7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5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napToGrid w:val="0"/>
                <w:spacing w:val="-6"/>
                <w:kern w:val="0"/>
                <w:sz w:val="21"/>
                <w:szCs w:val="21"/>
                <w:lang w:bidi="ar"/>
              </w:rPr>
              <w:t>酸价（以脂肪计）、过氧化值（以脂肪计）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00" w:type="dxa"/>
            <w:gridSpan w:val="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top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47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130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隆德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食用农产品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抽检计划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9"/>
        <w:tblW w:w="134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52"/>
        <w:gridCol w:w="1344"/>
        <w:gridCol w:w="1104"/>
        <w:gridCol w:w="3756"/>
        <w:gridCol w:w="2364"/>
        <w:gridCol w:w="996"/>
        <w:gridCol w:w="2065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7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  <w:t>序列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食品亚类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（二级）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食品品种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（三级）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食品细类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pacing w:val="-17"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pacing w:val="-17"/>
                <w:kern w:val="0"/>
                <w:sz w:val="21"/>
                <w:szCs w:val="21"/>
                <w:lang w:bidi="ar"/>
              </w:rPr>
              <w:t>（四级）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  <w:t>必检项目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sz w:val="21"/>
                <w:szCs w:val="21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  <w:t>自选项目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计划抽检批次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34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畜禽肉及副产品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畜肉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猪肉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磺胺类（总量）、恩诺沙星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挥发性盐基氮、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地塞米松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42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牛肉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恩诺沙星、地塞米松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挥发性盐基氮、青霉素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32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羊肉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磺胺类（总量）、克伦特罗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恩诺沙星、氯霉素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19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畜副产品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猪肝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克伦特罗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恩诺沙星、氟苯尼考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鸡肉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甲氧苄啶、恩诺沙星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挥发性盐基氮、沙拉沙星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3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腐霉利、毒死蜱、啶虫脒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阿维菌素、敌敌畏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1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芹菜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毒死蜱、甲拌磷、克百威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阿维菌素、吡虫啉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2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菠菜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毒死蜱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阿维菌素、啶虫脒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3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普通白菜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毒死蜱、啶虫脒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阿维菌素、吡虫啉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2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豆类蔬菜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豇豆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灭蝇胺、克百威、乙酰甲胺磷、三唑磷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氧乐果、噻虫嗪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4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根茎类和薯芋类蔬菜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姜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噻虫胺、吡虫啉、噻虫嗪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甲拌磷、克百威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4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4-氯苯氧乙酸钠、6-苄基腺嘌呤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亚硫酸盐（以SO₂计）、铅（以Pb计）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cs="Times New Roman"/>
                <w:sz w:val="21"/>
                <w:szCs w:val="21"/>
                <w:lang w:val="en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2" w:hRule="atLeast"/>
        </w:trPr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芸薹属类蔬菜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结球甘蓝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氧乐果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甲胺磷、甲基异柳磷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8" w:hRule="atLeast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水产品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淡水鱼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恩诺沙星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挥发性盐基氮、孔雀石绿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22" w:hRule="atLeast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其他水产品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其他水产品（重点品种：牛蛙）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恩诺沙星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镉（以Cd计）、氯霉素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7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spacing w:val="-17"/>
                <w:kern w:val="0"/>
                <w:sz w:val="21"/>
                <w:szCs w:val="21"/>
                <w:lang w:bidi="ar"/>
              </w:rPr>
              <w:t>鱿鱼等头足类必检项目为镉；牛蛙必检项目为恩诺沙星。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4" w:hRule="atLeast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热带和亚热带水果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吡虫啉、腈苯唑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噻虫胺、噻虫嗪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1" w:hRule="atLeast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柑、橘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丙溴磷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狄氏剂、毒死蜱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10" w:hRule="atLeast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猕猴桃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氯吡脲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敌敌畏、氧乐果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甲硝唑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氟虫腈、氯霉素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02" w:hRule="atLeast"/>
        </w:trPr>
        <w:tc>
          <w:tcPr>
            <w:tcW w:w="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生干籽类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酸价、黄曲霉毒素B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vertAlign w:val="subscript"/>
                <w:lang w:bidi="ar"/>
              </w:rPr>
              <w:t>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过氧化值（以脂肪计）、铅（以Pb计）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  <w:t>仅花生检测黄曲霉毒素B1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2" w:hRule="atLeast"/>
        </w:trPr>
        <w:tc>
          <w:tcPr>
            <w:tcW w:w="103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343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>注：1．部分项目检测结果说明：恩诺沙星检验结果以恩诺沙星与环丙沙星之和计;孔雀石绿检验结果以孔雀石绿与隐色孔雀石绿之和计，以孔雀石绿表示；磺胺类（总量）包含的具体磺胺药物按食品安全监督抽检实施细则（2022年版）中相应食品类别要求检验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 xml:space="preserve">   2.酸价、过氧化值依据GB 19300判定时，样品前处理按该标准附录B规定。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 xml:space="preserve">   3．可选项目选择原则：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 xml:space="preserve">   1）氧氟沙星等停用药物、产蛋期禁用且无限量的恩诺沙星等药物、以及不在农业农村部公告第250号《食品动物中禁止使用的药品及化合物清单》中的金刚烷胺等药物，在相关限量标准发布实施前不得纳入监督抽检;不再检验虾蟹中呋喃西林代谢物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 xml:space="preserve">   2）可选项目应根据当地农业投入品使用情况及既往抽检不合格、当地與情情况选择，如在本表可选项目之外确定检测项目时，应注意：农药残留项目在GB 2763标准中有该品种最大允许残留限量及相应指定检测方法;兽药项目在GB 31650有该动物类别相应组织部位的允许限量，或农业农村部公告250号等禁用要求，且有适用检测方法（检测范围应包含该动物的相应组织部位的兽药），符合上述要求的农兽药项目方可纳入监督抽检。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bidi="ar"/>
              </w:rPr>
              <w:t xml:space="preserve">   3）苯醚甲环唑仅限有判定限量的生干籽类样品可选。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type w:val="continuous"/>
          <w:pgSz w:w="16840" w:h="11910" w:orient="landscape"/>
          <w:pgMar w:top="1100" w:right="1760" w:bottom="880" w:left="1120" w:header="720" w:footer="720" w:gutter="0"/>
          <w:pgNumType w:fmt="decimal"/>
          <w:cols w:space="720" w:num="1"/>
        </w:sectPr>
      </w:pPr>
    </w:p>
    <w:p>
      <w:pPr>
        <w:widowControl/>
        <w:adjustRightInd w:val="0"/>
        <w:snapToGrid w:val="0"/>
        <w:spacing w:after="200" w:line="52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年食品安全监督抽检不合格产品信息核实确认表</w:t>
      </w: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确认单位（盖章）：                         填报人：           填报时间：    年  月  日</w:t>
      </w:r>
    </w:p>
    <w:tbl>
      <w:tblPr>
        <w:tblStyle w:val="9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276"/>
        <w:gridCol w:w="1417"/>
        <w:gridCol w:w="1166"/>
        <w:gridCol w:w="1166"/>
        <w:gridCol w:w="1166"/>
        <w:gridCol w:w="1166"/>
        <w:gridCol w:w="1166"/>
        <w:gridCol w:w="92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抽样编号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标称生产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标称生产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企业地址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被抽样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被抽样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食品名称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生产日期/批号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不合格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是否提出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复检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异议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复检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异议内容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left="630" w:hanging="630" w:hangingChars="30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pPr>
        <w:ind w:left="630" w:hanging="630" w:hanging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送达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不合格检验报告7个工作日内反馈。</w:t>
      </w:r>
    </w:p>
    <w:sectPr>
      <w:pgSz w:w="16838" w:h="11906" w:orient="landscape"/>
      <w:pgMar w:top="1587" w:right="1814" w:bottom="147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21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7249"/>
    <w:rsid w:val="00722C9A"/>
    <w:rsid w:val="00FC7E0B"/>
    <w:rsid w:val="013106B3"/>
    <w:rsid w:val="016E02D8"/>
    <w:rsid w:val="01FC2781"/>
    <w:rsid w:val="02BE6A34"/>
    <w:rsid w:val="032C63B0"/>
    <w:rsid w:val="03357EC8"/>
    <w:rsid w:val="03483955"/>
    <w:rsid w:val="03D6767B"/>
    <w:rsid w:val="03EC52C1"/>
    <w:rsid w:val="043B459A"/>
    <w:rsid w:val="04CA66F5"/>
    <w:rsid w:val="04CD5B28"/>
    <w:rsid w:val="04CF3C92"/>
    <w:rsid w:val="056330BF"/>
    <w:rsid w:val="059D7544"/>
    <w:rsid w:val="05A31E80"/>
    <w:rsid w:val="05D92E23"/>
    <w:rsid w:val="060A032C"/>
    <w:rsid w:val="060D5AE0"/>
    <w:rsid w:val="065B7C67"/>
    <w:rsid w:val="067B1DED"/>
    <w:rsid w:val="067E4E57"/>
    <w:rsid w:val="07676613"/>
    <w:rsid w:val="07A719FA"/>
    <w:rsid w:val="07E54A70"/>
    <w:rsid w:val="07F44203"/>
    <w:rsid w:val="07FA152A"/>
    <w:rsid w:val="082E1595"/>
    <w:rsid w:val="08317C7C"/>
    <w:rsid w:val="085D501F"/>
    <w:rsid w:val="087517C9"/>
    <w:rsid w:val="090D10FB"/>
    <w:rsid w:val="09B73FC8"/>
    <w:rsid w:val="09C909C7"/>
    <w:rsid w:val="0A6733E9"/>
    <w:rsid w:val="0AA606BB"/>
    <w:rsid w:val="0AEC0190"/>
    <w:rsid w:val="0B5A6C55"/>
    <w:rsid w:val="0BDD2888"/>
    <w:rsid w:val="0C1A35BE"/>
    <w:rsid w:val="0C4F562C"/>
    <w:rsid w:val="0C6A3BE6"/>
    <w:rsid w:val="0CB811B7"/>
    <w:rsid w:val="0CFC5670"/>
    <w:rsid w:val="0D6B58F2"/>
    <w:rsid w:val="0DDB29FE"/>
    <w:rsid w:val="0F7B09B7"/>
    <w:rsid w:val="0FA824CF"/>
    <w:rsid w:val="100F1664"/>
    <w:rsid w:val="10312BE8"/>
    <w:rsid w:val="10AA58DE"/>
    <w:rsid w:val="11694DE2"/>
    <w:rsid w:val="11FE7F23"/>
    <w:rsid w:val="12712959"/>
    <w:rsid w:val="127A6A84"/>
    <w:rsid w:val="12862E50"/>
    <w:rsid w:val="130F6FDA"/>
    <w:rsid w:val="135C33D0"/>
    <w:rsid w:val="137A1EC4"/>
    <w:rsid w:val="14C56383"/>
    <w:rsid w:val="14FC4161"/>
    <w:rsid w:val="158A41F2"/>
    <w:rsid w:val="15DC0886"/>
    <w:rsid w:val="15FD76DA"/>
    <w:rsid w:val="16496949"/>
    <w:rsid w:val="168C5CC9"/>
    <w:rsid w:val="16A25141"/>
    <w:rsid w:val="16BC3903"/>
    <w:rsid w:val="17392744"/>
    <w:rsid w:val="18104229"/>
    <w:rsid w:val="18192E50"/>
    <w:rsid w:val="184E7848"/>
    <w:rsid w:val="18915675"/>
    <w:rsid w:val="19B352A3"/>
    <w:rsid w:val="19DD65DF"/>
    <w:rsid w:val="1A432FD3"/>
    <w:rsid w:val="1B0A29E0"/>
    <w:rsid w:val="1B7FCE4B"/>
    <w:rsid w:val="1BDA146A"/>
    <w:rsid w:val="1CF85110"/>
    <w:rsid w:val="1D1E7F92"/>
    <w:rsid w:val="1DA5408F"/>
    <w:rsid w:val="1DFB657C"/>
    <w:rsid w:val="1E2C776B"/>
    <w:rsid w:val="1E657DD6"/>
    <w:rsid w:val="1E6B7254"/>
    <w:rsid w:val="1F0258BB"/>
    <w:rsid w:val="1F1E418C"/>
    <w:rsid w:val="1F8A13AA"/>
    <w:rsid w:val="1FD81FF6"/>
    <w:rsid w:val="1FFF0EB3"/>
    <w:rsid w:val="207140C3"/>
    <w:rsid w:val="208D7FFF"/>
    <w:rsid w:val="20BD4A45"/>
    <w:rsid w:val="210D1C38"/>
    <w:rsid w:val="216B270F"/>
    <w:rsid w:val="21860797"/>
    <w:rsid w:val="21963DD3"/>
    <w:rsid w:val="2266360A"/>
    <w:rsid w:val="228F35CB"/>
    <w:rsid w:val="22E44D3F"/>
    <w:rsid w:val="23185B22"/>
    <w:rsid w:val="23AF4958"/>
    <w:rsid w:val="23DE05E4"/>
    <w:rsid w:val="241A243D"/>
    <w:rsid w:val="242F188C"/>
    <w:rsid w:val="244556CC"/>
    <w:rsid w:val="24A4784A"/>
    <w:rsid w:val="25672D01"/>
    <w:rsid w:val="25D029E3"/>
    <w:rsid w:val="25D9169F"/>
    <w:rsid w:val="26261FE0"/>
    <w:rsid w:val="26EB5DEE"/>
    <w:rsid w:val="26EB7E1A"/>
    <w:rsid w:val="27BB4C41"/>
    <w:rsid w:val="27D6606C"/>
    <w:rsid w:val="280242D4"/>
    <w:rsid w:val="283163B1"/>
    <w:rsid w:val="28C81446"/>
    <w:rsid w:val="29043B01"/>
    <w:rsid w:val="290C5C70"/>
    <w:rsid w:val="292E6E71"/>
    <w:rsid w:val="29B91CEE"/>
    <w:rsid w:val="2A491C7D"/>
    <w:rsid w:val="2A8B54BB"/>
    <w:rsid w:val="2A943E32"/>
    <w:rsid w:val="2AAD0D7B"/>
    <w:rsid w:val="2AB774B6"/>
    <w:rsid w:val="2AC914C9"/>
    <w:rsid w:val="2B4F3BA0"/>
    <w:rsid w:val="2B793512"/>
    <w:rsid w:val="2B8A2DEB"/>
    <w:rsid w:val="2BC5112E"/>
    <w:rsid w:val="2C5DF79B"/>
    <w:rsid w:val="2CCA56F3"/>
    <w:rsid w:val="2D1725EB"/>
    <w:rsid w:val="2D632CDA"/>
    <w:rsid w:val="2DB17620"/>
    <w:rsid w:val="2E665BD0"/>
    <w:rsid w:val="2E764433"/>
    <w:rsid w:val="2E791FAC"/>
    <w:rsid w:val="2EDC4849"/>
    <w:rsid w:val="2F584033"/>
    <w:rsid w:val="2F994031"/>
    <w:rsid w:val="2FA270D6"/>
    <w:rsid w:val="2FC636D3"/>
    <w:rsid w:val="2FE020F4"/>
    <w:rsid w:val="30213FEC"/>
    <w:rsid w:val="303146DD"/>
    <w:rsid w:val="30425339"/>
    <w:rsid w:val="3058045F"/>
    <w:rsid w:val="314A4364"/>
    <w:rsid w:val="31A550E6"/>
    <w:rsid w:val="31C607B9"/>
    <w:rsid w:val="31CB4082"/>
    <w:rsid w:val="31DF7255"/>
    <w:rsid w:val="321B4CAF"/>
    <w:rsid w:val="32442B01"/>
    <w:rsid w:val="32706127"/>
    <w:rsid w:val="327E12AB"/>
    <w:rsid w:val="328D1330"/>
    <w:rsid w:val="329F70EF"/>
    <w:rsid w:val="33453190"/>
    <w:rsid w:val="33C50FFA"/>
    <w:rsid w:val="33D678A2"/>
    <w:rsid w:val="341A7152"/>
    <w:rsid w:val="350279F8"/>
    <w:rsid w:val="35032963"/>
    <w:rsid w:val="364C338E"/>
    <w:rsid w:val="36B82A2F"/>
    <w:rsid w:val="36FB29EF"/>
    <w:rsid w:val="378C0783"/>
    <w:rsid w:val="37BA7B51"/>
    <w:rsid w:val="38BF714F"/>
    <w:rsid w:val="390A2A1C"/>
    <w:rsid w:val="399622D8"/>
    <w:rsid w:val="39E6516D"/>
    <w:rsid w:val="3A2249F9"/>
    <w:rsid w:val="3A2C65DA"/>
    <w:rsid w:val="3A54423D"/>
    <w:rsid w:val="3A7C7D65"/>
    <w:rsid w:val="3A943DAE"/>
    <w:rsid w:val="3AE37B0E"/>
    <w:rsid w:val="3B09091D"/>
    <w:rsid w:val="3B2D458D"/>
    <w:rsid w:val="3B35737C"/>
    <w:rsid w:val="3B613614"/>
    <w:rsid w:val="3B766746"/>
    <w:rsid w:val="3C0D218B"/>
    <w:rsid w:val="3C4D5E6F"/>
    <w:rsid w:val="3C707806"/>
    <w:rsid w:val="3C923E5F"/>
    <w:rsid w:val="3C9A09DD"/>
    <w:rsid w:val="3D693B5F"/>
    <w:rsid w:val="3DE03BA2"/>
    <w:rsid w:val="3E1F1575"/>
    <w:rsid w:val="3E943939"/>
    <w:rsid w:val="3EF92C8B"/>
    <w:rsid w:val="3F1A3D40"/>
    <w:rsid w:val="3FC471B9"/>
    <w:rsid w:val="3FE71F26"/>
    <w:rsid w:val="3FE94E33"/>
    <w:rsid w:val="3FEE49F2"/>
    <w:rsid w:val="3FF5F59D"/>
    <w:rsid w:val="403F6530"/>
    <w:rsid w:val="40BB4829"/>
    <w:rsid w:val="40E02F42"/>
    <w:rsid w:val="411635F1"/>
    <w:rsid w:val="412A1455"/>
    <w:rsid w:val="419B7F08"/>
    <w:rsid w:val="41EB6121"/>
    <w:rsid w:val="42042CA0"/>
    <w:rsid w:val="42425862"/>
    <w:rsid w:val="42486BD3"/>
    <w:rsid w:val="4268557B"/>
    <w:rsid w:val="42744397"/>
    <w:rsid w:val="42774A95"/>
    <w:rsid w:val="4278028D"/>
    <w:rsid w:val="430E5D8F"/>
    <w:rsid w:val="4315558E"/>
    <w:rsid w:val="432B566E"/>
    <w:rsid w:val="449B5671"/>
    <w:rsid w:val="44A1230E"/>
    <w:rsid w:val="44C07ED8"/>
    <w:rsid w:val="45166DA0"/>
    <w:rsid w:val="452360C9"/>
    <w:rsid w:val="45505724"/>
    <w:rsid w:val="46AC4196"/>
    <w:rsid w:val="46CE75F7"/>
    <w:rsid w:val="46D74481"/>
    <w:rsid w:val="46F5479A"/>
    <w:rsid w:val="4749549C"/>
    <w:rsid w:val="479A0B2A"/>
    <w:rsid w:val="481A426C"/>
    <w:rsid w:val="481E4C4A"/>
    <w:rsid w:val="488531C5"/>
    <w:rsid w:val="48D41806"/>
    <w:rsid w:val="48D50A00"/>
    <w:rsid w:val="49C56DE6"/>
    <w:rsid w:val="49E23F7D"/>
    <w:rsid w:val="4A9545A0"/>
    <w:rsid w:val="4AC76EB1"/>
    <w:rsid w:val="4B377BBE"/>
    <w:rsid w:val="4B3D3AC4"/>
    <w:rsid w:val="4B90627F"/>
    <w:rsid w:val="4BB062DF"/>
    <w:rsid w:val="4BD37A82"/>
    <w:rsid w:val="4BFE64CA"/>
    <w:rsid w:val="4C423734"/>
    <w:rsid w:val="4C85677F"/>
    <w:rsid w:val="4C9D3498"/>
    <w:rsid w:val="4D5D51A6"/>
    <w:rsid w:val="4DE223EF"/>
    <w:rsid w:val="4E15288A"/>
    <w:rsid w:val="4E5976AA"/>
    <w:rsid w:val="4F183CE1"/>
    <w:rsid w:val="4F296281"/>
    <w:rsid w:val="4F6C1EB1"/>
    <w:rsid w:val="4FB6711E"/>
    <w:rsid w:val="4FE02802"/>
    <w:rsid w:val="5069104B"/>
    <w:rsid w:val="50C65D65"/>
    <w:rsid w:val="51E57FEE"/>
    <w:rsid w:val="524C7FC6"/>
    <w:rsid w:val="52C964EA"/>
    <w:rsid w:val="536F302B"/>
    <w:rsid w:val="53981194"/>
    <w:rsid w:val="53E03B94"/>
    <w:rsid w:val="54132666"/>
    <w:rsid w:val="546045A9"/>
    <w:rsid w:val="553272A1"/>
    <w:rsid w:val="55614FE6"/>
    <w:rsid w:val="56A8284B"/>
    <w:rsid w:val="57456362"/>
    <w:rsid w:val="57C775E4"/>
    <w:rsid w:val="58DF59D7"/>
    <w:rsid w:val="58E544AE"/>
    <w:rsid w:val="58E6441E"/>
    <w:rsid w:val="595A1F53"/>
    <w:rsid w:val="595C1492"/>
    <w:rsid w:val="598E6E00"/>
    <w:rsid w:val="5A27748C"/>
    <w:rsid w:val="5A4060E5"/>
    <w:rsid w:val="5AED2DD9"/>
    <w:rsid w:val="5AFF64B1"/>
    <w:rsid w:val="5B290601"/>
    <w:rsid w:val="5B2F1DB8"/>
    <w:rsid w:val="5BFC8218"/>
    <w:rsid w:val="5C3417BA"/>
    <w:rsid w:val="5C3475B0"/>
    <w:rsid w:val="5C39612E"/>
    <w:rsid w:val="5CC23A7F"/>
    <w:rsid w:val="5D281424"/>
    <w:rsid w:val="5D7A1141"/>
    <w:rsid w:val="5D9E476E"/>
    <w:rsid w:val="5DB67A1B"/>
    <w:rsid w:val="5E0830AA"/>
    <w:rsid w:val="5E5C1EA2"/>
    <w:rsid w:val="5EDE59D1"/>
    <w:rsid w:val="5F601BDB"/>
    <w:rsid w:val="5F736800"/>
    <w:rsid w:val="5F8844A1"/>
    <w:rsid w:val="5F8E0F94"/>
    <w:rsid w:val="5FA5269D"/>
    <w:rsid w:val="60AF3260"/>
    <w:rsid w:val="60B41EEC"/>
    <w:rsid w:val="60BA2ED9"/>
    <w:rsid w:val="61A5036B"/>
    <w:rsid w:val="61DC6D4A"/>
    <w:rsid w:val="620D4BCE"/>
    <w:rsid w:val="6351382B"/>
    <w:rsid w:val="645504EF"/>
    <w:rsid w:val="64611416"/>
    <w:rsid w:val="659130B7"/>
    <w:rsid w:val="65A46BB0"/>
    <w:rsid w:val="65B50BF4"/>
    <w:rsid w:val="66095D2D"/>
    <w:rsid w:val="662573DB"/>
    <w:rsid w:val="66453660"/>
    <w:rsid w:val="666C2CCD"/>
    <w:rsid w:val="670B0A68"/>
    <w:rsid w:val="672763A9"/>
    <w:rsid w:val="676E2442"/>
    <w:rsid w:val="67702029"/>
    <w:rsid w:val="677E02B4"/>
    <w:rsid w:val="679A07AE"/>
    <w:rsid w:val="679C3287"/>
    <w:rsid w:val="680C269E"/>
    <w:rsid w:val="681373BB"/>
    <w:rsid w:val="68C07059"/>
    <w:rsid w:val="69040D40"/>
    <w:rsid w:val="69296C87"/>
    <w:rsid w:val="693209AA"/>
    <w:rsid w:val="696B40AE"/>
    <w:rsid w:val="6A2A2E8C"/>
    <w:rsid w:val="6B0D7940"/>
    <w:rsid w:val="6B210591"/>
    <w:rsid w:val="6BE13C2E"/>
    <w:rsid w:val="6C4C7249"/>
    <w:rsid w:val="6C7006B4"/>
    <w:rsid w:val="6CB2278E"/>
    <w:rsid w:val="6CF93970"/>
    <w:rsid w:val="6D876D00"/>
    <w:rsid w:val="6D8D36E5"/>
    <w:rsid w:val="6DED7B6F"/>
    <w:rsid w:val="6DFF54D4"/>
    <w:rsid w:val="6E2E0DA1"/>
    <w:rsid w:val="6E4E3F17"/>
    <w:rsid w:val="6F2A2403"/>
    <w:rsid w:val="6F7C1EA0"/>
    <w:rsid w:val="6F962D6A"/>
    <w:rsid w:val="6FB513C3"/>
    <w:rsid w:val="6FDC7FBF"/>
    <w:rsid w:val="70406BCB"/>
    <w:rsid w:val="70666F4C"/>
    <w:rsid w:val="70E60329"/>
    <w:rsid w:val="70EF776C"/>
    <w:rsid w:val="71975F05"/>
    <w:rsid w:val="71A42C87"/>
    <w:rsid w:val="71D905DC"/>
    <w:rsid w:val="731C0497"/>
    <w:rsid w:val="7394150F"/>
    <w:rsid w:val="73DA628A"/>
    <w:rsid w:val="73F126E9"/>
    <w:rsid w:val="73FBE334"/>
    <w:rsid w:val="74567D9A"/>
    <w:rsid w:val="75164EE2"/>
    <w:rsid w:val="7538636D"/>
    <w:rsid w:val="761E3C3B"/>
    <w:rsid w:val="762D2238"/>
    <w:rsid w:val="76516F7A"/>
    <w:rsid w:val="767F118D"/>
    <w:rsid w:val="76DA0374"/>
    <w:rsid w:val="76F27A4D"/>
    <w:rsid w:val="77024E19"/>
    <w:rsid w:val="77777A63"/>
    <w:rsid w:val="777B7D98"/>
    <w:rsid w:val="77A46E38"/>
    <w:rsid w:val="77AE4F2E"/>
    <w:rsid w:val="77CB4AB3"/>
    <w:rsid w:val="781A1164"/>
    <w:rsid w:val="78712E3B"/>
    <w:rsid w:val="78862FA1"/>
    <w:rsid w:val="789239A3"/>
    <w:rsid w:val="78A17B01"/>
    <w:rsid w:val="78FB1D24"/>
    <w:rsid w:val="79211DCC"/>
    <w:rsid w:val="7946329B"/>
    <w:rsid w:val="79577C2B"/>
    <w:rsid w:val="79B34AEE"/>
    <w:rsid w:val="7A1D43A0"/>
    <w:rsid w:val="7A245230"/>
    <w:rsid w:val="7A282547"/>
    <w:rsid w:val="7A457A34"/>
    <w:rsid w:val="7A753631"/>
    <w:rsid w:val="7A9B2DB9"/>
    <w:rsid w:val="7AAA673F"/>
    <w:rsid w:val="7ACF68F9"/>
    <w:rsid w:val="7B0B7E19"/>
    <w:rsid w:val="7B752BFF"/>
    <w:rsid w:val="7BF722EE"/>
    <w:rsid w:val="7C517767"/>
    <w:rsid w:val="7CB704A7"/>
    <w:rsid w:val="7D0D5B98"/>
    <w:rsid w:val="7DA84456"/>
    <w:rsid w:val="7DE96DE0"/>
    <w:rsid w:val="7E1B37A6"/>
    <w:rsid w:val="7E5011A7"/>
    <w:rsid w:val="7E782CA8"/>
    <w:rsid w:val="7EB52480"/>
    <w:rsid w:val="7EBF4F53"/>
    <w:rsid w:val="7EBFDD64"/>
    <w:rsid w:val="7F29447C"/>
    <w:rsid w:val="7F850507"/>
    <w:rsid w:val="7FEA27F6"/>
    <w:rsid w:val="7FFFC6C5"/>
    <w:rsid w:val="ABFF2799"/>
    <w:rsid w:val="B7FB16FA"/>
    <w:rsid w:val="BE5D6B1A"/>
    <w:rsid w:val="BFF72C2E"/>
    <w:rsid w:val="CAFFC5E9"/>
    <w:rsid w:val="CD6B26C1"/>
    <w:rsid w:val="DB7F3506"/>
    <w:rsid w:val="EAF62D7F"/>
    <w:rsid w:val="EDFF46F9"/>
    <w:rsid w:val="EFC77CCA"/>
    <w:rsid w:val="F5BB7590"/>
    <w:rsid w:val="FE0AE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华文仿宋" w:hAnsi="华文仿宋" w:eastAsia="华文仿宋"/>
      <w:sz w:val="32"/>
    </w:rPr>
  </w:style>
  <w:style w:type="paragraph" w:styleId="4">
    <w:name w:val="Normal Indent"/>
    <w:basedOn w:val="1"/>
    <w:qFormat/>
    <w:uiPriority w:val="99"/>
    <w:pPr>
      <w:ind w:firstLine="200" w:firstLineChars="200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bscript"/>
    </w:rPr>
  </w:style>
  <w:style w:type="character" w:customStyle="1" w:styleId="16">
    <w:name w:val="font8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31"/>
    <w:basedOn w:val="11"/>
    <w:qFormat/>
    <w:uiPriority w:val="0"/>
    <w:rPr>
      <w:rFonts w:hint="default" w:ascii="仿宋_GB2312" w:eastAsia="仿宋_GB2312" w:cs="仿宋_GB2312"/>
      <w:color w:val="0066CC"/>
      <w:sz w:val="21"/>
      <w:szCs w:val="21"/>
      <w:u w:val="none"/>
      <w:vertAlign w:val="subscript"/>
    </w:rPr>
  </w:style>
  <w:style w:type="character" w:customStyle="1" w:styleId="18">
    <w:name w:val="font31"/>
    <w:basedOn w:val="11"/>
    <w:qFormat/>
    <w:uiPriority w:val="0"/>
    <w:rPr>
      <w:rFonts w:hint="default" w:ascii="仿宋_GB2312" w:eastAsia="仿宋_GB2312" w:cs="仿宋_GB2312"/>
      <w:color w:val="2F75B5"/>
      <w:sz w:val="21"/>
      <w:szCs w:val="21"/>
      <w:u w:val="none"/>
    </w:rPr>
  </w:style>
  <w:style w:type="character" w:customStyle="1" w:styleId="19">
    <w:name w:val="font12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character" w:customStyle="1" w:styleId="20">
    <w:name w:val="font21"/>
    <w:basedOn w:val="11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1">
    <w:name w:val="font17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23">
    <w:name w:val="font16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1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26">
    <w:name w:val="font9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paragraph" w:customStyle="1" w:styleId="28">
    <w:name w:val="正文首行缩进1"/>
    <w:basedOn w:val="5"/>
    <w:qFormat/>
    <w:uiPriority w:val="0"/>
    <w:pPr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2020-02-16T23:34:00Z</dcterms:created>
  <dc:creator>mht</dc:creator>
  <cp:lastModifiedBy>guyuan</cp:lastModifiedBy>
  <cp:lastPrinted>2022-03-25T07:11:00Z</cp:lastPrinted>
  <dcterms:modified xsi:type="dcterms:W3CDTF">2022-04-01T18:14:26Z</dcterms:modified>
  <dc:title>自治区市场监督管理厅关于印发2020年全区食品安全监督抽检实施方案的通知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