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A4C34">
      <w:pPr>
        <w:adjustRightInd w:val="0"/>
        <w:snapToGrid w:val="0"/>
        <w:spacing w:line="56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p>
    <w:p w14:paraId="0CD9C48E">
      <w:pPr>
        <w:adjustRightInd w:val="0"/>
        <w:snapToGrid w:val="0"/>
        <w:spacing w:line="560" w:lineRule="exact"/>
        <w:rPr>
          <w:rFonts w:ascii="仿宋" w:hAnsi="仿宋" w:eastAsia="仿宋"/>
          <w:sz w:val="32"/>
          <w:szCs w:val="32"/>
        </w:rPr>
      </w:pPr>
    </w:p>
    <w:p w14:paraId="705552AA">
      <w:pPr>
        <w:adjustRightInd w:val="0"/>
        <w:snapToGrid w:val="0"/>
        <w:spacing w:line="560" w:lineRule="exact"/>
        <w:jc w:val="center"/>
        <w:rPr>
          <w:rFonts w:ascii="仿宋" w:hAnsi="仿宋" w:eastAsia="仿宋"/>
          <w:w w:val="90"/>
          <w:sz w:val="44"/>
          <w:szCs w:val="44"/>
        </w:rPr>
      </w:pPr>
      <w:r>
        <w:rPr>
          <w:rFonts w:hint="eastAsia" w:ascii="仿宋" w:hAnsi="仿宋" w:eastAsia="仿宋"/>
          <w:w w:val="90"/>
          <w:sz w:val="44"/>
          <w:szCs w:val="44"/>
        </w:rPr>
        <w:t>宁夏回族自治区教师资格认定体检标准及办法</w:t>
      </w:r>
    </w:p>
    <w:p w14:paraId="717DDC73">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 xml:space="preserve"> </w:t>
      </w:r>
    </w:p>
    <w:p w14:paraId="6CECD495">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w:t>
      </w:r>
      <w:r>
        <w:rPr>
          <w:rFonts w:hint="eastAsia" w:ascii="仿宋" w:hAnsi="仿宋" w:eastAsia="仿宋"/>
          <w:sz w:val="32"/>
          <w:szCs w:val="32"/>
          <w:lang w:val="en-US" w:eastAsia="zh-CN"/>
        </w:rPr>
        <w:t>中华人民共和国</w:t>
      </w:r>
      <w:r>
        <w:rPr>
          <w:rFonts w:hint="eastAsia" w:ascii="仿宋" w:hAnsi="仿宋" w:eastAsia="仿宋"/>
          <w:sz w:val="32"/>
          <w:szCs w:val="32"/>
        </w:rPr>
        <w:t>教师法》《教师资格条例》《</w:t>
      </w:r>
      <w:r>
        <w:rPr>
          <w:rFonts w:hint="eastAsia" w:ascii="仿宋" w:hAnsi="仿宋" w:eastAsia="仿宋"/>
          <w:sz w:val="32"/>
          <w:szCs w:val="32"/>
          <w:lang w:eastAsia="zh-CN"/>
        </w:rPr>
        <w:t>〈</w:t>
      </w:r>
      <w:r>
        <w:rPr>
          <w:rFonts w:hint="eastAsia" w:ascii="仿宋" w:hAnsi="仿宋" w:eastAsia="仿宋"/>
          <w:sz w:val="32"/>
          <w:szCs w:val="32"/>
        </w:rPr>
        <w:t>教师资格条例</w:t>
      </w:r>
      <w:r>
        <w:rPr>
          <w:rFonts w:hint="eastAsia" w:ascii="仿宋" w:hAnsi="仿宋" w:eastAsia="仿宋"/>
          <w:sz w:val="32"/>
          <w:szCs w:val="32"/>
          <w:lang w:eastAsia="zh-CN"/>
        </w:rPr>
        <w:t>〉</w:t>
      </w:r>
      <w:r>
        <w:rPr>
          <w:rFonts w:ascii="仿宋" w:hAnsi="仿宋" w:eastAsia="仿宋"/>
          <w:sz w:val="32"/>
          <w:szCs w:val="32"/>
        </w:rPr>
        <w:t xml:space="preserve"> </w:t>
      </w:r>
      <w:r>
        <w:rPr>
          <w:rFonts w:hint="eastAsia" w:ascii="仿宋" w:hAnsi="仿宋" w:eastAsia="仿宋"/>
          <w:sz w:val="32"/>
          <w:szCs w:val="32"/>
        </w:rPr>
        <w:t>实施办法》和《宁夏回族自治区教师资格制度实施细则》，参照《普通高等学校招生体检工作指导意见》《公务员录用体检通用标准》等，结合我区教师资格认定工作实际，特制定本办法。</w:t>
      </w:r>
    </w:p>
    <w:p w14:paraId="64A9C3A0">
      <w:pPr>
        <w:keepNext w:val="0"/>
        <w:keepLines w:val="0"/>
        <w:pageBreakBefore w:val="0"/>
        <w:widowControl w:val="0"/>
        <w:kinsoku/>
        <w:wordWrap/>
        <w:overflowPunct/>
        <w:topLinePunct w:val="0"/>
        <w:autoSpaceDE w:val="0"/>
        <w:autoSpaceDN w:val="0"/>
        <w:bidi w:val="0"/>
        <w:adjustRightInd/>
        <w:snapToGrid/>
        <w:spacing w:before="10" w:after="120" w:afterLines="50" w:line="560" w:lineRule="exact"/>
        <w:ind w:firstLine="636" w:firstLineChars="200"/>
        <w:jc w:val="both"/>
        <w:textAlignment w:val="auto"/>
        <w:rPr>
          <w:rFonts w:hint="eastAsia" w:ascii="黑体" w:hAnsi="黑体" w:eastAsia="黑体" w:cs="黑体"/>
          <w:b w:val="0"/>
          <w:bCs/>
          <w:spacing w:val="-1"/>
          <w:sz w:val="32"/>
          <w:szCs w:val="32"/>
        </w:rPr>
      </w:pPr>
      <w:r>
        <w:rPr>
          <w:rFonts w:hint="eastAsia" w:ascii="黑体" w:hAnsi="黑体" w:eastAsia="黑体" w:cs="黑体"/>
          <w:b w:val="0"/>
          <w:bCs/>
          <w:spacing w:val="-1"/>
          <w:sz w:val="32"/>
          <w:szCs w:val="32"/>
        </w:rPr>
        <w:t>一、适用对象</w:t>
      </w:r>
    </w:p>
    <w:p w14:paraId="76C1626E">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本办法适用对象为在我区申请教师资格认定的人员。</w:t>
      </w:r>
    </w:p>
    <w:p w14:paraId="02E875AA">
      <w:pPr>
        <w:keepNext w:val="0"/>
        <w:keepLines w:val="0"/>
        <w:pageBreakBefore w:val="0"/>
        <w:widowControl w:val="0"/>
        <w:kinsoku/>
        <w:wordWrap/>
        <w:overflowPunct/>
        <w:topLinePunct w:val="0"/>
        <w:autoSpaceDE w:val="0"/>
        <w:autoSpaceDN w:val="0"/>
        <w:bidi w:val="0"/>
        <w:adjustRightInd/>
        <w:snapToGrid/>
        <w:spacing w:before="10" w:after="120" w:afterLines="50" w:line="560" w:lineRule="exact"/>
        <w:ind w:firstLine="636" w:firstLineChars="200"/>
        <w:jc w:val="both"/>
        <w:textAlignment w:val="auto"/>
        <w:rPr>
          <w:rFonts w:hint="eastAsia" w:ascii="黑体" w:hAnsi="黑体" w:eastAsia="黑体" w:cs="黑体"/>
          <w:b w:val="0"/>
          <w:bCs/>
          <w:spacing w:val="-1"/>
          <w:sz w:val="32"/>
          <w:szCs w:val="32"/>
        </w:rPr>
      </w:pPr>
      <w:r>
        <w:rPr>
          <w:rFonts w:hint="eastAsia" w:ascii="黑体" w:hAnsi="黑体" w:eastAsia="黑体" w:cs="黑体"/>
          <w:b w:val="0"/>
          <w:bCs/>
          <w:spacing w:val="-1"/>
          <w:sz w:val="32"/>
          <w:szCs w:val="32"/>
        </w:rPr>
        <w:t>二、体检结果分为合格、不合格</w:t>
      </w:r>
    </w:p>
    <w:p w14:paraId="18B36996">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（一）严重心脏病、心肌病，不合格。</w:t>
      </w:r>
    </w:p>
    <w:p w14:paraId="45671A94">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先天性心脏病经手术治愈或室间隔缺损分流量少、动脉导管未闭返流血量少，经二级以上医院专科检查确定无需手术者，合格。</w:t>
      </w:r>
    </w:p>
    <w:p w14:paraId="1FECD16C">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（二）结核病未治愈者不合格。</w:t>
      </w:r>
    </w:p>
    <w:p w14:paraId="533F88ED">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原发性肺结核、继发性肺结核、结核性胸膜炎，临床治愈后稳定</w:t>
      </w:r>
      <w:r>
        <w:rPr>
          <w:rFonts w:ascii="仿宋" w:hAnsi="仿宋" w:eastAsia="仿宋"/>
          <w:sz w:val="32"/>
          <w:szCs w:val="32"/>
        </w:rPr>
        <w:t>1</w:t>
      </w:r>
      <w:r>
        <w:rPr>
          <w:rFonts w:hint="eastAsia" w:ascii="仿宋" w:hAnsi="仿宋" w:eastAsia="仿宋"/>
          <w:sz w:val="32"/>
          <w:szCs w:val="32"/>
        </w:rPr>
        <w:t>年无变化者，合格。</w:t>
      </w:r>
    </w:p>
    <w:p w14:paraId="25045839">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肺外结核病：肾结核、骨结核、腹膜结核、淋巴结核等，临床治愈后</w:t>
      </w:r>
      <w:r>
        <w:rPr>
          <w:rFonts w:ascii="仿宋" w:hAnsi="仿宋" w:eastAsia="仿宋"/>
          <w:sz w:val="32"/>
          <w:szCs w:val="32"/>
        </w:rPr>
        <w:t>2</w:t>
      </w:r>
      <w:r>
        <w:rPr>
          <w:rFonts w:hint="eastAsia" w:ascii="仿宋" w:hAnsi="仿宋" w:eastAsia="仿宋"/>
          <w:sz w:val="32"/>
          <w:szCs w:val="32"/>
        </w:rPr>
        <w:t>年无复发，经二级以上医院（或结核病防治所）检查无变化者，合格。</w:t>
      </w:r>
    </w:p>
    <w:p w14:paraId="2F9CC5F7">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（三）严重的血液病，不合格。</w:t>
      </w:r>
    </w:p>
    <w:p w14:paraId="7BBB0596">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单纯性缺铁性贫血，血红蛋白男性高于</w:t>
      </w:r>
      <w:r>
        <w:rPr>
          <w:rFonts w:ascii="仿宋" w:hAnsi="仿宋" w:eastAsia="仿宋"/>
          <w:sz w:val="32"/>
          <w:szCs w:val="32"/>
        </w:rPr>
        <w:t>90g/L</w:t>
      </w:r>
      <w:r>
        <w:rPr>
          <w:rFonts w:hint="eastAsia" w:ascii="仿宋" w:hAnsi="仿宋" w:eastAsia="仿宋"/>
          <w:sz w:val="32"/>
          <w:szCs w:val="32"/>
        </w:rPr>
        <w:t>、女性高于</w:t>
      </w:r>
      <w:r>
        <w:rPr>
          <w:rFonts w:ascii="仿宋" w:hAnsi="仿宋" w:eastAsia="仿宋"/>
          <w:sz w:val="32"/>
          <w:szCs w:val="32"/>
        </w:rPr>
        <w:t>80g</w:t>
      </w:r>
      <w:r>
        <w:rPr>
          <w:rFonts w:hint="eastAsia" w:ascii="仿宋" w:hAnsi="仿宋" w:eastAsia="仿宋"/>
          <w:sz w:val="32"/>
          <w:szCs w:val="32"/>
        </w:rPr>
        <w:t>／</w:t>
      </w:r>
      <w:r>
        <w:rPr>
          <w:rFonts w:ascii="仿宋" w:hAnsi="仿宋" w:eastAsia="仿宋"/>
          <w:sz w:val="32"/>
          <w:szCs w:val="32"/>
        </w:rPr>
        <w:t>L</w:t>
      </w:r>
      <w:r>
        <w:rPr>
          <w:rFonts w:hint="eastAsia" w:ascii="仿宋" w:hAnsi="仿宋" w:eastAsia="仿宋"/>
          <w:sz w:val="32"/>
          <w:szCs w:val="32"/>
        </w:rPr>
        <w:t>，合格。</w:t>
      </w:r>
    </w:p>
    <w:p w14:paraId="4B17D600">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（四）慢性支气管炎伴阻塞性肺气肿、严重支气管扩张、严重支气管哮喘，不合格。</w:t>
      </w:r>
    </w:p>
    <w:p w14:paraId="017D4BDC">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（五）严重慢性胃、肠疾病不合格。</w:t>
      </w:r>
    </w:p>
    <w:p w14:paraId="41A139C6">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胃溃疡或十二指肠溃疡已愈合，且</w:t>
      </w:r>
      <w:r>
        <w:rPr>
          <w:rFonts w:ascii="仿宋" w:hAnsi="仿宋" w:eastAsia="仿宋"/>
          <w:sz w:val="32"/>
          <w:szCs w:val="32"/>
        </w:rPr>
        <w:t>1</w:t>
      </w:r>
      <w:r>
        <w:rPr>
          <w:rFonts w:hint="eastAsia" w:ascii="仿宋" w:hAnsi="仿宋" w:eastAsia="仿宋"/>
          <w:sz w:val="32"/>
          <w:szCs w:val="32"/>
        </w:rPr>
        <w:t>年内无出血史，</w:t>
      </w:r>
      <w:r>
        <w:rPr>
          <w:rFonts w:ascii="仿宋" w:hAnsi="仿宋" w:eastAsia="仿宋"/>
          <w:sz w:val="32"/>
          <w:szCs w:val="32"/>
        </w:rPr>
        <w:t>1</w:t>
      </w:r>
      <w:r>
        <w:rPr>
          <w:rFonts w:hint="eastAsia" w:ascii="仿宋" w:hAnsi="仿宋" w:eastAsia="仿宋"/>
          <w:sz w:val="32"/>
          <w:szCs w:val="32"/>
        </w:rPr>
        <w:t>年以上无症状者，合格。</w:t>
      </w:r>
    </w:p>
    <w:p w14:paraId="061A3DF9">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胃次全切除术后无严重并发症者，合格。</w:t>
      </w:r>
    </w:p>
    <w:p w14:paraId="6786896E">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（六）各种急慢性肝炎和肝硬化不合格。</w:t>
      </w:r>
    </w:p>
    <w:p w14:paraId="71BA58EF">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（七）恶性肿瘤不合格。</w:t>
      </w:r>
    </w:p>
    <w:p w14:paraId="33A59BD6">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（八）慢性肾炎、慢性肾盂炎、多囊肾、肾功能不全，或急性肾炎治愈不足</w:t>
      </w:r>
      <w:r>
        <w:rPr>
          <w:rFonts w:ascii="仿宋" w:hAnsi="仿宋" w:eastAsia="仿宋"/>
          <w:sz w:val="32"/>
          <w:szCs w:val="32"/>
        </w:rPr>
        <w:t>2</w:t>
      </w:r>
      <w:r>
        <w:rPr>
          <w:rFonts w:hint="eastAsia" w:ascii="仿宋" w:hAnsi="仿宋" w:eastAsia="仿宋"/>
          <w:sz w:val="32"/>
          <w:szCs w:val="32"/>
        </w:rPr>
        <w:t>年，不合格。</w:t>
      </w:r>
    </w:p>
    <w:p w14:paraId="18BE2CB6">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I</w:t>
      </w:r>
      <w:r>
        <w:rPr>
          <w:rFonts w:hint="eastAsia" w:ascii="仿宋" w:hAnsi="仿宋" w:eastAsia="仿宋"/>
          <w:sz w:val="32"/>
          <w:szCs w:val="32"/>
        </w:rPr>
        <w:t>型糖尿病、П型糖尿病，伴心、脑、肾、眼及末梢循环等其他器官功能严重受损者，不合格。</w:t>
      </w:r>
    </w:p>
    <w:p w14:paraId="61C253F8">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尿崩症、肢端肥大症等内分泌系统疾病患者，不合格。</w:t>
      </w:r>
    </w:p>
    <w:p w14:paraId="458E10F4">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甲状腺功能亢进治愈后</w:t>
      </w:r>
      <w:r>
        <w:rPr>
          <w:rFonts w:ascii="仿宋" w:hAnsi="仿宋" w:eastAsia="仿宋"/>
          <w:sz w:val="32"/>
          <w:szCs w:val="32"/>
        </w:rPr>
        <w:t>1</w:t>
      </w:r>
      <w:r>
        <w:rPr>
          <w:rFonts w:hint="eastAsia" w:ascii="仿宋" w:hAnsi="仿宋" w:eastAsia="仿宋"/>
          <w:sz w:val="32"/>
          <w:szCs w:val="32"/>
        </w:rPr>
        <w:t>年无症状和体征者，合格。</w:t>
      </w:r>
    </w:p>
    <w:p w14:paraId="29534B18">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（十）有癫痫病史、精神病史、</w:t>
      </w:r>
      <w:r>
        <w:rPr>
          <w:rFonts w:hint="eastAsia" w:ascii="仿宋" w:hAnsi="仿宋" w:eastAsia="仿宋"/>
          <w:sz w:val="32"/>
          <w:szCs w:val="32"/>
          <w:lang w:eastAsia="zh-CN"/>
        </w:rPr>
        <w:t>癔症</w:t>
      </w:r>
      <w:r>
        <w:rPr>
          <w:rFonts w:hint="eastAsia" w:ascii="仿宋" w:hAnsi="仿宋" w:eastAsia="仿宋"/>
          <w:sz w:val="32"/>
          <w:szCs w:val="32"/>
        </w:rPr>
        <w:t>史、严重的神经官能症（经常头痛头晕、失眠、记忆力明显下降等），精神活性物质滥用和依赖者，不合格。</w:t>
      </w:r>
    </w:p>
    <w:p w14:paraId="212C0702">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（十一）红斑狼疮、皮肌炎和多发性肌炎、硬皮病、结节性多动脉炎、类风湿性关节炎等各种弥漫性结缔组织疾病，大动脉炎，不合格。</w:t>
      </w:r>
    </w:p>
    <w:p w14:paraId="26044544">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（十二）淋病、梅毒、软下疳、性病性淋巴肉芽肿、尖锐湿疣、生殖器疱疹，艾滋病，不合格。</w:t>
      </w:r>
    </w:p>
    <w:p w14:paraId="4C1D0F54">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（十三）晚期血吸虫病，晚期血丝虫病兼有橡皮肿或有乳糜尿，不合格。</w:t>
      </w:r>
    </w:p>
    <w:p w14:paraId="1AD7E89E">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（十四）色盲、色弱，幼儿园教师资格，不合格。</w:t>
      </w:r>
    </w:p>
    <w:p w14:paraId="07ECC0C2">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（十五）青光眼、视网膜、视神经疾病，不合格。陈旧性或稳定性眼底病，合格。</w:t>
      </w:r>
    </w:p>
    <w:p w14:paraId="3B73F94D">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（十六）双耳均有听力障碍，在佩戴助听器情况下，双耳在</w:t>
      </w:r>
      <w:r>
        <w:rPr>
          <w:rFonts w:ascii="仿宋" w:hAnsi="仿宋" w:eastAsia="仿宋"/>
          <w:sz w:val="32"/>
          <w:szCs w:val="32"/>
        </w:rPr>
        <w:t>3</w:t>
      </w:r>
      <w:r>
        <w:rPr>
          <w:rFonts w:hint="eastAsia" w:ascii="仿宋" w:hAnsi="仿宋" w:eastAsia="仿宋"/>
          <w:sz w:val="32"/>
          <w:szCs w:val="32"/>
        </w:rPr>
        <w:t>米以内耳语仍听不见者，不合格。</w:t>
      </w:r>
    </w:p>
    <w:p w14:paraId="5CFDF835">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（十七）四肢有一肢缺失或不能运动，借助辅助工具仍不能完成教学者，不合格。</w:t>
      </w:r>
    </w:p>
    <w:p w14:paraId="17122D4E">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（十八）语言残疾或口腔有生理缺陷及耳、鼻、喉疾病之一并妨碍发音者，不合格。</w:t>
      </w:r>
    </w:p>
    <w:p w14:paraId="285E95EA">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（十九）面部有较大面积（</w:t>
      </w:r>
      <w:r>
        <w:rPr>
          <w:rFonts w:ascii="仿宋" w:hAnsi="仿宋" w:eastAsia="仿宋"/>
          <w:sz w:val="32"/>
          <w:szCs w:val="32"/>
        </w:rPr>
        <w:t>3</w:t>
      </w:r>
      <w:r>
        <w:rPr>
          <w:rFonts w:hint="eastAsia" w:ascii="仿宋" w:hAnsi="仿宋" w:eastAsia="仿宋" w:cs="Arial"/>
          <w:sz w:val="32"/>
          <w:szCs w:val="32"/>
        </w:rPr>
        <w:t>×</w:t>
      </w:r>
      <w:r>
        <w:rPr>
          <w:rFonts w:ascii="仿宋" w:hAnsi="仿宋" w:eastAsia="仿宋"/>
          <w:sz w:val="32"/>
          <w:szCs w:val="32"/>
        </w:rPr>
        <w:t>3</w:t>
      </w:r>
      <w:r>
        <w:rPr>
          <w:rFonts w:hint="eastAsia" w:ascii="仿宋" w:hAnsi="仿宋" w:eastAsia="仿宋"/>
          <w:sz w:val="32"/>
          <w:szCs w:val="32"/>
        </w:rPr>
        <w:t>厘米）疤痕、血管瘤、白癜风、色素痣，或斜颈、面瘫、唇腭裂及其手术后遗症、一眼失明及五官先天或后天性残缺、畸形等情况，经修正和借助辅助工具仍严重影响面容者，幼儿园、小学教师资格，不合格。</w:t>
      </w:r>
    </w:p>
    <w:p w14:paraId="5AC8BECE">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（二十）申请幼儿园教师资格，淋球菌、梅毒螺旋体和妇科滴虫、外阴阴道假丝酵母菌（</w:t>
      </w:r>
      <w:r>
        <w:rPr>
          <w:rFonts w:hint="eastAsia" w:ascii="仿宋" w:hAnsi="仿宋" w:eastAsia="仿宋"/>
          <w:sz w:val="32"/>
          <w:szCs w:val="32"/>
          <w:lang w:eastAsia="zh-CN"/>
        </w:rPr>
        <w:t>念珠菌</w:t>
      </w:r>
      <w:r>
        <w:rPr>
          <w:rFonts w:hint="eastAsia" w:ascii="仿宋" w:hAnsi="仿宋" w:eastAsia="仿宋"/>
          <w:sz w:val="32"/>
          <w:szCs w:val="32"/>
        </w:rPr>
        <w:t>）检查阳性者，不合格。</w:t>
      </w:r>
    </w:p>
    <w:p w14:paraId="00CBCC65">
      <w:pPr>
        <w:keepNext w:val="0"/>
        <w:keepLines w:val="0"/>
        <w:pageBreakBefore w:val="0"/>
        <w:widowControl w:val="0"/>
        <w:kinsoku/>
        <w:wordWrap/>
        <w:overflowPunct/>
        <w:topLinePunct w:val="0"/>
        <w:autoSpaceDE w:val="0"/>
        <w:autoSpaceDN w:val="0"/>
        <w:bidi w:val="0"/>
        <w:adjustRightInd/>
        <w:snapToGrid/>
        <w:spacing w:before="10" w:after="120" w:afterLines="50" w:line="560" w:lineRule="exact"/>
        <w:ind w:firstLine="636" w:firstLineChars="200"/>
        <w:jc w:val="both"/>
        <w:textAlignment w:val="auto"/>
        <w:rPr>
          <w:rFonts w:hint="eastAsia" w:ascii="黑体" w:hAnsi="黑体" w:eastAsia="黑体" w:cs="黑体"/>
          <w:b w:val="0"/>
          <w:bCs/>
          <w:spacing w:val="-1"/>
          <w:sz w:val="32"/>
          <w:szCs w:val="32"/>
        </w:rPr>
      </w:pPr>
      <w:r>
        <w:rPr>
          <w:rFonts w:hint="eastAsia" w:ascii="黑体" w:hAnsi="黑体" w:eastAsia="黑体" w:cs="黑体"/>
          <w:b w:val="0"/>
          <w:bCs/>
          <w:spacing w:val="-1"/>
          <w:sz w:val="32"/>
          <w:szCs w:val="32"/>
        </w:rPr>
        <w:t>三、体检机构</w:t>
      </w:r>
    </w:p>
    <w:p w14:paraId="3984E49D">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各级教师资格认定机构依法指定县级以上体检医院或体检中心负责体检，所指定的体检医院须具有二级及以上资质、体检费用标准通过当地物价部门审核。</w:t>
      </w:r>
    </w:p>
    <w:p w14:paraId="33475E70">
      <w:pPr>
        <w:keepNext w:val="0"/>
        <w:keepLines w:val="0"/>
        <w:pageBreakBefore w:val="0"/>
        <w:widowControl w:val="0"/>
        <w:kinsoku/>
        <w:wordWrap/>
        <w:overflowPunct/>
        <w:topLinePunct w:val="0"/>
        <w:autoSpaceDE w:val="0"/>
        <w:autoSpaceDN w:val="0"/>
        <w:bidi w:val="0"/>
        <w:adjustRightInd/>
        <w:snapToGrid/>
        <w:spacing w:before="10" w:after="120" w:afterLines="50" w:line="560" w:lineRule="exact"/>
        <w:ind w:firstLine="636" w:firstLineChars="200"/>
        <w:jc w:val="both"/>
        <w:textAlignment w:val="auto"/>
        <w:rPr>
          <w:rFonts w:hint="eastAsia" w:ascii="黑体" w:hAnsi="黑体" w:eastAsia="黑体" w:cs="黑体"/>
          <w:b w:val="0"/>
          <w:bCs/>
          <w:spacing w:val="-1"/>
          <w:sz w:val="32"/>
          <w:szCs w:val="32"/>
        </w:rPr>
      </w:pPr>
      <w:r>
        <w:rPr>
          <w:rFonts w:hint="eastAsia" w:ascii="黑体" w:hAnsi="黑体" w:eastAsia="黑体" w:cs="黑体"/>
          <w:b w:val="0"/>
          <w:bCs/>
          <w:spacing w:val="-1"/>
          <w:sz w:val="32"/>
          <w:szCs w:val="32"/>
        </w:rPr>
        <w:t>四、体检要求</w:t>
      </w:r>
    </w:p>
    <w:p w14:paraId="1072964B">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（一）教师资格认定申请人员体检工作</w:t>
      </w:r>
      <w:r>
        <w:rPr>
          <w:rFonts w:hint="eastAsia" w:ascii="仿宋" w:hAnsi="仿宋" w:eastAsia="仿宋"/>
          <w:sz w:val="32"/>
          <w:szCs w:val="32"/>
          <w:lang w:eastAsia="zh-CN"/>
        </w:rPr>
        <w:t>既</w:t>
      </w:r>
      <w:r>
        <w:rPr>
          <w:rFonts w:hint="eastAsia" w:ascii="仿宋" w:hAnsi="仿宋" w:eastAsia="仿宋"/>
          <w:sz w:val="32"/>
          <w:szCs w:val="32"/>
        </w:rPr>
        <w:t>关乎申请人切身利益，又关乎教师队伍准入门槛，责任重大。各认定机构要加大对体检工作的协调、督查力度，及时与体检医院协商解决体检中出现的疑难问题。各指定体检医院要高度重视，客观公正、实事求是地开展体检工作，确保体检结论准确、真实。一旦发现体检环节弄虚作假，参与其中的申请人不得通过教师资格认定，参与其中的医务人员要严肃追责处理。体检医院出现严重问题的，认定机构除取消其体检资格外，还要报医院主管行政部门对其追责处理。</w:t>
      </w:r>
    </w:p>
    <w:p w14:paraId="03717064">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体检医院要指定一名副院长负责体检工作，并选调政治思想素质好、工作责任心强、作风正派、业务水平高的体检医师、护士和工作人员组成检查队伍。在每次体检前，组织检查人员认真学习政策规定及本办法。体检过程中，体检表、检验单须由医院指定专人传递和集中保管。每项检查，指定专人组织、逐个对照检查，坚决防止漏检或作弊。</w:t>
      </w:r>
    </w:p>
    <w:p w14:paraId="2A856B7B">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参与体检工作的各科医师要对本科所检项目负责，不得漏填或错填。发现阳性体征，必须如实记入体检表，不得随意涂改。确需更正的，应首先在被更改的结果上横腰划线，确保其更改后仍然清晰可见，然后在旁边写上更改后的论断或数据，主检医师签名，并加盖体检医院公章，以示负责。疾病名称、化验结果及体检结论，均应用中文填写。</w:t>
      </w:r>
    </w:p>
    <w:p w14:paraId="3302F887">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主检医师应及时综合各科检查结果，全面检查无误后，对照教师资格认定体检标准做出“合格”或“不合格”的结论，填写在体检结论栏内。医院根据体检综合情况，做出“体检合格”或“体检不合格”的结论，由负责院长签字并加盖公章，填写在体检医院意见栏内。</w:t>
      </w:r>
    </w:p>
    <w:p w14:paraId="17430C49">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（五）体检中若发现疑难问题，应采取集体会诊或进一步检查后再下结论。如因设备条件限制或会诊仍难</w:t>
      </w:r>
      <w:r>
        <w:rPr>
          <w:rFonts w:hint="eastAsia" w:ascii="仿宋" w:hAnsi="仿宋" w:eastAsia="仿宋"/>
          <w:sz w:val="32"/>
          <w:szCs w:val="32"/>
          <w:lang w:eastAsia="zh-CN"/>
        </w:rPr>
        <w:t>判断</w:t>
      </w:r>
      <w:r>
        <w:rPr>
          <w:rFonts w:hint="eastAsia" w:ascii="仿宋" w:hAnsi="仿宋" w:eastAsia="仿宋"/>
          <w:sz w:val="32"/>
          <w:szCs w:val="32"/>
        </w:rPr>
        <w:t>，申请人应到上一级认定机构指定的医院复查。复查时，只限单科复查，</w:t>
      </w:r>
      <w:r>
        <w:rPr>
          <w:rFonts w:hint="eastAsia" w:ascii="仿宋" w:hAnsi="仿宋" w:eastAsia="仿宋"/>
          <w:sz w:val="32"/>
          <w:szCs w:val="32"/>
          <w:lang w:eastAsia="zh-CN"/>
        </w:rPr>
        <w:t>并使用</w:t>
      </w:r>
      <w:r>
        <w:rPr>
          <w:rFonts w:hint="eastAsia" w:ascii="仿宋" w:hAnsi="仿宋" w:eastAsia="仿宋"/>
          <w:sz w:val="32"/>
          <w:szCs w:val="32"/>
        </w:rPr>
        <w:t>原体检表。复查医院对体检医院的诊断结论否定时，要在诊断证明书上详注复查结果。申请人在其他医疗机构自行取得的任何体检材料，均不得作为当事人申请认定教师资格</w:t>
      </w:r>
      <w:r>
        <w:rPr>
          <w:rFonts w:hint="eastAsia" w:ascii="仿宋" w:hAnsi="仿宋" w:eastAsia="仿宋"/>
          <w:sz w:val="32"/>
          <w:szCs w:val="32"/>
          <w:lang w:eastAsia="zh-CN"/>
        </w:rPr>
        <w:t>时健康状况</w:t>
      </w:r>
      <w:r>
        <w:rPr>
          <w:rFonts w:hint="eastAsia" w:ascii="仿宋" w:hAnsi="仿宋" w:eastAsia="仿宋"/>
          <w:sz w:val="32"/>
          <w:szCs w:val="32"/>
        </w:rPr>
        <w:t>的依据。</w:t>
      </w:r>
    </w:p>
    <w:p w14:paraId="385CA4F7">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 w:hAnsi="仿宋" w:eastAsia="仿宋"/>
          <w:sz w:val="32"/>
          <w:szCs w:val="32"/>
          <w:lang w:val="en-US" w:eastAsia="zh-CN"/>
        </w:rPr>
      </w:pPr>
      <w:r>
        <w:rPr>
          <w:rFonts w:ascii="仿宋" w:hAnsi="仿宋" w:eastAsia="仿宋"/>
          <w:sz w:val="32"/>
          <w:szCs w:val="32"/>
        </w:rPr>
        <w:br w:type="page"/>
      </w:r>
      <w:r>
        <w:rPr>
          <w:rFonts w:hint="eastAsia" w:ascii="仿宋" w:hAnsi="仿宋" w:eastAsia="仿宋"/>
          <w:sz w:val="32"/>
          <w:szCs w:val="32"/>
        </w:rPr>
        <w:t>附件</w:t>
      </w:r>
      <w:r>
        <w:rPr>
          <w:rFonts w:hint="eastAsia" w:ascii="仿宋" w:hAnsi="仿宋" w:eastAsia="仿宋"/>
          <w:sz w:val="32"/>
          <w:szCs w:val="32"/>
          <w:lang w:val="en-US" w:eastAsia="zh-CN"/>
        </w:rPr>
        <w:t>2</w:t>
      </w:r>
    </w:p>
    <w:p w14:paraId="248F7193">
      <w:pPr>
        <w:adjustRightInd w:val="0"/>
        <w:snapToGrid w:val="0"/>
        <w:spacing w:line="560" w:lineRule="exact"/>
        <w:rPr>
          <w:rFonts w:ascii="仿宋" w:hAnsi="仿宋" w:eastAsia="仿宋"/>
          <w:sz w:val="32"/>
          <w:szCs w:val="32"/>
        </w:rPr>
      </w:pPr>
      <w:r>
        <w:rPr>
          <w:rFonts w:ascii="仿宋" w:hAnsi="仿宋" w:eastAsia="仿宋"/>
          <w:sz w:val="32"/>
          <w:szCs w:val="32"/>
        </w:rPr>
        <w:t xml:space="preserve"> </w:t>
      </w:r>
    </w:p>
    <w:p w14:paraId="2D567ED9">
      <w:pPr>
        <w:adjustRightInd w:val="0"/>
        <w:snapToGrid w:val="0"/>
        <w:spacing w:line="560" w:lineRule="exact"/>
        <w:jc w:val="center"/>
        <w:rPr>
          <w:rFonts w:ascii="仿宋" w:hAnsi="仿宋" w:eastAsia="仿宋"/>
          <w:w w:val="90"/>
          <w:sz w:val="44"/>
          <w:szCs w:val="44"/>
        </w:rPr>
      </w:pPr>
      <w:r>
        <w:rPr>
          <w:rFonts w:hint="eastAsia" w:ascii="仿宋" w:hAnsi="仿宋" w:eastAsia="仿宋"/>
          <w:w w:val="90"/>
          <w:sz w:val="44"/>
          <w:szCs w:val="44"/>
        </w:rPr>
        <w:t>教师资格证书打印名册</w:t>
      </w:r>
    </w:p>
    <w:p w14:paraId="060FF2A1">
      <w:pPr>
        <w:adjustRightInd w:val="0"/>
        <w:snapToGrid w:val="0"/>
        <w:spacing w:line="560" w:lineRule="exact"/>
        <w:ind w:firstLine="560" w:firstLineChars="200"/>
        <w:rPr>
          <w:rFonts w:ascii="仿宋" w:hAnsi="仿宋" w:eastAsia="仿宋"/>
          <w:sz w:val="28"/>
          <w:szCs w:val="28"/>
        </w:rPr>
      </w:pPr>
      <w:r>
        <w:rPr>
          <w:rFonts w:ascii="仿宋" w:hAnsi="仿宋" w:eastAsia="仿宋"/>
          <w:sz w:val="28"/>
          <w:szCs w:val="28"/>
        </w:rPr>
        <w:t xml:space="preserve"> </w:t>
      </w:r>
    </w:p>
    <w:p w14:paraId="7DE6F07F">
      <w:pPr>
        <w:adjustRightInd w:val="0"/>
        <w:snapToGrid w:val="0"/>
        <w:spacing w:line="560" w:lineRule="exact"/>
        <w:jc w:val="left"/>
        <w:rPr>
          <w:rFonts w:ascii="仿宋" w:hAnsi="仿宋" w:eastAsia="仿宋"/>
          <w:szCs w:val="21"/>
        </w:rPr>
      </w:pPr>
      <w:r>
        <w:rPr>
          <w:rFonts w:hint="eastAsia" w:ascii="仿宋" w:hAnsi="仿宋" w:eastAsia="仿宋"/>
          <w:szCs w:val="21"/>
        </w:rPr>
        <w:t>报名号：</w:t>
      </w:r>
      <w:r>
        <w:rPr>
          <w:rFonts w:ascii="仿宋" w:hAnsi="仿宋" w:eastAsia="仿宋"/>
          <w:szCs w:val="21"/>
        </w:rPr>
        <w:t xml:space="preserve">                      </w:t>
      </w:r>
      <w:r>
        <w:rPr>
          <w:rFonts w:hint="eastAsia" w:ascii="仿宋" w:hAnsi="仿宋" w:eastAsia="仿宋"/>
          <w:szCs w:val="21"/>
        </w:rPr>
        <w:t>申请资格种类：</w:t>
      </w:r>
      <w:r>
        <w:rPr>
          <w:rFonts w:ascii="仿宋" w:hAnsi="仿宋" w:eastAsia="仿宋"/>
          <w:szCs w:val="21"/>
        </w:rPr>
        <w:t xml:space="preserve">             </w:t>
      </w:r>
      <w:r>
        <w:rPr>
          <w:rFonts w:hint="eastAsia" w:ascii="仿宋" w:hAnsi="仿宋" w:eastAsia="仿宋"/>
          <w:szCs w:val="21"/>
        </w:rPr>
        <w:t>任教学科：</w:t>
      </w:r>
    </w:p>
    <w:tbl>
      <w:tblPr>
        <w:tblStyle w:val="4"/>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800"/>
        <w:gridCol w:w="3040"/>
        <w:gridCol w:w="1416"/>
        <w:gridCol w:w="2124"/>
      </w:tblGrid>
      <w:tr w14:paraId="6049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6" w:type="dxa"/>
            <w:tcBorders>
              <w:top w:val="single" w:color="auto" w:sz="4" w:space="0"/>
              <w:left w:val="single" w:color="auto" w:sz="4" w:space="0"/>
              <w:bottom w:val="single" w:color="auto" w:sz="4" w:space="0"/>
              <w:right w:val="single" w:color="auto" w:sz="4" w:space="0"/>
            </w:tcBorders>
            <w:vAlign w:val="center"/>
          </w:tcPr>
          <w:p w14:paraId="38D9A0F5">
            <w:pPr>
              <w:adjustRightInd w:val="0"/>
              <w:snapToGrid w:val="0"/>
              <w:spacing w:line="560" w:lineRule="exact"/>
              <w:jc w:val="center"/>
              <w:rPr>
                <w:rFonts w:ascii="仿宋" w:hAnsi="仿宋" w:eastAsia="仿宋"/>
                <w:szCs w:val="21"/>
              </w:rPr>
            </w:pPr>
            <w:r>
              <w:rPr>
                <w:rFonts w:hint="eastAsia" w:ascii="仿宋" w:hAnsi="仿宋" w:eastAsia="仿宋"/>
                <w:szCs w:val="21"/>
              </w:rPr>
              <w:t>姓名</w:t>
            </w:r>
          </w:p>
        </w:tc>
        <w:tc>
          <w:tcPr>
            <w:tcW w:w="800" w:type="dxa"/>
            <w:tcBorders>
              <w:top w:val="single" w:color="auto" w:sz="4" w:space="0"/>
              <w:left w:val="nil"/>
              <w:bottom w:val="single" w:color="auto" w:sz="4" w:space="0"/>
              <w:right w:val="single" w:color="auto" w:sz="4" w:space="0"/>
            </w:tcBorders>
            <w:vAlign w:val="center"/>
          </w:tcPr>
          <w:p w14:paraId="4A73DFBD">
            <w:pPr>
              <w:adjustRightInd w:val="0"/>
              <w:snapToGrid w:val="0"/>
              <w:spacing w:line="560" w:lineRule="exact"/>
              <w:jc w:val="center"/>
              <w:rPr>
                <w:rFonts w:ascii="仿宋" w:hAnsi="仿宋" w:eastAsia="仿宋"/>
                <w:szCs w:val="21"/>
              </w:rPr>
            </w:pPr>
            <w:r>
              <w:rPr>
                <w:rFonts w:hint="eastAsia" w:ascii="仿宋" w:hAnsi="仿宋" w:eastAsia="仿宋"/>
                <w:szCs w:val="21"/>
              </w:rPr>
              <w:t>性别</w:t>
            </w:r>
          </w:p>
        </w:tc>
        <w:tc>
          <w:tcPr>
            <w:tcW w:w="3040" w:type="dxa"/>
            <w:tcBorders>
              <w:top w:val="single" w:color="auto" w:sz="4" w:space="0"/>
              <w:left w:val="nil"/>
              <w:bottom w:val="single" w:color="auto" w:sz="4" w:space="0"/>
              <w:right w:val="single" w:color="auto" w:sz="4" w:space="0"/>
            </w:tcBorders>
            <w:vAlign w:val="center"/>
          </w:tcPr>
          <w:p w14:paraId="1EB8D3EB">
            <w:pPr>
              <w:adjustRightInd w:val="0"/>
              <w:snapToGrid w:val="0"/>
              <w:spacing w:line="560" w:lineRule="exact"/>
              <w:jc w:val="center"/>
              <w:rPr>
                <w:rFonts w:ascii="仿宋" w:hAnsi="仿宋" w:eastAsia="仿宋"/>
                <w:szCs w:val="21"/>
              </w:rPr>
            </w:pPr>
            <w:r>
              <w:rPr>
                <w:rFonts w:hint="eastAsia" w:ascii="仿宋" w:hAnsi="仿宋" w:eastAsia="仿宋"/>
                <w:szCs w:val="21"/>
              </w:rPr>
              <w:t>身份证号</w:t>
            </w:r>
          </w:p>
        </w:tc>
        <w:tc>
          <w:tcPr>
            <w:tcW w:w="1416" w:type="dxa"/>
            <w:tcBorders>
              <w:top w:val="single" w:color="auto" w:sz="4" w:space="0"/>
              <w:left w:val="nil"/>
              <w:bottom w:val="single" w:color="auto" w:sz="4" w:space="0"/>
              <w:right w:val="single" w:color="auto" w:sz="4" w:space="0"/>
            </w:tcBorders>
            <w:vAlign w:val="center"/>
          </w:tcPr>
          <w:p w14:paraId="513EF64B">
            <w:pPr>
              <w:adjustRightInd w:val="0"/>
              <w:snapToGrid w:val="0"/>
              <w:spacing w:line="560" w:lineRule="exact"/>
              <w:jc w:val="center"/>
              <w:rPr>
                <w:rFonts w:ascii="仿宋" w:hAnsi="仿宋" w:eastAsia="仿宋"/>
                <w:szCs w:val="21"/>
              </w:rPr>
            </w:pPr>
            <w:r>
              <w:rPr>
                <w:rFonts w:hint="eastAsia" w:ascii="仿宋" w:hAnsi="仿宋" w:eastAsia="仿宋"/>
                <w:szCs w:val="21"/>
              </w:rPr>
              <w:t>出生日期</w:t>
            </w:r>
          </w:p>
        </w:tc>
        <w:tc>
          <w:tcPr>
            <w:tcW w:w="2124" w:type="dxa"/>
            <w:tcBorders>
              <w:top w:val="single" w:color="auto" w:sz="4" w:space="0"/>
              <w:left w:val="nil"/>
              <w:bottom w:val="single" w:color="auto" w:sz="4" w:space="0"/>
              <w:right w:val="single" w:color="auto" w:sz="4" w:space="0"/>
            </w:tcBorders>
            <w:vAlign w:val="center"/>
          </w:tcPr>
          <w:p w14:paraId="66634AB0">
            <w:pPr>
              <w:adjustRightInd w:val="0"/>
              <w:snapToGrid w:val="0"/>
              <w:spacing w:line="560" w:lineRule="exact"/>
              <w:jc w:val="center"/>
              <w:rPr>
                <w:rFonts w:ascii="仿宋" w:hAnsi="仿宋" w:eastAsia="仿宋"/>
                <w:szCs w:val="21"/>
              </w:rPr>
            </w:pPr>
            <w:r>
              <w:rPr>
                <w:rFonts w:hint="eastAsia" w:ascii="仿宋" w:hAnsi="仿宋" w:eastAsia="仿宋"/>
                <w:szCs w:val="21"/>
              </w:rPr>
              <w:t>联系电话</w:t>
            </w:r>
          </w:p>
        </w:tc>
      </w:tr>
      <w:tr w14:paraId="2E21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6" w:type="dxa"/>
            <w:tcBorders>
              <w:top w:val="single" w:color="auto" w:sz="4" w:space="0"/>
              <w:left w:val="single" w:color="auto" w:sz="4" w:space="0"/>
              <w:bottom w:val="single" w:color="auto" w:sz="4" w:space="0"/>
              <w:right w:val="single" w:color="auto" w:sz="4" w:space="0"/>
            </w:tcBorders>
            <w:vAlign w:val="center"/>
          </w:tcPr>
          <w:p w14:paraId="71A732D5">
            <w:pPr>
              <w:adjustRightInd w:val="0"/>
              <w:snapToGrid w:val="0"/>
              <w:spacing w:line="560" w:lineRule="exact"/>
              <w:jc w:val="center"/>
              <w:rPr>
                <w:rFonts w:ascii="仿宋" w:hAnsi="仿宋" w:eastAsia="仿宋"/>
                <w:szCs w:val="21"/>
              </w:rPr>
            </w:pPr>
          </w:p>
        </w:tc>
        <w:tc>
          <w:tcPr>
            <w:tcW w:w="800" w:type="dxa"/>
            <w:tcBorders>
              <w:top w:val="single" w:color="auto" w:sz="4" w:space="0"/>
              <w:left w:val="nil"/>
              <w:bottom w:val="single" w:color="auto" w:sz="4" w:space="0"/>
              <w:right w:val="single" w:color="auto" w:sz="4" w:space="0"/>
            </w:tcBorders>
            <w:vAlign w:val="center"/>
          </w:tcPr>
          <w:p w14:paraId="773E1311">
            <w:pPr>
              <w:adjustRightInd w:val="0"/>
              <w:snapToGrid w:val="0"/>
              <w:spacing w:line="560" w:lineRule="exact"/>
              <w:jc w:val="center"/>
              <w:rPr>
                <w:rFonts w:ascii="仿宋" w:hAnsi="仿宋" w:eastAsia="仿宋"/>
                <w:szCs w:val="21"/>
              </w:rPr>
            </w:pPr>
          </w:p>
        </w:tc>
        <w:tc>
          <w:tcPr>
            <w:tcW w:w="3040" w:type="dxa"/>
            <w:tcBorders>
              <w:top w:val="single" w:color="auto" w:sz="4" w:space="0"/>
              <w:left w:val="nil"/>
              <w:bottom w:val="single" w:color="auto" w:sz="4" w:space="0"/>
              <w:right w:val="single" w:color="auto" w:sz="4" w:space="0"/>
            </w:tcBorders>
            <w:vAlign w:val="center"/>
          </w:tcPr>
          <w:p w14:paraId="6D907BA3">
            <w:pPr>
              <w:adjustRightInd w:val="0"/>
              <w:snapToGrid w:val="0"/>
              <w:spacing w:line="560" w:lineRule="exact"/>
              <w:jc w:val="center"/>
              <w:rPr>
                <w:rFonts w:ascii="仿宋" w:hAnsi="仿宋" w:eastAsia="仿宋"/>
                <w:szCs w:val="21"/>
              </w:rPr>
            </w:pPr>
          </w:p>
        </w:tc>
        <w:tc>
          <w:tcPr>
            <w:tcW w:w="1416" w:type="dxa"/>
            <w:tcBorders>
              <w:top w:val="single" w:color="auto" w:sz="4" w:space="0"/>
              <w:left w:val="nil"/>
              <w:bottom w:val="single" w:color="auto" w:sz="4" w:space="0"/>
              <w:right w:val="single" w:color="auto" w:sz="4" w:space="0"/>
            </w:tcBorders>
            <w:vAlign w:val="center"/>
          </w:tcPr>
          <w:p w14:paraId="2015BF7F">
            <w:pPr>
              <w:adjustRightInd w:val="0"/>
              <w:snapToGrid w:val="0"/>
              <w:spacing w:line="560" w:lineRule="exact"/>
              <w:jc w:val="center"/>
              <w:rPr>
                <w:rFonts w:ascii="仿宋" w:hAnsi="仿宋" w:eastAsia="仿宋"/>
                <w:szCs w:val="21"/>
              </w:rPr>
            </w:pPr>
          </w:p>
        </w:tc>
        <w:tc>
          <w:tcPr>
            <w:tcW w:w="2124" w:type="dxa"/>
            <w:tcBorders>
              <w:top w:val="single" w:color="auto" w:sz="4" w:space="0"/>
              <w:left w:val="nil"/>
              <w:bottom w:val="single" w:color="auto" w:sz="4" w:space="0"/>
              <w:right w:val="single" w:color="auto" w:sz="4" w:space="0"/>
            </w:tcBorders>
            <w:vAlign w:val="center"/>
          </w:tcPr>
          <w:p w14:paraId="6C6AC726">
            <w:pPr>
              <w:adjustRightInd w:val="0"/>
              <w:snapToGrid w:val="0"/>
              <w:spacing w:line="560" w:lineRule="exact"/>
              <w:jc w:val="center"/>
              <w:rPr>
                <w:rFonts w:ascii="仿宋" w:hAnsi="仿宋" w:eastAsia="仿宋"/>
                <w:szCs w:val="21"/>
              </w:rPr>
            </w:pPr>
          </w:p>
        </w:tc>
      </w:tr>
    </w:tbl>
    <w:p w14:paraId="6E426380">
      <w:pPr>
        <w:adjustRightInd w:val="0"/>
        <w:snapToGrid w:val="0"/>
        <w:spacing w:line="560" w:lineRule="exact"/>
        <w:jc w:val="left"/>
        <w:rPr>
          <w:rFonts w:ascii="仿宋" w:hAnsi="仿宋" w:eastAsia="仿宋"/>
          <w:szCs w:val="21"/>
        </w:rPr>
      </w:pPr>
      <w:r>
        <w:rPr>
          <w:rFonts w:ascii="仿宋" w:hAnsi="仿宋" w:eastAsia="仿宋"/>
          <w:szCs w:val="21"/>
        </w:rPr>
        <w:t xml:space="preserve"> </w:t>
      </w:r>
    </w:p>
    <w:p w14:paraId="4F449AEA">
      <w:pPr>
        <w:adjustRightInd w:val="0"/>
        <w:snapToGrid w:val="0"/>
        <w:spacing w:line="560" w:lineRule="exact"/>
        <w:jc w:val="left"/>
        <w:rPr>
          <w:rFonts w:ascii="仿宋" w:hAnsi="仿宋" w:eastAsia="仿宋"/>
          <w:szCs w:val="21"/>
        </w:rPr>
      </w:pPr>
      <w:r>
        <w:rPr>
          <w:rFonts w:ascii="仿宋" w:hAnsi="仿宋" w:eastAsia="仿宋"/>
          <w:szCs w:val="21"/>
        </w:rPr>
        <w:t xml:space="preserve"> </w:t>
      </w:r>
    </w:p>
    <w:tbl>
      <w:tblPr>
        <w:tblStyle w:val="4"/>
        <w:tblW w:w="0" w:type="auto"/>
        <w:tblInd w:w="9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9"/>
        <w:gridCol w:w="3311"/>
      </w:tblGrid>
      <w:tr w14:paraId="368F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3319" w:type="dxa"/>
            <w:tcBorders>
              <w:top w:val="single" w:color="auto" w:sz="4" w:space="0"/>
              <w:left w:val="single" w:color="auto" w:sz="4" w:space="0"/>
              <w:bottom w:val="single" w:color="auto" w:sz="4" w:space="0"/>
              <w:right w:val="single" w:color="auto" w:sz="4" w:space="0"/>
            </w:tcBorders>
          </w:tcPr>
          <w:p w14:paraId="64BD449E">
            <w:pPr>
              <w:adjustRightInd w:val="0"/>
              <w:snapToGrid w:val="0"/>
              <w:spacing w:line="560" w:lineRule="exact"/>
              <w:jc w:val="center"/>
              <w:rPr>
                <w:rFonts w:ascii="仿宋" w:hAnsi="仿宋" w:eastAsia="仿宋"/>
                <w:szCs w:val="21"/>
              </w:rPr>
            </w:pPr>
            <w:r>
              <w:rPr>
                <w:rFonts w:hint="eastAsia" w:ascii="仿宋" w:hAnsi="仿宋" w:eastAsia="仿宋"/>
                <w:szCs w:val="21"/>
              </w:rPr>
              <w:t>照片张贴处</w:t>
            </w:r>
          </w:p>
          <w:p w14:paraId="7A94B508">
            <w:pPr>
              <w:adjustRightInd w:val="0"/>
              <w:snapToGrid w:val="0"/>
              <w:spacing w:line="560" w:lineRule="exact"/>
              <w:jc w:val="center"/>
              <w:rPr>
                <w:rFonts w:ascii="仿宋" w:hAnsi="仿宋" w:eastAsia="仿宋"/>
                <w:szCs w:val="21"/>
              </w:rPr>
            </w:pPr>
          </w:p>
          <w:p w14:paraId="28515023">
            <w:pPr>
              <w:adjustRightInd w:val="0"/>
              <w:snapToGrid w:val="0"/>
              <w:spacing w:line="560" w:lineRule="exact"/>
              <w:jc w:val="center"/>
              <w:rPr>
                <w:rFonts w:ascii="仿宋" w:hAnsi="仿宋" w:eastAsia="仿宋"/>
                <w:szCs w:val="21"/>
              </w:rPr>
            </w:pPr>
            <w:r>
              <w:rPr>
                <w:rFonts w:hint="eastAsia" w:ascii="仿宋" w:hAnsi="仿宋" w:eastAsia="仿宋"/>
                <w:szCs w:val="21"/>
              </w:rPr>
              <w:t>近期免冠正面</w:t>
            </w:r>
            <w:r>
              <w:rPr>
                <w:rFonts w:ascii="仿宋" w:hAnsi="仿宋" w:eastAsia="仿宋"/>
                <w:szCs w:val="21"/>
              </w:rPr>
              <w:t>1</w:t>
            </w:r>
            <w:r>
              <w:rPr>
                <w:rFonts w:hint="eastAsia" w:ascii="仿宋" w:hAnsi="仿宋" w:eastAsia="仿宋"/>
                <w:szCs w:val="21"/>
              </w:rPr>
              <w:t>寸彩色</w:t>
            </w:r>
          </w:p>
          <w:p w14:paraId="2BA4C6AF">
            <w:pPr>
              <w:adjustRightInd w:val="0"/>
              <w:snapToGrid w:val="0"/>
              <w:spacing w:line="560" w:lineRule="exact"/>
              <w:jc w:val="center"/>
              <w:rPr>
                <w:rFonts w:ascii="仿宋" w:hAnsi="仿宋" w:eastAsia="仿宋"/>
                <w:szCs w:val="21"/>
              </w:rPr>
            </w:pPr>
            <w:r>
              <w:rPr>
                <w:rFonts w:hint="eastAsia" w:ascii="仿宋" w:hAnsi="仿宋" w:eastAsia="仿宋"/>
                <w:szCs w:val="21"/>
              </w:rPr>
              <w:t>白底证件照</w:t>
            </w:r>
          </w:p>
          <w:p w14:paraId="3DB90E4C">
            <w:pPr>
              <w:adjustRightInd w:val="0"/>
              <w:snapToGrid w:val="0"/>
              <w:spacing w:line="560" w:lineRule="exact"/>
              <w:jc w:val="center"/>
              <w:rPr>
                <w:rFonts w:ascii="仿宋" w:hAnsi="仿宋" w:eastAsia="仿宋"/>
                <w:szCs w:val="21"/>
              </w:rPr>
            </w:pPr>
            <w:r>
              <w:rPr>
                <w:rFonts w:hint="eastAsia" w:ascii="仿宋" w:hAnsi="仿宋" w:eastAsia="仿宋"/>
                <w:szCs w:val="21"/>
              </w:rPr>
              <w:t>（请轻微粘贴，以便于揭</w:t>
            </w:r>
          </w:p>
          <w:p w14:paraId="25E83BFC">
            <w:pPr>
              <w:adjustRightInd w:val="0"/>
              <w:snapToGrid w:val="0"/>
              <w:spacing w:line="560" w:lineRule="exact"/>
              <w:jc w:val="center"/>
              <w:rPr>
                <w:rFonts w:ascii="仿宋" w:hAnsi="仿宋" w:eastAsia="仿宋"/>
                <w:szCs w:val="21"/>
              </w:rPr>
            </w:pPr>
            <w:r>
              <w:rPr>
                <w:rFonts w:hint="eastAsia" w:ascii="仿宋" w:hAnsi="仿宋" w:eastAsia="仿宋"/>
                <w:szCs w:val="21"/>
              </w:rPr>
              <w:t>下用于教师资格证书</w:t>
            </w:r>
          </w:p>
          <w:p w14:paraId="1FFA75C5">
            <w:pPr>
              <w:adjustRightInd w:val="0"/>
              <w:snapToGrid w:val="0"/>
              <w:spacing w:line="560" w:lineRule="exact"/>
              <w:jc w:val="center"/>
              <w:rPr>
                <w:rFonts w:ascii="仿宋" w:hAnsi="仿宋" w:eastAsia="仿宋"/>
                <w:szCs w:val="21"/>
              </w:rPr>
            </w:pPr>
            <w:r>
              <w:rPr>
                <w:rFonts w:hint="eastAsia" w:ascii="仿宋" w:hAnsi="仿宋" w:eastAsia="仿宋"/>
                <w:szCs w:val="21"/>
              </w:rPr>
              <w:t>照片位置张贴）</w:t>
            </w:r>
          </w:p>
        </w:tc>
        <w:tc>
          <w:tcPr>
            <w:tcW w:w="3311" w:type="dxa"/>
            <w:tcBorders>
              <w:top w:val="single" w:color="auto" w:sz="4" w:space="0"/>
              <w:left w:val="nil"/>
              <w:bottom w:val="single" w:color="auto" w:sz="4" w:space="0"/>
              <w:right w:val="single" w:color="auto" w:sz="4" w:space="0"/>
            </w:tcBorders>
          </w:tcPr>
          <w:p w14:paraId="6DB65063">
            <w:pPr>
              <w:adjustRightInd w:val="0"/>
              <w:snapToGrid w:val="0"/>
              <w:spacing w:line="560" w:lineRule="exact"/>
              <w:jc w:val="center"/>
              <w:rPr>
                <w:rFonts w:ascii="仿宋" w:hAnsi="仿宋" w:eastAsia="仿宋"/>
                <w:szCs w:val="21"/>
              </w:rPr>
            </w:pPr>
            <w:r>
              <w:rPr>
                <w:rFonts w:hint="eastAsia" w:ascii="仿宋" w:hAnsi="仿宋" w:eastAsia="仿宋"/>
                <w:szCs w:val="21"/>
              </w:rPr>
              <w:t>照片张贴处</w:t>
            </w:r>
          </w:p>
          <w:p w14:paraId="2B2D458E">
            <w:pPr>
              <w:adjustRightInd w:val="0"/>
              <w:snapToGrid w:val="0"/>
              <w:spacing w:line="560" w:lineRule="exact"/>
              <w:jc w:val="center"/>
              <w:rPr>
                <w:rFonts w:ascii="仿宋" w:hAnsi="仿宋" w:eastAsia="仿宋"/>
                <w:szCs w:val="21"/>
              </w:rPr>
            </w:pPr>
          </w:p>
          <w:p w14:paraId="3BCF99DA">
            <w:pPr>
              <w:adjustRightInd w:val="0"/>
              <w:snapToGrid w:val="0"/>
              <w:spacing w:line="560" w:lineRule="exact"/>
              <w:jc w:val="center"/>
              <w:rPr>
                <w:rFonts w:ascii="仿宋" w:hAnsi="仿宋" w:eastAsia="仿宋"/>
                <w:szCs w:val="21"/>
              </w:rPr>
            </w:pPr>
            <w:r>
              <w:rPr>
                <w:rFonts w:hint="eastAsia" w:ascii="仿宋" w:hAnsi="仿宋" w:eastAsia="仿宋"/>
                <w:szCs w:val="21"/>
              </w:rPr>
              <w:t>近期免冠正面</w:t>
            </w:r>
            <w:r>
              <w:rPr>
                <w:rFonts w:ascii="仿宋" w:hAnsi="仿宋" w:eastAsia="仿宋"/>
                <w:szCs w:val="21"/>
              </w:rPr>
              <w:t>1</w:t>
            </w:r>
            <w:r>
              <w:rPr>
                <w:rFonts w:hint="eastAsia" w:ascii="仿宋" w:hAnsi="仿宋" w:eastAsia="仿宋"/>
                <w:szCs w:val="21"/>
              </w:rPr>
              <w:t>寸彩色</w:t>
            </w:r>
          </w:p>
          <w:p w14:paraId="7EE615EB">
            <w:pPr>
              <w:adjustRightInd w:val="0"/>
              <w:snapToGrid w:val="0"/>
              <w:spacing w:line="560" w:lineRule="exact"/>
              <w:jc w:val="center"/>
              <w:rPr>
                <w:rFonts w:ascii="仿宋" w:hAnsi="仿宋" w:eastAsia="仿宋"/>
                <w:szCs w:val="21"/>
              </w:rPr>
            </w:pPr>
            <w:r>
              <w:rPr>
                <w:rFonts w:hint="eastAsia" w:ascii="仿宋" w:hAnsi="仿宋" w:eastAsia="仿宋"/>
                <w:szCs w:val="21"/>
              </w:rPr>
              <w:t>白底证件照</w:t>
            </w:r>
          </w:p>
          <w:p w14:paraId="1FCECFA3">
            <w:pPr>
              <w:adjustRightInd w:val="0"/>
              <w:snapToGrid w:val="0"/>
              <w:spacing w:line="560" w:lineRule="exact"/>
              <w:jc w:val="center"/>
              <w:rPr>
                <w:rFonts w:ascii="仿宋" w:hAnsi="仿宋" w:eastAsia="仿宋"/>
                <w:szCs w:val="21"/>
              </w:rPr>
            </w:pPr>
            <w:r>
              <w:rPr>
                <w:rFonts w:hint="eastAsia" w:ascii="仿宋" w:hAnsi="仿宋" w:eastAsia="仿宋"/>
                <w:szCs w:val="21"/>
              </w:rPr>
              <w:t>（请轻微粘贴，以便于揭</w:t>
            </w:r>
          </w:p>
          <w:p w14:paraId="4FC620CA">
            <w:pPr>
              <w:adjustRightInd w:val="0"/>
              <w:snapToGrid w:val="0"/>
              <w:spacing w:line="560" w:lineRule="exact"/>
              <w:jc w:val="center"/>
              <w:rPr>
                <w:rFonts w:ascii="仿宋" w:hAnsi="仿宋" w:eastAsia="仿宋"/>
                <w:szCs w:val="21"/>
              </w:rPr>
            </w:pPr>
            <w:r>
              <w:rPr>
                <w:rFonts w:hint="eastAsia" w:ascii="仿宋" w:hAnsi="仿宋" w:eastAsia="仿宋"/>
                <w:szCs w:val="21"/>
              </w:rPr>
              <w:t>下用于教师资格证书</w:t>
            </w:r>
          </w:p>
          <w:p w14:paraId="51D2C378">
            <w:pPr>
              <w:adjustRightInd w:val="0"/>
              <w:snapToGrid w:val="0"/>
              <w:spacing w:line="560" w:lineRule="exact"/>
              <w:jc w:val="center"/>
              <w:rPr>
                <w:rFonts w:ascii="仿宋" w:hAnsi="仿宋" w:eastAsia="仿宋"/>
                <w:szCs w:val="21"/>
              </w:rPr>
            </w:pPr>
            <w:r>
              <w:rPr>
                <w:rFonts w:hint="eastAsia" w:ascii="仿宋" w:hAnsi="仿宋" w:eastAsia="仿宋"/>
                <w:szCs w:val="21"/>
              </w:rPr>
              <w:t>照片位置张贴）</w:t>
            </w:r>
          </w:p>
        </w:tc>
      </w:tr>
    </w:tbl>
    <w:p w14:paraId="67BBB6BE">
      <w:pPr>
        <w:adjustRightInd w:val="0"/>
        <w:snapToGrid w:val="0"/>
        <w:spacing w:line="560" w:lineRule="exact"/>
        <w:jc w:val="left"/>
        <w:rPr>
          <w:rFonts w:ascii="仿宋" w:hAnsi="仿宋" w:eastAsia="仿宋"/>
          <w:szCs w:val="21"/>
        </w:rPr>
      </w:pPr>
      <w:r>
        <w:rPr>
          <w:rFonts w:ascii="仿宋" w:hAnsi="仿宋" w:eastAsia="仿宋"/>
          <w:szCs w:val="21"/>
        </w:rPr>
        <w:t xml:space="preserve"> </w:t>
      </w:r>
    </w:p>
    <w:p w14:paraId="2D44E4A2">
      <w:pPr>
        <w:adjustRightInd w:val="0"/>
        <w:snapToGrid w:val="0"/>
        <w:spacing w:line="560" w:lineRule="exact"/>
        <w:jc w:val="left"/>
        <w:rPr>
          <w:rFonts w:ascii="仿宋" w:hAnsi="仿宋" w:eastAsia="仿宋"/>
          <w:szCs w:val="21"/>
        </w:rPr>
      </w:pPr>
      <w:r>
        <w:rPr>
          <w:rFonts w:ascii="仿宋" w:hAnsi="仿宋" w:eastAsia="仿宋"/>
          <w:szCs w:val="21"/>
        </w:rPr>
        <w:t xml:space="preserve"> </w:t>
      </w:r>
    </w:p>
    <w:p w14:paraId="62B6FCDD">
      <w:pPr>
        <w:adjustRightInd w:val="0"/>
        <w:snapToGrid w:val="0"/>
        <w:spacing w:line="560" w:lineRule="exact"/>
        <w:jc w:val="left"/>
        <w:rPr>
          <w:rFonts w:ascii="仿宋" w:hAnsi="仿宋" w:eastAsia="仿宋"/>
          <w:szCs w:val="21"/>
        </w:rPr>
      </w:pPr>
      <w:r>
        <w:rPr>
          <w:rFonts w:ascii="仿宋" w:hAnsi="仿宋" w:eastAsia="仿宋"/>
          <w:szCs w:val="21"/>
        </w:rPr>
        <w:t xml:space="preserve"> </w:t>
      </w:r>
    </w:p>
    <w:p w14:paraId="6EAEE080">
      <w:pPr>
        <w:adjustRightInd w:val="0"/>
        <w:snapToGrid w:val="0"/>
        <w:spacing w:line="560" w:lineRule="exact"/>
        <w:ind w:firstLine="440" w:firstLineChars="200"/>
        <w:jc w:val="left"/>
        <w:rPr>
          <w:rFonts w:ascii="仿宋" w:hAnsi="仿宋" w:eastAsia="仿宋"/>
          <w:szCs w:val="21"/>
        </w:rPr>
      </w:pPr>
      <w:r>
        <w:rPr>
          <w:rFonts w:hint="eastAsia" w:ascii="仿宋" w:hAnsi="仿宋" w:eastAsia="仿宋"/>
          <w:szCs w:val="21"/>
        </w:rPr>
        <w:t>备注：</w:t>
      </w:r>
      <w:r>
        <w:rPr>
          <w:rFonts w:ascii="仿宋" w:hAnsi="仿宋" w:eastAsia="仿宋"/>
          <w:szCs w:val="21"/>
        </w:rPr>
        <w:t>1.</w:t>
      </w:r>
      <w:r>
        <w:rPr>
          <w:rFonts w:hint="eastAsia" w:ascii="仿宋" w:hAnsi="仿宋" w:eastAsia="仿宋"/>
          <w:szCs w:val="21"/>
        </w:rPr>
        <w:t>本表信息由申请人自行填写，须与网报信息完全一致。</w:t>
      </w:r>
      <w:r>
        <w:rPr>
          <w:rFonts w:ascii="仿宋" w:hAnsi="仿宋" w:eastAsia="仿宋"/>
          <w:szCs w:val="21"/>
        </w:rPr>
        <w:t>2.</w:t>
      </w:r>
      <w:r>
        <w:rPr>
          <w:rFonts w:hint="eastAsia" w:ascii="仿宋" w:hAnsi="仿宋" w:eastAsia="仿宋"/>
          <w:szCs w:val="21"/>
        </w:rPr>
        <w:t>申请人提供</w:t>
      </w:r>
      <w:r>
        <w:rPr>
          <w:rFonts w:ascii="仿宋" w:hAnsi="仿宋" w:eastAsia="仿宋"/>
          <w:szCs w:val="21"/>
        </w:rPr>
        <w:t>2</w:t>
      </w:r>
      <w:r>
        <w:rPr>
          <w:rFonts w:hint="eastAsia" w:ascii="仿宋" w:hAnsi="仿宋" w:eastAsia="仿宋"/>
          <w:szCs w:val="21"/>
        </w:rPr>
        <w:t>张近期免冠正面</w:t>
      </w:r>
      <w:r>
        <w:rPr>
          <w:rFonts w:ascii="仿宋" w:hAnsi="仿宋" w:eastAsia="仿宋"/>
          <w:szCs w:val="21"/>
        </w:rPr>
        <w:t>1</w:t>
      </w:r>
      <w:r>
        <w:rPr>
          <w:rFonts w:hint="eastAsia" w:ascii="仿宋" w:hAnsi="仿宋" w:eastAsia="仿宋"/>
          <w:szCs w:val="21"/>
        </w:rPr>
        <w:t>寸彩色白底证件照（其中一张备用），应与网报上传照片同底版。</w:t>
      </w:r>
    </w:p>
    <w:p w14:paraId="1858991E">
      <w:pPr>
        <w:adjustRightInd w:val="0"/>
        <w:snapToGrid w:val="0"/>
        <w:spacing w:line="560" w:lineRule="exact"/>
        <w:ind w:firstLine="600" w:firstLineChars="200"/>
        <w:jc w:val="left"/>
        <w:rPr>
          <w:rFonts w:ascii="仿宋" w:hAnsi="仿宋" w:eastAsia="仿宋"/>
          <w:sz w:val="30"/>
          <w:szCs w:val="30"/>
        </w:rPr>
      </w:pPr>
      <w:r>
        <w:rPr>
          <w:rFonts w:ascii="仿宋" w:hAnsi="仿宋" w:eastAsia="仿宋"/>
          <w:sz w:val="30"/>
          <w:szCs w:val="30"/>
        </w:rPr>
        <w:t xml:space="preserve"> </w:t>
      </w:r>
    </w:p>
    <w:p w14:paraId="711CE1FC">
      <w:pPr>
        <w:adjustRightInd w:val="0"/>
        <w:snapToGrid w:val="0"/>
        <w:spacing w:line="560" w:lineRule="exact"/>
        <w:rPr>
          <w:rFonts w:hint="eastAsia"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3</w:t>
      </w:r>
    </w:p>
    <w:p w14:paraId="2112DC95">
      <w:pPr>
        <w:adjustRightInd w:val="0"/>
        <w:snapToGrid w:val="0"/>
        <w:spacing w:line="560" w:lineRule="exact"/>
        <w:rPr>
          <w:rFonts w:ascii="仿宋" w:hAnsi="仿宋" w:eastAsia="仿宋"/>
          <w:sz w:val="32"/>
          <w:szCs w:val="32"/>
        </w:rPr>
      </w:pPr>
      <w:r>
        <w:rPr>
          <w:rFonts w:ascii="仿宋" w:hAnsi="仿宋" w:eastAsia="仿宋"/>
          <w:sz w:val="32"/>
          <w:szCs w:val="32"/>
        </w:rPr>
        <w:t xml:space="preserve"> </w:t>
      </w:r>
    </w:p>
    <w:p w14:paraId="317647C9">
      <w:pPr>
        <w:adjustRightInd w:val="0"/>
        <w:snapToGrid w:val="0"/>
        <w:spacing w:line="560" w:lineRule="exact"/>
        <w:jc w:val="center"/>
        <w:rPr>
          <w:rFonts w:ascii="仿宋" w:hAnsi="仿宋" w:eastAsia="仿宋"/>
          <w:w w:val="90"/>
          <w:sz w:val="44"/>
          <w:szCs w:val="44"/>
        </w:rPr>
      </w:pPr>
      <w:r>
        <w:rPr>
          <w:rFonts w:hint="eastAsia" w:ascii="仿宋" w:hAnsi="仿宋" w:eastAsia="仿宋"/>
          <w:w w:val="90"/>
          <w:sz w:val="44"/>
          <w:szCs w:val="44"/>
        </w:rPr>
        <w:t>教师资格证书及认定资料代领委托书</w:t>
      </w:r>
    </w:p>
    <w:p w14:paraId="2123800B">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 xml:space="preserve"> </w:t>
      </w:r>
    </w:p>
    <w:p w14:paraId="6D624DA4">
      <w:pPr>
        <w:adjustRightInd w:val="0"/>
        <w:snapToGrid w:val="0"/>
        <w:spacing w:line="560" w:lineRule="exact"/>
        <w:ind w:firstLine="320" w:firstLineChars="100"/>
        <w:rPr>
          <w:rFonts w:ascii="仿宋" w:hAnsi="仿宋" w:eastAsia="仿宋"/>
          <w:sz w:val="32"/>
          <w:szCs w:val="32"/>
        </w:rPr>
      </w:pPr>
      <w:r>
        <w:rPr>
          <w:rFonts w:hint="eastAsia" w:ascii="仿宋" w:hAnsi="仿宋" w:eastAsia="仿宋"/>
          <w:sz w:val="32"/>
          <w:szCs w:val="32"/>
        </w:rPr>
        <w:t>委</w:t>
      </w:r>
      <w:r>
        <w:rPr>
          <w:rFonts w:ascii="仿宋" w:hAnsi="仿宋" w:eastAsia="仿宋"/>
          <w:sz w:val="32"/>
          <w:szCs w:val="32"/>
        </w:rPr>
        <w:t xml:space="preserve"> </w:t>
      </w:r>
      <w:r>
        <w:rPr>
          <w:rFonts w:hint="eastAsia" w:ascii="仿宋" w:hAnsi="仿宋" w:eastAsia="仿宋"/>
          <w:sz w:val="32"/>
          <w:szCs w:val="32"/>
        </w:rPr>
        <w:t>托</w:t>
      </w:r>
      <w:r>
        <w:rPr>
          <w:rFonts w:ascii="仿宋" w:hAnsi="仿宋" w:eastAsia="仿宋"/>
          <w:sz w:val="32"/>
          <w:szCs w:val="32"/>
        </w:rPr>
        <w:t xml:space="preserve"> </w:t>
      </w:r>
      <w:r>
        <w:rPr>
          <w:rFonts w:hint="eastAsia" w:ascii="仿宋" w:hAnsi="仿宋" w:eastAsia="仿宋"/>
          <w:sz w:val="32"/>
          <w:szCs w:val="32"/>
        </w:rPr>
        <w:t>人：</w:t>
      </w:r>
      <w:r>
        <w:rPr>
          <w:rFonts w:ascii="仿宋" w:hAnsi="仿宋" w:eastAsia="仿宋"/>
          <w:sz w:val="32"/>
          <w:szCs w:val="32"/>
        </w:rPr>
        <w:t xml:space="preserve">          </w:t>
      </w:r>
      <w:r>
        <w:rPr>
          <w:rFonts w:hint="eastAsia" w:ascii="仿宋" w:hAnsi="仿宋" w:eastAsia="仿宋"/>
          <w:sz w:val="32"/>
          <w:szCs w:val="32"/>
        </w:rPr>
        <w:t>身份证号：</w:t>
      </w:r>
    </w:p>
    <w:p w14:paraId="39E023C5">
      <w:pPr>
        <w:adjustRightInd w:val="0"/>
        <w:snapToGrid w:val="0"/>
        <w:spacing w:line="560" w:lineRule="exact"/>
        <w:ind w:firstLine="320" w:firstLineChars="100"/>
        <w:rPr>
          <w:rFonts w:ascii="仿宋" w:hAnsi="仿宋" w:eastAsia="仿宋"/>
          <w:sz w:val="32"/>
          <w:szCs w:val="32"/>
        </w:rPr>
      </w:pPr>
      <w:r>
        <w:rPr>
          <w:rFonts w:hint="eastAsia" w:ascii="仿宋" w:hAnsi="仿宋" w:eastAsia="仿宋"/>
          <w:sz w:val="32"/>
          <w:szCs w:val="32"/>
        </w:rPr>
        <w:t>被委托人：</w:t>
      </w:r>
      <w:r>
        <w:rPr>
          <w:rFonts w:ascii="仿宋" w:hAnsi="仿宋" w:eastAsia="仿宋"/>
          <w:sz w:val="32"/>
          <w:szCs w:val="32"/>
        </w:rPr>
        <w:t xml:space="preserve">          </w:t>
      </w:r>
      <w:r>
        <w:rPr>
          <w:rFonts w:hint="eastAsia" w:ascii="仿宋" w:hAnsi="仿宋" w:eastAsia="仿宋"/>
          <w:sz w:val="32"/>
          <w:szCs w:val="32"/>
        </w:rPr>
        <w:t>身份证号：</w:t>
      </w:r>
    </w:p>
    <w:p w14:paraId="476ACA18">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 xml:space="preserve"> </w:t>
      </w:r>
    </w:p>
    <w:p w14:paraId="25227E48">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本人</w:t>
      </w:r>
      <w:r>
        <w:rPr>
          <w:rFonts w:ascii="仿宋" w:hAnsi="仿宋" w:eastAsia="仿宋"/>
          <w:sz w:val="32"/>
          <w:szCs w:val="32"/>
        </w:rPr>
        <w:t xml:space="preserve">        </w:t>
      </w:r>
      <w:r>
        <w:rPr>
          <w:rFonts w:hint="eastAsia" w:ascii="仿宋" w:hAnsi="仿宋" w:eastAsia="仿宋"/>
          <w:sz w:val="32"/>
          <w:szCs w:val="32"/>
        </w:rPr>
        <w:t>因故无法到</w:t>
      </w:r>
      <w:r>
        <w:rPr>
          <w:rFonts w:ascii="仿宋" w:hAnsi="仿宋" w:eastAsia="仿宋"/>
          <w:sz w:val="32"/>
          <w:szCs w:val="32"/>
        </w:rPr>
        <w:t xml:space="preserve">          </w:t>
      </w:r>
      <w:r>
        <w:rPr>
          <w:rFonts w:hint="eastAsia" w:ascii="仿宋" w:hAnsi="仿宋" w:eastAsia="仿宋"/>
          <w:sz w:val="32"/>
          <w:szCs w:val="32"/>
        </w:rPr>
        <w:t>教育局（</w:t>
      </w:r>
      <w:r>
        <w:rPr>
          <w:rFonts w:ascii="仿宋" w:hAnsi="仿宋" w:eastAsia="仿宋"/>
          <w:sz w:val="32"/>
          <w:szCs w:val="32"/>
        </w:rPr>
        <w:t xml:space="preserve">          </w:t>
      </w:r>
      <w:r>
        <w:rPr>
          <w:rFonts w:hint="eastAsia" w:ascii="仿宋" w:hAnsi="仿宋" w:eastAsia="仿宋"/>
          <w:sz w:val="32"/>
          <w:szCs w:val="32"/>
        </w:rPr>
        <w:t>市民大厅）领取教师资格证书及《教师资格认定申请表》，现委托</w:t>
      </w:r>
      <w:r>
        <w:rPr>
          <w:rFonts w:ascii="仿宋" w:hAnsi="仿宋" w:eastAsia="仿宋"/>
          <w:sz w:val="32"/>
          <w:szCs w:val="32"/>
        </w:rPr>
        <w:t xml:space="preserve">         </w:t>
      </w:r>
      <w:r>
        <w:rPr>
          <w:rFonts w:hint="eastAsia" w:ascii="仿宋" w:hAnsi="仿宋" w:eastAsia="仿宋"/>
          <w:sz w:val="32"/>
          <w:szCs w:val="32"/>
          <w:lang w:eastAsia="zh-CN"/>
        </w:rPr>
        <w:t>携带</w:t>
      </w:r>
      <w:r>
        <w:rPr>
          <w:rFonts w:hint="eastAsia" w:ascii="仿宋" w:hAnsi="仿宋" w:eastAsia="仿宋"/>
          <w:sz w:val="32"/>
          <w:szCs w:val="32"/>
        </w:rPr>
        <w:t>本人身份证原件到认定机构代为领取。</w:t>
      </w:r>
    </w:p>
    <w:p w14:paraId="4CFF20AF">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本人已知悉《教师资格认定申请表》须由申请人递交给本人人事档案所在的管理部门，归入本人人事档案。现申明，委托领取的教师资格证书和相关资料如有遗失，责任自负。</w:t>
      </w:r>
    </w:p>
    <w:p w14:paraId="1985862E">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 xml:space="preserve"> </w:t>
      </w:r>
    </w:p>
    <w:p w14:paraId="33035E06">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 xml:space="preserve"> </w:t>
      </w:r>
    </w:p>
    <w:p w14:paraId="4E9CCB9C">
      <w:pPr>
        <w:adjustRightInd w:val="0"/>
        <w:snapToGrid w:val="0"/>
        <w:spacing w:line="560" w:lineRule="exact"/>
        <w:ind w:firstLine="4160" w:firstLineChars="1300"/>
        <w:rPr>
          <w:rFonts w:ascii="仿宋" w:hAnsi="仿宋" w:eastAsia="仿宋"/>
          <w:sz w:val="32"/>
          <w:szCs w:val="32"/>
        </w:rPr>
      </w:pPr>
      <w:r>
        <w:rPr>
          <w:rFonts w:hint="eastAsia" w:ascii="仿宋" w:hAnsi="仿宋" w:eastAsia="仿宋"/>
          <w:sz w:val="32"/>
          <w:szCs w:val="32"/>
        </w:rPr>
        <w:t>委</w:t>
      </w:r>
      <w:r>
        <w:rPr>
          <w:rFonts w:ascii="仿宋" w:hAnsi="仿宋" w:eastAsia="仿宋"/>
          <w:sz w:val="32"/>
          <w:szCs w:val="32"/>
        </w:rPr>
        <w:t xml:space="preserve"> </w:t>
      </w:r>
      <w:r>
        <w:rPr>
          <w:rFonts w:hint="eastAsia" w:ascii="仿宋" w:hAnsi="仿宋" w:eastAsia="仿宋"/>
          <w:sz w:val="32"/>
          <w:szCs w:val="32"/>
        </w:rPr>
        <w:t>托</w:t>
      </w:r>
      <w:r>
        <w:rPr>
          <w:rFonts w:ascii="仿宋" w:hAnsi="仿宋" w:eastAsia="仿宋"/>
          <w:sz w:val="32"/>
          <w:szCs w:val="32"/>
        </w:rPr>
        <w:t xml:space="preserve"> </w:t>
      </w:r>
      <w:r>
        <w:rPr>
          <w:rFonts w:hint="eastAsia" w:ascii="仿宋" w:hAnsi="仿宋" w:eastAsia="仿宋"/>
          <w:sz w:val="32"/>
          <w:szCs w:val="32"/>
        </w:rPr>
        <w:t>人：</w:t>
      </w:r>
    </w:p>
    <w:p w14:paraId="77E4BD2E">
      <w:pPr>
        <w:adjustRightInd w:val="0"/>
        <w:snapToGrid w:val="0"/>
        <w:spacing w:line="560" w:lineRule="exact"/>
        <w:ind w:firstLine="4160" w:firstLineChars="1300"/>
        <w:rPr>
          <w:rFonts w:ascii="仿宋" w:hAnsi="仿宋" w:eastAsia="仿宋"/>
          <w:sz w:val="32"/>
          <w:szCs w:val="32"/>
        </w:rPr>
      </w:pPr>
      <w:r>
        <w:rPr>
          <w:rFonts w:hint="eastAsia" w:ascii="仿宋" w:hAnsi="仿宋" w:eastAsia="仿宋"/>
          <w:sz w:val="32"/>
          <w:szCs w:val="32"/>
        </w:rPr>
        <w:t>被委托人：</w:t>
      </w:r>
    </w:p>
    <w:p w14:paraId="17EBB6F7">
      <w:pPr>
        <w:adjustRightInd w:val="0"/>
        <w:snapToGrid w:val="0"/>
        <w:spacing w:line="560" w:lineRule="exact"/>
        <w:ind w:firstLine="5440" w:firstLineChars="1700"/>
        <w:rPr>
          <w:rFonts w:ascii="仿宋" w:hAnsi="仿宋" w:eastAsia="仿宋"/>
          <w:sz w:val="32"/>
          <w:szCs w:val="32"/>
        </w:rPr>
      </w:pP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14:paraId="362943BF">
      <w:pPr>
        <w:adjustRightInd w:val="0"/>
        <w:snapToGrid w:val="0"/>
        <w:spacing w:line="560" w:lineRule="exact"/>
        <w:rPr>
          <w:rFonts w:ascii="仿宋" w:hAnsi="仿宋" w:eastAsia="仿宋"/>
          <w:sz w:val="32"/>
          <w:szCs w:val="32"/>
        </w:rPr>
      </w:pPr>
      <w:r>
        <w:rPr>
          <w:rFonts w:ascii="仿宋" w:hAnsi="仿宋" w:eastAsia="仿宋"/>
          <w:sz w:val="32"/>
          <w:szCs w:val="32"/>
        </w:rPr>
        <w:t xml:space="preserve"> </w:t>
      </w:r>
    </w:p>
    <w:p w14:paraId="4DDBCC20">
      <w:pPr>
        <w:adjustRightInd w:val="0"/>
        <w:snapToGrid w:val="0"/>
        <w:spacing w:line="560" w:lineRule="exact"/>
        <w:rPr>
          <w:rFonts w:ascii="仿宋" w:hAnsi="仿宋" w:eastAsia="仿宋"/>
          <w:sz w:val="32"/>
          <w:szCs w:val="32"/>
        </w:rPr>
      </w:pPr>
      <w:r>
        <w:rPr>
          <w:rFonts w:ascii="仿宋" w:hAnsi="仿宋" w:eastAsia="仿宋"/>
          <w:sz w:val="32"/>
          <w:szCs w:val="32"/>
        </w:rPr>
        <w:t xml:space="preserve"> </w:t>
      </w:r>
    </w:p>
    <w:p w14:paraId="7FCE3940">
      <w:pPr>
        <w:adjustRightInd w:val="0"/>
        <w:snapToGrid w:val="0"/>
        <w:spacing w:line="560" w:lineRule="exact"/>
        <w:rPr>
          <w:rFonts w:ascii="仿宋" w:hAnsi="仿宋" w:eastAsia="仿宋"/>
        </w:rPr>
      </w:pPr>
    </w:p>
    <w:p w14:paraId="788A9B7B">
      <w:pPr>
        <w:jc w:val="both"/>
        <w:rPr>
          <w:rFonts w:hint="eastAsia" w:eastAsia="宋体"/>
          <w:lang w:eastAsia="zh-CN"/>
        </w:rPr>
      </w:pPr>
    </w:p>
    <w:p w14:paraId="00CE8C07">
      <w:bookmarkStart w:id="0" w:name="_GoBack"/>
      <w:bookmarkEnd w:id="0"/>
    </w:p>
    <w:sectPr>
      <w:footerReference r:id="rId5" w:type="first"/>
      <w:footerReference r:id="rId3" w:type="default"/>
      <w:footerReference r:id="rId4" w:type="even"/>
      <w:pgSz w:w="11907" w:h="16840"/>
      <w:pgMar w:top="2098" w:right="1474" w:bottom="1984" w:left="1587" w:header="851" w:footer="141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45833">
    <w:pPr>
      <w:pStyle w:val="3"/>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60F64">
                          <w:pPr>
                            <w:pStyle w:val="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5860F64">
                    <w:pPr>
                      <w:pStyle w:val="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5D3E9">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6C7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ACA2F">
                          <w:pPr>
                            <w:pStyle w:val="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- 9 -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78ACA2F">
                    <w:pPr>
                      <w:pStyle w:val="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- 9 -</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F6676"/>
    <w:rsid w:val="6A1F6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246"/>
    </w:pPr>
    <w:rPr>
      <w:sz w:val="32"/>
      <w:szCs w:val="32"/>
    </w:rPr>
  </w:style>
  <w:style w:type="paragraph" w:styleId="3">
    <w:name w:val="footer"/>
    <w:basedOn w:val="1"/>
    <w:unhideWhenUsed/>
    <w:qFormat/>
    <w:uiPriority w:val="99"/>
    <w:pPr>
      <w:tabs>
        <w:tab w:val="center" w:pos="4153"/>
        <w:tab w:val="right" w:pos="8306"/>
      </w:tabs>
      <w:snapToGrid w:val="0"/>
      <w:jc w:val="left"/>
    </w:pPr>
    <w:rPr>
      <w:rFonts w:ascii="Calibri" w:hAnsi="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2026-05-07T09:45:00Z</dcterms:created>
  <dc:creator>绝地花开</dc:creator>
  <cp:lastModifiedBy>绝地花开</cp:lastModifiedBy>
  <dcterms:modified xsi:type="dcterms:W3CDTF">2026-05-07T09:45:43Z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C5D478F1F73746B78CCF118080894AE4_11</vt:lpwstr>
  </property>
  <property fmtid="{D5CDD505-2E9C-101B-9397-08002B2CF9AE}" pid="4" name="KSOTemplateDocerSaveRecord">
    <vt:lpwstr>eyJoZGlkIjoiOGEwN2NiMjkyNDJlYzE2YjQyMGQwMDg2ZDUzOGI4NzAiLCJ1c2VySWQiOiI1MDUwMTcyMzAifQ==</vt:lpwstr>
  </property>
</Properties>
</file>