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1360" w:tblpY="50"/>
        <w:tblOverlap w:val="never"/>
        <w:tblW w:w="9354" w:type="dxa"/>
        <w:tblInd w:w="0" w:type="dxa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935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14" w:firstLineChars="55"/>
              <w:jc w:val="both"/>
              <w:textAlignment w:val="auto"/>
              <w:outlineLvl w:val="9"/>
              <w:rPr>
                <w:rFonts w:hint="eastAsia" w:eastAsia="宋体"/>
                <w:spacing w:val="20"/>
                <w:w w:val="80"/>
                <w:sz w:val="96"/>
                <w:szCs w:val="9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17"/>
                <w:w w:val="75"/>
                <w:sz w:val="96"/>
                <w:szCs w:val="96"/>
                <w:vertAlign w:val="baseline"/>
                <w:lang w:val="en-US" w:eastAsia="zh-CN"/>
              </w:rPr>
              <w:t>隆德县河长制办公室文件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exact"/>
        </w:trPr>
        <w:tc>
          <w:tcPr>
            <w:tcW w:w="9354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隆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河长办发〔202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〕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Autospacing="0" w:line="560" w:lineRule="exact"/>
              <w:jc w:val="center"/>
              <w:textAlignment w:val="auto"/>
              <w:outlineLvl w:val="9"/>
              <w:rPr>
                <w:rFonts w:hint="eastAsia" w:eastAsia="宋体"/>
                <w:sz w:val="96"/>
                <w:szCs w:val="96"/>
                <w:vertAlign w:val="baseline"/>
                <w:lang w:eastAsia="zh-CN"/>
              </w:rPr>
            </w:pPr>
          </w:p>
        </w:tc>
      </w:tr>
    </w:tbl>
    <w:p>
      <w:pPr>
        <w:spacing w:line="600" w:lineRule="exact"/>
        <w:jc w:val="both"/>
        <w:rPr>
          <w:rFonts w:ascii="仿宋" w:hAnsi="仿宋" w:eastAsia="仿宋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  <w:t>隆德县</w:t>
      </w:r>
      <w:r>
        <w:rPr>
          <w:rFonts w:hint="eastAsia" w:ascii="方正小标宋_GBK" w:eastAsia="方正小标宋_GBK"/>
          <w:b w:val="0"/>
          <w:bCs/>
          <w:sz w:val="44"/>
          <w:szCs w:val="44"/>
        </w:rPr>
        <w:t>河长办关于印发《</w:t>
      </w:r>
      <w:r>
        <w:rPr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  <w:t>隆德县</w:t>
      </w:r>
      <w:r>
        <w:rPr>
          <w:rFonts w:hint="eastAsia" w:ascii="方正小标宋_GBK" w:eastAsia="方正小标宋_GBK"/>
          <w:b w:val="0"/>
          <w:bCs/>
          <w:sz w:val="44"/>
          <w:szCs w:val="44"/>
        </w:rPr>
        <w:t>河湖“四乱”问题清理整治“回头看”实施方案》的通知</w:t>
      </w:r>
    </w:p>
    <w:p>
      <w:pPr>
        <w:spacing w:after="312" w:afterLines="100" w:line="560" w:lineRule="exact"/>
        <w:jc w:val="center"/>
        <w:rPr>
          <w:rFonts w:hint="eastAsia" w:ascii="方正小标宋_GBK" w:hAnsi="黑体" w:eastAsia="方正小标宋_GBK"/>
          <w:b/>
          <w:kern w:val="0"/>
          <w:sz w:val="44"/>
          <w:szCs w:val="44"/>
        </w:rPr>
      </w:pPr>
    </w:p>
    <w:p>
      <w:pPr>
        <w:spacing w:beforeLines="5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乡镇、河长制各责任部门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隆德县</w:t>
      </w:r>
      <w:r>
        <w:rPr>
          <w:rFonts w:hint="eastAsia" w:ascii="仿宋_GB2312" w:hAnsi="仿宋_GB2312" w:eastAsia="仿宋_GB2312" w:cs="仿宋_GB2312"/>
          <w:sz w:val="32"/>
          <w:szCs w:val="32"/>
        </w:rPr>
        <w:t>河湖“四乱”问题清理整治“回头看”实施方案》印发给你们，请结合实际抓好落实。</w:t>
      </w:r>
    </w:p>
    <w:p>
      <w:pPr>
        <w:widowControl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138430</wp:posOffset>
            </wp:positionV>
            <wp:extent cx="1676400" cy="1597025"/>
            <wp:effectExtent l="0" t="0" r="0" b="3175"/>
            <wp:wrapNone/>
            <wp:docPr id="3" name="图片 4" descr="河长办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河长办电子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left="33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隆德县</w:t>
      </w:r>
      <w:r>
        <w:rPr>
          <w:rFonts w:hint="eastAsia" w:ascii="仿宋_GB2312" w:hAnsi="仿宋_GB2312" w:eastAsia="仿宋_GB2312" w:cs="仿宋_GB2312"/>
          <w:sz w:val="32"/>
          <w:szCs w:val="32"/>
        </w:rPr>
        <w:t>河长制办公室</w:t>
      </w:r>
    </w:p>
    <w:p>
      <w:pPr>
        <w:spacing w:line="580" w:lineRule="exact"/>
        <w:ind w:firstLine="641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  <w:t>隆德县</w:t>
      </w:r>
      <w:r>
        <w:rPr>
          <w:rFonts w:hint="eastAsia" w:ascii="方正小标宋_GBK" w:eastAsia="方正小标宋_GBK"/>
          <w:b w:val="0"/>
          <w:bCs/>
          <w:sz w:val="44"/>
          <w:szCs w:val="44"/>
        </w:rPr>
        <w:t>河湖“四乱”问题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</w:rPr>
        <w:t>清理整治“回头看”实施方案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河湖“清四乱”工作是</w:t>
      </w:r>
      <w:r>
        <w:rPr>
          <w:rFonts w:hint="eastAsia" w:ascii="仿宋_GB2312" w:hAnsi="仿宋_GB2312" w:eastAsia="仿宋_GB2312" w:cs="仿宋_GB2312"/>
          <w:color w:val="0F0F0F"/>
          <w:sz w:val="32"/>
          <w:szCs w:val="32"/>
        </w:rPr>
        <w:t>落实习近平生态文明思想的具体实践，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是河湖监管的有效手段和标志性工作，是河湖面貌明显改善的关键举措。根据自治区河长办《关于开展河湖“四乱”问题清理整治“回头看”的通知》（宁河长办〔2021〕5号）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固原市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河长办《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固原市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河湖“四乱”问题清理整治“回头看”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实施方案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固市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河长办〔2021〕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号）精神，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结合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实际，特制定本实施方案。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一、工作背景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自2018年水利部、自治区河长办部署开展“清四乱”工作以来，各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针对河湖突出问题，有序开展河湖“四乱”问题排查整治，全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河湖“四乱”现象得到有效遏制，取得了阶段性的成效。为确保问题整治到位，防止出现反弹，按照“清四乱”常态化规范化工作要求，组织开展河湖“四乱”问题清理整治“回头看”。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二、工作目标和主要内容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6"/>
          <w:rFonts w:hint="eastAsia" w:ascii="仿宋_GB2312" w:hAnsi="仿宋_GB2312" w:eastAsia="仿宋_GB2312" w:cs="仿宋_GB2312"/>
          <w:sz w:val="32"/>
          <w:szCs w:val="32"/>
        </w:rPr>
        <w:t>对自2018年“清四乱”工作开展以来，所有台账内的河湖“四乱”问题清理整治工作开展“回头看”，包括</w:t>
      </w:r>
      <w:r>
        <w:rPr>
          <w:rStyle w:val="17"/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Style w:val="16"/>
          <w:rFonts w:hint="eastAsia" w:ascii="仿宋_GB2312" w:hAnsi="仿宋_GB2312" w:eastAsia="仿宋_GB2312" w:cs="仿宋_GB2312"/>
          <w:sz w:val="32"/>
          <w:szCs w:val="32"/>
        </w:rPr>
        <w:t>“清四乱”专项行动、“携手清四乱，保护母亲河”专项行动、“清河行动”</w:t>
      </w:r>
      <w:r>
        <w:rPr>
          <w:rStyle w:val="16"/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Style w:val="16"/>
          <w:rFonts w:hint="eastAsia" w:ascii="仿宋_GB2312" w:hAnsi="仿宋_GB2312" w:eastAsia="仿宋_GB2312" w:cs="仿宋_GB2312"/>
          <w:sz w:val="32"/>
          <w:szCs w:val="32"/>
        </w:rPr>
        <w:t>河湖“清四乱”常态化规范化工作中的自查问题、水利部河湖保护中心反馈河湖“四乱”问题、水利部</w:t>
      </w:r>
      <w:r>
        <w:rPr>
          <w:rStyle w:val="17"/>
          <w:rFonts w:hint="eastAsia" w:ascii="仿宋_GB2312" w:hAnsi="仿宋_GB2312" w:eastAsia="仿宋_GB2312" w:cs="仿宋_GB2312"/>
          <w:sz w:val="32"/>
          <w:szCs w:val="32"/>
        </w:rPr>
        <w:t>2019-2020</w:t>
      </w:r>
      <w:r>
        <w:rPr>
          <w:rStyle w:val="16"/>
          <w:rFonts w:hint="eastAsia" w:ascii="仿宋_GB2312" w:hAnsi="仿宋_GB2312" w:eastAsia="仿宋_GB2312" w:cs="仿宋_GB2312"/>
          <w:sz w:val="32"/>
          <w:szCs w:val="32"/>
        </w:rPr>
        <w:t>年暗访发现问题（问题清单请进入“自治区河长制平台-日常办公-通知公告”中查阅）以及区、市督查检查发现问题。对照既定的问题台账逐一进行核查，严禁纸面销号、虚假整改，确保问题“真改实销”。</w:t>
      </w:r>
      <w:r>
        <w:rPr>
          <w:rStyle w:val="1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市、县</w:t>
      </w:r>
      <w:r>
        <w:rPr>
          <w:rStyle w:val="16"/>
          <w:rFonts w:hint="eastAsia" w:ascii="仿宋_GB2312" w:hAnsi="仿宋_GB2312" w:eastAsia="仿宋_GB2312" w:cs="仿宋_GB2312"/>
          <w:sz w:val="32"/>
          <w:szCs w:val="32"/>
        </w:rPr>
        <w:t>河长办按照不低于30%的比例对各</w:t>
      </w:r>
      <w:r>
        <w:rPr>
          <w:rStyle w:val="16"/>
          <w:rFonts w:hint="eastAsia" w:ascii="仿宋_GB2312" w:hAnsi="仿宋_GB2312" w:eastAsia="仿宋_GB2312" w:cs="仿宋_GB2312"/>
          <w:sz w:val="32"/>
          <w:szCs w:val="32"/>
          <w:lang w:eastAsia="zh-CN"/>
        </w:rPr>
        <w:t>乡（镇）</w:t>
      </w:r>
      <w:r>
        <w:rPr>
          <w:rStyle w:val="16"/>
          <w:rFonts w:hint="eastAsia" w:ascii="仿宋_GB2312" w:hAnsi="仿宋_GB2312" w:eastAsia="仿宋_GB2312" w:cs="仿宋_GB2312"/>
          <w:sz w:val="32"/>
          <w:szCs w:val="32"/>
        </w:rPr>
        <w:t>“回头看”工作进行抽查复核。</w:t>
      </w:r>
      <w:r>
        <w:rPr>
          <w:rStyle w:val="1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今后渉河非防洪工程建设项目必须按照程序进行审批，否则未经审批建设的渉河非防洪工程一律视为“四乱”。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三、行动步骤和进度安排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6"/>
          <w:rFonts w:hint="eastAsia" w:ascii="仿宋_GB2312" w:hAnsi="仿宋_GB2312" w:eastAsia="仿宋_GB2312" w:cs="仿宋_GB2312"/>
          <w:sz w:val="32"/>
          <w:szCs w:val="32"/>
        </w:rPr>
        <w:t>“清四乱”回头看专项行动包括摸底调查、集中整治、巩固提升三个阶段，2021年6月开始，2021年10月全面完成。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3" w:firstLineChars="200"/>
        <w:rPr>
          <w:rStyle w:val="16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333333"/>
          <w:sz w:val="32"/>
          <w:szCs w:val="32"/>
        </w:rPr>
        <w:t>（一）工作部署（2021年6月）。</w:t>
      </w:r>
      <w:r>
        <w:rPr>
          <w:rStyle w:val="16"/>
          <w:rFonts w:hint="eastAsia" w:ascii="仿宋_GB2312" w:hAnsi="仿宋_GB2312" w:eastAsia="仿宋_GB2312" w:cs="仿宋_GB2312"/>
          <w:sz w:val="32"/>
          <w:szCs w:val="32"/>
        </w:rPr>
        <w:t>研究制定实施方案， 明确具体措施、工作目标、责任人和时间节点，对“回头看”活动进行安排部署。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333333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color w:val="333333"/>
          <w:sz w:val="32"/>
          <w:szCs w:val="32"/>
          <w:lang w:eastAsia="zh-CN"/>
        </w:rPr>
        <w:t>乡（镇）</w:t>
      </w:r>
      <w:r>
        <w:rPr>
          <w:rFonts w:hint="eastAsia" w:ascii="楷体_GB2312" w:hAnsi="楷体_GB2312" w:eastAsia="楷体_GB2312" w:cs="楷体_GB2312"/>
          <w:b/>
          <w:color w:val="333333"/>
          <w:sz w:val="32"/>
          <w:szCs w:val="32"/>
        </w:rPr>
        <w:t>自查（2021年7月）。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按照实施方案，结合五河岸线利用项目专项整治行动，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严格按照《宁夏河湖“四乱”问题认定及清理整治标准》和《宁夏河湖“四乱”问题整改验收销号办法》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组织各有关单位认真排查，采取现场实地复核与查看资料相结合的方式，核查台账内河湖“四乱”问题整改是否彻底，销号是否规范。对预计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月底前仍不能完成销号的问题，应将补救措施落实情况、存在的主要问题及下一步工作计划予以说明，经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主要负责人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签字后报县河长办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县河长办报市河长办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333333"/>
          <w:sz w:val="32"/>
          <w:szCs w:val="32"/>
        </w:rPr>
        <w:t>（三）市级抽查复核（2021年8月）。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河长办根据各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乡（镇）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自查进展情况，认真做好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乡镇、责任部门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有关工作的指导督导，并按照不低于30%的比例进行复核工作，重点复核重大问题、难点问题、易反复问题。对于整改不彻底或销号不规范的问题以及复核表填写不完善的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及时釆取补救措施，并于8 月底前完成复核工作，同时将自查复核清单（样表见附件）报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河长办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县河长办汇总后报区、市河长办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333333"/>
          <w:sz w:val="32"/>
          <w:szCs w:val="32"/>
        </w:rPr>
        <w:t>（三）巩固提升（2021年9月—10月）。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整理“四乱”问题相关资料，完善问题整改台账。全面总结河湖“四乱”问题清理整治“回头看”实施情况、工作情况及经验，迎接自治区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固原市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河长办的抽查复核，并于10月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日前将工作总结及相关资料报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河长办。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四、工作要求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333333"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河湖“四乱”问题清理整治“回头看”工作范围广、任务重、时间紧、要求高，各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相关单位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务必高度重视，加强组织领导，强化责任担当，采取有效措施扎实开展工作。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333333"/>
          <w:sz w:val="32"/>
          <w:szCs w:val="32"/>
        </w:rPr>
        <w:t>（二）严格整治标准。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核查不得擅自降低标准、放宽标准，坚持立查立改的原则，对整改不彻底、验收销号不规范等问题，督促责任单位限期整改销号。各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相关单位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对涉及水污染的问题也要进行全面排查核查。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333333"/>
          <w:sz w:val="32"/>
          <w:szCs w:val="32"/>
        </w:rPr>
        <w:t>（三）保障行动实效。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要充分结合正在开展的五河岸线利用项目专项整治行动，充分运用“河长+检察长+警长”工作机制，对遗留问题、整治难度大的河湖“四乱”问题，要协调检察院通过下发检察建议书、提起公益诉讼等手段，推进“四乱”问题再整治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333333"/>
          <w:sz w:val="32"/>
          <w:szCs w:val="32"/>
        </w:rPr>
        <w:t>（四）加强资料归整。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相关单位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在工作中要注重收集整理“四乱”问题整改销号相关资料（包括整改前后对比照片、整改工作文件、验收销号文档等），及时完善整改台账。同时总结整改工作的典型经验、做法，及时报送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河长办。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姚国石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 xml:space="preserve">           联系电话：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3969397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ldxhzb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@163.com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left="1598" w:leftChars="304" w:hanging="960" w:hangingChars="3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single"/>
          <w:lang w:val="en-US" w:eastAsia="zh-CN"/>
        </w:rPr>
        <w:t xml:space="preserve">      乡镇（部门）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河湖“四乱”问题清理整治“回头看”自查复核清单（样表）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方正仿宋_GBK" w:eastAsia="方正仿宋_GBK" w:cstheme="minorBidi"/>
          <w:color w:val="000000"/>
          <w:kern w:val="2"/>
          <w:sz w:val="32"/>
          <w:szCs w:val="32"/>
        </w:rPr>
      </w:pP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left="1438" w:leftChars="304" w:hanging="800" w:hangingChars="250"/>
        <w:rPr>
          <w:rFonts w:ascii="方正仿宋_GBK" w:hAnsi="微软雅黑" w:eastAsia="方正仿宋_GBK"/>
          <w:color w:val="333333"/>
          <w:sz w:val="32"/>
          <w:szCs w:val="32"/>
        </w:rPr>
      </w:pP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left="1438" w:leftChars="304" w:hanging="800" w:hangingChars="250"/>
        <w:rPr>
          <w:rFonts w:ascii="方正仿宋_GBK" w:hAnsi="微软雅黑" w:eastAsia="方正仿宋_GBK"/>
          <w:color w:val="333333"/>
          <w:sz w:val="32"/>
          <w:szCs w:val="32"/>
        </w:rPr>
      </w:pP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left="1438" w:leftChars="304" w:hanging="800" w:hangingChars="250"/>
        <w:rPr>
          <w:rFonts w:ascii="方正仿宋_GBK" w:hAnsi="微软雅黑" w:eastAsia="方正仿宋_GBK"/>
          <w:color w:val="333333"/>
          <w:sz w:val="32"/>
          <w:szCs w:val="32"/>
        </w:rPr>
      </w:pP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方正仿宋_GBK" w:hAnsi="微软雅黑" w:eastAsia="方正仿宋_GBK"/>
          <w:color w:val="333333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方正仿宋_GBK" w:hAnsi="微软雅黑" w:eastAsia="方正仿宋_GBK"/>
          <w:color w:val="333333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方正仿宋_GBK" w:hAnsi="微软雅黑" w:eastAsia="方正仿宋_GBK"/>
          <w:color w:val="333333"/>
          <w:sz w:val="32"/>
          <w:szCs w:val="32"/>
        </w:rPr>
      </w:pPr>
    </w:p>
    <w:tbl>
      <w:tblPr>
        <w:tblStyle w:val="9"/>
        <w:tblpPr w:leftFromText="180" w:rightFromText="180" w:vertAnchor="text" w:horzAnchor="page" w:tblpX="1807" w:tblpY="1171"/>
        <w:tblOverlap w:val="never"/>
        <w:tblW w:w="8804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8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抄送：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区、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河长制办公室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县委、县人民政府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县级各河长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88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60" w:lineRule="exact"/>
              <w:ind w:right="0" w:rightChars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隆德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县河长制办公室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日印发</w:t>
            </w:r>
          </w:p>
        </w:tc>
      </w:tr>
    </w:tbl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14078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682"/>
        <w:gridCol w:w="791"/>
        <w:gridCol w:w="872"/>
        <w:gridCol w:w="1010"/>
        <w:gridCol w:w="1104"/>
        <w:gridCol w:w="1555"/>
        <w:gridCol w:w="1036"/>
        <w:gridCol w:w="968"/>
        <w:gridCol w:w="736"/>
        <w:gridCol w:w="669"/>
        <w:gridCol w:w="736"/>
        <w:gridCol w:w="723"/>
        <w:gridCol w:w="682"/>
        <w:gridCol w:w="763"/>
        <w:gridCol w:w="7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40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Style w:val="19"/>
                <w:lang w:val="en-US" w:eastAsia="zh-CN" w:bidi="ar"/>
              </w:rPr>
              <w:t>附件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 xml:space="preserve">            </w:t>
            </w:r>
            <w:r>
              <w:rPr>
                <w:rStyle w:val="19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Style w:val="20"/>
                <w:sz w:val="32"/>
                <w:szCs w:val="32"/>
                <w:lang w:val="en-US" w:eastAsia="zh-CN" w:bidi="ar"/>
              </w:rPr>
              <w:t xml:space="preserve">        </w:t>
            </w:r>
            <w:r>
              <w:rPr>
                <w:rStyle w:val="19"/>
                <w:rFonts w:hint="eastAsia"/>
                <w:sz w:val="32"/>
                <w:szCs w:val="32"/>
                <w:lang w:val="en-US" w:eastAsia="zh-CN" w:bidi="ar"/>
              </w:rPr>
              <w:t>乡镇（部门）</w:t>
            </w:r>
            <w:r>
              <w:rPr>
                <w:rStyle w:val="19"/>
                <w:sz w:val="32"/>
                <w:szCs w:val="32"/>
                <w:lang w:val="en-US" w:eastAsia="zh-CN" w:bidi="ar"/>
              </w:rPr>
              <w:t>河湖“四乱”问题清理整治“回头看”自查复核清单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填报单位（盖章）：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原问题序号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所在河流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所在市、乡（镇）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所在位置（乡、村）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发生位置描述</w:t>
            </w: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所在位置地理坐标</w:t>
            </w:r>
          </w:p>
        </w:tc>
        <w:tc>
          <w:tcPr>
            <w:tcW w:w="35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问题类型（打√）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是否整改彻底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经度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纬度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乱建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乱占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乱堆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乱采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07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一、“清四乱”专项行动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......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07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二、“携手清四乱 保护母亲河”专项行动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朱庄河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隆德县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神林乡杨野河村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占用临河土地洗沙；占用临河耕地用于制作预制块。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杨野河二组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105º56.294´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35º33.161´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√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请自然资源局、神林乡核查分别上报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魏李小河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隆德县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沙塘镇许沟村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和平村村民张兵在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甜水河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许沟村魏李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段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临岸耕地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取砂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乱堆混凝土碎块。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甜水河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许沟村魏李小河河道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106º0.333´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35º34.822´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√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请沙塘镇、自然资源局核查分别上报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......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渝南河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隆德县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陈靳乡陈靳村六组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在南河临河土地堆放砂石预制产品影响河道。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陈靳村六组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106º149´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35º508´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√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请自然资源局陈靳乡核查分别上报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07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三、“清河行动”专项行动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......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07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四、2019年水利部第一次暗访问题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......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07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五、2019年水利部第二次暗访问题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......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07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六、2020年水利部第一次暗访问题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......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07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七、2020年水利部第二次暗访问题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......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07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八、2020年水利部河湖中心暗访问题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......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07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九、宁夏2020年河湖自查“四乱”问题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......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十、合计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审核人：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填报时间：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原台账中未列项目可不填写；2.在小计、合计后一栏填问题个数。3.请自然资源局和陈靳乡、沙塘镇、神林乡对以上3个问题进行“回头看”自查复核，并于7月10日前向县河长办上报复核材料（包括自查复核报告、现场彩色照片）；4.虽然我县不涉及其它方面的“四乱”问题，但请各乡镇、各部门认真核查河流岸线利用项目，建好原有渉河建设项目台账和管理，做到底子清、管理措施到位（不影响河道行洪和水环境），对新建项目按照要求审批同意后建设，否则视为乱建，上级河长办要问责项目建设单位负责人。</w:t>
            </w:r>
          </w:p>
        </w:tc>
      </w:tr>
      <w:bookmarkEnd w:id="0"/>
    </w:tbl>
    <w:p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sectPr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Arial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1134" w:firstLine="0"/>
      </w:pPr>
      <w:rPr>
        <w:rFonts w:hint="eastAsia"/>
        <w:lang w:val="en-US"/>
      </w:rPr>
    </w:lvl>
    <w:lvl w:ilvl="1" w:tentative="0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9706D"/>
    <w:rsid w:val="00097881"/>
    <w:rsid w:val="0034788D"/>
    <w:rsid w:val="0039249A"/>
    <w:rsid w:val="00410DD1"/>
    <w:rsid w:val="00436B89"/>
    <w:rsid w:val="00713403"/>
    <w:rsid w:val="00781ED2"/>
    <w:rsid w:val="00785684"/>
    <w:rsid w:val="008049C1"/>
    <w:rsid w:val="00806197"/>
    <w:rsid w:val="00881B80"/>
    <w:rsid w:val="0098056E"/>
    <w:rsid w:val="00A830F9"/>
    <w:rsid w:val="00D30814"/>
    <w:rsid w:val="00D9706D"/>
    <w:rsid w:val="00F938F9"/>
    <w:rsid w:val="00FE0CD0"/>
    <w:rsid w:val="053E512C"/>
    <w:rsid w:val="08CF788D"/>
    <w:rsid w:val="112B0601"/>
    <w:rsid w:val="15D14E66"/>
    <w:rsid w:val="189A0003"/>
    <w:rsid w:val="1A7A20D1"/>
    <w:rsid w:val="259C28C8"/>
    <w:rsid w:val="2C9D23F2"/>
    <w:rsid w:val="39A24A0A"/>
    <w:rsid w:val="428E0AAF"/>
    <w:rsid w:val="43D3105F"/>
    <w:rsid w:val="44447B64"/>
    <w:rsid w:val="58054483"/>
    <w:rsid w:val="5A664847"/>
    <w:rsid w:val="5D760EDD"/>
    <w:rsid w:val="6C5E4F87"/>
    <w:rsid w:val="7CA5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numPr>
        <w:ilvl w:val="0"/>
        <w:numId w:val="1"/>
      </w:numPr>
      <w:ind w:firstLine="420"/>
    </w:pPr>
    <w:rPr>
      <w:rFonts w:ascii="宋体"/>
      <w:szCs w:val="20"/>
    </w:rPr>
  </w:style>
  <w:style w:type="paragraph" w:styleId="3">
    <w:name w:val="Body Text Indent"/>
    <w:basedOn w:val="1"/>
    <w:unhideWhenUsed/>
    <w:uiPriority w:val="99"/>
    <w:pPr>
      <w:spacing w:after="120" w:afterLines="0" w:afterAutospacing="0"/>
      <w:ind w:left="420" w:leftChars="200"/>
    </w:p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1"/>
    <w:link w:val="4"/>
    <w:semiHidden/>
    <w:qFormat/>
    <w:uiPriority w:val="99"/>
  </w:style>
  <w:style w:type="character" w:customStyle="1" w:styleId="16">
    <w:name w:val="fontstyle01"/>
    <w:basedOn w:val="11"/>
    <w:qFormat/>
    <w:uiPriority w:val="0"/>
    <w:rPr>
      <w:rFonts w:hint="eastAsia" w:ascii="宋体" w:hAnsi="宋体" w:eastAsia="宋体"/>
      <w:color w:val="000000"/>
      <w:sz w:val="30"/>
      <w:szCs w:val="30"/>
    </w:rPr>
  </w:style>
  <w:style w:type="character" w:customStyle="1" w:styleId="17">
    <w:name w:val="fontstyle21"/>
    <w:basedOn w:val="11"/>
    <w:qFormat/>
    <w:uiPriority w:val="0"/>
    <w:rPr>
      <w:rFonts w:hint="eastAsia" w:ascii="SimSun-ExtB" w:hAnsi="SimSun-ExtB" w:eastAsia="SimSun-ExtB"/>
      <w:color w:val="000000"/>
      <w:sz w:val="34"/>
      <w:szCs w:val="34"/>
    </w:rPr>
  </w:style>
  <w:style w:type="character" w:customStyle="1" w:styleId="18">
    <w:name w:val="fontstyle31"/>
    <w:basedOn w:val="11"/>
    <w:qFormat/>
    <w:uiPriority w:val="0"/>
    <w:rPr>
      <w:rFonts w:hint="default" w:ascii="ArialMT" w:hAnsi="ArialMT"/>
      <w:color w:val="000000"/>
      <w:sz w:val="16"/>
      <w:szCs w:val="16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0">
    <w:name w:val="font41"/>
    <w:basedOn w:val="1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single"/>
    </w:rPr>
  </w:style>
  <w:style w:type="character" w:customStyle="1" w:styleId="21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295</Words>
  <Characters>1683</Characters>
  <Lines>14</Lines>
  <Paragraphs>3</Paragraphs>
  <TotalTime>1</TotalTime>
  <ScaleCrop>false</ScaleCrop>
  <LinksUpToDate>false</LinksUpToDate>
  <CharactersWithSpaces>1975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2021-06-16T02:23:00Z</dcterms:created>
  <dc:creator>马晓武</dc:creator>
  <cp:lastModifiedBy>蓝天下的月光</cp:lastModifiedBy>
  <cp:lastPrinted>2021-07-02T00:58:00Z</cp:lastPrinted>
  <dcterms:modified xsi:type="dcterms:W3CDTF">2021-07-02T01:12:49Z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1004684884_btnclosed</vt:lpwstr>
  </property>
  <property fmtid="{D5CDD505-2E9C-101B-9397-08002B2CF9AE}" pid="3" name="KSOProductBuildVer">
    <vt:lpwstr>2052-11.8.2.8411</vt:lpwstr>
  </property>
  <property fmtid="{D5CDD505-2E9C-101B-9397-08002B2CF9AE}" pid="4" name="ICV">
    <vt:lpwstr>A19299C469F04FCBBE852402DD9F22C2</vt:lpwstr>
  </property>
</Properties>
</file>