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cs="Times New Roman"/>
        </w:rPr>
      </w:pPr>
      <w:bookmarkStart w:id="0" w:name="_Toc28000"/>
      <w:r>
        <w:rPr>
          <w:rFonts w:hint="eastAsia" w:cs="Times New Roman"/>
        </w:rPr>
        <w:t>附件：</w:t>
      </w:r>
      <w:r>
        <w:rPr>
          <w:rFonts w:hint="eastAsia" w:cs="Times New Roman"/>
          <w:lang w:val="en-US" w:eastAsia="zh-CN"/>
        </w:rPr>
        <w:t xml:space="preserve"> </w:t>
      </w:r>
      <w:bookmarkStart w:id="1" w:name="_GoBack"/>
      <w:bookmarkEnd w:id="1"/>
      <w:r>
        <w:rPr>
          <w:rFonts w:hint="eastAsia" w:cs="Times New Roman"/>
          <w:lang w:val="en-US" w:eastAsia="zh-CN"/>
        </w:rPr>
        <w:t>河道管理范围线示意图</w:t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916295" cy="1237615"/>
            <wp:effectExtent l="0" t="0" r="8255" b="635"/>
            <wp:docPr id="109434797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47975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r="93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40" w:beforeLines="100"/>
        <w:ind w:firstLine="480"/>
        <w:jc w:val="center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>附图 1-1</w:t>
      </w:r>
      <w:r>
        <w:rPr>
          <w:rFonts w:hint="eastAsia" w:ascii="黑体" w:hAnsi="黑体" w:eastAsia="黑体" w:cs="黑体"/>
          <w:lang w:eastAsia="zh-CN"/>
        </w:rPr>
        <w:t>好水川河河道范围管理线示意图（</w:t>
      </w:r>
      <w:r>
        <w:rPr>
          <w:rFonts w:hint="eastAsia" w:ascii="黑体" w:hAnsi="黑体" w:eastAsia="黑体" w:cs="黑体"/>
          <w:lang w:val="en-US" w:eastAsia="zh-CN"/>
        </w:rPr>
        <w:t>整体</w:t>
      </w:r>
      <w:r>
        <w:rPr>
          <w:rFonts w:hint="eastAsia" w:ascii="黑体" w:hAnsi="黑体" w:eastAsia="黑体" w:cs="黑体"/>
          <w:lang w:eastAsia="zh-CN"/>
        </w:rPr>
        <w:t>）</w:t>
      </w:r>
    </w:p>
    <w:p>
      <w:pPr>
        <w:rPr>
          <w:rFonts w:hint="eastAsia"/>
          <w:lang w:eastAsia="zh-CN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803900" cy="4374515"/>
            <wp:effectExtent l="0" t="0" r="6350" b="6985"/>
            <wp:docPr id="94985423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54233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240" w:beforeLines="100"/>
        <w:ind w:firstLine="174" w:firstLineChars="83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注：红线为2019年河道管理范围线；蓝线为调整后的河道管理范围线；黄线为调整处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黑体" w:hAnsi="黑体" w:eastAsia="黑体" w:cs="黑体"/>
          <w:lang w:val="en-US" w:eastAsia="zh-CN"/>
        </w:rPr>
        <w:t xml:space="preserve">附图1-2   </w:t>
      </w:r>
      <w:r>
        <w:rPr>
          <w:rFonts w:hint="eastAsia" w:ascii="黑体" w:hAnsi="黑体" w:eastAsia="黑体" w:cs="黑体"/>
          <w:lang w:eastAsia="zh-CN"/>
        </w:rPr>
        <w:t>好水川河河道范围管理线示意图（局部）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759450" cy="1517015"/>
            <wp:effectExtent l="0" t="0" r="12700" b="6985"/>
            <wp:docPr id="33038089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80895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40" w:beforeLines="100"/>
        <w:ind w:firstLine="480"/>
        <w:jc w:val="center"/>
        <w:rPr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>附图2-1</w:t>
      </w:r>
      <w:r>
        <w:rPr>
          <w:rFonts w:hint="eastAsia" w:ascii="黑体" w:hAnsi="黑体" w:eastAsia="黑体" w:cs="黑体"/>
          <w:lang w:eastAsia="zh-CN"/>
        </w:rPr>
        <w:t>甜水河河道范围管理线示意图（整体）</w:t>
      </w:r>
    </w:p>
    <w:p>
      <w:pPr>
        <w:pStyle w:val="5"/>
        <w:spacing w:before="240" w:beforeLines="100"/>
        <w:ind w:firstLine="480"/>
        <w:jc w:val="center"/>
        <w:rPr>
          <w:rFonts w:hint="eastAsia"/>
          <w:lang w:eastAsia="zh-CN"/>
        </w:rPr>
      </w:pPr>
    </w:p>
    <w:p>
      <w:pPr>
        <w:pStyle w:val="5"/>
        <w:spacing w:before="240" w:beforeLines="100"/>
        <w:ind w:firstLine="480"/>
        <w:jc w:val="center"/>
        <w:rPr>
          <w:rFonts w:hint="eastAsia"/>
          <w:lang w:eastAsia="zh-CN"/>
        </w:rPr>
      </w:pPr>
    </w:p>
    <w:p>
      <w:pPr>
        <w:pStyle w:val="5"/>
        <w:spacing w:before="240" w:beforeLines="100"/>
        <w:ind w:firstLine="480"/>
        <w:jc w:val="center"/>
        <w:rPr>
          <w:rFonts w:hint="eastAsia"/>
          <w:lang w:eastAsia="zh-CN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759450" cy="3800475"/>
            <wp:effectExtent l="0" t="0" r="12700" b="9525"/>
            <wp:docPr id="85562892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28920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240" w:beforeLines="100"/>
        <w:ind w:firstLine="174" w:firstLineChars="83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注：红线为2019年河道管理范围线；蓝线为调整后的河道管理范围线；黄线为调整处</w:t>
      </w:r>
    </w:p>
    <w:p>
      <w:pPr>
        <w:pStyle w:val="5"/>
        <w:spacing w:before="240" w:beforeLines="100"/>
        <w:ind w:firstLine="480"/>
        <w:jc w:val="center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附图2-2 </w:t>
      </w:r>
      <w:r>
        <w:rPr>
          <w:rFonts w:hint="eastAsia" w:ascii="黑体" w:hAnsi="黑体" w:eastAsia="黑体" w:cs="黑体"/>
          <w:lang w:eastAsia="zh-CN"/>
        </w:rPr>
        <w:t>甜水河河道范围管理线示意图（局部）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759450" cy="1134745"/>
            <wp:effectExtent l="0" t="0" r="12700" b="8255"/>
            <wp:docPr id="16662308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3080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40" w:beforeLines="100"/>
        <w:ind w:firstLine="480"/>
        <w:jc w:val="center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附图3-1 </w:t>
      </w:r>
      <w:r>
        <w:rPr>
          <w:rFonts w:hint="eastAsia" w:ascii="黑体" w:hAnsi="黑体" w:eastAsia="黑体" w:cs="黑体"/>
          <w:lang w:eastAsia="zh-CN"/>
        </w:rPr>
        <w:t>朱庄河范围管理线示意图（整体）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759450" cy="5108575"/>
            <wp:effectExtent l="0" t="0" r="12700" b="15875"/>
            <wp:docPr id="169188127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81273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40" w:beforeLines="100"/>
        <w:ind w:firstLine="480"/>
        <w:jc w:val="center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注：红线为2019年河道管理范围线；蓝线为调整后的河道管理范围线；黄线为调整处</w:t>
      </w:r>
    </w:p>
    <w:p>
      <w:pPr>
        <w:pStyle w:val="5"/>
        <w:spacing w:before="240" w:beforeLines="100"/>
        <w:ind w:firstLine="480"/>
        <w:jc w:val="center"/>
        <w:rPr>
          <w:rFonts w:ascii="仿宋_GB2312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附图3-2 </w:t>
      </w:r>
      <w:r>
        <w:rPr>
          <w:rFonts w:hint="eastAsia" w:ascii="黑体" w:hAnsi="黑体" w:eastAsia="黑体" w:cs="黑体"/>
          <w:lang w:eastAsia="zh-CN"/>
        </w:rPr>
        <w:t>朱庄河范围管理线示意图（</w:t>
      </w:r>
      <w:r>
        <w:rPr>
          <w:rFonts w:hint="eastAsia" w:ascii="黑体" w:hAnsi="黑体" w:eastAsia="黑体" w:cs="黑体"/>
          <w:lang w:val="en-US" w:eastAsia="zh-CN"/>
        </w:rPr>
        <w:t>局部</w:t>
      </w:r>
      <w:r>
        <w:rPr>
          <w:rFonts w:hint="eastAsia" w:ascii="黑体" w:hAnsi="黑体" w:eastAsia="黑体" w:cs="黑体"/>
          <w:lang w:eastAsia="zh-CN"/>
        </w:rPr>
        <w:t>）</w:t>
      </w:r>
    </w:p>
    <w:p/>
    <w:sectPr>
      <w:pgSz w:w="11906" w:h="16838"/>
      <w:pgMar w:top="1616" w:right="1418" w:bottom="1616" w:left="1418" w:header="964" w:footer="1304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jU2NjZhNjQ2MGViNDRhMGVlOTkwZWI5NDU2OWUifQ=="/>
  </w:docVars>
  <w:rsids>
    <w:rsidRoot w:val="43995656"/>
    <w:rsid w:val="2E1F613B"/>
    <w:rsid w:val="43995656"/>
    <w:rsid w:val="6DBE7981"/>
    <w:rsid w:val="77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djustRightInd w:val="0"/>
      <w:snapToGrid w:val="0"/>
      <w:spacing w:before="240" w:after="240" w:line="560" w:lineRule="exact"/>
      <w:outlineLvl w:val="0"/>
    </w:pPr>
    <w:rPr>
      <w:rFonts w:ascii="Arial" w:hAnsi="Arial" w:eastAsia="黑体"/>
      <w:bCs/>
      <w:kern w:val="44"/>
      <w:sz w:val="36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27号线正文"/>
    <w:basedOn w:val="1"/>
    <w:next w:val="1"/>
    <w:qFormat/>
    <w:uiPriority w:val="0"/>
    <w:pPr>
      <w:adjustRightInd w:val="0"/>
      <w:snapToGrid w:val="0"/>
      <w:spacing w:line="360" w:lineRule="auto"/>
      <w:ind w:firstLine="200" w:firstLineChars="200"/>
    </w:pPr>
    <w:rPr>
      <w:rFonts w:ascii="Times New Roman" w:hAnsi="Times New Roman" w:eastAsia="仿宋_GB2312" w:cs="Times New Roman"/>
      <w:kern w:val="0"/>
      <w:sz w:val="24"/>
      <w:szCs w:val="21"/>
      <w:lang w:eastAsia="en-US" w:bidi="en-US"/>
    </w:rPr>
  </w:style>
  <w:style w:type="paragraph" w:customStyle="1" w:styleId="6">
    <w:name w:val="报告正文 Char3"/>
    <w:basedOn w:val="1"/>
    <w:qFormat/>
    <w:uiPriority w:val="0"/>
    <w:pPr>
      <w:ind w:firstLine="200" w:firstLineChars="200"/>
    </w:pPr>
    <w:rPr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2024-10-22T23:25:00Z</dcterms:created>
  <dc:creator>MY~heart</dc:creator>
  <cp:lastModifiedBy>guyuan</cp:lastModifiedBy>
  <cp:lastPrinted>2024-10-22T23:50:00Z</cp:lastPrinted>
  <dcterms:modified xsi:type="dcterms:W3CDTF">2024-10-23T17:22:26Z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BAFD21F8633A4D45A6C0DF08368EA86B_11</vt:lpwstr>
  </property>
</Properties>
</file>