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好水乡履行职责事项清单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............................................................................................................................35</w:t>
          </w:r>
        </w:p>
        <w:p>
          <w:pPr>
            <w:pStyle w:val="2"/>
            <w:jc w:val="both"/>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开展农业技术宣传、推广、培训和队伍建设工作，推进农药化肥减量增效和病虫害绿色防控，做好农业领域防灾减灾相关工作。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持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建设肉牛、冷凉蔬菜、菌菇、道地中药材等特色产业基地，发展新质生产力，推动农业产业优化升级。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w:t>
            </w: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
城乡建设和交通运输局
市场监督管理局、公安局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财政局、农业农村局、林业和草原局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财政部门：制定政策性农业保险实施方案；统筹落实农户购买农业保险，按照相关规定予以补贴。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林业和草原部门：指导乡镇开展经果林农业保险购买情况摸底；统计经果林农业保险购买情况，核实成灾面积和经果林受灾程度，对接保险公司予以赔付。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 xml:space="preserve">农业农村局      </w:t>
            </w:r>
            <w:r>
              <w:rPr>
                <w:rFonts w:hint="eastAsia" w:ascii="Times New Roman" w:hAnsi="方正公文仿宋" w:eastAsia="方正公文仿宋"/>
                <w:kern w:val="0"/>
                <w:szCs w:val="21"/>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w:t>
            </w:r>
            <w:r>
              <w:rPr>
                <w:rFonts w:hint="eastAsia" w:ascii="Times New Roman" w:hAnsi="方正公文仿宋" w:eastAsia="方正公文仿宋"/>
                <w:kern w:val="0"/>
                <w:szCs w:val="21"/>
                <w:lang w:eastAsia="zh-CN" w:bidi="ar"/>
              </w:rPr>
              <w:t>民族宗教和事务局</w:t>
            </w:r>
            <w:r>
              <w:rPr>
                <w:rFonts w:hint="eastAsia" w:ascii="Times New Roman" w:hAnsi="方正公文仿宋" w:eastAsia="方正公文仿宋"/>
                <w:kern w:val="0"/>
                <w:szCs w:val="21"/>
                <w:lang w:bidi="ar"/>
              </w:rPr>
              <w:t>、卫生健康局、工业信息化和商务局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水务局
</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农村局等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4.配合住建部门做好房屋等级鉴定；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5.根据住建部门反馈的专业鉴定报告，建立完善隐患台账；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城乡建设和交通运输部门：对住宅小区内建设单位和个人未经批准进行临时建设等行为进行认定，确认违法行为，进行行政处罚。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自然资源部门：对建设单位和个人未经批准进行临时建设等行为进行认定，确认违法行为，对违法行为立案查处或将线索移交赋权的执法部门查处。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自然资源部门、城乡建设和交通运输部门等相关部门按照职责分工负责：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清理在城市道路、桥梁、公共场地、公共绿地、水域、供排水设施、水利设施或者其他非指定场地倾倒的逾期不清理的建筑垃圾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1.负责对随意倾倒城市建筑垃圾违法行为进行查处。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2.负责对逾期未清理的城市建筑垃圾进行清理。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民族宗教和事务局</w:t>
            </w:r>
            <w:r>
              <w:rPr>
                <w:rFonts w:hint="eastAsia" w:ascii="Times New Roman" w:hAnsi="方正公文仿宋" w:eastAsia="方正公文仿宋"/>
                <w:kern w:val="0"/>
                <w:szCs w:val="21"/>
                <w:lang w:bidi="ar"/>
              </w:rPr>
              <w:t>、卫生健康部门、农业农村局、工业信息化和商务局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消防救援大队、应急管理局、公安局、城乡建设和交通运输、工信、市场监管等负有安全生产监管职责相关部门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消防救援大队、应急管理、公安部门、城乡建设和交通运输、工信、综合执法、市场监管等相关部门按照职责分工负责：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应急管理局市场监督管理局、消防等有关部门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、市场</w:t>
            </w:r>
            <w:r>
              <w:rPr>
                <w:rFonts w:hint="eastAsia" w:ascii="Times New Roman" w:hAnsi="方正公文仿宋" w:eastAsia="方正公文仿宋"/>
                <w:kern w:val="0"/>
                <w:szCs w:val="21"/>
                <w:lang w:eastAsia="zh-CN" w:bidi="ar"/>
              </w:rPr>
              <w:t>监督管理局</w:t>
            </w:r>
            <w:r>
              <w:rPr>
                <w:rFonts w:hint="eastAsia" w:ascii="Times New Roman" w:hAnsi="方正公文仿宋" w:eastAsia="方正公文仿宋"/>
                <w:kern w:val="0"/>
                <w:szCs w:val="21"/>
                <w:lang w:bidi="ar"/>
              </w:rPr>
              <w:t>、应急管</w:t>
            </w:r>
            <w:r>
              <w:rPr>
                <w:rFonts w:hint="eastAsia" w:ascii="Times New Roman" w:hAnsi="方正公文仿宋" w:eastAsia="方正公文仿宋"/>
                <w:kern w:val="0"/>
                <w:szCs w:val="21"/>
                <w:lang w:bidi="ar"/>
              </w:rPr>
              <w:t>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2.会同城乡建设局和水务局依据地质灾害防治规划，拟定年度地质灾害防治方案；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6.会同城乡建设局和水务局拟定地质灾害应急预案。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应急部门：负责本辖区内烟花爆竹经营、储存的安全监督管理工作。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公安部门：负责烟花爆竹道路运输安全监管，从严审批焰火晚会等大型活动，积极开展“打非治违”并及时销毁非法烟花爆竹，依法打击惩处以危害公共安全和人身、财产安全的方式燃放烟花爆竹的违法行为。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自然资源</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2.联合县城乡建设和交通运输局、公安局、乡镇（街道）及社区工作人员对小区内搭建灵棚治丧投诉进行治理；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w:t>
            </w:r>
            <w:r>
              <w:rPr>
                <w:rFonts w:hint="eastAsia" w:ascii="Times New Roman" w:hAnsi="方正公文仿宋" w:eastAsia="方正公文仿宋"/>
                <w:kern w:val="0"/>
                <w:szCs w:val="21"/>
                <w:lang w:eastAsia="zh-CN" w:bidi="ar"/>
              </w:rPr>
              <w:t>卫生健康局</w:t>
            </w:r>
            <w:r>
              <w:rPr>
                <w:rFonts w:hint="eastAsia" w:ascii="Times New Roman" w:hAnsi="方正公文仿宋" w:eastAsia="方正公文仿宋"/>
                <w:kern w:val="0"/>
                <w:szCs w:val="21"/>
                <w:lang w:bidi="ar"/>
              </w:rPr>
              <w:t>、残联、医保局联合开展老年人能力评估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工业信息化和商务局</w:t>
            </w:r>
            <w:r>
              <w:rPr>
                <w:rFonts w:hint="eastAsia" w:ascii="Times New Roman" w:hAnsi="方正公文仿宋" w:eastAsia="方正公文仿宋"/>
                <w:kern w:val="0"/>
                <w:szCs w:val="21"/>
                <w:lang w:bidi="ar"/>
              </w:rPr>
              <w:t>：协调餐饮企业回收乙醇、甲醇等不符合规定的燃料。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城乡建设和交通运输局</w:t>
            </w:r>
            <w:r>
              <w:rPr>
                <w:rFonts w:hint="eastAsia" w:ascii="Times New Roman" w:hAnsi="方正公文仿宋" w:eastAsia="方正公文仿宋"/>
                <w:kern w:val="0"/>
                <w:szCs w:val="21"/>
                <w:lang w:bidi="ar"/>
              </w:rPr>
              <w:t>：对危险化学品的运输、储存、使用以及废弃化学品的处理进行监督管理，对违法行为的单位或个人依照法律处理。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固原市</w:t>
            </w:r>
            <w:r>
              <w:rPr>
                <w:rFonts w:hint="eastAsia" w:ascii="Times New Roman" w:hAnsi="方正公文仿宋" w:eastAsia="方正公文仿宋"/>
                <w:kern w:val="0"/>
                <w:szCs w:val="21"/>
                <w:lang w:bidi="ar"/>
              </w:rPr>
              <w:t>生态环境局</w:t>
            </w:r>
            <w:r>
              <w:rPr>
                <w:rFonts w:hint="eastAsia" w:ascii="Times New Roman" w:hAnsi="方正公文仿宋" w:eastAsia="方正公文仿宋"/>
                <w:kern w:val="0"/>
                <w:szCs w:val="21"/>
                <w:lang w:eastAsia="zh-CN" w:bidi="ar"/>
              </w:rPr>
              <w:t>隆德分局</w:t>
            </w:r>
            <w:r>
              <w:rPr>
                <w:rFonts w:hint="eastAsia" w:ascii="Times New Roman" w:hAnsi="方正公文仿宋" w:eastAsia="方正公文仿宋"/>
                <w:kern w:val="0"/>
                <w:szCs w:val="21"/>
                <w:lang w:bidi="ar"/>
              </w:rPr>
              <w:t>：根据中央810项上级部门收回事项（正式印发定稿）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市场监督管理局</w:t>
            </w:r>
            <w:r>
              <w:rPr>
                <w:rFonts w:hint="eastAsia" w:ascii="Times New Roman" w:hAnsi="方正公文仿宋" w:eastAsia="方正公文仿宋"/>
                <w:kern w:val="0"/>
                <w:szCs w:val="21"/>
                <w:lang w:bidi="ar"/>
              </w:rPr>
              <w:t>：监督管理，对违法行为依法查处。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5E43D2"/>
    <w:rsid w:val="7DBBCA18"/>
    <w:rsid w:val="7F7DA56D"/>
    <w:rsid w:val="DB9F6796"/>
    <w:rsid w:val="FFFF8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2</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guyuan</cp:lastModifiedBy>
  <dcterms:modified xsi:type="dcterms:W3CDTF">2025-04-24T09:50:55Z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