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杨河乡履行职责事项清单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以杨河牧业发展有限公司的肉牛产业联合体为主体，推广“智慧养殖”APP，辐射带动养殖户致富增收。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依托杨河牧业等龙头企业培育优质肉牛，开展牛肉分割，延长产业链，打造隆德县雪花牛肉地标产品。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在杨河牧业发展有限公司等建设“秦安”杂交基地，推进肉牛良种扩繁。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组织各村实施肉牛养殖“出户入园”、百头、五百头、千头规模养殖场改造提升项目。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落实粮食安全生产责任制，稳定粮食播种面积，完成粮食和重要农产品生产任务，加强非粮化日常巡查，核定上报耕地地力保护补贴、种粮农民一次性补贴。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开展农业技术队伍建设、宣传、推广、培训工作，推进农药化肥减量增效和病虫害绿色防控，做好农业领域防灾减灾相关工作。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打造“牛文化”元素展厅、广场、雕像等，促进一二三产业融合发展。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
城乡建设和交通运输局
市场监督管理局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教体局：做好校园周边安全人员配备引导工作。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
农业农村局
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农业农村局、市场监督管理局、民宗局、卫生健康局、工业信息化和商务局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固原市生态环境局隆德分局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市场监督管理局、民宗局、卫生健康局、农业农村局、工业信息化和商务局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局、工信、市场监管等负有安全生产监管职责相关部门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、工信、市场监管等相关部门按照职责分工负责：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市场监督管理、卫健、公安等相关部门：按照职责分工落实行业领域风险隐患排查整治工作职责。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2.负责组织、协调和指导本行政区域的森林防火工作；3.组织经常性的森林防火宣传活动和预防工作；4.加强森林基础设施建设，储备防火物资，完善指挥信息系统；5.开展森林火灾应急预案的演练编制森林火灾应急预案，组织各乡镇制定森林火灾应急处置办法，建立森林火灾专业扑救队伍，进行培训和演练；6.组织有关部门进行检查；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9.及时对森林火灾进行调查和评估，依法处理；10.负责森林草原野外防火的监督和管理；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城乡建设和交通运输局、市场监督管理局、应急管理局、工业信息化和商务局等涉及的行业主管部门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开展冬季安全取暖宣传工作，摸排辖区内使用煤烟取暖的住户，配合农业农村局对相关住户进行安全隐患排查整改。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2.会同城乡建设和交通运输局、水务局等部门依据地质灾害防治规划，拟定年度地质灾害防治方案；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4.发生地质灾害灾情或者险情时，及时组织人员赴现场应急处置，同时向上级人民政府和自然资源局报告，协助相关部门开展应急处置、救援和善后工作。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w:t>
            </w:r>
            <w:bookmarkStart w:id="12" w:name="_GoBack"/>
            <w:bookmarkEnd w:id="12"/>
            <w:r>
              <w:rPr>
                <w:rFonts w:hint="eastAsia" w:ascii="Times New Roman" w:hAnsi="方正公文仿宋" w:eastAsia="方正公文仿宋"/>
                <w:kern w:val="0"/>
                <w:szCs w:val="21"/>
                <w:lang w:bidi="ar"/>
              </w:rPr>
              <w:t>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民政和退役军人事务局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w:t>
            </w:r>
          </w:p>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金融</w:t>
            </w:r>
            <w:r>
              <w:rPr>
                <w:rFonts w:hint="eastAsia" w:ascii="Times New Roman" w:hAnsi="方正公文仿宋" w:eastAsia="方正公文仿宋"/>
                <w:kern w:val="0"/>
                <w:szCs w:val="21"/>
                <w:lang w:eastAsia="zh-CN" w:bidi="ar"/>
              </w:rPr>
              <w:t>监督</w:t>
            </w:r>
            <w:r>
              <w:rPr>
                <w:rFonts w:hint="eastAsia" w:ascii="Times New Roman" w:hAnsi="方正公文仿宋" w:eastAsia="方正公文仿宋"/>
                <w:kern w:val="0"/>
                <w:szCs w:val="21"/>
                <w:lang w:bidi="ar"/>
              </w:rPr>
              <w:t>管理</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应急管理局、市监局、工信和商务局：协调餐饮企业回收乙醇、甲醇等不符合规定的燃料。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w:t>
            </w:r>
            <w:r>
              <w:rPr>
                <w:rFonts w:hint="eastAsia" w:ascii="Times New Roman" w:hAnsi="方正公文仿宋" w:eastAsia="方正公文仿宋"/>
                <w:kern w:val="0"/>
                <w:szCs w:val="21"/>
                <w:lang w:bidi="ar"/>
              </w:rPr>
              <w:t>和交通</w:t>
            </w:r>
            <w:r>
              <w:rPr>
                <w:rFonts w:hint="eastAsia" w:ascii="Times New Roman" w:hAnsi="方正公文仿宋" w:eastAsia="方正公文仿宋"/>
                <w:kern w:val="0"/>
                <w:szCs w:val="21"/>
                <w:lang w:eastAsia="zh-CN" w:bidi="ar"/>
              </w:rPr>
              <w:t>运输</w:t>
            </w:r>
            <w:r>
              <w:rPr>
                <w:rFonts w:hint="eastAsia" w:ascii="Times New Roman" w:hAnsi="方正公文仿宋" w:eastAsia="方正公文仿宋"/>
                <w:kern w:val="0"/>
                <w:szCs w:val="21"/>
                <w:lang w:bidi="ar"/>
              </w:rPr>
              <w:t>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城乡建设和交通运输局、市监局：监督管理，对违法行为依法查处。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CFA2D1"/>
    <w:rsid w:val="5EFE5C98"/>
    <w:rsid w:val="62F506B1"/>
    <w:rsid w:val="67DEEE48"/>
    <w:rsid w:val="6B8FADE5"/>
    <w:rsid w:val="6BB2276F"/>
    <w:rsid w:val="B3BB05E6"/>
    <w:rsid w:val="B9E692EB"/>
    <w:rsid w:val="F7FDE4F4"/>
    <w:rsid w:val="FE9B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43</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guyuan</cp:lastModifiedBy>
  <dcterms:modified xsi:type="dcterms:W3CDTF">2025-04-24T09:54:47Z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