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温堡乡履行职责事项清单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培育现代乡村产业，指导、扶持和服务农民专业合作社、家庭农场等新型经营主体发展，开展“乡村振兴一村一年一事”行动，做好“土特产”文章，发展乡村种养业、加工流通业、休闲旅游业、乡村服务业。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开展农业技术宣传、推广、培训工作，加强基层农业技术推广队伍建设，推进农药化肥减量增效和病虫害绿色防控，做好农业领域防灾减灾相关工作。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做好农村电商服务站日常运行、电商人才培育工作，开展消费帮扶活动。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做好辖区企业的服务保障工作，推动农副产品加工、预制产品加工等加工业发展，支持企业打造本土特色品牌。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建设道地中药材等特色产业基地，发展新质生产力，推动农业产业优化升级。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支持全乡新型经营主体发展饲草调制项目验收、公示和资金兑付。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做好村集体经济及新型经营主体联农带农情况摸底、统计，对特殊困难群众联农带农工作的宣传、动员、统计上报。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实施吴沟村移民致富提升行动，做好基础设施改善、产业发展、文化教育、就业帮扶、社会融入等工作。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深入挖掘本地文化内涵，创新文创产品研发，做大做强“杨氏彩塑”国家级</w:t>
            </w:r>
            <w:r>
              <w:rPr>
                <w:rFonts w:hint="eastAsia" w:ascii="Times New Roman" w:hAnsi="方正公文仿宋" w:eastAsia="方正公文仿宋"/>
                <w:kern w:val="0"/>
                <w:szCs w:val="21"/>
                <w:lang w:eastAsia="zh-CN" w:bidi="ar"/>
              </w:rPr>
              <w:t>非物质文化遗产</w:t>
            </w:r>
            <w:r>
              <w:rPr>
                <w:rFonts w:hint="eastAsia" w:ascii="Times New Roman" w:hAnsi="方正公文仿宋" w:eastAsia="方正公文仿宋"/>
                <w:kern w:val="0"/>
                <w:szCs w:val="21"/>
                <w:lang w:bidi="ar"/>
              </w:rPr>
              <w:t>。</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教育体育局
城乡建设和交通运输局
市场监督管理局
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教体局：做好校园周边安全人员配备引导工作。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城乡建设和交通运输局：设置规范的警示标志等，对校园周边违法占道经营行为查处。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公安局:落实校园周边“高峰勤务”和“护学岗”机制。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
农业农村局
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农业农村局、市场监督管理局、民宗局、卫生健康局、工业信息化和商务局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3.民族宗教事务部门、市场监督管理部门、综合执法部门等负责全县食用农产品清真标识的监督管理工作。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
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
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城乡建设和交通运输局：对住宅小区内建设单位和个人未经批准进行临时建设等行为进行认定，确认违法行为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
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市场监督管理局、民宗局、卫生健康局、农业农村局、工业信息化和商务局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2.民族宗教事务部门、综合执法部门、市场监督管理部门负责全县清真食品的监督管理工作。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局、工信、市场监管等负有安全生产监管职责相关部门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、工信、综合执法、市场监管等相关部门按照职责分工负责：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市场监督管理局、卫健、公安等相关部门：按照职责分工落实行业领域风险隐患排查整治工作职责。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督促镇（村）干部开展生产经营单位安全风险隐患排查整治行动并报送开展情况。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2.负责组织、协调和指导本行政区域的森林防火工作；3.组织经常性的森林防火宣传活动和预防工作；4.加强森林基础设施建设，储备防火物资，完善指挥信息系统；5.开展森林火灾应急预案的演练编制森林火灾应急预案，组织各乡镇制定森林火灾应急处置办法，建立森林火灾专业扑救队伍，进行培训和演练；6.组织有关部门进行检查；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9.及时对森林火灾进行调查和评估，依法处理；10.负责森林草原野外防火的监督和管理；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城乡建设和交通运输局、市场监督管理局、应急管理局、工业信息化和商务局等涉及的行业主管部门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开展冬季安全取暖宣传工作，摸排辖区内使用煤烟取暖的住户，配合农业农村局对相关住户进行安全隐患排查整改。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2.会同城乡建设和交通运输局、水务局等部门依据地质灾害防治规划，拟定年度地质灾害防治方案；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4.发生地质灾害灾情或者险情时，及时组织人员赴现场应急处置，同时向上级人民政府和自然资源局报告，协助相关部门开展应急处置、救援和善后工作。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对商贸流通领域开展安全生产检查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工业信息化和商务局：按照职责指导、督促商场、餐饮、住宿等商贸服务业（不含“九小”场所）的安全生产管理工作，协调、配合相关部门开展商贸流通领域安全隐患排查整治等工作。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1.配合相关部门对辖区内各类商贸流通领域生产经营单位进行日常安全隐患排查。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2.配合相关部门对发现问题开展整改整治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民政和退役军人事务局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w:t>
            </w:r>
          </w:p>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金融监督管理局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民政和退役军人事务局、人社局、卫健局、残联、医保局联合开展老年人能力评估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应急管理局、市监局、工信和商务局：协调餐饮企业回收乙醇、甲醇等不符合规定的燃料。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w:t>
            </w:r>
            <w:r>
              <w:rPr>
                <w:rFonts w:hint="eastAsia" w:ascii="Times New Roman" w:hAnsi="方正公文仿宋" w:eastAsia="方正公文仿宋"/>
                <w:kern w:val="0"/>
                <w:szCs w:val="21"/>
                <w:lang w:bidi="ar"/>
              </w:rPr>
              <w:t>和交通</w:t>
            </w:r>
            <w:r>
              <w:rPr>
                <w:rFonts w:hint="eastAsia" w:ascii="Times New Roman" w:hAnsi="方正公文仿宋" w:eastAsia="方正公文仿宋"/>
                <w:kern w:val="0"/>
                <w:szCs w:val="21"/>
                <w:lang w:eastAsia="zh-CN" w:bidi="ar"/>
              </w:rPr>
              <w:t>运输</w:t>
            </w:r>
            <w:r>
              <w:rPr>
                <w:rFonts w:hint="eastAsia" w:ascii="Times New Roman" w:hAnsi="方正公文仿宋" w:eastAsia="方正公文仿宋"/>
                <w:kern w:val="0"/>
                <w:szCs w:val="21"/>
                <w:lang w:bidi="ar"/>
              </w:rPr>
              <w:t>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城乡建设和交通运输局、市监局：监督管理，对违法行为依法查处。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w:t>
            </w:r>
            <w:bookmarkStart w:id="12" w:name="_GoBack"/>
            <w:bookmarkEnd w:id="12"/>
            <w:r>
              <w:rPr>
                <w:rFonts w:hint="eastAsia" w:ascii="Times New Roman" w:hAnsi="方正公文仿宋" w:eastAsia="方正公文仿宋"/>
                <w:kern w:val="0"/>
                <w:szCs w:val="21"/>
                <w:lang w:bidi="ar"/>
              </w:rPr>
              <w:t>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BEF6EBA"/>
    <w:rsid w:val="5CFF273F"/>
    <w:rsid w:val="777F75B3"/>
    <w:rsid w:val="795D7DB7"/>
    <w:rsid w:val="7DDCBECF"/>
    <w:rsid w:val="7EFE20A3"/>
    <w:rsid w:val="7FFDA2AC"/>
    <w:rsid w:val="F2E72335"/>
    <w:rsid w:val="FBFEB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42</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guyuan</cp:lastModifiedBy>
  <dcterms:modified xsi:type="dcterms:W3CDTF">2025-04-24T10:21:33Z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