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bookmarkStart w:id="8" w:name="_GoBack"/>
      <w:bookmarkEnd w:id="8"/>
      <w:r>
        <w:rPr>
          <w:rFonts w:hint="eastAsia" w:ascii="方正小标宋_GBK" w:hAnsi="方正小标宋_GBK" w:eastAsia="方正小标宋_GBK" w:cs="方正小标宋_GBK"/>
          <w:sz w:val="44"/>
          <w:szCs w:val="44"/>
          <w:lang w:eastAsia="zh-CN"/>
        </w:rPr>
        <w:t>隆德县卫生健康局权力清单目录</w:t>
      </w:r>
    </w:p>
    <w:tbl>
      <w:tblPr>
        <w:tblStyle w:val="6"/>
        <w:tblW w:w="14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1"/>
        <w:gridCol w:w="699"/>
        <w:gridCol w:w="1429"/>
        <w:gridCol w:w="1010"/>
        <w:gridCol w:w="711"/>
        <w:gridCol w:w="711"/>
        <w:gridCol w:w="6704"/>
        <w:gridCol w:w="1768"/>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5" w:hRule="atLeast"/>
          <w:tblHeader/>
          <w:jc w:val="center"/>
        </w:trPr>
        <w:tc>
          <w:tcPr>
            <w:tcW w:w="641" w:type="dxa"/>
            <w:shd w:val="clear" w:color="auto" w:fill="auto"/>
            <w:vAlign w:val="center"/>
          </w:tcPr>
          <w:p>
            <w:pPr>
              <w:spacing w:line="240" w:lineRule="exact"/>
              <w:rPr>
                <w:rFonts w:hint="eastAsia" w:ascii="楷体_GB2312" w:hAnsi="楷体_GB2312" w:eastAsia="楷体_GB2312" w:cs="楷体_GB2312"/>
                <w:b/>
                <w:bCs w:val="0"/>
                <w:color w:val="auto"/>
                <w:sz w:val="18"/>
                <w:szCs w:val="18"/>
                <w:highlight w:val="none"/>
                <w:u w:val="none"/>
              </w:rPr>
            </w:pPr>
            <w:r>
              <w:rPr>
                <w:rFonts w:hint="eastAsia" w:ascii="楷体_GB2312" w:hAnsi="楷体_GB2312" w:eastAsia="楷体_GB2312" w:cs="楷体_GB2312"/>
                <w:b/>
                <w:bCs w:val="0"/>
                <w:color w:val="auto"/>
                <w:sz w:val="18"/>
                <w:szCs w:val="18"/>
                <w:highlight w:val="none"/>
                <w:u w:val="none"/>
              </w:rPr>
              <w:t>序号</w:t>
            </w:r>
          </w:p>
        </w:tc>
        <w:tc>
          <w:tcPr>
            <w:tcW w:w="699" w:type="dxa"/>
            <w:shd w:val="clear" w:color="auto" w:fill="auto"/>
            <w:vAlign w:val="center"/>
          </w:tcPr>
          <w:p>
            <w:pPr>
              <w:spacing w:line="240" w:lineRule="exact"/>
              <w:jc w:val="center"/>
              <w:rPr>
                <w:rFonts w:hint="eastAsia" w:ascii="楷体_GB2312" w:hAnsi="楷体_GB2312" w:eastAsia="楷体_GB2312" w:cs="楷体_GB2312"/>
                <w:b/>
                <w:bCs w:val="0"/>
                <w:color w:val="auto"/>
                <w:sz w:val="18"/>
                <w:szCs w:val="18"/>
                <w:highlight w:val="none"/>
                <w:u w:val="none"/>
                <w:lang w:eastAsia="zh-CN"/>
              </w:rPr>
            </w:pPr>
            <w:r>
              <w:rPr>
                <w:rFonts w:hint="eastAsia" w:ascii="楷体_GB2312" w:hAnsi="楷体_GB2312" w:eastAsia="楷体_GB2312" w:cs="楷体_GB2312"/>
                <w:b/>
                <w:bCs w:val="0"/>
                <w:color w:val="auto"/>
                <w:sz w:val="18"/>
                <w:szCs w:val="18"/>
                <w:highlight w:val="none"/>
                <w:u w:val="none"/>
                <w:lang w:eastAsia="zh-CN"/>
              </w:rPr>
              <w:t>职权类型</w:t>
            </w:r>
          </w:p>
        </w:tc>
        <w:tc>
          <w:tcPr>
            <w:tcW w:w="1429" w:type="dxa"/>
            <w:shd w:val="clear" w:color="auto" w:fill="auto"/>
            <w:vAlign w:val="center"/>
          </w:tcPr>
          <w:p>
            <w:pPr>
              <w:spacing w:line="240" w:lineRule="exact"/>
              <w:jc w:val="center"/>
              <w:rPr>
                <w:rFonts w:hint="eastAsia" w:ascii="楷体_GB2312" w:hAnsi="楷体_GB2312" w:eastAsia="楷体_GB2312" w:cs="楷体_GB2312"/>
                <w:b/>
                <w:bCs w:val="0"/>
                <w:color w:val="auto"/>
                <w:sz w:val="18"/>
                <w:szCs w:val="18"/>
                <w:highlight w:val="none"/>
                <w:u w:val="none"/>
              </w:rPr>
            </w:pPr>
            <w:r>
              <w:rPr>
                <w:rFonts w:hint="eastAsia" w:ascii="楷体_GB2312" w:hAnsi="楷体_GB2312" w:eastAsia="楷体_GB2312" w:cs="楷体_GB2312"/>
                <w:b/>
                <w:bCs w:val="0"/>
                <w:color w:val="auto"/>
                <w:sz w:val="18"/>
                <w:szCs w:val="18"/>
                <w:highlight w:val="none"/>
                <w:u w:val="none"/>
              </w:rPr>
              <w:t>职权名称</w:t>
            </w:r>
          </w:p>
        </w:tc>
        <w:tc>
          <w:tcPr>
            <w:tcW w:w="1010" w:type="dxa"/>
            <w:shd w:val="clear" w:color="auto" w:fill="auto"/>
            <w:vAlign w:val="center"/>
          </w:tcPr>
          <w:p>
            <w:pPr>
              <w:spacing w:line="240" w:lineRule="exact"/>
              <w:rPr>
                <w:rFonts w:hint="eastAsia" w:ascii="楷体_GB2312" w:hAnsi="楷体_GB2312" w:eastAsia="楷体_GB2312" w:cs="楷体_GB2312"/>
                <w:b/>
                <w:bCs w:val="0"/>
                <w:color w:val="auto"/>
                <w:sz w:val="18"/>
                <w:szCs w:val="18"/>
                <w:highlight w:val="none"/>
                <w:u w:val="none"/>
              </w:rPr>
            </w:pPr>
            <w:r>
              <w:rPr>
                <w:rFonts w:hint="eastAsia" w:ascii="楷体_GB2312" w:hAnsi="楷体_GB2312" w:eastAsia="楷体_GB2312" w:cs="楷体_GB2312"/>
                <w:b/>
                <w:bCs w:val="0"/>
                <w:color w:val="auto"/>
                <w:sz w:val="18"/>
                <w:szCs w:val="18"/>
                <w:highlight w:val="none"/>
                <w:u w:val="none"/>
              </w:rPr>
              <w:t>子项名称</w:t>
            </w:r>
          </w:p>
        </w:tc>
        <w:tc>
          <w:tcPr>
            <w:tcW w:w="711" w:type="dxa"/>
            <w:shd w:val="clear" w:color="auto" w:fill="auto"/>
            <w:vAlign w:val="center"/>
          </w:tcPr>
          <w:p>
            <w:pPr>
              <w:spacing w:line="240" w:lineRule="exact"/>
              <w:jc w:val="center"/>
              <w:rPr>
                <w:rFonts w:hint="eastAsia" w:ascii="楷体_GB2312" w:hAnsi="楷体_GB2312" w:eastAsia="楷体_GB2312" w:cs="楷体_GB2312"/>
                <w:b/>
                <w:bCs w:val="0"/>
                <w:color w:val="auto"/>
                <w:sz w:val="18"/>
                <w:szCs w:val="18"/>
                <w:highlight w:val="none"/>
                <w:u w:val="none"/>
              </w:rPr>
            </w:pPr>
            <w:r>
              <w:rPr>
                <w:rFonts w:hint="eastAsia" w:ascii="楷体_GB2312" w:hAnsi="楷体_GB2312" w:eastAsia="楷体_GB2312" w:cs="楷体_GB2312"/>
                <w:b/>
                <w:bCs w:val="0"/>
                <w:color w:val="auto"/>
                <w:sz w:val="18"/>
                <w:szCs w:val="18"/>
                <w:highlight w:val="none"/>
                <w:u w:val="none"/>
              </w:rPr>
              <w:t>基本编码</w:t>
            </w:r>
          </w:p>
        </w:tc>
        <w:tc>
          <w:tcPr>
            <w:tcW w:w="711" w:type="dxa"/>
            <w:shd w:val="clear" w:color="auto" w:fill="auto"/>
            <w:vAlign w:val="center"/>
          </w:tcPr>
          <w:p>
            <w:pPr>
              <w:spacing w:line="240" w:lineRule="exact"/>
              <w:jc w:val="center"/>
              <w:rPr>
                <w:rFonts w:hint="eastAsia" w:ascii="楷体_GB2312" w:hAnsi="楷体_GB2312" w:eastAsia="楷体_GB2312" w:cs="楷体_GB2312"/>
                <w:b/>
                <w:bCs w:val="0"/>
                <w:color w:val="auto"/>
                <w:sz w:val="18"/>
                <w:szCs w:val="18"/>
                <w:highlight w:val="none"/>
                <w:u w:val="none"/>
              </w:rPr>
            </w:pPr>
            <w:r>
              <w:rPr>
                <w:rFonts w:hint="eastAsia" w:ascii="楷体_GB2312" w:hAnsi="楷体_GB2312" w:eastAsia="楷体_GB2312" w:cs="楷体_GB2312"/>
                <w:b/>
                <w:bCs w:val="0"/>
                <w:color w:val="auto"/>
                <w:sz w:val="18"/>
                <w:szCs w:val="18"/>
                <w:highlight w:val="none"/>
                <w:u w:val="none"/>
              </w:rPr>
              <w:t>实施部门</w:t>
            </w:r>
          </w:p>
        </w:tc>
        <w:tc>
          <w:tcPr>
            <w:tcW w:w="6704" w:type="dxa"/>
            <w:shd w:val="clear" w:color="auto" w:fill="auto"/>
            <w:vAlign w:val="center"/>
          </w:tcPr>
          <w:p>
            <w:pPr>
              <w:spacing w:line="240" w:lineRule="exact"/>
              <w:jc w:val="center"/>
              <w:rPr>
                <w:rFonts w:hint="eastAsia" w:ascii="楷体_GB2312" w:hAnsi="楷体_GB2312" w:eastAsia="楷体_GB2312" w:cs="楷体_GB2312"/>
                <w:b/>
                <w:bCs w:val="0"/>
                <w:color w:val="auto"/>
                <w:sz w:val="18"/>
                <w:szCs w:val="18"/>
                <w:highlight w:val="none"/>
                <w:u w:val="none"/>
              </w:rPr>
            </w:pPr>
            <w:r>
              <w:rPr>
                <w:rFonts w:hint="eastAsia" w:ascii="楷体_GB2312" w:hAnsi="楷体_GB2312" w:eastAsia="楷体_GB2312" w:cs="楷体_GB2312"/>
                <w:b/>
                <w:bCs w:val="0"/>
                <w:color w:val="auto"/>
                <w:sz w:val="18"/>
                <w:szCs w:val="18"/>
                <w:highlight w:val="none"/>
                <w:u w:val="none"/>
              </w:rPr>
              <w:t>职权依据</w:t>
            </w:r>
          </w:p>
        </w:tc>
        <w:tc>
          <w:tcPr>
            <w:tcW w:w="1768" w:type="dxa"/>
            <w:shd w:val="clear" w:color="auto" w:fill="auto"/>
            <w:vAlign w:val="center"/>
          </w:tcPr>
          <w:p>
            <w:pPr>
              <w:spacing w:line="240" w:lineRule="exact"/>
              <w:jc w:val="center"/>
              <w:rPr>
                <w:rFonts w:hint="eastAsia" w:ascii="楷体_GB2312" w:hAnsi="楷体_GB2312" w:eastAsia="楷体_GB2312" w:cs="楷体_GB2312"/>
                <w:b/>
                <w:bCs w:val="0"/>
                <w:color w:val="auto"/>
                <w:sz w:val="18"/>
                <w:szCs w:val="18"/>
                <w:highlight w:val="none"/>
                <w:u w:val="none"/>
              </w:rPr>
            </w:pPr>
            <w:r>
              <w:rPr>
                <w:rFonts w:hint="eastAsia" w:ascii="楷体_GB2312" w:hAnsi="楷体_GB2312" w:eastAsia="楷体_GB2312" w:cs="楷体_GB2312"/>
                <w:b/>
                <w:bCs w:val="0"/>
                <w:color w:val="auto"/>
                <w:sz w:val="18"/>
                <w:szCs w:val="18"/>
                <w:highlight w:val="none"/>
                <w:u w:val="none"/>
              </w:rPr>
              <w:t>行使内容</w:t>
            </w:r>
          </w:p>
        </w:tc>
        <w:tc>
          <w:tcPr>
            <w:tcW w:w="858" w:type="dxa"/>
            <w:shd w:val="clear" w:color="auto" w:fill="auto"/>
            <w:vAlign w:val="center"/>
          </w:tcPr>
          <w:p>
            <w:pPr>
              <w:tabs>
                <w:tab w:val="left" w:pos="467"/>
              </w:tabs>
              <w:spacing w:line="240" w:lineRule="exact"/>
              <w:jc w:val="left"/>
              <w:rPr>
                <w:rFonts w:hint="eastAsia" w:ascii="楷体_GB2312" w:hAnsi="楷体_GB2312" w:eastAsia="楷体_GB2312" w:cs="楷体_GB2312"/>
                <w:b/>
                <w:bCs w:val="0"/>
                <w:color w:val="auto"/>
                <w:sz w:val="18"/>
                <w:szCs w:val="18"/>
                <w:highlight w:val="none"/>
                <w:u w:val="none"/>
                <w:lang w:eastAsia="zh-CN"/>
              </w:rPr>
            </w:pPr>
            <w:r>
              <w:rPr>
                <w:rFonts w:hint="eastAsia" w:ascii="楷体_GB2312" w:hAnsi="楷体_GB2312" w:eastAsia="楷体_GB2312" w:cs="楷体_GB2312"/>
                <w:b/>
                <w:bCs w:val="0"/>
                <w:color w:val="auto"/>
                <w:sz w:val="18"/>
                <w:szCs w:val="18"/>
                <w:highlight w:val="none"/>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9" w:hRule="atLeast"/>
          <w:jc w:val="center"/>
        </w:trPr>
        <w:tc>
          <w:tcPr>
            <w:tcW w:w="641" w:type="dxa"/>
            <w:vMerge w:val="restart"/>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vMerge w:val="restart"/>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行政许可</w:t>
            </w:r>
          </w:p>
        </w:tc>
        <w:tc>
          <w:tcPr>
            <w:tcW w:w="1429" w:type="dxa"/>
            <w:vMerge w:val="restart"/>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母婴保健技术服务机构执业许可及人员资格认定</w:t>
            </w:r>
          </w:p>
        </w:tc>
        <w:tc>
          <w:tcPr>
            <w:tcW w:w="1010"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母婴保健技术服务机构执业许可</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0120001001</w:t>
            </w:r>
          </w:p>
        </w:tc>
        <w:tc>
          <w:tcPr>
            <w:tcW w:w="711" w:type="dxa"/>
            <w:vMerge w:val="restart"/>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6704" w:type="dxa"/>
            <w:shd w:val="clear" w:color="auto" w:fill="auto"/>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【法律】《中华人民共和国母婴保健法》（2017年修正）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第三十二条：医疗保健机构依照本法规定开展施行结扎手术和终止妊娠手术的，必须符合国务院卫生行政部门规定的条件和技术标准，并经县级以上地方人民政府卫生行政部门许可。</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【行政法规】《中华人民共和国母婴保健法实施办法》（2017年国务院令第690号修订）</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第三十五条：从事助产技术服务、结扎手术和终止妊娠手术的医疗、保健机构和人员，须经县级人民政府卫生行政部门许可，并取得相应的合格证书。</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【行政法规】《计划生育技术服务管理条例》（2004年国务院令第428号修订）</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二条：从事计划生育技术服务的医疗、保健机构，由县级以上地方人民政府卫生行政部门审查批准，在其《医疗机构执业许可证》上注明获准开展的计划生育技术服务项目，并向同级计划生育行政部门通报。</w:t>
            </w:r>
          </w:p>
        </w:tc>
        <w:tc>
          <w:tcPr>
            <w:tcW w:w="1768" w:type="dxa"/>
            <w:tcBorders>
              <w:bottom w:val="single" w:color="auto" w:sz="4" w:space="0"/>
            </w:tcBorders>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从事助产技术服务、结扎手术和终止妊娠手术的医疗、保健机构</w:t>
            </w:r>
          </w:p>
        </w:tc>
        <w:tc>
          <w:tcPr>
            <w:tcW w:w="858" w:type="dxa"/>
            <w:tcBorders>
              <w:bottom w:val="single" w:color="auto" w:sz="4" w:space="0"/>
            </w:tcBorders>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jc w:val="center"/>
        </w:trPr>
        <w:tc>
          <w:tcPr>
            <w:tcW w:w="641" w:type="dxa"/>
            <w:vMerge w:val="continue"/>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42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010"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fldChar w:fldCharType="begin"/>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instrText xml:space="preserve"> HYPERLINK "http://zyzd.scopsr.gov.cn/bmspx/showXm/470" \t "_blank" </w:instrTex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fldChar w:fldCharType="separate"/>
            </w:r>
            <w:r>
              <w:rPr>
                <w:rStyle w:val="10"/>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母婴保健服务人员资格认定</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fldChar w:fldCharType="end"/>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0120001002</w:t>
            </w:r>
          </w:p>
        </w:tc>
        <w:tc>
          <w:tcPr>
            <w:tcW w:w="711"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6704" w:type="dxa"/>
            <w:shd w:val="clear" w:color="auto" w:fill="auto"/>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【法律】《中华人民共和国母婴保健法》（2017年修正）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第三十三条：从事本法规定的施行结扎手术和终止妊娠手术的人员以及从事家庭接生的人员，必须经过县级以上地方人民政府卫生行政部门的考核，并取得相应的合格证书。</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【行政法规】《中华人民共和国母婴保健法实施办法》（2017年国务院令第690号修订）</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第三十五条： 从事助产技术服务、结扎手术和终止妊娠手术的医疗、保健机构和人员，须经县级人民政府卫生行政部门许可，并取得相应的合格证书。</w:t>
            </w:r>
          </w:p>
        </w:tc>
        <w:tc>
          <w:tcPr>
            <w:tcW w:w="1768" w:type="dxa"/>
            <w:tcBorders>
              <w:bottom w:val="single" w:color="auto" w:sz="4" w:space="0"/>
            </w:tcBorders>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从事助产技术服务、结扎手术和终止妊娠手术以及从事家庭生的人员</w:t>
            </w:r>
          </w:p>
        </w:tc>
        <w:tc>
          <w:tcPr>
            <w:tcW w:w="858" w:type="dxa"/>
            <w:tcBorders>
              <w:bottom w:val="single" w:color="auto" w:sz="4" w:space="0"/>
            </w:tcBorders>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41" w:type="dxa"/>
            <w:vMerge w:val="restart"/>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vMerge w:val="restart"/>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lang w:eastAsia="zh-CN"/>
              </w:rPr>
              <w:t>行政许可</w:t>
            </w:r>
          </w:p>
        </w:tc>
        <w:tc>
          <w:tcPr>
            <w:tcW w:w="1429" w:type="dxa"/>
            <w:vMerge w:val="restart"/>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医疗机构设置和执业审批</w:t>
            </w:r>
          </w:p>
        </w:tc>
        <w:tc>
          <w:tcPr>
            <w:tcW w:w="1010"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医疗机构设置审批（含港澳台，外商独资除外）</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0120002001</w:t>
            </w:r>
          </w:p>
        </w:tc>
        <w:tc>
          <w:tcPr>
            <w:tcW w:w="711" w:type="dxa"/>
            <w:vMerge w:val="restart"/>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6704" w:type="dxa"/>
            <w:shd w:val="clear" w:color="auto" w:fill="auto"/>
            <w:vAlign w:val="center"/>
          </w:tcPr>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【法律】《中华人民共和国禁毒法》（2007年）</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第三十六条第二款：设置戒毒医疗机构或者医疗机构从事戒毒治疗业务的，应当符合国务院卫生行政部门规定的条件，报所在地的省、自治区、直辖市人民政府卫生行政部门批准，并报同级公安机关备案。</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【行政法规】《医疗机构管理条例》（2016年国务院令第666号修订）</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第九条：单位或者个人设置医疗机构，必须经县级以上地方人民政府卫生行政部门审查批准，并取得设置医疗机构批准书，方可向有关部门办理其他手续。</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【规范性文件】《宁夏回族自治区医疗机构管理办法》（宁政发〔1995〕97号）</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第六条：申请设置医疗机构的审批权限：（</w:t>
            </w:r>
            <w:r>
              <w:rPr>
                <w:rFonts w:hint="eastAsia" w:ascii="仿宋_GB2312" w:hAnsi="仿宋_GB2312" w:eastAsia="仿宋_GB2312" w:cs="仿宋_GB2312"/>
                <w:b w:val="0"/>
                <w:bCs/>
                <w:color w:val="auto"/>
                <w:sz w:val="18"/>
                <w:szCs w:val="18"/>
                <w:highlight w:val="none"/>
                <w:u w:val="none"/>
                <w:lang w:eastAsia="zh-CN"/>
              </w:rPr>
              <w:t>一</w:t>
            </w:r>
            <w:r>
              <w:rPr>
                <w:rFonts w:hint="eastAsia" w:ascii="仿宋_GB2312" w:hAnsi="仿宋_GB2312" w:eastAsia="仿宋_GB2312" w:cs="仿宋_GB2312"/>
                <w:b w:val="0"/>
                <w:bCs/>
                <w:color w:val="auto"/>
                <w:sz w:val="18"/>
                <w:szCs w:val="18"/>
                <w:highlight w:val="none"/>
                <w:u w:val="none"/>
              </w:rPr>
              <w:t>）床位不满１００张的综合医院、中医医院、中西医结合院、民族医医院以及中心卫生院、护理院的设置，由县级人民政府卫生行政部门征求行署、市级人民政府卫生行政部门的意见后审批。（</w:t>
            </w:r>
            <w:r>
              <w:rPr>
                <w:rFonts w:hint="eastAsia" w:ascii="仿宋_GB2312" w:hAnsi="仿宋_GB2312" w:eastAsia="仿宋_GB2312" w:cs="仿宋_GB2312"/>
                <w:b w:val="0"/>
                <w:bCs/>
                <w:color w:val="auto"/>
                <w:sz w:val="18"/>
                <w:szCs w:val="18"/>
                <w:highlight w:val="none"/>
                <w:u w:val="none"/>
                <w:lang w:eastAsia="zh-CN"/>
              </w:rPr>
              <w:t>二</w:t>
            </w:r>
            <w:r>
              <w:rPr>
                <w:rFonts w:hint="eastAsia" w:ascii="仿宋_GB2312" w:hAnsi="仿宋_GB2312" w:eastAsia="仿宋_GB2312" w:cs="仿宋_GB2312"/>
                <w:b w:val="0"/>
                <w:bCs/>
                <w:color w:val="auto"/>
                <w:sz w:val="18"/>
                <w:szCs w:val="18"/>
                <w:highlight w:val="none"/>
                <w:u w:val="none"/>
              </w:rPr>
              <w:t>）卫生院、护理站、各类门诊部、诊所、卫生所（站）、医务室、卫生保健所、村卫生室的设置，由县级人民政府卫生行政部门审批。</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w:t>
            </w:r>
            <w:r>
              <w:rPr>
                <w:rFonts w:hint="eastAsia" w:ascii="仿宋_GB2312" w:hAnsi="仿宋_GB2312" w:eastAsia="仿宋_GB2312" w:cs="仿宋_GB2312"/>
                <w:b w:val="0"/>
                <w:bCs/>
                <w:color w:val="auto"/>
                <w:sz w:val="18"/>
                <w:szCs w:val="18"/>
                <w:highlight w:val="none"/>
                <w:u w:val="none"/>
                <w:lang w:eastAsia="zh-CN"/>
              </w:rPr>
              <w:t>部门规章</w:t>
            </w:r>
            <w:r>
              <w:rPr>
                <w:rFonts w:hint="eastAsia" w:ascii="仿宋_GB2312" w:hAnsi="仿宋_GB2312" w:eastAsia="仿宋_GB2312" w:cs="仿宋_GB2312"/>
                <w:b w:val="0"/>
                <w:bCs/>
                <w:color w:val="auto"/>
                <w:sz w:val="18"/>
                <w:szCs w:val="18"/>
                <w:highlight w:val="none"/>
                <w:u w:val="none"/>
              </w:rPr>
              <w:t>】《宁夏回族自治区医疗机构审批管理暂行办法》</w:t>
            </w:r>
            <w:r>
              <w:rPr>
                <w:rFonts w:hint="eastAsia" w:ascii="仿宋_GB2312" w:hAnsi="仿宋_GB2312" w:eastAsia="仿宋_GB2312" w:cs="仿宋_GB2312"/>
                <w:b w:val="0"/>
                <w:bCs/>
                <w:color w:val="auto"/>
                <w:sz w:val="18"/>
                <w:szCs w:val="18"/>
                <w:highlight w:val="none"/>
                <w:u w:val="none"/>
                <w:lang w:eastAsia="zh-CN"/>
              </w:rPr>
              <w:t>（</w:t>
            </w:r>
            <w:r>
              <w:rPr>
                <w:rFonts w:hint="eastAsia" w:ascii="仿宋_GB2312" w:hAnsi="仿宋_GB2312" w:eastAsia="仿宋_GB2312" w:cs="仿宋_GB2312"/>
                <w:b w:val="0"/>
                <w:bCs/>
                <w:color w:val="auto"/>
                <w:sz w:val="18"/>
                <w:szCs w:val="18"/>
                <w:highlight w:val="none"/>
                <w:u w:val="none"/>
              </w:rPr>
              <w:t>宁卫计医政〔2014〕347号</w:t>
            </w:r>
            <w:r>
              <w:rPr>
                <w:rFonts w:hint="eastAsia" w:ascii="仿宋_GB2312" w:hAnsi="仿宋_GB2312" w:eastAsia="仿宋_GB2312" w:cs="仿宋_GB2312"/>
                <w:b w:val="0"/>
                <w:bCs/>
                <w:color w:val="auto"/>
                <w:sz w:val="18"/>
                <w:szCs w:val="18"/>
                <w:highlight w:val="none"/>
                <w:u w:val="none"/>
                <w:lang w:eastAsia="zh-CN"/>
              </w:rPr>
              <w:t>）</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第五条  医疗机构的设置实行分级审批。县（市、区）</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审批设置的医疗机构包括：1.门诊部，诊所（站），护理站；2.乡（镇）卫生院；3.村卫生室；4.社区卫生服务机构；5.地市级</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在审批权限内确定由县（市、区）</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审批的医疗机构。</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rPr>
              <w:t>【</w:t>
            </w:r>
            <w:r>
              <w:rPr>
                <w:rFonts w:hint="eastAsia" w:ascii="仿宋_GB2312" w:hAnsi="仿宋_GB2312" w:eastAsia="仿宋_GB2312" w:cs="仿宋_GB2312"/>
                <w:b w:val="0"/>
                <w:bCs/>
                <w:color w:val="auto"/>
                <w:sz w:val="18"/>
                <w:szCs w:val="18"/>
                <w:highlight w:val="none"/>
                <w:u w:val="none"/>
                <w:lang w:eastAsia="zh-CN"/>
              </w:rPr>
              <w:t>部门文件</w:t>
            </w:r>
            <w:r>
              <w:rPr>
                <w:rFonts w:hint="eastAsia" w:ascii="仿宋_GB2312" w:hAnsi="仿宋_GB2312" w:eastAsia="仿宋_GB2312" w:cs="仿宋_GB2312"/>
                <w:b w:val="0"/>
                <w:bCs/>
                <w:color w:val="auto"/>
                <w:sz w:val="18"/>
                <w:szCs w:val="18"/>
                <w:highlight w:val="none"/>
                <w:u w:val="none"/>
              </w:rPr>
              <w:t>】</w:t>
            </w:r>
            <w:r>
              <w:rPr>
                <w:rFonts w:hint="eastAsia" w:ascii="仿宋_GB2312" w:hAnsi="仿宋_GB2312" w:eastAsia="仿宋_GB2312" w:cs="仿宋_GB2312"/>
                <w:b w:val="0"/>
                <w:bCs/>
                <w:color w:val="auto"/>
                <w:sz w:val="18"/>
                <w:szCs w:val="18"/>
                <w:highlight w:val="none"/>
                <w:u w:val="none"/>
                <w:lang w:val="en-US" w:eastAsia="zh-CN"/>
              </w:rPr>
              <w:t>《自治区卫生计生委关于进一步推进医疗卫生审批服务便民化的通知》（宁卫计发〔2018〕156号）</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rPr>
              <w:t>一、下放独立设置医疗机构审批管理权</w:t>
            </w:r>
            <w:r>
              <w:rPr>
                <w:rFonts w:hint="eastAsia" w:ascii="仿宋_GB2312" w:hAnsi="仿宋_GB2312" w:eastAsia="仿宋_GB2312" w:cs="仿宋_GB2312"/>
                <w:b w:val="0"/>
                <w:bCs/>
                <w:color w:val="auto"/>
                <w:sz w:val="18"/>
                <w:szCs w:val="18"/>
                <w:highlight w:val="none"/>
                <w:u w:val="none"/>
                <w:lang w:eastAsia="zh-CN"/>
              </w:rPr>
              <w:t>，</w:t>
            </w:r>
            <w:r>
              <w:rPr>
                <w:rFonts w:hint="eastAsia" w:ascii="仿宋_GB2312" w:hAnsi="仿宋_GB2312" w:eastAsia="仿宋_GB2312" w:cs="仿宋_GB2312"/>
                <w:b w:val="0"/>
                <w:bCs/>
                <w:color w:val="auto"/>
                <w:sz w:val="18"/>
                <w:szCs w:val="18"/>
                <w:highlight w:val="none"/>
                <w:u w:val="none"/>
              </w:rPr>
              <w:t>独立设置医疗机构中的血液透析中心、安宁疗护中心、医疗消毒供应中心由自治区级审批；其它独立医疗机构，如：医学影像诊断中心、病理诊断中心、医学检验实验室、康复医疗中心、护理中心、健康体检中心、眼科医院，由设区的市级卫生计生行政审批部门按照国家独立设置医疗机构基本标准及管理规范进行审批。今后，凡没有明确审批权限的独立设置医疗机构，一律下放到地市级，由设区的市级卫生计生行政审批部门审批。</w:t>
            </w:r>
          </w:p>
        </w:tc>
        <w:tc>
          <w:tcPr>
            <w:tcW w:w="1768" w:type="dxa"/>
            <w:tcBorders>
              <w:bottom w:val="single" w:color="auto" w:sz="4" w:space="0"/>
            </w:tcBorders>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1.门诊部，诊所（站），护理站；2.乡（镇）卫生院；3.村卫生室；4.社区卫生服务机构；5.地市级</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在审批权限内确定由县（市、区）</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审批的医疗机构。</w:t>
            </w:r>
            <w:r>
              <w:rPr>
                <w:rFonts w:hint="eastAsia" w:ascii="仿宋_GB2312" w:hAnsi="仿宋_GB2312" w:eastAsia="仿宋_GB2312" w:cs="仿宋_GB2312"/>
                <w:b w:val="0"/>
                <w:bCs/>
                <w:color w:val="auto"/>
                <w:sz w:val="18"/>
                <w:szCs w:val="18"/>
                <w:highlight w:val="none"/>
                <w:u w:val="none"/>
                <w:lang w:val="en-US" w:eastAsia="zh-CN"/>
              </w:rPr>
              <w:t>6.</w:t>
            </w:r>
            <w:r>
              <w:rPr>
                <w:rFonts w:hint="eastAsia" w:ascii="仿宋_GB2312" w:hAnsi="仿宋_GB2312" w:eastAsia="仿宋_GB2312" w:cs="仿宋_GB2312"/>
                <w:b w:val="0"/>
                <w:bCs/>
                <w:color w:val="auto"/>
                <w:sz w:val="18"/>
                <w:szCs w:val="18"/>
                <w:highlight w:val="none"/>
                <w:u w:val="none"/>
              </w:rPr>
              <w:t>已批准设置的民营医疗机构，经业务拓展、人才储备、 建筑面积增加，床位增加至100张以上，由原审批卫生行政部门上报自治区卫生计生委，改变管理权限，按照调整后的行政许可权限重新审核并换发新的医疗机构执业许可证书。</w:t>
            </w:r>
            <w:r>
              <w:rPr>
                <w:rFonts w:hint="eastAsia" w:ascii="仿宋_GB2312" w:hAnsi="仿宋_GB2312" w:eastAsia="仿宋_GB2312" w:cs="仿宋_GB2312"/>
                <w:b w:val="0"/>
                <w:bCs/>
                <w:color w:val="auto"/>
                <w:sz w:val="18"/>
                <w:szCs w:val="18"/>
                <w:highlight w:val="none"/>
                <w:u w:val="none"/>
                <w:lang w:val="en-US" w:eastAsia="zh-CN"/>
              </w:rPr>
              <w:t>7.</w:t>
            </w:r>
            <w:r>
              <w:rPr>
                <w:rFonts w:hint="eastAsia" w:ascii="仿宋_GB2312" w:hAnsi="仿宋_GB2312" w:eastAsia="仿宋_GB2312" w:cs="仿宋_GB2312"/>
                <w:b w:val="0"/>
                <w:bCs/>
                <w:color w:val="auto"/>
                <w:sz w:val="18"/>
                <w:szCs w:val="18"/>
                <w:highlight w:val="none"/>
                <w:u w:val="none"/>
              </w:rPr>
              <w:t>19张床位以下的综合医院及设区的市所在地城区的门诊部、诊所等机构的设置审批权限由地市级</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确定。</w:t>
            </w:r>
            <w:r>
              <w:rPr>
                <w:rFonts w:hint="eastAsia" w:ascii="仿宋_GB2312" w:hAnsi="仿宋_GB2312" w:eastAsia="仿宋_GB2312" w:cs="仿宋_GB2312"/>
                <w:b w:val="0"/>
                <w:bCs/>
                <w:color w:val="auto"/>
                <w:sz w:val="18"/>
                <w:szCs w:val="18"/>
                <w:highlight w:val="none"/>
                <w:u w:val="none"/>
                <w:lang w:val="en-US" w:eastAsia="zh-CN"/>
              </w:rPr>
              <w:t>8.</w:t>
            </w:r>
            <w:r>
              <w:rPr>
                <w:rFonts w:hint="eastAsia" w:ascii="仿宋_GB2312" w:hAnsi="仿宋_GB2312" w:eastAsia="仿宋_GB2312" w:cs="仿宋_GB2312"/>
                <w:b w:val="0"/>
                <w:bCs/>
                <w:color w:val="auto"/>
                <w:sz w:val="18"/>
                <w:szCs w:val="18"/>
                <w:highlight w:val="none"/>
                <w:u w:val="none"/>
              </w:rPr>
              <w:t>其它独立医疗机构，如：医学影像诊断中心、病理诊断中心、医学检验实验室、康复医疗中心、护理中心、健康体检中心、眼科医院</w:t>
            </w:r>
            <w:r>
              <w:rPr>
                <w:rFonts w:hint="eastAsia" w:ascii="仿宋_GB2312" w:hAnsi="仿宋_GB2312" w:eastAsia="仿宋_GB2312" w:cs="仿宋_GB2312"/>
                <w:b w:val="0"/>
                <w:bCs/>
                <w:color w:val="auto"/>
                <w:sz w:val="18"/>
                <w:szCs w:val="18"/>
                <w:highlight w:val="none"/>
                <w:u w:val="none"/>
                <w:lang w:eastAsia="zh-CN"/>
              </w:rPr>
              <w:t>。</w:t>
            </w:r>
          </w:p>
        </w:tc>
        <w:tc>
          <w:tcPr>
            <w:tcW w:w="858" w:type="dxa"/>
            <w:tcBorders>
              <w:bottom w:val="single" w:color="auto" w:sz="4" w:space="0"/>
            </w:tcBorders>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641" w:type="dxa"/>
            <w:vMerge w:val="continue"/>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42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010"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医疗机构执业登记（人体器官移植除外）</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0120002002</w:t>
            </w:r>
          </w:p>
        </w:tc>
        <w:tc>
          <w:tcPr>
            <w:tcW w:w="711"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6704" w:type="dxa"/>
            <w:shd w:val="clear" w:color="auto" w:fill="auto"/>
            <w:vAlign w:val="center"/>
          </w:tcPr>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【行政法规】《医疗机构管理条例》（2016年国务院令第666号修订）</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第十五条：医疗机构执业，必须进行登记，领取《医疗机构执业许可证》。</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第十七条第一款：医疗机构执业登记，由批准其设置的人民政府卫生行政部门办理。</w:t>
            </w:r>
          </w:p>
        </w:tc>
        <w:tc>
          <w:tcPr>
            <w:tcW w:w="1768" w:type="dxa"/>
            <w:tcBorders>
              <w:bottom w:val="single" w:color="auto" w:sz="4" w:space="0"/>
            </w:tcBorders>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医疗机构执业登记</w:t>
            </w:r>
          </w:p>
        </w:tc>
        <w:tc>
          <w:tcPr>
            <w:tcW w:w="858" w:type="dxa"/>
            <w:tcBorders>
              <w:bottom w:val="single" w:color="auto" w:sz="4" w:space="0"/>
            </w:tcBorders>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641" w:type="dxa"/>
            <w:vMerge w:val="restart"/>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vMerge w:val="restart"/>
            <w:shd w:val="clear" w:color="auto" w:fill="auto"/>
            <w:vAlign w:val="center"/>
          </w:tcPr>
          <w:p>
            <w:pPr>
              <w:tabs>
                <w:tab w:val="left" w:pos="221"/>
              </w:tabs>
              <w:spacing w:line="240" w:lineRule="exact"/>
              <w:jc w:val="left"/>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行政许可</w:t>
            </w:r>
          </w:p>
        </w:tc>
        <w:tc>
          <w:tcPr>
            <w:tcW w:w="1429" w:type="dxa"/>
            <w:vMerge w:val="restart"/>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医护人员资格准入及执业注册许可</w:t>
            </w:r>
          </w:p>
        </w:tc>
        <w:tc>
          <w:tcPr>
            <w:tcW w:w="1010"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医师执业注册</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0120005004</w:t>
            </w:r>
          </w:p>
        </w:tc>
        <w:tc>
          <w:tcPr>
            <w:tcW w:w="711" w:type="dxa"/>
            <w:vMerge w:val="restart"/>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6704" w:type="dxa"/>
            <w:shd w:val="clear" w:color="auto" w:fill="auto"/>
            <w:vAlign w:val="center"/>
          </w:tcPr>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【法律】《中华人民共和国执业医师法》（2009年修正）</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第十三条：国家实行医师执业注册制度。取得医师资格的，可以向所在地县级以上人民政府卫生行政部门申请注册。……</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第十四条：医师经注册后，可以在医疗、预防、保健机构中按照注册的执业地点、执业类别、执业范围执业，从事相应医疗、预防、保健业务。未经医师注册取得执业证书，不得从事医师执业活动。</w:t>
            </w:r>
          </w:p>
        </w:tc>
        <w:tc>
          <w:tcPr>
            <w:tcW w:w="176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医师执业注册</w:t>
            </w:r>
          </w:p>
        </w:tc>
        <w:tc>
          <w:tcPr>
            <w:tcW w:w="85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41" w:type="dxa"/>
            <w:vMerge w:val="continue"/>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42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010"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乡村医生执业注册</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0120005005</w:t>
            </w:r>
          </w:p>
        </w:tc>
        <w:tc>
          <w:tcPr>
            <w:tcW w:w="711"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6704" w:type="dxa"/>
            <w:shd w:val="clear" w:color="auto" w:fill="auto"/>
            <w:vAlign w:val="center"/>
          </w:tcPr>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【行政法规】《乡村医生从业管理条例》（2003年8月5日国务院令第386号）第九条：国家实行乡村医生执业注册制度。县级人民政府卫生行政主管部门负责乡村医生执业注册工作。</w:t>
            </w:r>
          </w:p>
        </w:tc>
        <w:tc>
          <w:tcPr>
            <w:tcW w:w="176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乡村医生执业注册工作</w:t>
            </w:r>
          </w:p>
        </w:tc>
        <w:tc>
          <w:tcPr>
            <w:tcW w:w="85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641" w:type="dxa"/>
            <w:vMerge w:val="continue"/>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42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010"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护士执业注册</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0120005006</w:t>
            </w:r>
          </w:p>
        </w:tc>
        <w:tc>
          <w:tcPr>
            <w:tcW w:w="711"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6704" w:type="dxa"/>
            <w:shd w:val="clear" w:color="auto" w:fill="auto"/>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【行政法规】《护士条例》（2008年国务院令第517号）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八条：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【行政法规】《国务院对确需保留的行政审批项目设定行政许可的决定》（2016年国务院令第671号修改）</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第198项：护士执业许可；实施机关：县级人民政府卫生行政主管部门。</w:t>
            </w:r>
          </w:p>
        </w:tc>
        <w:tc>
          <w:tcPr>
            <w:tcW w:w="176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护士执业注册</w:t>
            </w:r>
          </w:p>
        </w:tc>
        <w:tc>
          <w:tcPr>
            <w:tcW w:w="85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641" w:type="dxa"/>
            <w:vMerge w:val="continue"/>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42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010"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中医医术确有专长人员医师资格考</w:t>
            </w: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核</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和认定</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0120005007</w:t>
            </w:r>
          </w:p>
        </w:tc>
        <w:tc>
          <w:tcPr>
            <w:tcW w:w="711"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6704" w:type="dxa"/>
            <w:shd w:val="clear" w:color="auto" w:fill="auto"/>
            <w:vAlign w:val="center"/>
          </w:tcPr>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【法律】《中华人民共和国中医药法》（ 2016年）</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第十五条 从事中医医疗活动的人员应当依照《中华人民共和国执业医师法》的规定，通过中医医师资格考试取得中医医师资格，并进行执业注册。中医医师资格考试的内容应当体现中医药特点。</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以师承方式学习中医或者经多年实践，医术确有专长的人员，由至少两名中医医师推荐，经省、自治区、直辖市人民政府中医药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生行政部门审核、发布。</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【部门规章】《中医医术确有专长人员医师资格考核注册管理暂行办法》（ 2017年国家卫生计生委令第15号）</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第三条  国家中医药管理局负责全国中医医术确有专长人员医师资格考核及执业工作的管理。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省级中医药主管部门组织本省、自治区、直辖市中医医术确有专长人员医师资格考核；负责本行政区域内取得医师资格的中医医术确有专长人员执业管理。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设区的市和县级中医药主管部门负责本行政区域内中医医术确有专长人员医师资格考核组织申报、初审及复审工作，负责本行政区域内取得医师资格的中医医术确有专长人员执业日常管理。 </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第十九条  考核合格者，由省级中医药主管部门颁发《中医（专长）医师资格证书》。</w:t>
            </w:r>
          </w:p>
        </w:tc>
        <w:tc>
          <w:tcPr>
            <w:tcW w:w="176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shd w:val="clear" w:color="auto" w:fill="auto"/>
              </w:rPr>
            </w:pPr>
            <w:r>
              <w:rPr>
                <w:rFonts w:hint="eastAsia" w:ascii="仿宋_GB2312" w:hAnsi="仿宋_GB2312" w:eastAsia="仿宋_GB2312" w:cs="仿宋_GB2312"/>
                <w:b w:val="0"/>
                <w:bCs/>
                <w:color w:val="auto"/>
                <w:sz w:val="18"/>
                <w:szCs w:val="18"/>
                <w:highlight w:val="none"/>
                <w:u w:val="none"/>
                <w:shd w:val="clear" w:color="auto" w:fill="auto"/>
                <w:lang w:eastAsia="zh-CN"/>
              </w:rPr>
              <w:t>受理、初审</w:t>
            </w:r>
          </w:p>
        </w:tc>
        <w:tc>
          <w:tcPr>
            <w:tcW w:w="85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shd w:val="clear" w:color="auto" w:fill="auto"/>
                <w:lang w:eastAsia="zh-CN"/>
              </w:rPr>
            </w:pPr>
            <w:r>
              <w:rPr>
                <w:rFonts w:hint="eastAsia" w:ascii="仿宋_GB2312" w:hAnsi="仿宋_GB2312" w:eastAsia="仿宋_GB2312" w:cs="仿宋_GB2312"/>
                <w:b w:val="0"/>
                <w:bCs/>
                <w:color w:val="auto"/>
                <w:sz w:val="18"/>
                <w:szCs w:val="18"/>
                <w:highlight w:val="none"/>
                <w:u w:val="none"/>
                <w:shd w:val="clear" w:color="auto" w:fill="auto"/>
                <w:lang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41" w:type="dxa"/>
            <w:vMerge w:val="continue"/>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42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010"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中医（专长）医师执业注册</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0120005008</w:t>
            </w:r>
          </w:p>
        </w:tc>
        <w:tc>
          <w:tcPr>
            <w:tcW w:w="711"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6704" w:type="dxa"/>
            <w:shd w:val="clear" w:color="auto" w:fill="auto"/>
            <w:vAlign w:val="center"/>
          </w:tcPr>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【法律】《中华人民共和国中医药法》（ 2016年）</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第十五条 从事中医医疗活动的人员应当依照《中华人民共和国执业医师法》的规定，通过中医医师资格考试取得中医医师资格，并进行执业注册。中医医师资格考试的内容应当体现中医药特点。</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以师承方式学习中医或者经多年实践，医术确有专长的人员，由至少两名中医医师推荐，经省、自治区、直辖市人民政府中医药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生行政部门审核、发布。</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【部门规章】《中医医术确有专长人员医师资格考核注册管理暂行办法》（ 2017年国家卫生计生委令第15号）</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第二十五条  中医（专长）医师实行医师区域注册管理。取得《中医（专长）医师资格证书》者，应当向其拟执业机构所在地县级以上地方中医药主管部门提出注册申请，经注册后取得《中医（专长）医师执业证书》。</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第二十七条  中医（专长）医师在其考核所在省级行政区域内执业。中医（专长）医师跨省执业的，须经拟执业所在地省级中医药主管部门同意并注册。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第二十八条  取得《中医（专长）医师执业证书》者，即可在注册的执业范围内，以个人开业的方式或者在医疗机构内从事中医医疗活动。</w:t>
            </w:r>
          </w:p>
        </w:tc>
        <w:tc>
          <w:tcPr>
            <w:tcW w:w="1768" w:type="dxa"/>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lang w:eastAsia="zh-CN"/>
              </w:rPr>
              <w:t>中医（专长）医师执业注册</w:t>
            </w:r>
          </w:p>
        </w:tc>
        <w:tc>
          <w:tcPr>
            <w:tcW w:w="858" w:type="dxa"/>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641" w:type="dxa"/>
            <w:vMerge w:val="restart"/>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vMerge w:val="restart"/>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lang w:eastAsia="zh-CN"/>
              </w:rPr>
              <w:t>行政许可</w:t>
            </w:r>
          </w:p>
        </w:tc>
        <w:tc>
          <w:tcPr>
            <w:tcW w:w="1429" w:type="dxa"/>
            <w:vMerge w:val="restart"/>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卫生许可证核发</w:t>
            </w:r>
          </w:p>
        </w:tc>
        <w:tc>
          <w:tcPr>
            <w:tcW w:w="1010" w:type="dxa"/>
            <w:shd w:val="clear" w:color="auto" w:fill="auto"/>
            <w:vAlign w:val="center"/>
          </w:tcPr>
          <w:p>
            <w:pPr>
              <w:spacing w:line="24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饮用水供水单位卫生许可</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0120010003</w:t>
            </w:r>
          </w:p>
        </w:tc>
        <w:tc>
          <w:tcPr>
            <w:tcW w:w="711" w:type="dxa"/>
            <w:vMerge w:val="restart"/>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6704" w:type="dxa"/>
            <w:shd w:val="clear" w:color="auto" w:fill="auto"/>
            <w:vAlign w:val="center"/>
          </w:tcPr>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【法律】《中华人民共和国传染病防治法》（2013年修正）</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第二十九条：……饮用水供水单位从事生产或者供应活动，应当依法取得卫生许可证。</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【国务院决定】《国务院关于第六批取消和调整行政审批项目的决定》（国发〔2012〕52号）</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附件2（一）第48项：饮用水供水单位卫生许可；下放至设区的市级、县级人民政府卫生行政部门。</w:t>
            </w:r>
          </w:p>
        </w:tc>
        <w:tc>
          <w:tcPr>
            <w:tcW w:w="176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饮用水供水单位卫生许可</w:t>
            </w:r>
          </w:p>
        </w:tc>
        <w:tc>
          <w:tcPr>
            <w:tcW w:w="85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641" w:type="dxa"/>
            <w:vMerge w:val="continue"/>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42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010" w:type="dxa"/>
            <w:shd w:val="clear" w:color="auto" w:fill="auto"/>
            <w:vAlign w:val="center"/>
          </w:tcPr>
          <w:p>
            <w:pPr>
              <w:spacing w:line="24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公共场所卫生许可</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0120010004</w:t>
            </w:r>
          </w:p>
        </w:tc>
        <w:tc>
          <w:tcPr>
            <w:tcW w:w="711"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6704" w:type="dxa"/>
            <w:shd w:val="clear" w:color="auto" w:fill="auto"/>
            <w:vAlign w:val="center"/>
          </w:tcPr>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【行政法规】《公共场所卫生管理条例》</w:t>
            </w:r>
            <w:r>
              <w:rPr>
                <w:rFonts w:hint="eastAsia" w:ascii="仿宋_GB2312" w:hAnsi="仿宋_GB2312" w:eastAsia="仿宋_GB2312" w:cs="仿宋_GB2312"/>
                <w:b w:val="0"/>
                <w:bCs/>
                <w:color w:val="auto"/>
                <w:kern w:val="0"/>
                <w:sz w:val="18"/>
                <w:szCs w:val="18"/>
                <w:highlight w:val="none"/>
                <w:u w:val="none"/>
              </w:rPr>
              <w:t>（201</w:t>
            </w:r>
            <w:r>
              <w:rPr>
                <w:rFonts w:hint="eastAsia" w:ascii="仿宋_GB2312" w:hAnsi="仿宋_GB2312" w:eastAsia="仿宋_GB2312" w:cs="仿宋_GB2312"/>
                <w:b w:val="0"/>
                <w:bCs/>
                <w:color w:val="auto"/>
                <w:kern w:val="0"/>
                <w:sz w:val="18"/>
                <w:szCs w:val="18"/>
                <w:highlight w:val="none"/>
                <w:u w:val="none"/>
                <w:lang w:val="en-US" w:eastAsia="zh-CN"/>
              </w:rPr>
              <w:t>9</w:t>
            </w:r>
            <w:r>
              <w:rPr>
                <w:rFonts w:hint="eastAsia" w:ascii="仿宋_GB2312" w:hAnsi="仿宋_GB2312" w:eastAsia="仿宋_GB2312" w:cs="仿宋_GB2312"/>
                <w:b w:val="0"/>
                <w:bCs/>
                <w:color w:val="auto"/>
                <w:kern w:val="0"/>
                <w:sz w:val="18"/>
                <w:szCs w:val="18"/>
                <w:highlight w:val="none"/>
                <w:u w:val="none"/>
              </w:rPr>
              <w:t>年国务院令第</w:t>
            </w:r>
            <w:r>
              <w:rPr>
                <w:rFonts w:hint="eastAsia" w:ascii="仿宋_GB2312" w:hAnsi="仿宋_GB2312" w:eastAsia="仿宋_GB2312" w:cs="仿宋_GB2312"/>
                <w:b w:val="0"/>
                <w:bCs/>
                <w:color w:val="auto"/>
                <w:kern w:val="0"/>
                <w:sz w:val="18"/>
                <w:szCs w:val="18"/>
                <w:highlight w:val="none"/>
                <w:u w:val="none"/>
                <w:lang w:val="en-US" w:eastAsia="zh-CN"/>
              </w:rPr>
              <w:t>714</w:t>
            </w:r>
            <w:r>
              <w:rPr>
                <w:rFonts w:hint="eastAsia" w:ascii="仿宋_GB2312" w:hAnsi="仿宋_GB2312" w:eastAsia="仿宋_GB2312" w:cs="仿宋_GB2312"/>
                <w:b w:val="0"/>
                <w:bCs/>
                <w:color w:val="auto"/>
                <w:kern w:val="0"/>
                <w:sz w:val="18"/>
                <w:szCs w:val="18"/>
                <w:highlight w:val="none"/>
                <w:u w:val="none"/>
              </w:rPr>
              <w:t>号修正）</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第四条：国家对公共场所实行“卫生许可证”制度。“卫生许可证”由县以上卫生行政部门签发。</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【部门规章】《公共场所卫生管理条例实施细则》（201</w:t>
            </w:r>
            <w:r>
              <w:rPr>
                <w:rFonts w:hint="eastAsia" w:ascii="仿宋_GB2312" w:hAnsi="仿宋_GB2312" w:eastAsia="仿宋_GB2312" w:cs="仿宋_GB2312"/>
                <w:b w:val="0"/>
                <w:bCs/>
                <w:color w:val="auto"/>
                <w:sz w:val="18"/>
                <w:szCs w:val="18"/>
                <w:highlight w:val="none"/>
                <w:u w:val="none"/>
                <w:lang w:val="en-US" w:eastAsia="zh-CN"/>
              </w:rPr>
              <w:t>7</w:t>
            </w:r>
            <w:r>
              <w:rPr>
                <w:rFonts w:hint="eastAsia" w:ascii="仿宋_GB2312" w:hAnsi="仿宋_GB2312" w:eastAsia="仿宋_GB2312" w:cs="仿宋_GB2312"/>
                <w:b w:val="0"/>
                <w:bCs/>
                <w:color w:val="auto"/>
                <w:sz w:val="18"/>
                <w:szCs w:val="18"/>
                <w:highlight w:val="none"/>
                <w:u w:val="none"/>
              </w:rPr>
              <w:t>年国家卫计委令第</w:t>
            </w:r>
            <w:r>
              <w:rPr>
                <w:rFonts w:hint="eastAsia" w:ascii="仿宋_GB2312" w:hAnsi="仿宋_GB2312" w:eastAsia="仿宋_GB2312" w:cs="仿宋_GB2312"/>
                <w:b w:val="0"/>
                <w:bCs/>
                <w:color w:val="auto"/>
                <w:sz w:val="18"/>
                <w:szCs w:val="18"/>
                <w:highlight w:val="none"/>
                <w:u w:val="none"/>
                <w:lang w:val="en-US" w:eastAsia="zh-CN"/>
              </w:rPr>
              <w:t>1</w:t>
            </w:r>
            <w:r>
              <w:rPr>
                <w:rFonts w:hint="eastAsia" w:ascii="仿宋_GB2312" w:hAnsi="仿宋_GB2312" w:eastAsia="仿宋_GB2312" w:cs="仿宋_GB2312"/>
                <w:b w:val="0"/>
                <w:bCs/>
                <w:color w:val="auto"/>
                <w:sz w:val="18"/>
                <w:szCs w:val="18"/>
                <w:highlight w:val="none"/>
                <w:u w:val="none"/>
              </w:rPr>
              <w:t>8号修正）</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第二十二条：国家对除公园、体育场馆、公共交通工具外的公共场所实行卫生许可证管理。公共场所经营者取得工商行政管理部门颁发的营业执照后，还应当按照规定向县级以上地方人民政府</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申请卫生许可证，方可营业。</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p>
        </w:tc>
        <w:tc>
          <w:tcPr>
            <w:tcW w:w="176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公共场所卫生许可</w:t>
            </w:r>
          </w:p>
        </w:tc>
        <w:tc>
          <w:tcPr>
            <w:tcW w:w="85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jc w:val="center"/>
        </w:trPr>
        <w:tc>
          <w:tcPr>
            <w:tcW w:w="641" w:type="dxa"/>
            <w:vMerge w:val="restart"/>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vMerge w:val="restart"/>
            <w:shd w:val="clear" w:color="auto" w:fill="auto"/>
            <w:vAlign w:val="center"/>
          </w:tcPr>
          <w:p>
            <w:pPr>
              <w:spacing w:line="240" w:lineRule="exact"/>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lang w:eastAsia="zh-CN"/>
              </w:rPr>
              <w:t>行政许可</w:t>
            </w:r>
          </w:p>
        </w:tc>
        <w:tc>
          <w:tcPr>
            <w:tcW w:w="1429" w:type="dxa"/>
            <w:vMerge w:val="restart"/>
            <w:shd w:val="clear" w:color="auto" w:fill="auto"/>
            <w:vAlign w:val="center"/>
          </w:tcPr>
          <w:p>
            <w:pPr>
              <w:spacing w:line="240" w:lineRule="exact"/>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放射诊疗建设项目卫生审查、验收和放射诊疗许可</w:t>
            </w:r>
          </w:p>
        </w:tc>
        <w:tc>
          <w:tcPr>
            <w:tcW w:w="1010"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医疗机构放射性职业病危害建设项目预评价报告审核</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0120012001</w:t>
            </w:r>
          </w:p>
        </w:tc>
        <w:tc>
          <w:tcPr>
            <w:tcW w:w="711" w:type="dxa"/>
            <w:vMerge w:val="restart"/>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6704" w:type="dxa"/>
            <w:vMerge w:val="restart"/>
            <w:shd w:val="clear" w:color="auto" w:fill="auto"/>
            <w:vAlign w:val="center"/>
          </w:tcPr>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【法律】《中华人民共和国职业病防治法》（</w:t>
            </w:r>
            <w:r>
              <w:rPr>
                <w:rFonts w:hint="eastAsia" w:ascii="仿宋_GB2312" w:hAnsi="仿宋_GB2312" w:eastAsia="仿宋_GB2312" w:cs="仿宋_GB2312"/>
                <w:b w:val="0"/>
                <w:bCs/>
                <w:color w:val="auto"/>
                <w:sz w:val="18"/>
                <w:szCs w:val="18"/>
                <w:highlight w:val="none"/>
                <w:u w:val="none"/>
                <w:lang w:val="en-US" w:eastAsia="zh-CN"/>
              </w:rPr>
              <w:t>2018</w:t>
            </w:r>
            <w:r>
              <w:rPr>
                <w:rFonts w:hint="eastAsia" w:ascii="仿宋_GB2312" w:hAnsi="仿宋_GB2312" w:eastAsia="仿宋_GB2312" w:cs="仿宋_GB2312"/>
                <w:b w:val="0"/>
                <w:bCs/>
                <w:color w:val="auto"/>
                <w:sz w:val="18"/>
                <w:szCs w:val="18"/>
                <w:highlight w:val="none"/>
                <w:u w:val="none"/>
              </w:rPr>
              <w:t>年修正）</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七条：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书并书面通知建设单位。未提交预评价报告或者预评价报告未经卫生行政部门审核同意的，不得开工建设。第十八条：……建设项目在竣工验收前，建设单位应当进行职业病危害控制效果评价。医疗机构可能产生放射性职业病危害的建设项目竣工验收时，其放射性职业病防护设施经卫生行政部门验收合格后，方可投入使用；……第八十</w:t>
            </w:r>
            <w:r>
              <w:rPr>
                <w:rFonts w:hint="eastAsia" w:ascii="仿宋_GB2312" w:hAnsi="仿宋_GB2312" w:eastAsia="仿宋_GB2312" w:cs="仿宋_GB2312"/>
                <w:b w:val="0"/>
                <w:bCs/>
                <w:color w:val="auto"/>
                <w:sz w:val="18"/>
                <w:szCs w:val="18"/>
                <w:highlight w:val="none"/>
                <w:u w:val="none"/>
                <w:lang w:eastAsia="zh-CN"/>
              </w:rPr>
              <w:t>七</w:t>
            </w:r>
            <w:r>
              <w:rPr>
                <w:rFonts w:hint="eastAsia" w:ascii="仿宋_GB2312" w:hAnsi="仿宋_GB2312" w:eastAsia="仿宋_GB2312" w:cs="仿宋_GB2312"/>
                <w:b w:val="0"/>
                <w:bCs/>
                <w:color w:val="auto"/>
                <w:sz w:val="18"/>
                <w:szCs w:val="18"/>
                <w:highlight w:val="none"/>
                <w:u w:val="none"/>
              </w:rPr>
              <w:t>条：对医疗机构放射性职业病危害控制的监督管理，由卫生行政部门依照本法的规定实施。</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【行政法规】《放射性同位素与射线装置安全和防护条例》（201</w:t>
            </w:r>
            <w:r>
              <w:rPr>
                <w:rFonts w:hint="eastAsia" w:ascii="仿宋_GB2312" w:hAnsi="仿宋_GB2312" w:eastAsia="仿宋_GB2312" w:cs="仿宋_GB2312"/>
                <w:b w:val="0"/>
                <w:bCs/>
                <w:color w:val="auto"/>
                <w:sz w:val="18"/>
                <w:szCs w:val="18"/>
                <w:highlight w:val="none"/>
                <w:u w:val="none"/>
                <w:lang w:val="en-US" w:eastAsia="zh-CN"/>
              </w:rPr>
              <w:t>9</w:t>
            </w:r>
            <w:r>
              <w:rPr>
                <w:rFonts w:hint="eastAsia" w:ascii="仿宋_GB2312" w:hAnsi="仿宋_GB2312" w:eastAsia="仿宋_GB2312" w:cs="仿宋_GB2312"/>
                <w:b w:val="0"/>
                <w:bCs/>
                <w:color w:val="auto"/>
                <w:sz w:val="18"/>
                <w:szCs w:val="18"/>
                <w:highlight w:val="none"/>
                <w:u w:val="none"/>
              </w:rPr>
              <w:t>年国务院令第653号修订）</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第八条</w:t>
            </w:r>
            <w:r>
              <w:rPr>
                <w:rFonts w:hint="eastAsia" w:ascii="仿宋_GB2312" w:hAnsi="仿宋_GB2312" w:eastAsia="仿宋_GB2312" w:cs="仿宋_GB2312"/>
                <w:b w:val="0"/>
                <w:bCs/>
                <w:color w:val="auto"/>
                <w:sz w:val="18"/>
                <w:szCs w:val="18"/>
                <w:highlight w:val="none"/>
                <w:u w:val="none"/>
                <w:lang w:eastAsia="zh-CN"/>
              </w:rPr>
              <w:t>：</w:t>
            </w:r>
            <w:r>
              <w:rPr>
                <w:rFonts w:hint="eastAsia" w:ascii="仿宋_GB2312" w:hAnsi="仿宋_GB2312" w:eastAsia="仿宋_GB2312" w:cs="仿宋_GB2312"/>
                <w:b w:val="0"/>
                <w:bCs/>
                <w:i w:val="0"/>
                <w:caps w:val="0"/>
                <w:color w:val="auto"/>
                <w:spacing w:val="0"/>
                <w:sz w:val="18"/>
                <w:szCs w:val="18"/>
                <w:highlight w:val="none"/>
                <w:u w:val="none"/>
                <w:shd w:val="clear" w:color="auto" w:fill="FFFFFF"/>
              </w:rPr>
              <w:t>生产、销售、使用放射性同位素和射线装置的单位，应当事先向有审批权的生态环境主管部门提出许可申请，并提交符合本条例第七条规定条件的证明材料</w:t>
            </w:r>
            <w:r>
              <w:rPr>
                <w:rFonts w:hint="eastAsia" w:ascii="仿宋_GB2312" w:hAnsi="仿宋_GB2312" w:eastAsia="仿宋_GB2312" w:cs="仿宋_GB2312"/>
                <w:b w:val="0"/>
                <w:bCs/>
                <w:color w:val="auto"/>
                <w:sz w:val="18"/>
                <w:szCs w:val="18"/>
                <w:highlight w:val="none"/>
                <w:u w:val="none"/>
              </w:rPr>
              <w:t>。</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【部门规章】《放射诊疗管理规定》（2016年国家卫计委令第8号修正）</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一条:医疗机构设置放射诊疗项目，应当按照其开展的放射诊疗工作的类别，分别向相应的卫生行政部门提出建设项目卫生审查、竣工验收和设置放射诊疗项目申请：开展X射线影像诊断工作的，向县级卫生行政部门申请办理。同时开展不同类别放射诊疗工作的，向具有高类别审批权的卫生行政部门申请办理。第十三条：医疗机构在放射诊疗建设项目竣工验收前，应当进行职业病危害控制效果评价；并向相应的卫生行政部门提交下列资料，申请进行卫生验收</w:t>
            </w:r>
          </w:p>
        </w:tc>
        <w:tc>
          <w:tcPr>
            <w:tcW w:w="1768" w:type="dxa"/>
            <w:tcBorders>
              <w:bottom w:val="single" w:color="auto" w:sz="4" w:space="0"/>
            </w:tcBorders>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开展X射线影像诊断工作</w:t>
            </w:r>
          </w:p>
        </w:tc>
        <w:tc>
          <w:tcPr>
            <w:tcW w:w="858" w:type="dxa"/>
            <w:tcBorders>
              <w:bottom w:val="single" w:color="auto" w:sz="4" w:space="0"/>
            </w:tcBorders>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641" w:type="dxa"/>
            <w:vMerge w:val="continue"/>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42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010"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医疗机构放射性职业病危害建设项目竣工验收</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0120012002</w:t>
            </w:r>
          </w:p>
        </w:tc>
        <w:tc>
          <w:tcPr>
            <w:tcW w:w="711"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6704" w:type="dxa"/>
            <w:vMerge w:val="continue"/>
            <w:shd w:val="clear" w:color="auto" w:fill="auto"/>
            <w:vAlign w:val="center"/>
          </w:tcPr>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p>
        </w:tc>
        <w:tc>
          <w:tcPr>
            <w:tcW w:w="1768" w:type="dxa"/>
            <w:tcBorders>
              <w:bottom w:val="single" w:color="auto" w:sz="4" w:space="0"/>
            </w:tcBorders>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开展X射线影像诊断工作</w:t>
            </w:r>
          </w:p>
        </w:tc>
        <w:tc>
          <w:tcPr>
            <w:tcW w:w="858" w:type="dxa"/>
            <w:tcBorders>
              <w:bottom w:val="single" w:color="auto" w:sz="4" w:space="0"/>
            </w:tcBorders>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641" w:type="dxa"/>
            <w:vMerge w:val="continue"/>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429"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1010" w:type="dxa"/>
            <w:shd w:val="clear" w:color="auto" w:fill="auto"/>
            <w:vAlign w:val="center"/>
          </w:tcPr>
          <w:p>
            <w:pPr>
              <w:spacing w:line="240" w:lineRule="exact"/>
              <w:jc w:val="lef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放射诊疗许可</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0120012003</w:t>
            </w:r>
          </w:p>
        </w:tc>
        <w:tc>
          <w:tcPr>
            <w:tcW w:w="711" w:type="dxa"/>
            <w:vMerge w:val="continue"/>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p>
        </w:tc>
        <w:tc>
          <w:tcPr>
            <w:tcW w:w="6704" w:type="dxa"/>
            <w:vMerge w:val="continue"/>
            <w:shd w:val="clear" w:color="auto" w:fill="auto"/>
            <w:vAlign w:val="center"/>
          </w:tcPr>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p>
        </w:tc>
        <w:tc>
          <w:tcPr>
            <w:tcW w:w="176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开展X射线影像诊断工作</w:t>
            </w:r>
          </w:p>
        </w:tc>
        <w:tc>
          <w:tcPr>
            <w:tcW w:w="85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1" w:type="dxa"/>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lang w:eastAsia="zh-CN"/>
              </w:rPr>
              <w:t>行政许可</w:t>
            </w:r>
          </w:p>
        </w:tc>
        <w:tc>
          <w:tcPr>
            <w:tcW w:w="1429" w:type="dxa"/>
            <w:shd w:val="clear" w:color="auto" w:fill="auto"/>
            <w:vAlign w:val="center"/>
          </w:tcPr>
          <w:p>
            <w:pPr>
              <w:spacing w:line="240" w:lineRule="exact"/>
              <w:jc w:val="center"/>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再生育审批</w:t>
            </w:r>
          </w:p>
        </w:tc>
        <w:tc>
          <w:tcPr>
            <w:tcW w:w="1010" w:type="dxa"/>
            <w:shd w:val="clear" w:color="auto" w:fill="auto"/>
            <w:vAlign w:val="top"/>
          </w:tcPr>
          <w:p>
            <w:pPr>
              <w:spacing w:line="24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0120015000</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6704" w:type="dxa"/>
            <w:shd w:val="clear" w:color="auto" w:fill="auto"/>
            <w:vAlign w:val="center"/>
          </w:tcPr>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【法律】《中华人民共和国人口与计划生育法》（2015年修正）</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第十八条 国家提倡一对夫妻生育两个子女。符合法律、法规规定条件的，可以要求安排再生育子女。</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【地方性法规】《宁夏回族自治区人口与计划生育条例》（2016年修正）</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第二十三条 符合生育第三个子女条件的，夫妻双方应当持夫妻双方的身份证、户口簿、结婚证原件；再婚的、收养子女的应当加持离婚证、收养登记证原件到一方户籍地所在的乡镇（街道）卫生和计划生育工作机构提出再生育申请。</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乡镇（街道）卫生和计划生育工作机构应当自接到提交的相关材料之日起十日内进行审核，报县（市、区）卫生和计划生育行政部门审批，符合再生育条件的，办理相关手续；不符合再生育条件的，应当以书面形式告知申请人并说明理由。需要依法鉴定的，审核时间从收到鉴定结论之日起计算。婚育信息需跨省核实的，办理时限不超过二十日。</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经批准生育第三个子女的，因户籍或者婚姻状况等发生变化不再符合再生育条件的，除已经怀孕的以外，批准生育的卫生和计划生育行政部门应当及时撤回批准再生育决定，并书面告知理由。</w:t>
            </w:r>
          </w:p>
        </w:tc>
        <w:tc>
          <w:tcPr>
            <w:tcW w:w="176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批准生育第三个子女</w:t>
            </w:r>
          </w:p>
        </w:tc>
        <w:tc>
          <w:tcPr>
            <w:tcW w:w="85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shd w:val="clear" w:color="auto" w:fill="auto"/>
            <w:vAlign w:val="center"/>
          </w:tcPr>
          <w:p>
            <w:pPr>
              <w:numPr>
                <w:ilvl w:val="0"/>
                <w:numId w:val="1"/>
              </w:numPr>
              <w:spacing w:line="240" w:lineRule="exact"/>
              <w:jc w:val="center"/>
              <w:rPr>
                <w:rFonts w:hint="eastAsia" w:ascii="仿宋_GB2312" w:hAnsi="仿宋_GB2312" w:eastAsia="仿宋_GB2312" w:cs="仿宋_GB2312"/>
                <w:b w:val="0"/>
                <w:bCs/>
                <w:color w:val="auto"/>
                <w:sz w:val="18"/>
                <w:szCs w:val="18"/>
                <w:highlight w:val="none"/>
                <w:u w:val="none"/>
              </w:rPr>
            </w:pPr>
          </w:p>
        </w:tc>
        <w:tc>
          <w:tcPr>
            <w:tcW w:w="699" w:type="dxa"/>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行政许可</w:t>
            </w:r>
          </w:p>
        </w:tc>
        <w:tc>
          <w:tcPr>
            <w:tcW w:w="1429"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color w:val="000000"/>
                <w:sz w:val="18"/>
                <w:szCs w:val="18"/>
                <w:lang w:eastAsia="zh-CN"/>
              </w:rPr>
              <w:t>职业卫生技术服务机构乙级以下（除煤矿外）资质认定</w:t>
            </w:r>
          </w:p>
        </w:tc>
        <w:tc>
          <w:tcPr>
            <w:tcW w:w="1010" w:type="dxa"/>
            <w:shd w:val="clear" w:color="auto" w:fill="auto"/>
            <w:vAlign w:val="top"/>
          </w:tcPr>
          <w:p>
            <w:pPr>
              <w:spacing w:line="24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color w:val="000000"/>
                <w:sz w:val="18"/>
                <w:szCs w:val="18"/>
                <w:lang w:eastAsia="zh-CN"/>
              </w:rPr>
              <w:t>0129003003</w:t>
            </w:r>
          </w:p>
        </w:tc>
        <w:tc>
          <w:tcPr>
            <w:tcW w:w="711" w:type="dxa"/>
            <w:shd w:val="clear" w:color="auto" w:fill="auto"/>
            <w:vAlign w:val="center"/>
          </w:tcPr>
          <w:p>
            <w:pPr>
              <w:spacing w:line="24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6704" w:type="dxa"/>
            <w:shd w:val="clear" w:color="auto" w:fill="auto"/>
            <w:vAlign w:val="center"/>
          </w:tcPr>
          <w:p>
            <w:pPr>
              <w:shd w:val="clear" w:fill="FFFFFF" w:themeFill="background1"/>
              <w:spacing w:line="240" w:lineRule="exact"/>
              <w:ind w:firstLine="360" w:firstLineChars="200"/>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【法律】《中华人民共和国职业病防治法》（2017年修正）</w:t>
            </w:r>
          </w:p>
          <w:p>
            <w:pPr>
              <w:shd w:val="clear" w:fill="FFFFFF" w:themeFill="background1"/>
              <w:spacing w:line="240" w:lineRule="exact"/>
              <w:ind w:firstLine="360" w:firstLineChars="200"/>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第二十六条第三款 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p>
          <w:p>
            <w:pPr>
              <w:shd w:val="clear" w:fill="FFFFFF" w:themeFill="background1"/>
              <w:spacing w:line="240" w:lineRule="exact"/>
              <w:ind w:firstLine="360" w:firstLineChars="200"/>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【部门规章】《职业卫生技术服务机构监督管理暂行办法》（2015年国家安全监管总局令第80号修正）</w:t>
            </w:r>
          </w:p>
          <w:p>
            <w:pPr>
              <w:shd w:val="clear" w:fill="FFFFFF" w:themeFill="background1"/>
              <w:spacing w:line="240" w:lineRule="exact"/>
              <w:ind w:firstLine="360" w:firstLineChars="200"/>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第五条 职业卫生技术服务机构的资质从高到低分为甲级、乙级、丙级三个等级。</w:t>
            </w:r>
          </w:p>
          <w:p>
            <w:pPr>
              <w:shd w:val="clear" w:fill="FFFFFF" w:themeFill="background1"/>
              <w:spacing w:line="240" w:lineRule="exact"/>
              <w:ind w:firstLine="360" w:firstLineChars="200"/>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甲级资质由国家安全生产监督管理总局认可及颁发证书。</w:t>
            </w:r>
          </w:p>
          <w:p>
            <w:pPr>
              <w:shd w:val="clear" w:fill="FFFFFF" w:themeFill="background1"/>
              <w:spacing w:line="240" w:lineRule="exact"/>
              <w:ind w:firstLine="360" w:firstLineChars="200"/>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乙级资质由省、自治区、直辖市人民政府安全生产监督管理部门（以下简称省级安全生产监督管理部门）认可及颁发证书，并报国家安全生产监督管理总局备案。</w:t>
            </w:r>
          </w:p>
          <w:p>
            <w:pPr>
              <w:shd w:val="clear" w:fill="FFFFFF" w:themeFill="background1"/>
              <w:spacing w:line="240" w:lineRule="exact"/>
              <w:ind w:firstLine="360" w:firstLineChars="200"/>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丙级资质由设区的市级人民政府安全生产监督管理部门（以下简称市级安全生产监督管理部门）认可及颁发证书，并报省级安全生产监督管理部门备案，由省级安全生产监督管理部门报国家安全生产监督管理总局进行登记。</w:t>
            </w:r>
          </w:p>
          <w:p>
            <w:pPr>
              <w:shd w:val="clear" w:fill="FFFFFF" w:themeFill="background1"/>
              <w:spacing w:line="240" w:lineRule="exact"/>
              <w:ind w:firstLine="360" w:firstLineChars="200"/>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第十九条 申请乙级资质，按照下列程序办理：</w:t>
            </w:r>
          </w:p>
          <w:p>
            <w:pPr>
              <w:shd w:val="clear" w:fill="FFFFFF" w:themeFill="background1"/>
              <w:spacing w:line="240" w:lineRule="exact"/>
              <w:ind w:firstLine="360" w:firstLineChars="200"/>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（一）申请人将职业卫生技术服务机构资质申请表和本办法第十七条规定的文件、资料，报所在地的市级安全生产监督管理部门审核；</w:t>
            </w:r>
          </w:p>
          <w:p>
            <w:pPr>
              <w:shd w:val="clear" w:fill="FFFFFF" w:themeFill="background1"/>
              <w:spacing w:line="240" w:lineRule="exact"/>
              <w:ind w:firstLine="360" w:firstLineChars="200"/>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二）市级安全生产监督管理部门应当自收到申请文件、资料之日起5个工作日内对其进行初审并决定是否受理。决定受理的，应当自受理之日起20个工作日内完成审核，并将审核意见和全部申请文件、资料报省级安全生产监督管理部门；决定不予受理的，应当向申请人书面说明理由；</w:t>
            </w:r>
          </w:p>
          <w:p>
            <w:pPr>
              <w:shd w:val="clear" w:fill="FFFFFF" w:themeFill="background1"/>
              <w:spacing w:line="240" w:lineRule="exact"/>
              <w:ind w:firstLine="360" w:firstLineChars="200"/>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三）省级安全生产监督管理部门应当自收到审核意见和申请文件、资料之日起20个工作日内，组织专家组对申请人进行技术评审，并根据专家组提交的技术评审报告和区域经济结构、统筹规划、总量控制等要求作出资质认可决定。决定认可的，应当自作出决定之日起10个工作日内向申请人颁发资质证书；决定不予认可的，应当向申请人书面说明理由。</w:t>
            </w:r>
          </w:p>
          <w:p>
            <w:pPr>
              <w:shd w:val="clear" w:fill="FFFFFF" w:themeFill="background1"/>
              <w:spacing w:line="240" w:lineRule="exact"/>
              <w:ind w:firstLine="360" w:firstLineChars="200"/>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第二十条 申请丙级资质，按照下列程序办理：</w:t>
            </w:r>
          </w:p>
          <w:p>
            <w:pPr>
              <w:shd w:val="clear" w:fill="FFFFFF" w:themeFill="background1"/>
              <w:spacing w:line="240" w:lineRule="exact"/>
              <w:ind w:firstLine="360" w:firstLineChars="200"/>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（一）申请人将职业卫生技术服务机构资质申请表和本办法第十七条规定的文件、资料，报所在地的县级安全生产监督管理部门审核；</w:t>
            </w:r>
          </w:p>
          <w:p>
            <w:pPr>
              <w:shd w:val="clear" w:fill="FFFFFF" w:themeFill="background1"/>
              <w:spacing w:line="240" w:lineRule="exact"/>
              <w:ind w:firstLine="360" w:firstLineChars="200"/>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二）县级安全生产监督管理部门应当自收到申请文件、资料之日起5个工作日内对其进行初审并决定是否受理。决定受理的，应当自受理之日起20个工作日内完成审核，并将审核意见和全部申请文件、资料报市级安全生产监督管理部门；决定不予受理的，应当向申请人书面说明理由；</w:t>
            </w:r>
          </w:p>
          <w:p>
            <w:pPr>
              <w:shd w:val="clear"/>
              <w:spacing w:line="240" w:lineRule="exact"/>
              <w:ind w:firstLine="360" w:firstLineChars="200"/>
              <w:rPr>
                <w:rFonts w:hint="eastAsia" w:ascii="仿宋_GB2312" w:hAnsi="仿宋_GB2312" w:cs="仿宋_GB2312" w:eastAsiaTheme="minorEastAsia"/>
                <w:b w:val="0"/>
                <w:bCs/>
                <w:color w:val="auto"/>
                <w:sz w:val="18"/>
                <w:szCs w:val="18"/>
                <w:highlight w:val="none"/>
                <w:u w:val="none"/>
                <w:lang w:val="en-US" w:eastAsia="zh-CN"/>
              </w:rPr>
            </w:pPr>
            <w:r>
              <w:rPr>
                <w:rFonts w:hint="eastAsia" w:ascii="仿宋_GB2312" w:hAnsi="仿宋_GB2312" w:eastAsia="仿宋_GB2312" w:cs="仿宋_GB2312"/>
                <w:sz w:val="18"/>
                <w:szCs w:val="18"/>
                <w:highlight w:val="none"/>
              </w:rPr>
              <w:t>（三）市级安全生产监督管理部门应当自受理之日起20个工作日内，组织专家组对申请人进行技术评审，并根据专家组提交的技术评审报告和统筹规划、总量控制等要求作出资质认可决定。决定认可的，应当自作出决定之日起10个工作日内向申请人颁发资质证书；决定不予认可的，应当向申请人书面说明理由。</w:t>
            </w:r>
            <w:r>
              <w:rPr>
                <w:rFonts w:hint="eastAsia" w:ascii="仿宋_GB2312" w:hAnsi="仿宋_GB2312" w:eastAsia="仿宋_GB2312" w:cs="仿宋_GB2312"/>
                <w:sz w:val="18"/>
                <w:szCs w:val="18"/>
                <w:highlight w:val="none"/>
                <w:lang w:val="en-US" w:eastAsia="zh-CN"/>
              </w:rPr>
              <w:t xml:space="preserve"> </w:t>
            </w:r>
          </w:p>
        </w:tc>
        <w:tc>
          <w:tcPr>
            <w:tcW w:w="176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sz w:val="18"/>
                <w:szCs w:val="18"/>
              </w:rPr>
              <w:t>负责职业卫生技术服务机构乙级资质认可及颁发证书。</w:t>
            </w:r>
          </w:p>
        </w:tc>
        <w:tc>
          <w:tcPr>
            <w:tcW w:w="858" w:type="dxa"/>
            <w:shd w:val="clear" w:color="auto" w:fill="auto"/>
            <w:vAlign w:val="center"/>
          </w:tcPr>
          <w:p>
            <w:pPr>
              <w:spacing w:line="240" w:lineRule="exact"/>
              <w:rPr>
                <w:rFonts w:hint="eastAsia" w:ascii="仿宋_GB2312" w:hAnsi="仿宋_GB2312" w:eastAsia="仿宋_GB2312" w:cs="仿宋_GB2312"/>
                <w:b w:val="0"/>
                <w:bCs/>
                <w:color w:val="auto"/>
                <w:sz w:val="18"/>
                <w:szCs w:val="18"/>
                <w:highlight w:val="none"/>
                <w:u w:val="none"/>
                <w:lang w:eastAsia="zh-CN"/>
              </w:rPr>
            </w:pPr>
          </w:p>
        </w:tc>
      </w:tr>
    </w:tbl>
    <w:p>
      <w:pPr>
        <w:numPr>
          <w:ilvl w:val="0"/>
          <w:numId w:val="0"/>
        </w:numPr>
        <w:spacing w:line="500" w:lineRule="exact"/>
        <w:jc w:val="both"/>
        <w:rPr>
          <w:rFonts w:hint="eastAsia" w:ascii="仿宋_GB2312" w:hAnsi="仿宋_GB2312" w:eastAsia="仿宋_GB2312" w:cs="仿宋_GB2312"/>
          <w:b/>
          <w:color w:val="000000"/>
          <w:kern w:val="0"/>
        </w:rPr>
      </w:pPr>
    </w:p>
    <w:p>
      <w:pPr>
        <w:pStyle w:val="2"/>
        <w:numPr>
          <w:ilvl w:val="0"/>
          <w:numId w:val="0"/>
        </w:numPr>
        <w:rPr>
          <w:rFonts w:hint="eastAsia" w:ascii="仿宋_GB2312" w:hAnsi="仿宋_GB2312" w:eastAsia="仿宋_GB2312" w:cs="仿宋_GB2312"/>
        </w:rPr>
      </w:pPr>
    </w:p>
    <w:tbl>
      <w:tblPr>
        <w:tblStyle w:val="6"/>
        <w:tblW w:w="14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631"/>
        <w:gridCol w:w="1575"/>
        <w:gridCol w:w="717"/>
        <w:gridCol w:w="709"/>
        <w:gridCol w:w="7646"/>
        <w:gridCol w:w="1712"/>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jc w:val="center"/>
        </w:trPr>
        <w:tc>
          <w:tcPr>
            <w:tcW w:w="774" w:type="dxa"/>
            <w:vAlign w:val="center"/>
          </w:tcPr>
          <w:p>
            <w:pPr>
              <w:spacing w:line="260" w:lineRule="exact"/>
              <w:jc w:val="center"/>
              <w:rPr>
                <w:rFonts w:hint="eastAsia" w:ascii="仿宋_GB2312" w:hAnsi="仿宋_GB2312" w:eastAsia="仿宋_GB2312" w:cs="仿宋_GB2312"/>
                <w:b/>
                <w:bCs w:val="0"/>
                <w:color w:val="auto"/>
                <w:sz w:val="18"/>
                <w:szCs w:val="18"/>
                <w:highlight w:val="none"/>
                <w:u w:val="none"/>
              </w:rPr>
            </w:pPr>
            <w:r>
              <w:rPr>
                <w:rFonts w:hint="eastAsia" w:ascii="仿宋_GB2312" w:hAnsi="仿宋_GB2312" w:eastAsia="仿宋_GB2312" w:cs="仿宋_GB2312"/>
                <w:b/>
                <w:bCs w:val="0"/>
                <w:color w:val="auto"/>
                <w:sz w:val="18"/>
                <w:szCs w:val="18"/>
                <w:highlight w:val="none"/>
                <w:u w:val="none"/>
              </w:rPr>
              <w:t>序号</w:t>
            </w:r>
          </w:p>
        </w:tc>
        <w:tc>
          <w:tcPr>
            <w:tcW w:w="631" w:type="dxa"/>
            <w:vAlign w:val="center"/>
          </w:tcPr>
          <w:p>
            <w:pPr>
              <w:spacing w:line="260" w:lineRule="exact"/>
              <w:jc w:val="center"/>
              <w:rPr>
                <w:rFonts w:hint="eastAsia" w:ascii="仿宋_GB2312" w:hAnsi="仿宋_GB2312" w:eastAsia="仿宋_GB2312" w:cs="仿宋_GB2312"/>
                <w:b/>
                <w:bCs w:val="0"/>
                <w:color w:val="auto"/>
                <w:sz w:val="18"/>
                <w:szCs w:val="18"/>
                <w:highlight w:val="none"/>
                <w:u w:val="none"/>
                <w:lang w:eastAsia="zh-CN"/>
              </w:rPr>
            </w:pPr>
            <w:r>
              <w:rPr>
                <w:rFonts w:hint="eastAsia" w:ascii="仿宋_GB2312" w:hAnsi="仿宋_GB2312" w:eastAsia="仿宋_GB2312" w:cs="仿宋_GB2312"/>
                <w:b/>
                <w:bCs w:val="0"/>
                <w:color w:val="auto"/>
                <w:sz w:val="18"/>
                <w:szCs w:val="18"/>
                <w:highlight w:val="none"/>
                <w:u w:val="none"/>
                <w:lang w:eastAsia="zh-CN"/>
              </w:rPr>
              <w:t>职权类型</w:t>
            </w:r>
          </w:p>
        </w:tc>
        <w:tc>
          <w:tcPr>
            <w:tcW w:w="1575" w:type="dxa"/>
            <w:vAlign w:val="center"/>
          </w:tcPr>
          <w:p>
            <w:pPr>
              <w:spacing w:line="260" w:lineRule="exact"/>
              <w:jc w:val="center"/>
              <w:rPr>
                <w:rFonts w:hint="eastAsia" w:ascii="仿宋_GB2312" w:hAnsi="仿宋_GB2312" w:eastAsia="仿宋_GB2312" w:cs="仿宋_GB2312"/>
                <w:b/>
                <w:bCs w:val="0"/>
                <w:color w:val="auto"/>
                <w:sz w:val="18"/>
                <w:szCs w:val="18"/>
                <w:highlight w:val="none"/>
                <w:u w:val="none"/>
              </w:rPr>
            </w:pPr>
            <w:r>
              <w:rPr>
                <w:rFonts w:hint="eastAsia" w:ascii="仿宋_GB2312" w:hAnsi="仿宋_GB2312" w:eastAsia="仿宋_GB2312" w:cs="仿宋_GB2312"/>
                <w:b/>
                <w:bCs w:val="0"/>
                <w:color w:val="auto"/>
                <w:sz w:val="18"/>
                <w:szCs w:val="18"/>
                <w:highlight w:val="none"/>
                <w:u w:val="none"/>
              </w:rPr>
              <w:t>职权名称</w:t>
            </w:r>
          </w:p>
        </w:tc>
        <w:tc>
          <w:tcPr>
            <w:tcW w:w="717" w:type="dxa"/>
            <w:vAlign w:val="center"/>
          </w:tcPr>
          <w:p>
            <w:pPr>
              <w:spacing w:line="260" w:lineRule="exact"/>
              <w:jc w:val="center"/>
              <w:rPr>
                <w:rFonts w:hint="eastAsia" w:ascii="仿宋_GB2312" w:hAnsi="仿宋_GB2312" w:eastAsia="仿宋_GB2312" w:cs="仿宋_GB2312"/>
                <w:b/>
                <w:bCs w:val="0"/>
                <w:color w:val="auto"/>
                <w:sz w:val="18"/>
                <w:szCs w:val="18"/>
                <w:highlight w:val="none"/>
                <w:u w:val="none"/>
              </w:rPr>
            </w:pPr>
            <w:r>
              <w:rPr>
                <w:rFonts w:hint="eastAsia" w:ascii="仿宋_GB2312" w:hAnsi="仿宋_GB2312" w:eastAsia="仿宋_GB2312" w:cs="仿宋_GB2312"/>
                <w:b/>
                <w:bCs w:val="0"/>
                <w:color w:val="auto"/>
                <w:sz w:val="18"/>
                <w:szCs w:val="18"/>
                <w:highlight w:val="none"/>
                <w:u w:val="none"/>
              </w:rPr>
              <w:t>基本</w:t>
            </w:r>
          </w:p>
          <w:p>
            <w:pPr>
              <w:spacing w:line="260" w:lineRule="exact"/>
              <w:jc w:val="center"/>
              <w:rPr>
                <w:rFonts w:hint="eastAsia" w:ascii="仿宋_GB2312" w:hAnsi="仿宋_GB2312" w:eastAsia="仿宋_GB2312" w:cs="仿宋_GB2312"/>
                <w:b/>
                <w:bCs w:val="0"/>
                <w:color w:val="auto"/>
                <w:sz w:val="18"/>
                <w:szCs w:val="18"/>
                <w:highlight w:val="none"/>
                <w:u w:val="none"/>
              </w:rPr>
            </w:pPr>
            <w:r>
              <w:rPr>
                <w:rFonts w:hint="eastAsia" w:ascii="仿宋_GB2312" w:hAnsi="仿宋_GB2312" w:eastAsia="仿宋_GB2312" w:cs="仿宋_GB2312"/>
                <w:b/>
                <w:bCs w:val="0"/>
                <w:color w:val="auto"/>
                <w:sz w:val="18"/>
                <w:szCs w:val="18"/>
                <w:highlight w:val="none"/>
                <w:u w:val="none"/>
              </w:rPr>
              <w:t>编码</w:t>
            </w:r>
          </w:p>
        </w:tc>
        <w:tc>
          <w:tcPr>
            <w:tcW w:w="709" w:type="dxa"/>
            <w:vAlign w:val="center"/>
          </w:tcPr>
          <w:p>
            <w:pPr>
              <w:spacing w:line="260" w:lineRule="exact"/>
              <w:jc w:val="center"/>
              <w:rPr>
                <w:rFonts w:hint="eastAsia" w:ascii="仿宋_GB2312" w:hAnsi="仿宋_GB2312" w:eastAsia="仿宋_GB2312" w:cs="仿宋_GB2312"/>
                <w:b/>
                <w:bCs w:val="0"/>
                <w:color w:val="auto"/>
                <w:sz w:val="18"/>
                <w:szCs w:val="18"/>
                <w:highlight w:val="none"/>
                <w:u w:val="none"/>
              </w:rPr>
            </w:pPr>
            <w:r>
              <w:rPr>
                <w:rFonts w:hint="eastAsia" w:ascii="仿宋_GB2312" w:hAnsi="仿宋_GB2312" w:eastAsia="仿宋_GB2312" w:cs="仿宋_GB2312"/>
                <w:b/>
                <w:bCs w:val="0"/>
                <w:color w:val="auto"/>
                <w:sz w:val="18"/>
                <w:szCs w:val="18"/>
                <w:highlight w:val="none"/>
                <w:u w:val="none"/>
              </w:rPr>
              <w:t>实施部门</w:t>
            </w:r>
          </w:p>
        </w:tc>
        <w:tc>
          <w:tcPr>
            <w:tcW w:w="7646" w:type="dxa"/>
            <w:vAlign w:val="center"/>
          </w:tcPr>
          <w:p>
            <w:pPr>
              <w:spacing w:line="260" w:lineRule="exact"/>
              <w:jc w:val="center"/>
              <w:rPr>
                <w:rFonts w:hint="eastAsia" w:ascii="仿宋_GB2312" w:hAnsi="仿宋_GB2312" w:eastAsia="仿宋_GB2312" w:cs="仿宋_GB2312"/>
                <w:b/>
                <w:bCs w:val="0"/>
                <w:color w:val="auto"/>
                <w:sz w:val="18"/>
                <w:szCs w:val="18"/>
                <w:highlight w:val="none"/>
                <w:u w:val="none"/>
              </w:rPr>
            </w:pPr>
            <w:r>
              <w:rPr>
                <w:rFonts w:hint="eastAsia" w:ascii="仿宋_GB2312" w:hAnsi="仿宋_GB2312" w:eastAsia="仿宋_GB2312" w:cs="仿宋_GB2312"/>
                <w:b/>
                <w:bCs w:val="0"/>
                <w:color w:val="auto"/>
                <w:sz w:val="18"/>
                <w:szCs w:val="18"/>
                <w:highlight w:val="none"/>
                <w:u w:val="none"/>
              </w:rPr>
              <w:t>职权依据</w:t>
            </w:r>
          </w:p>
        </w:tc>
        <w:tc>
          <w:tcPr>
            <w:tcW w:w="1712" w:type="dxa"/>
            <w:vAlign w:val="center"/>
          </w:tcPr>
          <w:p>
            <w:pPr>
              <w:spacing w:line="260" w:lineRule="exact"/>
              <w:jc w:val="center"/>
              <w:rPr>
                <w:rFonts w:hint="eastAsia" w:ascii="仿宋_GB2312" w:hAnsi="仿宋_GB2312" w:eastAsia="仿宋_GB2312" w:cs="仿宋_GB2312"/>
                <w:b/>
                <w:bCs w:val="0"/>
                <w:color w:val="auto"/>
                <w:sz w:val="18"/>
                <w:szCs w:val="18"/>
                <w:highlight w:val="none"/>
                <w:u w:val="none"/>
              </w:rPr>
            </w:pPr>
            <w:r>
              <w:rPr>
                <w:rFonts w:hint="eastAsia" w:ascii="仿宋_GB2312" w:hAnsi="仿宋_GB2312" w:eastAsia="仿宋_GB2312" w:cs="仿宋_GB2312"/>
                <w:b/>
                <w:bCs w:val="0"/>
                <w:color w:val="auto"/>
                <w:sz w:val="18"/>
                <w:szCs w:val="18"/>
                <w:highlight w:val="none"/>
                <w:u w:val="none"/>
              </w:rPr>
              <w:t>行使内容</w:t>
            </w:r>
          </w:p>
        </w:tc>
        <w:tc>
          <w:tcPr>
            <w:tcW w:w="821" w:type="dxa"/>
            <w:vAlign w:val="center"/>
          </w:tcPr>
          <w:p>
            <w:pPr>
              <w:spacing w:line="260" w:lineRule="exact"/>
              <w:jc w:val="center"/>
              <w:rPr>
                <w:rFonts w:hint="eastAsia" w:ascii="仿宋_GB2312" w:hAnsi="仿宋_GB2312" w:eastAsia="仿宋_GB2312" w:cs="仿宋_GB2312"/>
                <w:b/>
                <w:bCs w:val="0"/>
                <w:color w:val="auto"/>
                <w:sz w:val="18"/>
                <w:szCs w:val="18"/>
                <w:highlight w:val="none"/>
                <w:u w:val="none"/>
                <w:lang w:eastAsia="zh-CN"/>
              </w:rPr>
            </w:pPr>
            <w:r>
              <w:rPr>
                <w:rFonts w:hint="eastAsia" w:ascii="仿宋_GB2312" w:hAnsi="仿宋_GB2312" w:eastAsia="仿宋_GB2312" w:cs="仿宋_GB2312"/>
                <w:b/>
                <w:bCs w:val="0"/>
                <w:color w:val="auto"/>
                <w:sz w:val="18"/>
                <w:szCs w:val="18"/>
                <w:highlight w:val="none"/>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对用人单位和医疗卫生机构未按照规定报告职业病、疑似职业病行为的处罚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0220001000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【法律】《中华人民共和国职业病防治法》（</w:t>
            </w:r>
            <w:r>
              <w:rPr>
                <w:rFonts w:hint="eastAsia" w:ascii="仿宋_GB2312" w:hAnsi="仿宋_GB2312" w:eastAsia="仿宋_GB2312" w:cs="仿宋_GB2312"/>
                <w:b w:val="0"/>
                <w:bCs/>
                <w:color w:val="auto"/>
                <w:sz w:val="18"/>
                <w:szCs w:val="18"/>
                <w:highlight w:val="none"/>
                <w:u w:val="none"/>
                <w:lang w:val="en-US" w:eastAsia="zh-CN"/>
              </w:rPr>
              <w:t>2018</w:t>
            </w:r>
            <w:r>
              <w:rPr>
                <w:rFonts w:hint="eastAsia" w:ascii="仿宋_GB2312" w:hAnsi="仿宋_GB2312" w:eastAsia="仿宋_GB2312" w:cs="仿宋_GB2312"/>
                <w:b w:val="0"/>
                <w:bCs/>
                <w:color w:val="auto"/>
                <w:sz w:val="18"/>
                <w:szCs w:val="18"/>
                <w:highlight w:val="none"/>
                <w:u w:val="none"/>
              </w:rPr>
              <w:t>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2</w:t>
            </w:r>
          </w:p>
        </w:tc>
        <w:tc>
          <w:tcPr>
            <w:tcW w:w="631" w:type="dxa"/>
            <w:vAlign w:val="center"/>
          </w:tcPr>
          <w:p>
            <w:pPr>
              <w:spacing w:line="260" w:lineRule="exact"/>
              <w:rPr>
                <w:rFonts w:hint="eastAsia" w:ascii="仿宋_GB2312" w:hAnsi="仿宋_GB2312" w:eastAsia="仿宋_GB2312" w:cs="仿宋_GB2312"/>
                <w:b w:val="0"/>
                <w:bCs/>
                <w:color w:val="000000" w:themeColor="text1"/>
                <w:kern w:val="2"/>
                <w:sz w:val="18"/>
                <w:szCs w:val="18"/>
                <w:highlight w:val="none"/>
                <w:u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w:t>
            </w:r>
            <w:r>
              <w:rPr>
                <w:rFonts w:hint="eastAsia" w:ascii="仿宋_GB2312" w:hAnsi="仿宋_GB2312" w:eastAsia="仿宋_GB2312" w:cs="仿宋_GB2312"/>
                <w:b w:val="0"/>
                <w:bCs/>
                <w:i w:val="0"/>
                <w:caps w:val="0"/>
                <w:color w:val="000000" w:themeColor="text1"/>
                <w:spacing w:val="0"/>
                <w:sz w:val="18"/>
                <w:szCs w:val="18"/>
                <w:highlight w:val="none"/>
                <w:u w:val="none"/>
                <w:shd w:val="clear" w:color="auto" w:fill="FFFFFF"/>
                <w14:textFill>
                  <w14:solidFill>
                    <w14:schemeClr w14:val="tx1"/>
                  </w14:solidFill>
                </w14:textFill>
              </w:rPr>
              <w:t>未取得职业卫生技术服务资质认可擅自从事职业卫生技术服务的</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0220002000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【法律】《中华人民共和国职业病防治法》（</w:t>
            </w:r>
            <w:r>
              <w:rPr>
                <w:rFonts w:hint="eastAsia" w:ascii="仿宋_GB2312" w:hAnsi="仿宋_GB2312" w:eastAsia="仿宋_GB2312" w:cs="仿宋_GB2312"/>
                <w:b w:val="0"/>
                <w:bCs/>
                <w:color w:val="auto"/>
                <w:sz w:val="18"/>
                <w:szCs w:val="18"/>
                <w:highlight w:val="none"/>
                <w:u w:val="none"/>
                <w:lang w:val="en-US" w:eastAsia="zh-CN"/>
              </w:rPr>
              <w:t>2018</w:t>
            </w:r>
            <w:r>
              <w:rPr>
                <w:rFonts w:hint="eastAsia" w:ascii="仿宋_GB2312" w:hAnsi="仿宋_GB2312" w:eastAsia="仿宋_GB2312" w:cs="仿宋_GB2312"/>
                <w:b w:val="0"/>
                <w:bCs/>
                <w:color w:val="auto"/>
                <w:sz w:val="18"/>
                <w:szCs w:val="18"/>
                <w:highlight w:val="none"/>
                <w:u w:val="none"/>
              </w:rPr>
              <w:t>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第七十九条  </w:t>
            </w:r>
            <w:r>
              <w:rPr>
                <w:rFonts w:hint="eastAsia" w:ascii="仿宋_GB2312" w:hAnsi="仿宋_GB2312" w:eastAsia="仿宋_GB2312" w:cs="仿宋_GB2312"/>
                <w:b w:val="0"/>
                <w:bCs/>
                <w:i w:val="0"/>
                <w:caps w:val="0"/>
                <w:color w:val="auto"/>
                <w:spacing w:val="0"/>
                <w:sz w:val="18"/>
                <w:szCs w:val="18"/>
                <w:highlight w:val="none"/>
                <w:u w:val="none"/>
                <w:shd w:val="clear" w:color="auto" w:fill="FFFFFF"/>
              </w:rPr>
              <w:t>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没收违法所得；罚款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3</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从事职业卫生技术服务的机构和承担职业病诊断的医疗卫生机构违反本法规定</w:t>
            </w: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的</w:t>
            </w: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0220003000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【法律】《中华人民共和国职业病防治法》</w:t>
            </w:r>
            <w:r>
              <w:rPr>
                <w:rFonts w:hint="eastAsia" w:ascii="仿宋_GB2312" w:hAnsi="仿宋_GB2312" w:eastAsia="仿宋_GB2312" w:cs="仿宋_GB2312"/>
                <w:b w:val="0"/>
                <w:bCs/>
                <w:color w:val="auto"/>
                <w:sz w:val="18"/>
                <w:szCs w:val="18"/>
                <w:highlight w:val="none"/>
                <w:u w:val="none"/>
              </w:rPr>
              <w:t>（</w:t>
            </w:r>
            <w:r>
              <w:rPr>
                <w:rFonts w:hint="eastAsia" w:ascii="仿宋_GB2312" w:hAnsi="仿宋_GB2312" w:eastAsia="仿宋_GB2312" w:cs="仿宋_GB2312"/>
                <w:b w:val="0"/>
                <w:bCs/>
                <w:color w:val="auto"/>
                <w:sz w:val="18"/>
                <w:szCs w:val="18"/>
                <w:highlight w:val="none"/>
                <w:u w:val="none"/>
                <w:lang w:val="en-US" w:eastAsia="zh-CN"/>
              </w:rPr>
              <w:t>2018</w:t>
            </w:r>
            <w:r>
              <w:rPr>
                <w:rFonts w:hint="eastAsia" w:ascii="仿宋_GB2312" w:hAnsi="仿宋_GB2312" w:eastAsia="仿宋_GB2312" w:cs="仿宋_GB2312"/>
                <w:b w:val="0"/>
                <w:bCs/>
                <w:color w:val="auto"/>
                <w:sz w:val="18"/>
                <w:szCs w:val="18"/>
                <w:highlight w:val="none"/>
                <w:u w:val="none"/>
              </w:rPr>
              <w:t>年修正）</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w:t>
            </w:r>
            <w:r>
              <w:rPr>
                <w:rFonts w:hint="eastAsia" w:ascii="仿宋_GB2312" w:hAnsi="仿宋_GB2312" w:eastAsia="仿宋_GB2312" w:cs="仿宋_GB2312"/>
                <w:b w:val="0"/>
                <w:bCs/>
                <w:color w:val="auto"/>
                <w:sz w:val="18"/>
                <w:szCs w:val="18"/>
                <w:highlight w:val="none"/>
                <w:u w:val="none"/>
              </w:rPr>
              <w:t>八十条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（一）超出资质认可或者诊疗项目登记范围从事职业卫生技术服务或者职业病诊断的；</w:t>
            </w:r>
          </w:p>
          <w:p>
            <w:pP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（二）不按照本法规定履行法定职责的；</w:t>
            </w:r>
          </w:p>
          <w:p>
            <w:pP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（三）出具虚假证明文件的。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警告，没收违法所得；罚款；取消其相应的资格</w:t>
            </w:r>
          </w:p>
        </w:tc>
        <w:tc>
          <w:tcPr>
            <w:tcW w:w="821"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4</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对职业病诊断机构未建立职业病诊断管理制度等行为的处罚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0220004000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w:t>
            </w:r>
            <w:bookmarkStart w:id="0" w:name="OLE_LINK4"/>
            <w:r>
              <w:rPr>
                <w:rFonts w:hint="eastAsia" w:ascii="仿宋_GB2312" w:hAnsi="仿宋_GB2312" w:eastAsia="仿宋_GB2312" w:cs="仿宋_GB2312"/>
                <w:b w:val="0"/>
                <w:bCs/>
                <w:color w:val="auto"/>
                <w:kern w:val="0"/>
                <w:sz w:val="18"/>
                <w:szCs w:val="18"/>
                <w:highlight w:val="none"/>
                <w:u w:val="none"/>
              </w:rPr>
              <w:t>职业病诊断与鉴定管理办法</w:t>
            </w:r>
            <w:bookmarkEnd w:id="0"/>
            <w:r>
              <w:rPr>
                <w:rFonts w:hint="eastAsia" w:ascii="仿宋_GB2312" w:hAnsi="仿宋_GB2312" w:eastAsia="仿宋_GB2312" w:cs="仿宋_GB2312"/>
                <w:b w:val="0"/>
                <w:bCs/>
                <w:color w:val="auto"/>
                <w:kern w:val="0"/>
                <w:sz w:val="18"/>
                <w:szCs w:val="18"/>
                <w:highlight w:val="none"/>
                <w:u w:val="none"/>
              </w:rPr>
              <w:t>》（2013年卫生部令第91号）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第五十八条  职业病诊断机构违反本办法规定，有下列情形之一的，由县级以上地方卫生行政部门责令限期改正；逾期不改正的，给予警告，并可以根据情节轻重处以二万元以下的罚款：</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（一）未建立职业病诊断管理制度；</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（二）不按照规定向劳动者公开职业病诊断程序；</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（三）泄露劳动者涉及个人隐私的有关信息、资料；</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（四）其他违反本办法的行为。</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5</w:t>
            </w:r>
          </w:p>
        </w:tc>
        <w:tc>
          <w:tcPr>
            <w:tcW w:w="631"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对医疗机构未取得放射诊疗许可、未登记、校验从事放射诊疗工作，未经批准擅自变更放射诊疗项目、超出批准范围从事放射诊疗工作行为的处罚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0220005000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w:t>
            </w:r>
            <w:bookmarkStart w:id="1" w:name="OLE_LINK5"/>
            <w:r>
              <w:rPr>
                <w:rFonts w:hint="eastAsia" w:ascii="仿宋_GB2312" w:hAnsi="仿宋_GB2312" w:eastAsia="仿宋_GB2312" w:cs="仿宋_GB2312"/>
                <w:b w:val="0"/>
                <w:bCs/>
                <w:color w:val="auto"/>
                <w:sz w:val="18"/>
                <w:szCs w:val="18"/>
                <w:highlight w:val="none"/>
                <w:u w:val="none"/>
              </w:rPr>
              <w:t>放射诊疗管理规定</w:t>
            </w:r>
            <w:bookmarkEnd w:id="1"/>
            <w:r>
              <w:rPr>
                <w:rFonts w:hint="eastAsia" w:ascii="仿宋_GB2312" w:hAnsi="仿宋_GB2312" w:eastAsia="仿宋_GB2312" w:cs="仿宋_GB2312"/>
                <w:b w:val="0"/>
                <w:bCs/>
                <w:color w:val="auto"/>
                <w:sz w:val="18"/>
                <w:szCs w:val="18"/>
                <w:highlight w:val="none"/>
                <w:u w:val="none"/>
              </w:rPr>
              <w:t>》（2016年国家卫生计生委令第8号修正）</w:t>
            </w:r>
          </w:p>
          <w:p>
            <w:pPr>
              <w:spacing w:line="260" w:lineRule="exact"/>
              <w:ind w:firstLine="360" w:firstLineChars="200"/>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第三十八条 医疗机构有下列情形之一的，由县级以上卫生行政部门给予警告、责令限期改正，并可以根据情节处以3000元以下的罚款；情节严重的，吊销其《医疗机构执业许可证》。</w:t>
            </w:r>
          </w:p>
          <w:p>
            <w:pPr>
              <w:numPr>
                <w:ilvl w:val="0"/>
                <w:numId w:val="2"/>
              </w:numPr>
              <w:spacing w:line="260" w:lineRule="exact"/>
              <w:ind w:firstLine="360" w:firstLineChars="200"/>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未取得放射诊疗许可从事放射诊疗工作的；</w:t>
            </w:r>
          </w:p>
          <w:p>
            <w:pPr>
              <w:numPr>
                <w:ilvl w:val="0"/>
                <w:numId w:val="2"/>
              </w:numPr>
              <w:spacing w:line="260" w:lineRule="exact"/>
              <w:ind w:firstLine="360" w:firstLineChars="200"/>
              <w:jc w:val="left"/>
              <w:rPr>
                <w:rFonts w:hint="eastAsia" w:ascii="仿宋_GB2312" w:hAnsi="仿宋_GB2312" w:eastAsia="仿宋_GB2312" w:cs="仿宋_GB2312"/>
                <w:b w:val="0"/>
                <w:bCs/>
                <w:color w:val="auto"/>
                <w:sz w:val="18"/>
                <w:szCs w:val="18"/>
                <w:highlight w:val="none"/>
                <w:u w:val="none"/>
                <w:shd w:val="clear" w:color="auto" w:fill="FFFFFF"/>
              </w:rPr>
            </w:pPr>
            <w:r>
              <w:rPr>
                <w:rFonts w:hint="eastAsia" w:ascii="仿宋_GB2312" w:hAnsi="仿宋_GB2312" w:eastAsia="仿宋_GB2312" w:cs="仿宋_GB2312"/>
                <w:b w:val="0"/>
                <w:bCs/>
                <w:color w:val="auto"/>
                <w:sz w:val="18"/>
                <w:szCs w:val="18"/>
                <w:highlight w:val="none"/>
                <w:u w:val="none"/>
              </w:rPr>
              <w:t>未办理诊疗科目登记或者未按照规定进行校验的；</w:t>
            </w:r>
          </w:p>
          <w:p>
            <w:pPr>
              <w:numPr>
                <w:ilvl w:val="0"/>
                <w:numId w:val="2"/>
              </w:numPr>
              <w:spacing w:line="260" w:lineRule="exact"/>
              <w:ind w:firstLine="360" w:firstLineChars="200"/>
              <w:jc w:val="left"/>
              <w:rPr>
                <w:rFonts w:hint="eastAsia" w:ascii="仿宋_GB2312" w:hAnsi="仿宋_GB2312" w:eastAsia="仿宋_GB2312" w:cs="仿宋_GB2312"/>
                <w:b w:val="0"/>
                <w:bCs/>
                <w:color w:val="auto"/>
                <w:sz w:val="18"/>
                <w:szCs w:val="18"/>
                <w:highlight w:val="none"/>
                <w:u w:val="none"/>
                <w:shd w:val="clear" w:color="auto" w:fill="FFFFFF"/>
              </w:rPr>
            </w:pPr>
            <w:r>
              <w:rPr>
                <w:rFonts w:hint="eastAsia" w:ascii="仿宋_GB2312" w:hAnsi="仿宋_GB2312" w:eastAsia="仿宋_GB2312" w:cs="仿宋_GB2312"/>
                <w:b w:val="0"/>
                <w:bCs/>
                <w:color w:val="auto"/>
                <w:sz w:val="18"/>
                <w:szCs w:val="18"/>
                <w:highlight w:val="none"/>
                <w:u w:val="none"/>
              </w:rPr>
              <w:t>未经批准擅自变更放射诊疗项目或者超出批准范围从事放射诊疗工作的。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警告，罚款；吊销其《医疗机构执业许可证》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6</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对医疗机构使用不具备相应资质的人员从事放射诊疗工作行为的处罚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0220006000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pStyle w:val="12"/>
              <w:widowControl w:val="0"/>
              <w:adjustRightInd/>
              <w:snapToGrid/>
              <w:spacing w:line="260" w:lineRule="exact"/>
              <w:ind w:firstLine="360" w:firstLineChars="200"/>
              <w:jc w:val="both"/>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【部门规章】《放射诊疗管理规定》（2016年国家卫生计生委令第8号修正）</w:t>
            </w:r>
          </w:p>
          <w:p>
            <w:pPr>
              <w:pStyle w:val="12"/>
              <w:widowControl w:val="0"/>
              <w:adjustRightInd/>
              <w:snapToGrid/>
              <w:spacing w:line="260" w:lineRule="exact"/>
              <w:ind w:firstLine="360" w:firstLineChars="200"/>
              <w:jc w:val="both"/>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第三十九条 医疗机构使用不具备相应资质的人员从事放射诊疗工作的，由县级以上卫生行政部门责令限期改正，并可以处以5000元以下的罚款；情节严重的，吊销其《医疗机构执业许可证》。</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罚款；吊销其《医疗机构执业许可证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7</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对医疗机构购置、使用不合格或国家有关部门规定淘汰的放射诊疗设备等行为的处罚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0220007000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【部门规章】《放射诊疗管理规定》（2016年国家卫生计生委令第8号修正）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第四十一条 医疗机构违反本规定，有下列行为之一的，由县级以上卫生行政部门给予警告，责令限期改正；并可处一万元以下的罚款：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（一）购置、使用不合格或国家有关部门规定淘汰的放射诊疗设备的；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（二）未按照规定使用安全防护装置和个人防护用品的；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（三）未按照规定对放射诊疗设备、工作场所及防护设施进行检测和检查的；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（四）未按照规定对放射诊疗工作人员进行个人剂量监测、健康检查、建立个人剂量和健康档案的；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（五）发生放射事件并造成人员健康严重损害的；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（六）发生放射事件未立即采取应急救援和控制措施或者未按照规定及时报告的；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（七）违反本规定的其他情形。</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警告，并可处一万元以下的罚款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8</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对放射工作单位</w:t>
            </w:r>
            <w:r>
              <w:rPr>
                <w:rFonts w:hint="eastAsia" w:ascii="仿宋_GB2312" w:hAnsi="仿宋_GB2312" w:eastAsia="仿宋_GB2312" w:cs="仿宋_GB2312"/>
                <w:b w:val="0"/>
                <w:bCs/>
                <w:color w:val="000000" w:themeColor="text1"/>
                <w:sz w:val="18"/>
                <w:szCs w:val="18"/>
                <w:highlight w:val="none"/>
                <w:u w:val="none"/>
                <w:shd w:val="clear" w:color="auto" w:fill="FFFFFF"/>
                <w14:textFill>
                  <w14:solidFill>
                    <w14:schemeClr w14:val="tx1"/>
                  </w14:solidFill>
                </w14:textFill>
              </w:rPr>
              <w:t>未给从事放射工作的人员办理《放射工作人员证》行为的处罚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0220008000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【部门规章】《放射工作人员职业健康管理办法》（2007年卫生部令第55号）</w:t>
            </w:r>
          </w:p>
          <w:p>
            <w:pPr>
              <w:spacing w:line="260" w:lineRule="exact"/>
              <w:ind w:firstLine="360" w:firstLineChars="200"/>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第三十九条  放射工作单位违反本办法，未给从事放射工作的人员办理《放射工作人员证》的，由卫生行政部门责令限期改正，给予警告，并可处3万元以下的罚款。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警告，并可处3万元以下的罚款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9</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对医疗机构违反建设项目卫生审查、竣工验收有关规定等行为的处罚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0220009000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【法律】《中华人民共和国职业病防治法》（</w:t>
            </w:r>
            <w:r>
              <w:rPr>
                <w:rFonts w:hint="eastAsia" w:ascii="仿宋_GB2312" w:hAnsi="仿宋_GB2312" w:eastAsia="仿宋_GB2312" w:cs="仿宋_GB2312"/>
                <w:b w:val="0"/>
                <w:bCs/>
                <w:color w:val="auto"/>
                <w:sz w:val="18"/>
                <w:szCs w:val="18"/>
                <w:highlight w:val="none"/>
                <w:u w:val="none"/>
                <w:lang w:val="en-US" w:eastAsia="zh-CN"/>
              </w:rPr>
              <w:t>2018</w:t>
            </w:r>
            <w:r>
              <w:rPr>
                <w:rFonts w:hint="eastAsia" w:ascii="仿宋_GB2312" w:hAnsi="仿宋_GB2312" w:eastAsia="仿宋_GB2312" w:cs="仿宋_GB2312"/>
                <w:b w:val="0"/>
                <w:bCs/>
                <w:color w:val="auto"/>
                <w:sz w:val="18"/>
                <w:szCs w:val="18"/>
                <w:highlight w:val="none"/>
                <w:u w:val="none"/>
              </w:rPr>
              <w:t>年修正）</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第六十九条 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【部门规章】《放射诊疗管理规定》（2016年国家卫生计生委令第8号修正）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第四十条　医疗机构违反建设项目卫生审查、竣工验收有关规定的,按照《中华人民共和国职业病防治法》的规定进行处罚。</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警告，罚款；责令停止产生职业病危害的作业，或者提请有关人民政府按照国务院规定的权限责令停建、关闭</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10</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对医疗卫生机构违反消毒管理规定行为的处罚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0220010000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【部门规章】《消毒管理办法》（2017年国家卫生计生委令第18号修正）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第四条 医疗卫生机构应当建立消毒管理组织，制定消毒管理制度，执行国家有关规范、标准和规定，定期开展消毒与灭菌效果检测工作。</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第五条 医疗卫生机构工作人员应当接受消毒技术培训、掌握消毒知识，并按规定严格执行消毒隔离制度。</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第六条 医疗卫生机构使用的进入人体组织或无菌器官的医疗用品必须达到灭菌要求。各种注射、穿刺、采血器具应当一人一用一灭菌。凡接触皮肤、粘膜的器械和用品必须达到消毒要求。医疗卫生机构使用的一次性使用医疗用品用后应当及时进行无害化处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第七条 医疗卫生机构购进消毒产品必须建立并执行进货检查验收制度。</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第八条 医疗卫生机构的环境、物品应当符合国家有关规范、标准和规定。排放废弃的污水、污物应当按照国家有关规定进行无害化处理。运送传染病病人及其污染物品的车辆、工具必须随时进行消毒处理。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第九条 医疗卫生机构发生感染性疾病暴发、流行时，应当及时报告当地卫生行政部门，并采取有效消毒措施。</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第四十一条 医疗卫生机构违反本办法第四、五、六、七、八、九条规定的，由县级以上地方卫生行政部门责令限期改正，可以处5000元以下罚款；造成感染性疾病暴发的，可以处5000元以上20000元以下罚款。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11</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对消费产品的命名、标签违反规定或者违规生产经营消毒产品行为的处罚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0220011000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w:t>
            </w:r>
            <w:bookmarkStart w:id="2" w:name="OLE_LINK6"/>
            <w:r>
              <w:rPr>
                <w:rFonts w:hint="eastAsia" w:ascii="仿宋_GB2312" w:hAnsi="仿宋_GB2312" w:eastAsia="仿宋_GB2312" w:cs="仿宋_GB2312"/>
                <w:b w:val="0"/>
                <w:bCs/>
                <w:color w:val="auto"/>
                <w:kern w:val="0"/>
                <w:sz w:val="18"/>
                <w:szCs w:val="18"/>
                <w:highlight w:val="none"/>
                <w:u w:val="none"/>
              </w:rPr>
              <w:t>消毒管理办法</w:t>
            </w:r>
            <w:bookmarkEnd w:id="2"/>
            <w:r>
              <w:rPr>
                <w:rFonts w:hint="eastAsia" w:ascii="仿宋_GB2312" w:hAnsi="仿宋_GB2312" w:eastAsia="仿宋_GB2312" w:cs="仿宋_GB2312"/>
                <w:b w:val="0"/>
                <w:bCs/>
                <w:color w:val="auto"/>
                <w:kern w:val="0"/>
                <w:sz w:val="18"/>
                <w:szCs w:val="18"/>
                <w:highlight w:val="none"/>
                <w:u w:val="none"/>
              </w:rPr>
              <w:t>》</w:t>
            </w:r>
            <w:r>
              <w:rPr>
                <w:rFonts w:hint="eastAsia" w:ascii="仿宋_GB2312" w:hAnsi="仿宋_GB2312" w:eastAsia="仿宋_GB2312" w:cs="仿宋_GB2312"/>
                <w:b w:val="0"/>
                <w:bCs/>
                <w:color w:val="auto"/>
                <w:sz w:val="18"/>
                <w:szCs w:val="18"/>
                <w:highlight w:val="none"/>
                <w:u w:val="none"/>
              </w:rPr>
              <w:t>（2017年国家卫生计生委令第18号修正）</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第三十一条 消毒产品的命名、标签（含说明书）应当符合国家卫生计生委的有关规定。消毒产品的标签（含说明书）和宣传内容必须真实，不得出现或暗示对疾病的治疗效果。</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第三十二条 禁止生产经营下列消毒产品：（一）无生产企业卫生许可证、产品备案凭证或卫生许可批件的；（二）产品卫生质量不符合要求的。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第四十三条 消毒产品生产经营单位违反本办法第三十一、第三十二条规定的，由县级以上地方</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责令其限期改正，可以处5000元以下罚款；造成感染性疾病暴发的，可以处5000元以上20000元以下的罚款。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12</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对消毒服务机构消毒后的物品未达到卫生标准和要求等行为的处罚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0220012000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【部门规章】《消毒管理办法》</w:t>
            </w:r>
            <w:r>
              <w:rPr>
                <w:rFonts w:hint="eastAsia" w:ascii="仿宋_GB2312" w:hAnsi="仿宋_GB2312" w:eastAsia="仿宋_GB2312" w:cs="仿宋_GB2312"/>
                <w:b w:val="0"/>
                <w:bCs/>
                <w:color w:val="auto"/>
                <w:sz w:val="18"/>
                <w:szCs w:val="18"/>
                <w:highlight w:val="none"/>
                <w:u w:val="none"/>
              </w:rPr>
              <w:t>（2017年国家卫生计生委令第18号修正）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第四十四条  消毒服务机构违反本办法规定，有下列情形之一的，由县级以上</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责令其限期改正，可以处5000元以下的罚款；造成感染性疾病发生的，可以处5000元以上20000元以下的罚款：</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（一）消毒后的物品未达到卫生标准和要求的；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（二）未取得卫生许可证从事消毒服务业务的。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13</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行政</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对餐具、饮具集中</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消毒服务单位违</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反规定用水，使用</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洗涤剂、消毒剂，</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或者出厂的餐具、</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饮具未按规定消</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毒、检验合格并随</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附消毒合格证明、</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未按规定独立包</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装等行为的处罚</w:t>
            </w:r>
          </w:p>
        </w:tc>
        <w:tc>
          <w:tcPr>
            <w:tcW w:w="717" w:type="dxa"/>
            <w:vAlign w:val="center"/>
          </w:tcPr>
          <w:p>
            <w:pPr>
              <w:adjustRightInd w:val="0"/>
              <w:snapToGrid w:val="0"/>
              <w:spacing w:line="260" w:lineRule="exact"/>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w:t>
            </w:r>
          </w:p>
          <w:p>
            <w:pPr>
              <w:adjustRightInd w:val="0"/>
              <w:snapToGrid w:val="0"/>
              <w:spacing w:line="260" w:lineRule="exact"/>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13000</w:t>
            </w:r>
          </w:p>
        </w:tc>
        <w:tc>
          <w:tcPr>
            <w:tcW w:w="709" w:type="dxa"/>
            <w:vAlign w:val="center"/>
          </w:tcPr>
          <w:p>
            <w:pPr>
              <w:spacing w:line="260" w:lineRule="exact"/>
              <w:jc w:val="both"/>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pacing w:line="260" w:lineRule="exact"/>
              <w:jc w:val="both"/>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pacing w:line="260" w:lineRule="exact"/>
              <w:jc w:val="both"/>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7646" w:type="dxa"/>
            <w:vAlign w:val="center"/>
          </w:tcPr>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【法律】《中华人民共和国食品安全法》（2015 年修订）</w:t>
            </w:r>
          </w:p>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第一百二十六条第一款 违反本法规定，有下列情形之一的，由县级以上食品药品监督管理</w:t>
            </w:r>
          </w:p>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部门责令改正，给予警告；拒不改正的，处五千元以上五万元以下罚款；情节严重的，责令停</w:t>
            </w:r>
          </w:p>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产停业，直至吊销许可证；</w:t>
            </w:r>
          </w:p>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第一百二十六条第二款 餐具、饮具集中消毒服务单位违反本法规定用水，使用洗涤剂、</w:t>
            </w:r>
          </w:p>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消毒剂，或者出厂的餐具、饮具未按规定检验合格并随附消毒合格证明，或者未按规定在独立</w:t>
            </w:r>
          </w:p>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包装上标注相关内容的，由县级以上人民政府卫生行政部门依照前款规定给予处罚。</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警告；罚款；情节</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严重的，责令停产</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停业，直至吊销许</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14</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对集中式供水单位安排未取得体检合格证或其他身体不适宜人员从事直接供、管水工作行为的处罚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0220014000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【部门规章】《生活饮用水卫生监督管理办法》（2016年住房和城乡建设部、国家卫生计生委令第31号修正）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第十六条  县级以上人民政府</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负责本行政区域内饮用水卫生监督监测工作。供水单位的供水范围在本行政区域内的，由该行政区人民政府</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负责其饮用水卫生监督监测工作；供水单位的供水范围超出其所在行政区域的，由供水单位所在行政区域的上一级人民政府</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负责其饮用水卫生监督监测工作；供水单位的供水范围超出其所在省、自治区、直辖市的，由该供水单位所在省、自治区、直辖市人民政府</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负责其饮用水卫生监督监测工作。铁道、交通、民航行政主管部门设立的卫生监督机构，行使卫生部会同国务院有关部门规定的饮用水卫生监督职责。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第二十五条  集中式供水单位安排未取得体检合格证的人员从事直接供、管水工作或安排患有有碍饮用水卫生疾病的或病原携带者从事直接供、管水工作的，县级以上地方人民政府</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应当责令限期改进，并可对供水单位处以20元以上1000元以下的罚款。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15</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对供水单位未取得卫生许可证而擅自供水等行为的处罚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0220015000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【部门规章】《生活饮用水卫生监督管理办法》（2016年住房和城乡建设部、国家卫生计生委令第31号修正）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第二十六条  违反本办法规定，有下列情形之一的，县级以上地方人民政府</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应当责令限期改进，并可处以20元以上5000元以下的罚款：</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（一）在引用水水源保护区修建危害水源水质卫生的设施或进行有碍水源水质卫生的作业的；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（二）新建、改建、扩建的饮用水供水项目未经卫生行政部门参加选址、设计审查和竣工验收而擅自供水的；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（三）供水单位未取得卫生许可证而擅自供水的；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（四）供水单位供应的饮用水不符合国家规定的生活饮用水卫生标准的；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16</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对生产或者销售无卫生许可批准文件的涉及饮用水卫生安全的产品行为的处罚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0220016000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w:t>
            </w:r>
            <w:bookmarkStart w:id="3" w:name="OLE_LINK7"/>
            <w:r>
              <w:rPr>
                <w:rFonts w:hint="eastAsia" w:ascii="仿宋_GB2312" w:hAnsi="仿宋_GB2312" w:eastAsia="仿宋_GB2312" w:cs="仿宋_GB2312"/>
                <w:b w:val="0"/>
                <w:bCs/>
                <w:color w:val="auto"/>
                <w:kern w:val="0"/>
                <w:sz w:val="18"/>
                <w:szCs w:val="18"/>
                <w:highlight w:val="none"/>
                <w:u w:val="none"/>
              </w:rPr>
              <w:t>生活饮用水卫生监督管理办法</w:t>
            </w:r>
            <w:bookmarkEnd w:id="3"/>
            <w:r>
              <w:rPr>
                <w:rFonts w:hint="eastAsia" w:ascii="仿宋_GB2312" w:hAnsi="仿宋_GB2312" w:eastAsia="仿宋_GB2312" w:cs="仿宋_GB2312"/>
                <w:b w:val="0"/>
                <w:bCs/>
                <w:color w:val="auto"/>
                <w:kern w:val="0"/>
                <w:sz w:val="18"/>
                <w:szCs w:val="18"/>
                <w:highlight w:val="none"/>
                <w:u w:val="none"/>
              </w:rPr>
              <w:t>》（2016年住房和城乡建设部、国家卫生计生委令第31号修正）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第二十七条  违反本办法规定，生产或者销售无卫生许可批准文件的涉及饮用水卫生安全的产品的，县级以上地方人民政府</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应当责令改进，并可处以违法所得3倍以下的罚款，但最高不超过30000元，或处以500元以上10000元以下的罚款。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17</w:t>
            </w:r>
          </w:p>
        </w:tc>
        <w:tc>
          <w:tcPr>
            <w:tcW w:w="631"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对未依法取得公共场所卫生许可证擅自营业等行为的处罚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0220017000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【行政法规】《公共场所卫生管理条例》（201</w:t>
            </w:r>
            <w:r>
              <w:rPr>
                <w:rFonts w:hint="eastAsia" w:ascii="仿宋_GB2312" w:hAnsi="仿宋_GB2312" w:eastAsia="仿宋_GB2312" w:cs="仿宋_GB2312"/>
                <w:b w:val="0"/>
                <w:bCs/>
                <w:color w:val="auto"/>
                <w:kern w:val="0"/>
                <w:sz w:val="18"/>
                <w:szCs w:val="18"/>
                <w:highlight w:val="none"/>
                <w:u w:val="none"/>
                <w:lang w:val="en-US" w:eastAsia="zh-CN"/>
              </w:rPr>
              <w:t>9</w:t>
            </w:r>
            <w:r>
              <w:rPr>
                <w:rFonts w:hint="eastAsia" w:ascii="仿宋_GB2312" w:hAnsi="仿宋_GB2312" w:eastAsia="仿宋_GB2312" w:cs="仿宋_GB2312"/>
                <w:b w:val="0"/>
                <w:bCs/>
                <w:color w:val="auto"/>
                <w:kern w:val="0"/>
                <w:sz w:val="18"/>
                <w:szCs w:val="18"/>
                <w:highlight w:val="none"/>
                <w:u w:val="none"/>
              </w:rPr>
              <w:t>年国务院令第</w:t>
            </w:r>
            <w:r>
              <w:rPr>
                <w:rFonts w:hint="eastAsia" w:ascii="仿宋_GB2312" w:hAnsi="仿宋_GB2312" w:eastAsia="仿宋_GB2312" w:cs="仿宋_GB2312"/>
                <w:b w:val="0"/>
                <w:bCs/>
                <w:color w:val="auto"/>
                <w:kern w:val="0"/>
                <w:sz w:val="18"/>
                <w:szCs w:val="18"/>
                <w:highlight w:val="none"/>
                <w:u w:val="none"/>
                <w:lang w:val="en-US" w:eastAsia="zh-CN"/>
              </w:rPr>
              <w:t>714</w:t>
            </w:r>
            <w:r>
              <w:rPr>
                <w:rFonts w:hint="eastAsia" w:ascii="仿宋_GB2312" w:hAnsi="仿宋_GB2312" w:eastAsia="仿宋_GB2312" w:cs="仿宋_GB2312"/>
                <w:b w:val="0"/>
                <w:bCs/>
                <w:color w:val="auto"/>
                <w:kern w:val="0"/>
                <w:sz w:val="18"/>
                <w:szCs w:val="18"/>
                <w:highlight w:val="none"/>
                <w:u w:val="none"/>
              </w:rPr>
              <w:t>号修正）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第十四条  凡有下列行为之一的单位或者个人，卫生防疫机构可以根据情节轻重，给予警告、罚款、停业整顿、吊销“卫生许可证”的行政处罚：</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（一）卫生质量不符合国家卫生标准和要求，而继续营业的；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（二）未获得“健康合格证”,而从事直接为顾客服务的；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（三）拒绝卫生监督的；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（四）未取得“卫生许可证”，擅自营业的。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罚款一律上交国库。</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【部门规章】《公共场所卫生管理条例实施细则》</w:t>
            </w:r>
            <w:r>
              <w:rPr>
                <w:rFonts w:hint="eastAsia" w:ascii="仿宋_GB2312" w:hAnsi="仿宋_GB2312" w:eastAsia="仿宋_GB2312" w:cs="仿宋_GB2312"/>
                <w:b w:val="0"/>
                <w:bCs/>
                <w:color w:val="auto"/>
                <w:sz w:val="18"/>
                <w:szCs w:val="18"/>
                <w:highlight w:val="none"/>
                <w:u w:val="none"/>
              </w:rPr>
              <w:t>（201</w:t>
            </w:r>
            <w:r>
              <w:rPr>
                <w:rFonts w:hint="eastAsia" w:ascii="仿宋_GB2312" w:hAnsi="仿宋_GB2312" w:eastAsia="仿宋_GB2312" w:cs="仿宋_GB2312"/>
                <w:b w:val="0"/>
                <w:bCs/>
                <w:color w:val="auto"/>
                <w:sz w:val="18"/>
                <w:szCs w:val="18"/>
                <w:highlight w:val="none"/>
                <w:u w:val="none"/>
                <w:lang w:val="en-US" w:eastAsia="zh-CN"/>
              </w:rPr>
              <w:t>7</w:t>
            </w:r>
            <w:r>
              <w:rPr>
                <w:rFonts w:hint="eastAsia" w:ascii="仿宋_GB2312" w:hAnsi="仿宋_GB2312" w:eastAsia="仿宋_GB2312" w:cs="仿宋_GB2312"/>
                <w:b w:val="0"/>
                <w:bCs/>
                <w:color w:val="auto"/>
                <w:sz w:val="18"/>
                <w:szCs w:val="18"/>
                <w:highlight w:val="none"/>
                <w:u w:val="none"/>
              </w:rPr>
              <w:t>年国家卫</w:t>
            </w:r>
            <w:r>
              <w:rPr>
                <w:rFonts w:hint="eastAsia" w:ascii="仿宋_GB2312" w:hAnsi="仿宋_GB2312" w:eastAsia="仿宋_GB2312" w:cs="仿宋_GB2312"/>
                <w:b w:val="0"/>
                <w:bCs/>
                <w:color w:val="auto"/>
                <w:sz w:val="18"/>
                <w:szCs w:val="18"/>
                <w:highlight w:val="none"/>
                <w:u w:val="none"/>
                <w:lang w:eastAsia="zh-CN"/>
              </w:rPr>
              <w:t>生</w:t>
            </w:r>
            <w:r>
              <w:rPr>
                <w:rFonts w:hint="eastAsia" w:ascii="仿宋_GB2312" w:hAnsi="仿宋_GB2312" w:eastAsia="仿宋_GB2312" w:cs="仿宋_GB2312"/>
                <w:b w:val="0"/>
                <w:bCs/>
                <w:color w:val="auto"/>
                <w:sz w:val="18"/>
                <w:szCs w:val="18"/>
                <w:highlight w:val="none"/>
                <w:u w:val="none"/>
              </w:rPr>
              <w:t>计</w:t>
            </w:r>
            <w:r>
              <w:rPr>
                <w:rFonts w:hint="eastAsia" w:ascii="仿宋_GB2312" w:hAnsi="仿宋_GB2312" w:eastAsia="仿宋_GB2312" w:cs="仿宋_GB2312"/>
                <w:b w:val="0"/>
                <w:bCs/>
                <w:color w:val="auto"/>
                <w:sz w:val="18"/>
                <w:szCs w:val="18"/>
                <w:highlight w:val="none"/>
                <w:u w:val="none"/>
                <w:lang w:eastAsia="zh-CN"/>
              </w:rPr>
              <w:t>生</w:t>
            </w:r>
            <w:r>
              <w:rPr>
                <w:rFonts w:hint="eastAsia" w:ascii="仿宋_GB2312" w:hAnsi="仿宋_GB2312" w:eastAsia="仿宋_GB2312" w:cs="仿宋_GB2312"/>
                <w:b w:val="0"/>
                <w:bCs/>
                <w:color w:val="auto"/>
                <w:sz w:val="18"/>
                <w:szCs w:val="18"/>
                <w:highlight w:val="none"/>
                <w:u w:val="none"/>
              </w:rPr>
              <w:t>委令第</w:t>
            </w:r>
            <w:r>
              <w:rPr>
                <w:rFonts w:hint="eastAsia" w:ascii="仿宋_GB2312" w:hAnsi="仿宋_GB2312" w:eastAsia="仿宋_GB2312" w:cs="仿宋_GB2312"/>
                <w:b w:val="0"/>
                <w:bCs/>
                <w:color w:val="auto"/>
                <w:sz w:val="18"/>
                <w:szCs w:val="18"/>
                <w:highlight w:val="none"/>
                <w:u w:val="none"/>
                <w:lang w:val="en-US" w:eastAsia="zh-CN"/>
              </w:rPr>
              <w:t>1</w:t>
            </w:r>
            <w:r>
              <w:rPr>
                <w:rFonts w:hint="eastAsia" w:ascii="仿宋_GB2312" w:hAnsi="仿宋_GB2312" w:eastAsia="仿宋_GB2312" w:cs="仿宋_GB2312"/>
                <w:b w:val="0"/>
                <w:bCs/>
                <w:color w:val="auto"/>
                <w:sz w:val="18"/>
                <w:szCs w:val="18"/>
                <w:highlight w:val="none"/>
                <w:u w:val="none"/>
              </w:rPr>
              <w:t>8号修正）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第三十五条  对未依法取得公共场所卫生许可证擅自营业的，由县级以上地方人民政府</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责令限期改正，给予警告，并处以五百元以上五千元以下罚款；有下列情形之一的，处以五千元以上三万元以下罚款：</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（一）擅自营业曾受过卫生行政部门处罚的；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（二）擅自营业时间在三个月以上的；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（三）以涂改、转让、倒卖、伪造的卫生许可证擅自营业的。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对涂改、转让、倒卖有效卫生许可证的，由原发证的</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予以注销。</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18</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公共场所经营者未按照规定对公共场所的环境卫生进行检测及对顾客用品用具进行清洁、消毒或重复使用一次性用品用具行为的处罚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0220018000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w:t>
            </w:r>
            <w:bookmarkStart w:id="4" w:name="OLE_LINK8"/>
            <w:r>
              <w:rPr>
                <w:rFonts w:hint="eastAsia" w:ascii="仿宋_GB2312" w:hAnsi="仿宋_GB2312" w:eastAsia="仿宋_GB2312" w:cs="仿宋_GB2312"/>
                <w:b w:val="0"/>
                <w:bCs/>
                <w:color w:val="auto"/>
                <w:kern w:val="0"/>
                <w:sz w:val="18"/>
                <w:szCs w:val="18"/>
                <w:highlight w:val="none"/>
                <w:u w:val="none"/>
              </w:rPr>
              <w:t>公共场所卫生管理条例实施细则</w:t>
            </w:r>
            <w:bookmarkEnd w:id="4"/>
            <w:r>
              <w:rPr>
                <w:rFonts w:hint="eastAsia" w:ascii="仿宋_GB2312" w:hAnsi="仿宋_GB2312" w:eastAsia="仿宋_GB2312" w:cs="仿宋_GB2312"/>
                <w:b w:val="0"/>
                <w:bCs/>
                <w:color w:val="auto"/>
                <w:kern w:val="0"/>
                <w:sz w:val="18"/>
                <w:szCs w:val="18"/>
                <w:highlight w:val="none"/>
                <w:u w:val="none"/>
              </w:rPr>
              <w:t>》</w:t>
            </w:r>
            <w:r>
              <w:rPr>
                <w:rFonts w:hint="eastAsia" w:ascii="仿宋_GB2312" w:hAnsi="仿宋_GB2312" w:eastAsia="仿宋_GB2312" w:cs="仿宋_GB2312"/>
                <w:b w:val="0"/>
                <w:bCs/>
                <w:color w:val="auto"/>
                <w:sz w:val="18"/>
                <w:szCs w:val="18"/>
                <w:highlight w:val="none"/>
                <w:u w:val="none"/>
              </w:rPr>
              <w:t>（201</w:t>
            </w:r>
            <w:r>
              <w:rPr>
                <w:rFonts w:hint="eastAsia" w:ascii="仿宋_GB2312" w:hAnsi="仿宋_GB2312" w:eastAsia="仿宋_GB2312" w:cs="仿宋_GB2312"/>
                <w:b w:val="0"/>
                <w:bCs/>
                <w:color w:val="auto"/>
                <w:sz w:val="18"/>
                <w:szCs w:val="18"/>
                <w:highlight w:val="none"/>
                <w:u w:val="none"/>
                <w:lang w:val="en-US" w:eastAsia="zh-CN"/>
              </w:rPr>
              <w:t>7</w:t>
            </w:r>
            <w:r>
              <w:rPr>
                <w:rFonts w:hint="eastAsia" w:ascii="仿宋_GB2312" w:hAnsi="仿宋_GB2312" w:eastAsia="仿宋_GB2312" w:cs="仿宋_GB2312"/>
                <w:b w:val="0"/>
                <w:bCs/>
                <w:color w:val="auto"/>
                <w:sz w:val="18"/>
                <w:szCs w:val="18"/>
                <w:highlight w:val="none"/>
                <w:u w:val="none"/>
              </w:rPr>
              <w:t>年国家卫</w:t>
            </w:r>
            <w:r>
              <w:rPr>
                <w:rFonts w:hint="eastAsia" w:ascii="仿宋_GB2312" w:hAnsi="仿宋_GB2312" w:eastAsia="仿宋_GB2312" w:cs="仿宋_GB2312"/>
                <w:b w:val="0"/>
                <w:bCs/>
                <w:color w:val="auto"/>
                <w:sz w:val="18"/>
                <w:szCs w:val="18"/>
                <w:highlight w:val="none"/>
                <w:u w:val="none"/>
                <w:lang w:eastAsia="zh-CN"/>
              </w:rPr>
              <w:t>生</w:t>
            </w:r>
            <w:r>
              <w:rPr>
                <w:rFonts w:hint="eastAsia" w:ascii="仿宋_GB2312" w:hAnsi="仿宋_GB2312" w:eastAsia="仿宋_GB2312" w:cs="仿宋_GB2312"/>
                <w:b w:val="0"/>
                <w:bCs/>
                <w:color w:val="auto"/>
                <w:sz w:val="18"/>
                <w:szCs w:val="18"/>
                <w:highlight w:val="none"/>
                <w:u w:val="none"/>
              </w:rPr>
              <w:t>计</w:t>
            </w:r>
            <w:r>
              <w:rPr>
                <w:rFonts w:hint="eastAsia" w:ascii="仿宋_GB2312" w:hAnsi="仿宋_GB2312" w:eastAsia="仿宋_GB2312" w:cs="仿宋_GB2312"/>
                <w:b w:val="0"/>
                <w:bCs/>
                <w:color w:val="auto"/>
                <w:sz w:val="18"/>
                <w:szCs w:val="18"/>
                <w:highlight w:val="none"/>
                <w:u w:val="none"/>
                <w:lang w:eastAsia="zh-CN"/>
              </w:rPr>
              <w:t>生</w:t>
            </w:r>
            <w:r>
              <w:rPr>
                <w:rFonts w:hint="eastAsia" w:ascii="仿宋_GB2312" w:hAnsi="仿宋_GB2312" w:eastAsia="仿宋_GB2312" w:cs="仿宋_GB2312"/>
                <w:b w:val="0"/>
                <w:bCs/>
                <w:color w:val="auto"/>
                <w:sz w:val="18"/>
                <w:szCs w:val="18"/>
                <w:highlight w:val="none"/>
                <w:u w:val="none"/>
              </w:rPr>
              <w:t>委令第</w:t>
            </w:r>
            <w:r>
              <w:rPr>
                <w:rFonts w:hint="eastAsia" w:ascii="仿宋_GB2312" w:hAnsi="仿宋_GB2312" w:eastAsia="仿宋_GB2312" w:cs="仿宋_GB2312"/>
                <w:b w:val="0"/>
                <w:bCs/>
                <w:color w:val="auto"/>
                <w:sz w:val="18"/>
                <w:szCs w:val="18"/>
                <w:highlight w:val="none"/>
                <w:u w:val="none"/>
                <w:lang w:val="en-US" w:eastAsia="zh-CN"/>
              </w:rPr>
              <w:t>1</w:t>
            </w:r>
            <w:r>
              <w:rPr>
                <w:rFonts w:hint="eastAsia" w:ascii="仿宋_GB2312" w:hAnsi="仿宋_GB2312" w:eastAsia="仿宋_GB2312" w:cs="仿宋_GB2312"/>
                <w:b w:val="0"/>
                <w:bCs/>
                <w:color w:val="auto"/>
                <w:sz w:val="18"/>
                <w:szCs w:val="18"/>
                <w:highlight w:val="none"/>
                <w:u w:val="none"/>
              </w:rPr>
              <w:t>8号修正）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第三十六条  公共场所经营者有下列情形之一的，由县级以上地方人民政府</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责令限期改正，给予警告，并可处以二千元以下罚款；逾期不改正，造成公共场所卫生质量不符合卫生标准和要求的，处以二千元以上二万元以下罚款；情节严重的，可以依法责令停业整顿，直至吊销卫生许可证：</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（一）未按照规定对公共场所的空气、微小气候、水质、采光、照明、噪声、顾客用品用具等进行卫生检测的；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（二）未按照规定对顾客用品用具进行清洗、消毒、保洁，或者重复使用一次性用品用具的。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w:t>
            </w:r>
            <w:r>
              <w:rPr>
                <w:rFonts w:hint="eastAsia" w:ascii="仿宋_GB2312" w:hAnsi="仿宋_GB2312" w:eastAsia="仿宋_GB2312" w:cs="仿宋_GB2312"/>
                <w:b w:val="0"/>
                <w:bCs/>
                <w:color w:val="auto"/>
                <w:kern w:val="0"/>
                <w:sz w:val="18"/>
                <w:szCs w:val="18"/>
                <w:highlight w:val="none"/>
                <w:u w:val="none"/>
              </w:rPr>
              <w:t>情节严重的，可以依法责令停业整顿，直至吊销卫生许可证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19</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公共场所经营者未按照规定建立卫生管理制度、设立卫生管理部门或者配备专（兼）职卫生管理人员，或者未建立卫生管理档案等行为的处罚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0220019000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【部门规章】《公共场所卫生管理条例实施细则》</w:t>
            </w:r>
            <w:r>
              <w:rPr>
                <w:rFonts w:hint="eastAsia" w:ascii="仿宋_GB2312" w:hAnsi="仿宋_GB2312" w:eastAsia="仿宋_GB2312" w:cs="仿宋_GB2312"/>
                <w:b w:val="0"/>
                <w:bCs/>
                <w:color w:val="auto"/>
                <w:sz w:val="18"/>
                <w:szCs w:val="18"/>
                <w:highlight w:val="none"/>
                <w:u w:val="none"/>
              </w:rPr>
              <w:t>（201</w:t>
            </w:r>
            <w:r>
              <w:rPr>
                <w:rFonts w:hint="eastAsia" w:ascii="仿宋_GB2312" w:hAnsi="仿宋_GB2312" w:eastAsia="仿宋_GB2312" w:cs="仿宋_GB2312"/>
                <w:b w:val="0"/>
                <w:bCs/>
                <w:color w:val="auto"/>
                <w:sz w:val="18"/>
                <w:szCs w:val="18"/>
                <w:highlight w:val="none"/>
                <w:u w:val="none"/>
                <w:lang w:val="en-US" w:eastAsia="zh-CN"/>
              </w:rPr>
              <w:t>7</w:t>
            </w:r>
            <w:r>
              <w:rPr>
                <w:rFonts w:hint="eastAsia" w:ascii="仿宋_GB2312" w:hAnsi="仿宋_GB2312" w:eastAsia="仿宋_GB2312" w:cs="仿宋_GB2312"/>
                <w:b w:val="0"/>
                <w:bCs/>
                <w:color w:val="auto"/>
                <w:sz w:val="18"/>
                <w:szCs w:val="18"/>
                <w:highlight w:val="none"/>
                <w:u w:val="none"/>
              </w:rPr>
              <w:t>年国家卫</w:t>
            </w:r>
            <w:r>
              <w:rPr>
                <w:rFonts w:hint="eastAsia" w:ascii="仿宋_GB2312" w:hAnsi="仿宋_GB2312" w:eastAsia="仿宋_GB2312" w:cs="仿宋_GB2312"/>
                <w:b w:val="0"/>
                <w:bCs/>
                <w:color w:val="auto"/>
                <w:sz w:val="18"/>
                <w:szCs w:val="18"/>
                <w:highlight w:val="none"/>
                <w:u w:val="none"/>
                <w:lang w:eastAsia="zh-CN"/>
              </w:rPr>
              <w:t>生</w:t>
            </w:r>
            <w:r>
              <w:rPr>
                <w:rFonts w:hint="eastAsia" w:ascii="仿宋_GB2312" w:hAnsi="仿宋_GB2312" w:eastAsia="仿宋_GB2312" w:cs="仿宋_GB2312"/>
                <w:b w:val="0"/>
                <w:bCs/>
                <w:color w:val="auto"/>
                <w:sz w:val="18"/>
                <w:szCs w:val="18"/>
                <w:highlight w:val="none"/>
                <w:u w:val="none"/>
              </w:rPr>
              <w:t>计</w:t>
            </w:r>
            <w:r>
              <w:rPr>
                <w:rFonts w:hint="eastAsia" w:ascii="仿宋_GB2312" w:hAnsi="仿宋_GB2312" w:eastAsia="仿宋_GB2312" w:cs="仿宋_GB2312"/>
                <w:b w:val="0"/>
                <w:bCs/>
                <w:color w:val="auto"/>
                <w:sz w:val="18"/>
                <w:szCs w:val="18"/>
                <w:highlight w:val="none"/>
                <w:u w:val="none"/>
                <w:lang w:eastAsia="zh-CN"/>
              </w:rPr>
              <w:t>生</w:t>
            </w:r>
            <w:r>
              <w:rPr>
                <w:rFonts w:hint="eastAsia" w:ascii="仿宋_GB2312" w:hAnsi="仿宋_GB2312" w:eastAsia="仿宋_GB2312" w:cs="仿宋_GB2312"/>
                <w:b w:val="0"/>
                <w:bCs/>
                <w:color w:val="auto"/>
                <w:sz w:val="18"/>
                <w:szCs w:val="18"/>
                <w:highlight w:val="none"/>
                <w:u w:val="none"/>
              </w:rPr>
              <w:t>委令第</w:t>
            </w:r>
            <w:r>
              <w:rPr>
                <w:rFonts w:hint="eastAsia" w:ascii="仿宋_GB2312" w:hAnsi="仿宋_GB2312" w:eastAsia="仿宋_GB2312" w:cs="仿宋_GB2312"/>
                <w:b w:val="0"/>
                <w:bCs/>
                <w:color w:val="auto"/>
                <w:sz w:val="18"/>
                <w:szCs w:val="18"/>
                <w:highlight w:val="none"/>
                <w:u w:val="none"/>
                <w:lang w:val="en-US" w:eastAsia="zh-CN"/>
              </w:rPr>
              <w:t>1</w:t>
            </w:r>
            <w:r>
              <w:rPr>
                <w:rFonts w:hint="eastAsia" w:ascii="仿宋_GB2312" w:hAnsi="仿宋_GB2312" w:eastAsia="仿宋_GB2312" w:cs="仿宋_GB2312"/>
                <w:b w:val="0"/>
                <w:bCs/>
                <w:color w:val="auto"/>
                <w:sz w:val="18"/>
                <w:szCs w:val="18"/>
                <w:highlight w:val="none"/>
                <w:u w:val="none"/>
              </w:rPr>
              <w:t>8号修正）</w:t>
            </w:r>
            <w:r>
              <w:rPr>
                <w:rFonts w:hint="eastAsia" w:ascii="仿宋_GB2312" w:hAnsi="仿宋_GB2312" w:eastAsia="仿宋_GB2312" w:cs="仿宋_GB2312"/>
                <w:b w:val="0"/>
                <w:bCs/>
                <w:color w:val="auto"/>
                <w:kern w:val="0"/>
                <w:sz w:val="18"/>
                <w:szCs w:val="18"/>
                <w:highlight w:val="none"/>
                <w:u w:val="none"/>
              </w:rPr>
              <w:t>第三十七条  公共场所经营者有下列情形之一的，由县级以上</w:t>
            </w:r>
            <w:bookmarkStart w:id="5" w:name="OLE_LINK9"/>
            <w:r>
              <w:rPr>
                <w:rFonts w:hint="eastAsia" w:ascii="仿宋_GB2312" w:hAnsi="仿宋_GB2312" w:eastAsia="仿宋_GB2312" w:cs="仿宋_GB2312"/>
                <w:b w:val="0"/>
                <w:bCs/>
                <w:color w:val="auto"/>
                <w:kern w:val="0"/>
                <w:sz w:val="18"/>
                <w:szCs w:val="18"/>
                <w:highlight w:val="none"/>
                <w:u w:val="none"/>
              </w:rPr>
              <w:t>地方人民政府</w:t>
            </w:r>
            <w:bookmarkEnd w:id="5"/>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责令限期改正；逾期不改的，给予警告，并处以一千元以上一万元以下罚款；对拒绝监督的，处以一万元以上三万元以下罚款；情节严重的，可以依法责令停业整顿，直至吊销卫生许可证：</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（一）未按照规定建立卫生管理制度、设立卫生管理部门或者配备专（兼）职卫生管理人员，或者未建立卫生管理档案的；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（二）未按照规定组织从业人员进行相关卫生法律知识和公共场所卫生知识培训，或者安排未经相关卫生法律知识和公共场所卫生知识培训考核的从业人员上岗的；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（三）未按照规定设置与其经营规模、项目相适应的清洗、消毒、保洁、盥洗等设施设备和公共卫生间，或者擅自停止使用、拆除上述设施设备，或者挪作他用的；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四）未按照规定配备预防控制鼠、蚊、蝇、蟑螂和其他病媒生物的设施设备以及废弃物存放专用设施设备，或者擅自停止使用、拆除预防控制鼠、蚊、蝇、蟑螂和其他病媒生物的设施设备以及废弃物存放专用设施设备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（五）未按照规定索取公共卫生用品检验合格证明和其他相关资料的；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（六）未按照规定对公共场所新建、改建、扩建项目办理预防性卫生审查手续的；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（七）公共场所集中空调通风系统未经卫生检测或者评价不合格而投入使用的；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（八）未按照规定公示公共场所卫生许可证、卫生检测结果和卫生信誉度等级的；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（九）未按照规定办理公共场所卫生许可证复核手续的。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w:t>
            </w:r>
            <w:r>
              <w:rPr>
                <w:rFonts w:hint="eastAsia" w:ascii="仿宋_GB2312" w:hAnsi="仿宋_GB2312" w:eastAsia="仿宋_GB2312" w:cs="仿宋_GB2312"/>
                <w:b w:val="0"/>
                <w:bCs/>
                <w:color w:val="auto"/>
                <w:kern w:val="0"/>
                <w:sz w:val="18"/>
                <w:szCs w:val="18"/>
                <w:highlight w:val="none"/>
                <w:u w:val="none"/>
              </w:rPr>
              <w:t>情节严重的，可以依法责令停业整顿，直至吊销卫生许可证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20</w:t>
            </w:r>
          </w:p>
        </w:tc>
        <w:tc>
          <w:tcPr>
            <w:tcW w:w="631"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对公共场所经营者安排未检查或未获得有效健康合格证明的从业人员从事直接为顾客服务工作行为的处罚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0220020000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52" w:firstLineChars="196"/>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【行政法规】《公共场所卫生管理条例》</w:t>
            </w:r>
            <w:r>
              <w:rPr>
                <w:rFonts w:hint="eastAsia" w:ascii="仿宋_GB2312" w:hAnsi="仿宋_GB2312" w:eastAsia="仿宋_GB2312" w:cs="仿宋_GB2312"/>
                <w:b w:val="0"/>
                <w:bCs/>
                <w:color w:val="auto"/>
                <w:kern w:val="0"/>
                <w:sz w:val="18"/>
                <w:szCs w:val="18"/>
                <w:highlight w:val="none"/>
                <w:u w:val="none"/>
              </w:rPr>
              <w:t>（201</w:t>
            </w:r>
            <w:r>
              <w:rPr>
                <w:rFonts w:hint="eastAsia" w:ascii="仿宋_GB2312" w:hAnsi="仿宋_GB2312" w:eastAsia="仿宋_GB2312" w:cs="仿宋_GB2312"/>
                <w:b w:val="0"/>
                <w:bCs/>
                <w:color w:val="auto"/>
                <w:kern w:val="0"/>
                <w:sz w:val="18"/>
                <w:szCs w:val="18"/>
                <w:highlight w:val="none"/>
                <w:u w:val="none"/>
                <w:lang w:val="en-US" w:eastAsia="zh-CN"/>
              </w:rPr>
              <w:t>9</w:t>
            </w:r>
            <w:r>
              <w:rPr>
                <w:rFonts w:hint="eastAsia" w:ascii="仿宋_GB2312" w:hAnsi="仿宋_GB2312" w:eastAsia="仿宋_GB2312" w:cs="仿宋_GB2312"/>
                <w:b w:val="0"/>
                <w:bCs/>
                <w:color w:val="auto"/>
                <w:kern w:val="0"/>
                <w:sz w:val="18"/>
                <w:szCs w:val="18"/>
                <w:highlight w:val="none"/>
                <w:u w:val="none"/>
              </w:rPr>
              <w:t>年国务院令第</w:t>
            </w:r>
            <w:r>
              <w:rPr>
                <w:rFonts w:hint="eastAsia" w:ascii="仿宋_GB2312" w:hAnsi="仿宋_GB2312" w:eastAsia="仿宋_GB2312" w:cs="仿宋_GB2312"/>
                <w:b w:val="0"/>
                <w:bCs/>
                <w:color w:val="auto"/>
                <w:kern w:val="0"/>
                <w:sz w:val="18"/>
                <w:szCs w:val="18"/>
                <w:highlight w:val="none"/>
                <w:u w:val="none"/>
                <w:lang w:val="en-US" w:eastAsia="zh-CN"/>
              </w:rPr>
              <w:t>714</w:t>
            </w:r>
            <w:r>
              <w:rPr>
                <w:rFonts w:hint="eastAsia" w:ascii="仿宋_GB2312" w:hAnsi="仿宋_GB2312" w:eastAsia="仿宋_GB2312" w:cs="仿宋_GB2312"/>
                <w:b w:val="0"/>
                <w:bCs/>
                <w:color w:val="auto"/>
                <w:kern w:val="0"/>
                <w:sz w:val="18"/>
                <w:szCs w:val="18"/>
                <w:highlight w:val="none"/>
                <w:u w:val="none"/>
              </w:rPr>
              <w:t>号修正）</w:t>
            </w:r>
          </w:p>
          <w:p>
            <w:pPr>
              <w:spacing w:line="260" w:lineRule="exact"/>
              <w:ind w:firstLine="352" w:firstLineChars="196"/>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第十四条 凡有下列行为之一的单位或者个人，卫生防疫机构可以根据情节轻重，给予警告、罚款、停业整顿、吊销“卫生许可证”的行政处罚：（二）未获得“健康合格证”，而从事直接为顾客服务的；罚款一律上交国库。</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【行政法规】《艾滋病防治条例》（20</w:t>
            </w:r>
            <w:r>
              <w:rPr>
                <w:rFonts w:hint="eastAsia" w:ascii="仿宋_GB2312" w:hAnsi="仿宋_GB2312" w:eastAsia="仿宋_GB2312" w:cs="仿宋_GB2312"/>
                <w:b w:val="0"/>
                <w:bCs/>
                <w:color w:val="auto"/>
                <w:sz w:val="18"/>
                <w:szCs w:val="18"/>
                <w:highlight w:val="none"/>
                <w:u w:val="none"/>
                <w:lang w:val="en-US" w:eastAsia="zh-CN"/>
              </w:rPr>
              <w:t>19</w:t>
            </w:r>
            <w:r>
              <w:rPr>
                <w:rFonts w:hint="eastAsia" w:ascii="仿宋_GB2312" w:hAnsi="仿宋_GB2312" w:eastAsia="仿宋_GB2312" w:cs="仿宋_GB2312"/>
                <w:b w:val="0"/>
                <w:bCs/>
                <w:color w:val="auto"/>
                <w:sz w:val="18"/>
                <w:szCs w:val="18"/>
                <w:highlight w:val="none"/>
                <w:u w:val="none"/>
              </w:rPr>
              <w:t>年国务院令第</w:t>
            </w:r>
            <w:r>
              <w:rPr>
                <w:rFonts w:hint="eastAsia" w:ascii="仿宋_GB2312" w:hAnsi="仿宋_GB2312" w:eastAsia="仿宋_GB2312" w:cs="仿宋_GB2312"/>
                <w:b w:val="0"/>
                <w:bCs/>
                <w:color w:val="auto"/>
                <w:sz w:val="18"/>
                <w:szCs w:val="18"/>
                <w:highlight w:val="none"/>
                <w:u w:val="none"/>
                <w:lang w:val="en-US" w:eastAsia="zh-CN"/>
              </w:rPr>
              <w:t>709</w:t>
            </w:r>
            <w:r>
              <w:rPr>
                <w:rFonts w:hint="eastAsia" w:ascii="仿宋_GB2312" w:hAnsi="仿宋_GB2312" w:eastAsia="仿宋_GB2312" w:cs="仿宋_GB2312"/>
                <w:b w:val="0"/>
                <w:bCs/>
                <w:color w:val="auto"/>
                <w:sz w:val="18"/>
                <w:szCs w:val="18"/>
                <w:highlight w:val="none"/>
                <w:u w:val="none"/>
              </w:rPr>
              <w:t>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【部门规章】《公共场所卫生管理条例实施细则》（201</w:t>
            </w:r>
            <w:r>
              <w:rPr>
                <w:rFonts w:hint="eastAsia" w:ascii="仿宋_GB2312" w:hAnsi="仿宋_GB2312" w:eastAsia="仿宋_GB2312" w:cs="仿宋_GB2312"/>
                <w:b w:val="0"/>
                <w:bCs/>
                <w:color w:val="auto"/>
                <w:sz w:val="18"/>
                <w:szCs w:val="18"/>
                <w:highlight w:val="none"/>
                <w:u w:val="none"/>
                <w:lang w:val="en-US" w:eastAsia="zh-CN"/>
              </w:rPr>
              <w:t>7</w:t>
            </w:r>
            <w:r>
              <w:rPr>
                <w:rFonts w:hint="eastAsia" w:ascii="仿宋_GB2312" w:hAnsi="仿宋_GB2312" w:eastAsia="仿宋_GB2312" w:cs="仿宋_GB2312"/>
                <w:b w:val="0"/>
                <w:bCs/>
                <w:color w:val="auto"/>
                <w:sz w:val="18"/>
                <w:szCs w:val="18"/>
                <w:highlight w:val="none"/>
                <w:u w:val="none"/>
              </w:rPr>
              <w:t>年国家卫</w:t>
            </w:r>
            <w:r>
              <w:rPr>
                <w:rFonts w:hint="eastAsia" w:ascii="仿宋_GB2312" w:hAnsi="仿宋_GB2312" w:eastAsia="仿宋_GB2312" w:cs="仿宋_GB2312"/>
                <w:b w:val="0"/>
                <w:bCs/>
                <w:color w:val="auto"/>
                <w:sz w:val="18"/>
                <w:szCs w:val="18"/>
                <w:highlight w:val="none"/>
                <w:u w:val="none"/>
                <w:lang w:eastAsia="zh-CN"/>
              </w:rPr>
              <w:t>生</w:t>
            </w:r>
            <w:r>
              <w:rPr>
                <w:rFonts w:hint="eastAsia" w:ascii="仿宋_GB2312" w:hAnsi="仿宋_GB2312" w:eastAsia="仿宋_GB2312" w:cs="仿宋_GB2312"/>
                <w:b w:val="0"/>
                <w:bCs/>
                <w:color w:val="auto"/>
                <w:sz w:val="18"/>
                <w:szCs w:val="18"/>
                <w:highlight w:val="none"/>
                <w:u w:val="none"/>
              </w:rPr>
              <w:t>计</w:t>
            </w:r>
            <w:r>
              <w:rPr>
                <w:rFonts w:hint="eastAsia" w:ascii="仿宋_GB2312" w:hAnsi="仿宋_GB2312" w:eastAsia="仿宋_GB2312" w:cs="仿宋_GB2312"/>
                <w:b w:val="0"/>
                <w:bCs/>
                <w:color w:val="auto"/>
                <w:sz w:val="18"/>
                <w:szCs w:val="18"/>
                <w:highlight w:val="none"/>
                <w:u w:val="none"/>
                <w:lang w:eastAsia="zh-CN"/>
              </w:rPr>
              <w:t>生</w:t>
            </w:r>
            <w:r>
              <w:rPr>
                <w:rFonts w:hint="eastAsia" w:ascii="仿宋_GB2312" w:hAnsi="仿宋_GB2312" w:eastAsia="仿宋_GB2312" w:cs="仿宋_GB2312"/>
                <w:b w:val="0"/>
                <w:bCs/>
                <w:color w:val="auto"/>
                <w:sz w:val="18"/>
                <w:szCs w:val="18"/>
                <w:highlight w:val="none"/>
                <w:u w:val="none"/>
              </w:rPr>
              <w:t>委令第</w:t>
            </w:r>
            <w:r>
              <w:rPr>
                <w:rFonts w:hint="eastAsia" w:ascii="仿宋_GB2312" w:hAnsi="仿宋_GB2312" w:eastAsia="仿宋_GB2312" w:cs="仿宋_GB2312"/>
                <w:b w:val="0"/>
                <w:bCs/>
                <w:color w:val="auto"/>
                <w:sz w:val="18"/>
                <w:szCs w:val="18"/>
                <w:highlight w:val="none"/>
                <w:u w:val="none"/>
                <w:lang w:val="en-US" w:eastAsia="zh-CN"/>
              </w:rPr>
              <w:t>1</w:t>
            </w:r>
            <w:r>
              <w:rPr>
                <w:rFonts w:hint="eastAsia" w:ascii="仿宋_GB2312" w:hAnsi="仿宋_GB2312" w:eastAsia="仿宋_GB2312" w:cs="仿宋_GB2312"/>
                <w:b w:val="0"/>
                <w:bCs/>
                <w:color w:val="auto"/>
                <w:sz w:val="18"/>
                <w:szCs w:val="18"/>
                <w:highlight w:val="none"/>
                <w:u w:val="none"/>
              </w:rPr>
              <w:t>8号修正）</w:t>
            </w:r>
          </w:p>
          <w:p>
            <w:pPr>
              <w:spacing w:line="260" w:lineRule="exact"/>
              <w:ind w:firstLine="352" w:firstLineChars="196"/>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第三十八条 公共场所经营者安排未获得有效健康合格证明的从业人员从事直接为顾客服务工作的，由县级以上地方人民政府</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责令限期改正，给予警告，并处以五百元以上五千元以下罚款；逾期不改正的，处以五千元以上一万五千元以下罚款。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警告，罚款；停业整顿；情节严重的吊销“卫生许可证”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21</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公共场所经营者对发生的危害健康事故未立即采取处置措施，导致危害扩大，或者隐瞒、缓报、谎报行为的处罚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0220021000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【部门规章】《公共场所卫生管理条例实施细则》</w:t>
            </w:r>
            <w:r>
              <w:rPr>
                <w:rFonts w:hint="eastAsia" w:ascii="仿宋_GB2312" w:hAnsi="仿宋_GB2312" w:eastAsia="仿宋_GB2312" w:cs="仿宋_GB2312"/>
                <w:b w:val="0"/>
                <w:bCs/>
                <w:color w:val="auto"/>
                <w:sz w:val="18"/>
                <w:szCs w:val="18"/>
                <w:highlight w:val="none"/>
                <w:u w:val="none"/>
              </w:rPr>
              <w:t>（201</w:t>
            </w:r>
            <w:r>
              <w:rPr>
                <w:rFonts w:hint="eastAsia" w:ascii="仿宋_GB2312" w:hAnsi="仿宋_GB2312" w:eastAsia="仿宋_GB2312" w:cs="仿宋_GB2312"/>
                <w:b w:val="0"/>
                <w:bCs/>
                <w:color w:val="auto"/>
                <w:sz w:val="18"/>
                <w:szCs w:val="18"/>
                <w:highlight w:val="none"/>
                <w:u w:val="none"/>
                <w:lang w:val="en-US" w:eastAsia="zh-CN"/>
              </w:rPr>
              <w:t>7</w:t>
            </w:r>
            <w:r>
              <w:rPr>
                <w:rFonts w:hint="eastAsia" w:ascii="仿宋_GB2312" w:hAnsi="仿宋_GB2312" w:eastAsia="仿宋_GB2312" w:cs="仿宋_GB2312"/>
                <w:b w:val="0"/>
                <w:bCs/>
                <w:color w:val="auto"/>
                <w:sz w:val="18"/>
                <w:szCs w:val="18"/>
                <w:highlight w:val="none"/>
                <w:u w:val="none"/>
              </w:rPr>
              <w:t>年国家卫</w:t>
            </w:r>
            <w:r>
              <w:rPr>
                <w:rFonts w:hint="eastAsia" w:ascii="仿宋_GB2312" w:hAnsi="仿宋_GB2312" w:eastAsia="仿宋_GB2312" w:cs="仿宋_GB2312"/>
                <w:b w:val="0"/>
                <w:bCs/>
                <w:color w:val="auto"/>
                <w:sz w:val="18"/>
                <w:szCs w:val="18"/>
                <w:highlight w:val="none"/>
                <w:u w:val="none"/>
                <w:lang w:eastAsia="zh-CN"/>
              </w:rPr>
              <w:t>生</w:t>
            </w:r>
            <w:r>
              <w:rPr>
                <w:rFonts w:hint="eastAsia" w:ascii="仿宋_GB2312" w:hAnsi="仿宋_GB2312" w:eastAsia="仿宋_GB2312" w:cs="仿宋_GB2312"/>
                <w:b w:val="0"/>
                <w:bCs/>
                <w:color w:val="auto"/>
                <w:sz w:val="18"/>
                <w:szCs w:val="18"/>
                <w:highlight w:val="none"/>
                <w:u w:val="none"/>
              </w:rPr>
              <w:t>计</w:t>
            </w:r>
            <w:r>
              <w:rPr>
                <w:rFonts w:hint="eastAsia" w:ascii="仿宋_GB2312" w:hAnsi="仿宋_GB2312" w:eastAsia="仿宋_GB2312" w:cs="仿宋_GB2312"/>
                <w:b w:val="0"/>
                <w:bCs/>
                <w:color w:val="auto"/>
                <w:sz w:val="18"/>
                <w:szCs w:val="18"/>
                <w:highlight w:val="none"/>
                <w:u w:val="none"/>
                <w:lang w:eastAsia="zh-CN"/>
              </w:rPr>
              <w:t>生</w:t>
            </w:r>
            <w:r>
              <w:rPr>
                <w:rFonts w:hint="eastAsia" w:ascii="仿宋_GB2312" w:hAnsi="仿宋_GB2312" w:eastAsia="仿宋_GB2312" w:cs="仿宋_GB2312"/>
                <w:b w:val="0"/>
                <w:bCs/>
                <w:color w:val="auto"/>
                <w:sz w:val="18"/>
                <w:szCs w:val="18"/>
                <w:highlight w:val="none"/>
                <w:u w:val="none"/>
              </w:rPr>
              <w:t>委令第</w:t>
            </w:r>
            <w:r>
              <w:rPr>
                <w:rFonts w:hint="eastAsia" w:ascii="仿宋_GB2312" w:hAnsi="仿宋_GB2312" w:eastAsia="仿宋_GB2312" w:cs="仿宋_GB2312"/>
                <w:b w:val="0"/>
                <w:bCs/>
                <w:color w:val="auto"/>
                <w:sz w:val="18"/>
                <w:szCs w:val="18"/>
                <w:highlight w:val="none"/>
                <w:u w:val="none"/>
                <w:lang w:val="en-US" w:eastAsia="zh-CN"/>
              </w:rPr>
              <w:t>1</w:t>
            </w:r>
            <w:r>
              <w:rPr>
                <w:rFonts w:hint="eastAsia" w:ascii="仿宋_GB2312" w:hAnsi="仿宋_GB2312" w:eastAsia="仿宋_GB2312" w:cs="仿宋_GB2312"/>
                <w:b w:val="0"/>
                <w:bCs/>
                <w:color w:val="auto"/>
                <w:sz w:val="18"/>
                <w:szCs w:val="18"/>
                <w:highlight w:val="none"/>
                <w:u w:val="none"/>
              </w:rPr>
              <w:t>8号修正）</w:t>
            </w:r>
            <w:r>
              <w:rPr>
                <w:rFonts w:hint="eastAsia" w:ascii="仿宋_GB2312" w:hAnsi="仿宋_GB2312" w:eastAsia="仿宋_GB2312" w:cs="仿宋_GB2312"/>
                <w:b w:val="0"/>
                <w:bCs/>
                <w:color w:val="auto"/>
                <w:kern w:val="0"/>
                <w:sz w:val="18"/>
                <w:szCs w:val="18"/>
                <w:highlight w:val="none"/>
                <w:u w:val="none"/>
              </w:rPr>
              <w:t>第二十一条第一款  公共场所发生危害健康事故的，经营者应当立即处置，防止危害扩大，并及时向县级人民政府</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报告。</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第三十九条  公共场所经营者对发生的危害健康事故未立即采取处置措施，导致危害扩大，或者隐瞒、缓报、谎报的，由县级以上地方人民政府</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处以五千元以上三万元以下罚款；情节严重的，可以依法责令停业整顿，直至吊销卫生许可证。构成犯罪的，依法追究刑事责任。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r>
              <w:rPr>
                <w:rFonts w:hint="eastAsia" w:ascii="仿宋_GB2312" w:hAnsi="仿宋_GB2312" w:eastAsia="仿宋_GB2312" w:cs="仿宋_GB2312"/>
                <w:b w:val="0"/>
                <w:bCs/>
                <w:color w:val="auto"/>
                <w:kern w:val="0"/>
                <w:sz w:val="18"/>
                <w:szCs w:val="18"/>
                <w:highlight w:val="none"/>
                <w:u w:val="none"/>
              </w:rPr>
              <w:t>情节严重的，可以依法责令停业整顿，直至吊销卫生许可证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22</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对无正当理由不参加爱国卫生专项治理或者病媒生物密度超出国家规定标准的单位、个体经营户行为的处罚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0220022000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【地方性法规】《宁夏回族自治区爱国卫生工作条例》（2003年）</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第四十二条  违反本条例，无正当理由不参加爱国卫生专项治理，以及不按规定参加杀灭老鼠、苍蝇、蚊子、蟑螂等病媒生物活动或者病媒生物密度超出国家规定标准的单位、个体经营户，由县级以上人民政府卫生行政主管部门责令其限期改正，逾期不改正的给予警告，并对单位处以五百元以上二千元以下的罚款；对个人处以一百元以上五百元以下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23</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对未经卫生行政部门许可新建、改建、扩建校舍行为的处罚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0220023000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w:t>
            </w:r>
            <w:bookmarkStart w:id="6" w:name="OLE_LINK10"/>
            <w:r>
              <w:rPr>
                <w:rFonts w:hint="eastAsia" w:ascii="仿宋_GB2312" w:hAnsi="仿宋_GB2312" w:eastAsia="仿宋_GB2312" w:cs="仿宋_GB2312"/>
                <w:b w:val="0"/>
                <w:bCs/>
                <w:color w:val="auto"/>
                <w:kern w:val="0"/>
                <w:sz w:val="18"/>
                <w:szCs w:val="18"/>
                <w:highlight w:val="none"/>
                <w:u w:val="none"/>
              </w:rPr>
              <w:t>学校卫生工作条例</w:t>
            </w:r>
            <w:bookmarkEnd w:id="6"/>
            <w:r>
              <w:rPr>
                <w:rFonts w:hint="eastAsia" w:ascii="仿宋_GB2312" w:hAnsi="仿宋_GB2312" w:eastAsia="仿宋_GB2312" w:cs="仿宋_GB2312"/>
                <w:b w:val="0"/>
                <w:bCs/>
                <w:color w:val="auto"/>
                <w:kern w:val="0"/>
                <w:sz w:val="18"/>
                <w:szCs w:val="18"/>
                <w:highlight w:val="none"/>
                <w:u w:val="none"/>
              </w:rPr>
              <w:t>》（1990年国家教育委员会令第10号、卫生部令第1号）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第六条第二款  新建、改建、扩建校舍，其选址、设计应当符合国家的卫生标准，并取得当地卫生行政部门的许可。竣工验收应当有当地卫生行政部门参加。</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第三十二条  违反本条例第六条第二款规定，未经卫生行政部门许可新建、改建、扩建校舍的，由卫生行政部门对直接责任单位或者个人给予警告、责令停止施工或者限期改建。</w:t>
            </w:r>
          </w:p>
        </w:tc>
        <w:tc>
          <w:tcPr>
            <w:tcW w:w="1712" w:type="dxa"/>
            <w:vAlign w:val="center"/>
          </w:tcPr>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p>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警告、责令停止施工或者限期改建</w:t>
            </w:r>
          </w:p>
          <w:p>
            <w:pPr>
              <w:spacing w:line="260" w:lineRule="exact"/>
              <w:rPr>
                <w:rFonts w:hint="eastAsia" w:ascii="仿宋_GB2312" w:hAnsi="仿宋_GB2312" w:eastAsia="仿宋_GB2312" w:cs="仿宋_GB2312"/>
                <w:b w:val="0"/>
                <w:bCs/>
                <w:color w:val="auto"/>
                <w:sz w:val="18"/>
                <w:szCs w:val="18"/>
                <w:highlight w:val="none"/>
                <w:u w:val="none"/>
              </w:rPr>
            </w:pPr>
          </w:p>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p>
          <w:p>
            <w:pPr>
              <w:spacing w:line="260" w:lineRule="exact"/>
              <w:rPr>
                <w:rFonts w:hint="eastAsia" w:ascii="仿宋_GB2312" w:hAnsi="仿宋_GB2312" w:eastAsia="仿宋_GB2312" w:cs="仿宋_GB2312"/>
                <w:b w:val="0"/>
                <w:bCs/>
                <w:color w:val="auto"/>
                <w:sz w:val="18"/>
                <w:szCs w:val="18"/>
                <w:highlight w:val="none"/>
                <w:u w:val="none"/>
              </w:rPr>
            </w:pP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24</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对学校有关设施、设备、器械、场地、环境不符合要求行为的处罚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0220024000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【行政法规】《学校卫生工作条例》（1990年国家教育委员会令第10号、卫生部令第1号）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第六条第一款  学校教学建筑、环境噪声、室内微小气候、采光、照明等环境质量以及黑板、课桌椅的设置应当符合国家有关标准。</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第七条  学校应当按照有关规定为学生设置厕所和洗手设施。寄宿制学校应当为学生提供相应的洗漱、洗澡等卫生设施。</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学校应当为学生提供充足的符合卫生标准的饮用水。</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 xml:space="preserve">第十条  学校体育场地和器材应当符合卫生和安全要求。运动项目和运动强度应当适合学生的生理承受能力和体质健康状况，防止发生伤害事故。 </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第三十三条  违反本条例第六条第一款、第七条和第十条规定的，由卫生行政部门对直接责任单位或者个人给予警告并责令限期改进。情节严重的，可以同时建议教育行政部门给予行政处分。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25</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对学校未组织学生参加适当劳动，或者对参加劳动的学生，不进行安全教育，提供必要的安全和卫生防护措施或者未定期行体格检查行为的处罚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0220025000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【行政法规】《学校卫生工作条例》（1990年国家教育委员会令第10号、卫生部令第1号）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第十一条 学校应当根据学生的年龄，组织学生参加适当的劳动，并对参加劳动的学生，进行安全教育，提供必要的安全和卫生防护措施。</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普通中小学校组织学生参加劳动，不得让学生接触有毒有害物质或者从事不安全工种的作业，不得让学生参加夜班劳动。</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普通高等学校、中等专业学校、技工学校、农业中学、职业中学组织学生参加生产劳动，接触有毒有害物质的，按照国家有关规定，提供保健待遇。学校应当定期对他们进行体格检查，加强卫生防护。</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第三十四条 违反本条例第十一条规定，致使学生健康受到损害的，由卫生行政部门对直接责任单位或者个人给予警告，责令限期改进。</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26</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对供学生使用的文具、娱乐器具、保健用品，不符合国家有关卫生标准行为的处罚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0220026000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【行政法规】《学校卫生工作条例》（1990年国家教育委员会令第10号、卫生部令第1号）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第二十七条  供学生使用的文具、娱乐器具、保健用品，必须符合国家有关卫生标准。</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第三十五条  违反本条例第二十七条规定的，由卫生行政部门对直接责任单位或者个人给予警告。情节严重的，可以会同工商行政部门没收其不符合国家有关卫生标准的物品，并处以非法所得两倍以下的罚款。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27</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对拒绝或者妨碍学校卫生监督员实施卫生监督行为的处罚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0220027000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【行政法规】《学校卫生工作条例》（1990年国家教育委员会令第10号、卫生部令第1号）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第三十六条  拒绝或者妨碍学校卫生监督员依照本条例实施卫生监督的，由卫生行政部门对直接责任单位或者个人给予警告。情节严重的，可以建议教育行政部门给予行政处分或者处以二百元以下的罚款。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28</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对碘盐的加工、运输、经营过程中不符合国家卫生标准行为的处罚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0220028000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52" w:firstLineChars="196"/>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【行政法规】《食盐加碘消除碘缺乏危害管理条例》（2017年国务院令第676号修正）</w:t>
            </w:r>
          </w:p>
          <w:p>
            <w:pPr>
              <w:widowControl/>
              <w:adjustRightInd w:val="0"/>
              <w:snapToGrid w:val="0"/>
              <w:spacing w:line="260" w:lineRule="exact"/>
              <w:ind w:firstLine="352" w:firstLineChars="196"/>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第七条  从事碘盐加工的盐业企业， 应当由省、自治区、直辖市人民政府盐业主管机构指定， 并取得同级人民政府卫生行政部门卫生许可后，报国务院盐业主管机构批准。</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第二十七条  违反本条例的规定，在碘盐的加工、运输、经营过程中不符合国家卫生标准的， 由县级以上人民政府卫生行政部门责令责任者改正，可以并处该盐产品价值3倍以下的罚款。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29</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对出厂碘盐未予包装或者包装不符合国家卫生标准行为的处罚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0220029000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52" w:firstLineChars="196"/>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【行政法规】《食盐加碘消除碘缺乏危害管理条例》（2017年国务院令第676号修正）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第二十八条  违反本条例的规定，出厂碘盐未予包装或者包装不符合国家卫生标准的，由县级以上人民政府卫生行政部门责令改正，可以并处该盐产品价值3倍以下的罚款。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74" w:type="dxa"/>
            <w:vAlign w:val="center"/>
          </w:tcPr>
          <w:p>
            <w:pPr>
              <w:spacing w:line="260" w:lineRule="exact"/>
              <w:ind w:firstLine="180" w:firstLineChars="100"/>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30</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对在缺碘地区生产、销售的食品和副食品中添加非碘盐行为的处罚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0220030000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52" w:firstLineChars="196"/>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【行政法规】《食盐加碘消除碘缺乏危害管理条例》（2017年国务院令第676号修正）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第二十九条  违反本条例的规定，在缺碘地区生产、销售的食品和副食品中加非碘盐的，由县级以上人民政府卫生行政部门责令改正， 没收违法所得，可以并处该产品价值1倍以下的罚款。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没收违法所得，罚款</w:t>
            </w:r>
          </w:p>
        </w:tc>
        <w:tc>
          <w:tcPr>
            <w:tcW w:w="821"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31</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对未经批准擅自开办医疗机构行医或者非医师行医行为的处罚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0220031000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【法律】《中华人民共和国执业医师法》（2009年修正）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p>
            <w:pPr>
              <w:spacing w:line="260" w:lineRule="exact"/>
              <w:ind w:firstLine="352" w:firstLineChars="196"/>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【行政法规】《医疗机构管理条例》(2016年国务院令第666号修正）</w:t>
            </w:r>
          </w:p>
          <w:p>
            <w:pPr>
              <w:spacing w:line="260" w:lineRule="exact"/>
              <w:ind w:firstLine="352" w:firstLineChars="196"/>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第二十四条  任何单位或者个人，未取得《医疗机构执业许可证》，不得开展诊疗活动。</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第二十七条  医疗机构必须按照核准登记的诊疗科目开展诊疗活动。</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第四十四条  违反本条例第二十四条规定，未取得《医疗机构执业许可证》擅自执业的，由县级以上人民政府卫生行政部门责令其停止执业活动，没收非法所得和药品、器械，并可以根据情节处以1万元以下的罚款。</w:t>
            </w:r>
          </w:p>
          <w:p>
            <w:pPr>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第四十七条  违反本条例第二十七条规定，诊疗活动超出登记范围的，由县级以上人民政府卫生行政部门予以警告、责令其改正，并可以根据情节处以３０００元以下的罚款；情节严重的，吊销其《医疗机构执业许可证》。</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【行政法规】《中华人民共和国中医药条例》（2003年国务院令第374号）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第三十三条  未经批准擅自开办中医医疗机构或者未按照规定通过执业医师或者执业助理医师资格考试取得执业许可，从事中医医疗活动的，依照《中华人民共和国执业医师法》和《医疗机构管理条例》的有关规定给予处罚。</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【地方性法规】《宁夏回族自治区发展中医条例》（2002年）</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第三十五条  违反本条例第十七条第一款、第十九条规定，未经批准开办中医医疗机构或者非法行医的，由县级以上人民政府卫生行政部门予以取缔，没收其违法所得及药品、器械，并处十万元以下的罚款；对医师吊销其执业证书；给患者造成损害的，依法承担赔偿责任；构成犯罪的，依法追究刑事责任。</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【部门规章】《医疗机构管理条例实施细则》(2017年国家卫生计生委令第12号修正）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 xml:space="preserve">第七十七条  对未取得《医疗机构执业许可证》擅自执业的，责令其停止执业活动，没收非法所得的药品、器械，并处以三千元以下的罚款；有下列情形之一的，责令其停止执业活动，没收非法所得和药品、器械，处以三千元以上一万元以下的罚款: </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（一）因擅自执业曾受过</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 xml:space="preserve">处罚； </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 xml:space="preserve">（二）擅自执业的人员为非卫生技术专业人员； </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 xml:space="preserve">（三）擅自执业时间在三个月以上； </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 xml:space="preserve">（四）给患者造成伤害； </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 xml:space="preserve">（五）使用假药、劣药蒙骗患者； </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 xml:space="preserve">（六）以行医为名骗取患者钱物； </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（七）省、自治区、直辖市</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规定的其它情形。</w:t>
            </w:r>
          </w:p>
          <w:p>
            <w:pPr>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第八十条  除急诊和急救外，医疗机构诊疗活动超出登记的诊疗科目范围，情节轻微的，处以警告；有下列情形之一的，责令其限期改正，并可处以三千元以下罚款；</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xml:space="preserve">    （一） 超出登记的诊疗科目范围的诊疗活动累计收入在三千元以下；</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xml:space="preserve">    （二） 给患者造成伤害。</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xml:space="preserve">    有下列情形之一的，处以三千元罚款，并吊销《医疗机构执业许可证》：</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xml:space="preserve">    （一） 超出登记的诊疗科目范围的诊疗活动累计收入在三千元以上；</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xml:space="preserve">    （二） 给患者造成伤害；</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xml:space="preserve">    （三） 省、自治区、直辖市</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规定的其他情形。</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【部门规章】《医疗气功管理暂行规定》（2000年卫生部令第12号）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 xml:space="preserve"> 第二十二条  违反本规定，非医疗机构或非医师开展医疗气功活动的，按照《医疗机构管理条例》第四十四条和《执业医师法》第三十九条的规定进行处罚；构成犯罪的，依法追究刑事责任。</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【部门规章】《人类辅助生殖技术管理办法》（2001年卫生部令第14号发布）</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第二十一条  违反本办法规定，未经批准擅自开展人类辅助生殖技术的非医疗机构，按照《医疗机构管理条例》第四十四条规定处罚；对有上述违法行为的医疗机构，按照《医疗机构管理条例》第四十七条和《医疗机构管理条例实施细则》第八十条的规定处罚。</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【部门规章】《人类精子库管理办法》（2001年卫生部令第15号）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第二十三条  违反本办法规定，未经批准擅自设置人类精子库，采集、提供精子的非医疗机构，按照《医疗机构管理条例》第四十四条的规定处罚；对有上述违法行为的医疗机构，按照《医疗机构管理条例》第四十七条和《医疗机构管理条例实施细则》第八十条的规定处罚。</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【部门规章】《医疗广告管理办法》（2006年国家工商行政管理总局、卫生部令第26号）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第二十条第二款  未取得《医疗机构执业许可证》发布医疗广告的，按非法行医处罚。</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【部门规章】《香港、澳门特别行政区医师在内地短期行医管理规定》（2008年卫生部令第62号）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第十八条  港澳医师未取得《港澳医师短期行医执业证书》行医或者未按照注册的有效期从事诊疗活动的，按照《执业医师法》第三十九条规定处理。</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 xml:space="preserve">【部门规章】《台湾地区医师在大陆短期行医管理规定》（2009年卫生部令第63号） </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第十八条  台湾医师未取得《台湾医师短期行医执业证书》行医或者未按照注册的有效期从事诊疗活动的,按照《执业医师法》第三十九条规定处理。</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【部门规章】《外国医师来华短期行医暂行管理办法》（</w:t>
            </w:r>
            <w:r>
              <w:rPr>
                <w:rFonts w:hint="eastAsia" w:ascii="仿宋_GB2312" w:hAnsi="仿宋_GB2312" w:eastAsia="仿宋_GB2312" w:cs="仿宋_GB2312"/>
                <w:b w:val="0"/>
                <w:bCs/>
                <w:color w:val="auto"/>
                <w:kern w:val="0"/>
                <w:sz w:val="18"/>
                <w:szCs w:val="18"/>
                <w:highlight w:val="none"/>
                <w:u w:val="none"/>
                <w:lang w:val="en-US" w:eastAsia="zh-CN"/>
              </w:rPr>
              <w:t>2016</w:t>
            </w:r>
            <w:r>
              <w:rPr>
                <w:rFonts w:hint="eastAsia" w:ascii="仿宋_GB2312" w:hAnsi="仿宋_GB2312" w:eastAsia="仿宋_GB2312" w:cs="仿宋_GB2312"/>
                <w:b w:val="0"/>
                <w:bCs/>
                <w:color w:val="auto"/>
                <w:kern w:val="0"/>
                <w:sz w:val="18"/>
                <w:szCs w:val="18"/>
                <w:highlight w:val="none"/>
                <w:u w:val="none"/>
              </w:rPr>
              <w:t>年</w:t>
            </w:r>
            <w:r>
              <w:rPr>
                <w:rFonts w:hint="eastAsia" w:ascii="仿宋_GB2312" w:hAnsi="仿宋_GB2312" w:eastAsia="仿宋_GB2312" w:cs="仿宋_GB2312"/>
                <w:b w:val="0"/>
                <w:bCs/>
                <w:color w:val="auto"/>
                <w:kern w:val="0"/>
                <w:sz w:val="18"/>
                <w:szCs w:val="18"/>
                <w:highlight w:val="none"/>
                <w:u w:val="none"/>
                <w:lang w:eastAsia="zh-CN"/>
              </w:rPr>
              <w:t>国家卫生计生委</w:t>
            </w:r>
            <w:r>
              <w:rPr>
                <w:rFonts w:hint="eastAsia" w:ascii="仿宋_GB2312" w:hAnsi="仿宋_GB2312" w:eastAsia="仿宋_GB2312" w:cs="仿宋_GB2312"/>
                <w:b w:val="0"/>
                <w:bCs/>
                <w:color w:val="auto"/>
                <w:kern w:val="0"/>
                <w:sz w:val="18"/>
                <w:szCs w:val="18"/>
                <w:highlight w:val="none"/>
                <w:u w:val="none"/>
              </w:rPr>
              <w:t>令第</w:t>
            </w:r>
            <w:r>
              <w:rPr>
                <w:rFonts w:hint="eastAsia" w:ascii="仿宋_GB2312" w:hAnsi="仿宋_GB2312" w:eastAsia="仿宋_GB2312" w:cs="仿宋_GB2312"/>
                <w:b w:val="0"/>
                <w:bCs/>
                <w:color w:val="auto"/>
                <w:kern w:val="0"/>
                <w:sz w:val="18"/>
                <w:szCs w:val="18"/>
                <w:highlight w:val="none"/>
                <w:u w:val="none"/>
                <w:lang w:val="en-US" w:eastAsia="zh-CN"/>
              </w:rPr>
              <w:t>8</w:t>
            </w:r>
            <w:r>
              <w:rPr>
                <w:rFonts w:hint="eastAsia" w:ascii="仿宋_GB2312" w:hAnsi="仿宋_GB2312" w:eastAsia="仿宋_GB2312" w:cs="仿宋_GB2312"/>
                <w:b w:val="0"/>
                <w:bCs/>
                <w:color w:val="auto"/>
                <w:kern w:val="0"/>
                <w:sz w:val="18"/>
                <w:szCs w:val="18"/>
                <w:highlight w:val="none"/>
                <w:u w:val="none"/>
              </w:rPr>
              <w:t>号</w:t>
            </w:r>
            <w:r>
              <w:rPr>
                <w:rFonts w:hint="eastAsia" w:ascii="仿宋_GB2312" w:hAnsi="仿宋_GB2312" w:eastAsia="仿宋_GB2312" w:cs="仿宋_GB2312"/>
                <w:b w:val="0"/>
                <w:bCs/>
                <w:color w:val="auto"/>
                <w:kern w:val="0"/>
                <w:sz w:val="18"/>
                <w:szCs w:val="18"/>
                <w:highlight w:val="none"/>
                <w:u w:val="none"/>
                <w:lang w:eastAsia="zh-CN"/>
              </w:rPr>
              <w:t>修正</w:t>
            </w:r>
            <w:r>
              <w:rPr>
                <w:rFonts w:hint="eastAsia" w:ascii="仿宋_GB2312" w:hAnsi="仿宋_GB2312" w:eastAsia="仿宋_GB2312" w:cs="仿宋_GB2312"/>
                <w:b w:val="0"/>
                <w:bCs/>
                <w:color w:val="auto"/>
                <w:kern w:val="0"/>
                <w:sz w:val="18"/>
                <w:szCs w:val="18"/>
                <w:highlight w:val="none"/>
                <w:u w:val="none"/>
              </w:rPr>
              <w:t>）</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第三条 外国医师来华短期行医必须经过注册，取得《外国医师短期行医许可证》、《外国医师短期行医许可证》由卫生部统一印制。</w:t>
            </w:r>
          </w:p>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第十五条 违反本办法第三条规定,由所在地设区的市级以上卫生行政部门予以取缔,没收非法所得,并处以10000元以下罚款 对邀请、聘用或提供场所的单位,处以警告,没收非法所得,并处以5000元以下罚款。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没收其违法所得及其药品、器械，罚款；对医师吊销其执业证书</w:t>
            </w:r>
          </w:p>
        </w:tc>
        <w:tc>
          <w:tcPr>
            <w:tcW w:w="821"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32</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对逾期不校验《医疗机构执业许可证》仍从事诊疗活动行为的处罚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0220032000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w:t>
            </w:r>
            <w:bookmarkStart w:id="7" w:name="OLE_LINK16"/>
            <w:r>
              <w:rPr>
                <w:rFonts w:hint="eastAsia" w:ascii="仿宋_GB2312" w:hAnsi="仿宋_GB2312" w:eastAsia="仿宋_GB2312" w:cs="仿宋_GB2312"/>
                <w:b w:val="0"/>
                <w:bCs/>
                <w:color w:val="auto"/>
                <w:sz w:val="18"/>
                <w:szCs w:val="18"/>
                <w:highlight w:val="none"/>
                <w:u w:val="none"/>
              </w:rPr>
              <w:t>医疗机构管理条例</w:t>
            </w:r>
            <w:bookmarkEnd w:id="7"/>
            <w:r>
              <w:rPr>
                <w:rFonts w:hint="eastAsia" w:ascii="仿宋_GB2312" w:hAnsi="仿宋_GB2312" w:eastAsia="仿宋_GB2312" w:cs="仿宋_GB2312"/>
                <w:b w:val="0"/>
                <w:bCs/>
                <w:color w:val="auto"/>
                <w:sz w:val="18"/>
                <w:szCs w:val="18"/>
                <w:highlight w:val="none"/>
                <w:u w:val="none"/>
              </w:rPr>
              <w:t>》</w:t>
            </w:r>
            <w:r>
              <w:rPr>
                <w:rFonts w:hint="eastAsia" w:ascii="仿宋_GB2312" w:hAnsi="仿宋_GB2312" w:eastAsia="仿宋_GB2312" w:cs="仿宋_GB2312"/>
                <w:b w:val="0"/>
                <w:bCs/>
                <w:color w:val="auto"/>
                <w:kern w:val="0"/>
                <w:sz w:val="18"/>
                <w:szCs w:val="18"/>
                <w:highlight w:val="none"/>
                <w:u w:val="none"/>
              </w:rPr>
              <w:t>(2016年国务院令第666号修正）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第二十二条 床位不满100张的医疗机构，其《医疗机构执业许可证》每年校验1次；床位在100张以上的医疗机构，其《医疗机构执业许可证》每3年校验1次。校验由原登记机关办理。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第四十五条 违反本条例第二十二条规定，逾期不校验《医疗机构执业许可证》仍从事诊疗活动的，由县级以上人民政府卫生行政部门责令其限期补办校验手续；拒不校验的，吊销其《医疗机构执业许可证》。</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吊销《医疗机构执业许可证》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33</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对出卖、转让、出借《医疗机构执业许可证》行为的处罚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0220033000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【行政法规】《医疗机构管理条例》</w:t>
            </w:r>
            <w:r>
              <w:rPr>
                <w:rFonts w:hint="eastAsia" w:ascii="仿宋_GB2312" w:hAnsi="仿宋_GB2312" w:eastAsia="仿宋_GB2312" w:cs="仿宋_GB2312"/>
                <w:b w:val="0"/>
                <w:bCs/>
                <w:color w:val="auto"/>
                <w:kern w:val="0"/>
                <w:sz w:val="18"/>
                <w:szCs w:val="18"/>
                <w:highlight w:val="none"/>
                <w:u w:val="none"/>
              </w:rPr>
              <w:t>(2016年国务院令第666号修正）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第二十三条 《医疗机构执业许可证》不得伪造、涂改、出卖、转让、出借。《医疗机构执业许可证》遗失的，应当及时申明，并向原登记机关申请补发。</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第四十六条  违反本条例第二十三条规定，出卖、转让、出借《医疗机构执业许可证》的，由县级以上人民政府卫生行政部门没收非法所得，并可以处以5000元以下的罚款；情节严重的，吊销其《医疗机构执业许可证》。</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【部门规章】《医疗机构管理条例实施细则》</w:t>
            </w:r>
            <w:r>
              <w:rPr>
                <w:rFonts w:hint="eastAsia" w:ascii="仿宋_GB2312" w:hAnsi="仿宋_GB2312" w:eastAsia="仿宋_GB2312" w:cs="仿宋_GB2312"/>
                <w:b w:val="0"/>
                <w:bCs/>
                <w:color w:val="auto"/>
                <w:kern w:val="0"/>
                <w:sz w:val="18"/>
                <w:szCs w:val="18"/>
                <w:highlight w:val="none"/>
                <w:u w:val="none"/>
              </w:rPr>
              <w:t xml:space="preserve">(2017年国家卫生计生委令第12号修正）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第七十九条  转让、出借《医疗机构执业许可证》的，没收其非法所得，并处以三千元以下的罚款；有下列情形之一的，没收其非法所得，处以三千元以上五千元以下的罚款，并吊销《医疗机构执业许可证》：</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（一）出卖《医疗机构执业许可证》；</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（二）转让或者出借《医疗机构执业许可证》是以营利为目的；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（三）受让方或者承借方给患者造成伤害；</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（四）转让、出借《医疗机构执业许可证》给非卫生技术专业人员；</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（五）省、自治区、直辖市</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规定的其它情形。</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没收非法所得，罚款；情节严重的，吊销其《医疗机构执业许可证》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34</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对医疗机构诊疗活动超出登记范围等违法行为的处罚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0220034000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【行政法规】《医疗机构管理条例》</w:t>
            </w:r>
            <w:r>
              <w:rPr>
                <w:rFonts w:hint="eastAsia" w:ascii="仿宋_GB2312" w:hAnsi="仿宋_GB2312" w:eastAsia="仿宋_GB2312" w:cs="仿宋_GB2312"/>
                <w:b w:val="0"/>
                <w:bCs/>
                <w:color w:val="auto"/>
                <w:kern w:val="0"/>
                <w:sz w:val="18"/>
                <w:szCs w:val="18"/>
                <w:highlight w:val="none"/>
                <w:u w:val="none"/>
              </w:rPr>
              <w:t>(2016年国务院令第666号修正）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第二十七条  医疗机构必须按照核准登记的诊疗科目开展诊疗活动。</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第四十七条 违反本条例第二十七条规定，诊疗活动超出登记范围的，由县级以上人民政府卫生行政部门予以警告、责令其改正，并可以根据情节处以3000元以下的罚款；情节严重的，吊销其《医疗机构执业许可证》。</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【行政法规】《人体器官移植条例》（2007年国务院令第491号）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第二十七条第一款 医疗机构未办理人体器官移植诊疗科目登记，擅自从事人体器官移植的，依照《医疗机构管理条例》的规定予以处罚。</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【部门规章】《医疗机构管理条例实施细则》</w:t>
            </w:r>
            <w:r>
              <w:rPr>
                <w:rFonts w:hint="eastAsia" w:ascii="仿宋_GB2312" w:hAnsi="仿宋_GB2312" w:eastAsia="仿宋_GB2312" w:cs="仿宋_GB2312"/>
                <w:b w:val="0"/>
                <w:bCs/>
                <w:color w:val="auto"/>
                <w:kern w:val="0"/>
                <w:sz w:val="18"/>
                <w:szCs w:val="18"/>
                <w:highlight w:val="none"/>
                <w:u w:val="none"/>
              </w:rPr>
              <w:t xml:space="preserve">(2017年国家卫生计生委令第12号修正）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第八十条 除急诊和急救外，医疗机构诊疗活动超出登记的诊疗科目范围，情节轻微的，处以警告；有下列情形之一的，责令其限期改正，并可处以三千元以下罚款：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（一）超出登记的诊疗科目范围的诊疗活动累计收入在三千元以下；</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（二）给患者造成伤害。</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有下列情形之一的，处以三千元罚款，并吊销《医疗机构执业许可证》：</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（一）超出登记的诊疗科目范围的诊疗活动累计收入在三千元以上；</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（二）给患者造成伤害；</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（三）省、自治区、直辖市卫生行政部门规定的其它情形。</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【部门规章】《医疗气功管理暂行规定》（2000年卫生部令第12号）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第二十三条 违反本规定，医疗机构未经批准擅自开展医疗气功活动的，按照《医疗机构管理条例》第四十七条的规定进行处罚。</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【部门规章】《医师外出会诊管理暂行规定》（2005年卫生部令第42号）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第十九条 医疗机构违反本规定第六条、第八条、第十五条的，由县级以上卫生行政部门责令改正，给予警告；诊疗活动超出登记范围的，按照《医疗机构管理条例》第四十七条处理。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【部门规章】《人类辅助生殖技术管理办法》（2001年卫生部令第14号）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第二十一条 违反本办法规定，未经批准擅自开展人类辅助生殖技术的非医疗机构，按照《医疗机构管理条例》第四十四条规定处罚；对有上述违法行为的医疗机构，按照《医疗机构管理条例》第四十七条和《医疗机构管理条例实施细则》第八十条的规定处罚。</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【部门规章】《人类精子库管理办法》（2001年卫生部令第15号）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第二十三条 违反本办法规定，未经批准擅自设置人类精子库，采集、提供精子的非医疗机构，按照《医疗机构管理条例》第四十四条的规定处罚；对有上述违法行为的医疗机构，按照《医疗机构管理条例》第四十七条和《医疗机构管理条例实施细则》第八十条的规定处罚。</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【部门规章】《新生儿疾病筛查管理办法》（2009年卫生部令第64号）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第十六条 医疗机构未经省、自治区、直辖市人民政府卫生行政部门指定擅自开展新生儿遗传代谢病筛查实验室检测的，按照《医疗机构管理条例》第四十七条的规定予以处罚。</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【部门规章】《放射诊疗管理规定》（2016年国家卫生计生委令第8号修正）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第三十八条医疗机构有下列情形之一的，由县级以上卫生行政部门给予警告、责令限期改正，并可以根据情节处以3000元以下的罚款；情节严重的，吊销其《医疗机构执业许可证》；</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（一）未取得放射诊疗许可从事放射诊疗工作的；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（二）未办理诊疗科目登记或者未按照规定进行校验的；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（三）未经批准擅自变更放射诊疗项目或者超出批准范围从事放射诊疗工作的。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警告，罚款；情节严重的，吊销其《医疗机构执业许可证》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35</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对医疗机构使用非专业人员从事医疗卫生技术工作等违法行为的处罚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0220035000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【行政法规】《医疗机构管理条例》</w:t>
            </w:r>
            <w:r>
              <w:rPr>
                <w:rFonts w:hint="eastAsia" w:ascii="仿宋_GB2312" w:hAnsi="仿宋_GB2312" w:eastAsia="仿宋_GB2312" w:cs="仿宋_GB2312"/>
                <w:b w:val="0"/>
                <w:bCs/>
                <w:color w:val="auto"/>
                <w:kern w:val="0"/>
                <w:sz w:val="18"/>
                <w:szCs w:val="18"/>
                <w:highlight w:val="none"/>
                <w:u w:val="none"/>
              </w:rPr>
              <w:t>(2016年国务院令第666号修正）</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第二十八条  医疗机构不得使用非卫生技术人员从事医疗卫生技术工作。</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第四十八条 违反本条例第二十八条规定，使用非卫生技术人员从事医疗卫生技术工作的，由县级以上人民政府卫生行政部门责令其限期改正，并可以处以5000元以下的罚款；情节严重的，吊销其《医疗机构执业许可证》。</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【部门规章】《医疗机构管理条例实施细则》</w:t>
            </w:r>
            <w:r>
              <w:rPr>
                <w:rFonts w:hint="eastAsia" w:ascii="仿宋_GB2312" w:hAnsi="仿宋_GB2312" w:eastAsia="仿宋_GB2312" w:cs="仿宋_GB2312"/>
                <w:b w:val="0"/>
                <w:bCs/>
                <w:color w:val="auto"/>
                <w:kern w:val="0"/>
                <w:sz w:val="18"/>
                <w:szCs w:val="18"/>
                <w:highlight w:val="none"/>
                <w:u w:val="none"/>
              </w:rPr>
              <w:t xml:space="preserve">(2017年国家卫生计生委令第12号修正）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第八十一条 任用非卫生技术人员从事医疗卫生技术工作的，责令其立即改正，并可处以三千元以下的罚款；有下列情形之一的，处以三千元以上五千元以下罚款，并可以吊销其《医疗机构执业许可证》：</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（一）任用两名以上非卫生技术人员从事诊疗活动；</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（二）任用的非卫生技术人员给患者造成伤害。</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医疗机构使用卫生技术人员从事本专业以外的诊疗活动的，按使用非卫生技术人员处理。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【部门规章】《医疗气功管理暂行规定》（2000年卫生部令第12号）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第二十四条 违反本规定，使用非医疗气功人员开展医疗气功活动的，按照《医疗机构管理条例实施细则》第八十一条的规定进行处罚。</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【部门规章】《处方管理办法》（2007年卫生部令第53号）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第五十四条 医疗机构有下列情形之一的，由县级以上卫生行政部门按照《医疗机构管理条例》第四十八条的规定，责令限期改正，并可处以5000元以下的罚款；情节严重的，吊销其《医疗机构执业许可证》：</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（一）使用未取得处方权的人员、被取消处方权的医师开具处方的；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（二）使用未取得麻醉药品和第一类精神药品处方资格的医师开具麻醉药品和第一类精神药品处方的；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（三）使用未取得药学专业技术职务任职资格人员从事处方调剂工作的。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【部门规章】《香港、澳门特别行政区医师在内地短期行医管理规定》（2008年卫生部令第62号）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第十七条 医疗机构聘用未经内地短期行医执业注册的港澳医师从事诊疗活动，视为聘用非卫生技术人员，按照《医疗机构管理条例》第四十八条规定处理。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【部门规章】《台湾地区医师在大陆短期行医管理规定》(2009年卫生部令第63号）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第十七条 医疗机构聘用未经大陆短期行医执业注册的台湾医师从事诊疗活动,视为聘用非卫生技术人员,按照《医疗机构管理条例》第四十八条规定处理。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【部门规章】《放射诊疗管理规定》（2016年国家卫生计生委令第8号修正）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第三十九条 医疗机构使用不具备相应资质的人员从事放射诊疗工作的，由县级以上卫生行政部门责令限期改正，并可以处以5000元以下的罚款；情节严重的，吊销其《医疗机构执业许可证》。 </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罚款；情节严重的，吊销其《医疗机构执业许可证》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36</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对医疗机构出具虚假证明文件行为的处罚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0220036000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【行政法规】《医疗机构管理条例》</w:t>
            </w:r>
            <w:r>
              <w:rPr>
                <w:rFonts w:hint="eastAsia" w:ascii="仿宋_GB2312" w:hAnsi="仿宋_GB2312" w:eastAsia="仿宋_GB2312" w:cs="仿宋_GB2312"/>
                <w:b w:val="0"/>
                <w:bCs/>
                <w:color w:val="auto"/>
                <w:kern w:val="0"/>
                <w:sz w:val="18"/>
                <w:szCs w:val="18"/>
                <w:highlight w:val="none"/>
                <w:u w:val="none"/>
              </w:rPr>
              <w:t>(2016年国务院令第666号修正）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第三十二条 未经医师（士）亲自诊查病人，医疗机构不得出具疾病诊断书、健康证明书或者死亡证明文件；未经医师（士）、助产人员亲自接产，医疗机构不得出具出生证明书或者死产报告书。</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第四十九条 违反本条例第三十二条规定，出具虚假证明文件的，由县级以上人民政府卫生行政部门予以警告；对造成危害后果的，可以处以1000元以下的罚款；对直接责任人员由所在单位或者上级机关给予行政处分。</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【部门规章】《医疗机构管理条例实施细则》</w:t>
            </w:r>
            <w:r>
              <w:rPr>
                <w:rFonts w:hint="eastAsia" w:ascii="仿宋_GB2312" w:hAnsi="仿宋_GB2312" w:eastAsia="仿宋_GB2312" w:cs="仿宋_GB2312"/>
                <w:b w:val="0"/>
                <w:bCs/>
                <w:color w:val="auto"/>
                <w:kern w:val="0"/>
                <w:sz w:val="18"/>
                <w:szCs w:val="18"/>
                <w:highlight w:val="none"/>
                <w:u w:val="none"/>
              </w:rPr>
              <w:t xml:space="preserve">(2017年国家卫生计生委令第12号修正）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第八十二条第一款 出具虚假证明文件，情节轻微的，给予警告，并可处以五百元以下的罚款；有下列情形之一的，处以五百元以上一千元以下的罚款：（一）出具虚假证明文件造成延误诊治的；（二）出具虚假证明文件给患者精神造成伤害的；（三）造成其它危害后果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37</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对医疗机构未建立医疗质量管理部门或者未指定专（兼）职人员负责医疗质量管理工作等行为的处罚 </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br w:type="textWrapping"/>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0220037000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【部门规章】《医疗质量管理办法》（2016年国家卫生计生委令第10号）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第四十四条  医疗机构有下列情形之一的，由县级以上</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责令限期改正；逾期不改的，给予警告，并处三万元以下罚款；对公立医疗机构负有责任的主管人员和其他直接责任人员，依法给予处分：</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（一）未建立医疗质量管理部门或者未指定专（兼）职人员负责医疗质量管理工作的；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（二）未建立医疗质量管理相关规章制度的；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（三）医疗质量管理制度不落实或者落实不到位，导致医疗质量管理混乱的；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（四）发生重大医疗质量安全事件隐匿不报的；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（五）未按照规定报送医疗质量安全相关信息的；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（六）其他违反本办法规定的行为。 </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警告，并处三万元以下罚款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38</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对以不正当手段取得医师执业证书行为的处罚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0220038000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【法律】《中华人民共和国执业医师法》（2009年修正）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第三十六条 以不正当手段取得医师执业证书的，由发给证书的卫生行政部门予以吊销；负有直接责任的主管人员和其他直接责任人员，依法给予行政处分。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吊销《医师执业证书》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39</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对医师在执业活动中违反卫生行政规章制度或者技术操作规范，造成严重后果等行为的处罚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0220039000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【法律】《中华人民共和国执业医师法》（2009年修正）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第三十七条 医师在执业活动中，违反本法规定，有下列行为之一的，由县级以上人民政府卫生行政部门给予警告或者责令暂停六个月以上一年以下执业活动；情节严重的，吊销其执业证书；构成犯罪的，依法追究刑事责任：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（一）违反卫生行政规章制度或者技术操作规范，造成严重后果的；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（二）由于不负责任延误急危患者的抢救和诊治，造成严重后果的；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（三）造成医疗责任事故的；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（四）未经亲自诊查、调查，签署诊断、治疗、流行病学等证明文件或者有关出生、死亡等证明文件的；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（五）隐匿、伪造或者擅自销毁医学文书及有关资料的；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（六）使用未经批准使用的药品、消毒药剂和医疗器械的；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（七）不按照规定使用麻醉药品、医疗用毒性药品、精神药品和放射性药品的；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（八）未经患者或者其家属同意，对患者进行实验性临床医疗的；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（九）泄露患者隐私，造成严重后果的；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（十）利用职务之便，索取、非法收受患者财物或者牟取其他不正当利益的；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（十一）发生自然灾害、传染病流行、突发重大伤亡事故以及其他严重威胁人民生命健康的紧急情况时，不服从卫生行政部门调遣的；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（十二）发生医疗事故或者发现传染病疫情，患者涉嫌伤害事件或者非正常死亡，不按照规定报告的。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【部门规章】《抗菌药物临床应用管理办法》（2012年卫生部令第84号）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第五十二条  医师有下列情形之一的，由县级以上卫生行政部门按照《执业医师法》第三十七条的有关规定，给予警告或者责令暂停六个月以上一年以下执业活动；情节严重的，吊销其执业证书；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（一）未按照本办法规定开具抗菌药物处方，造成严重后果的；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（二）使用未经国家药品监督管理部门批准的抗菌药物的；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（三）使用本机构抗菌药物供应目录以外的品种、品规，造成严重后果的；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（四）违反本办法其他规定，造成严重后果的。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乡村医生有前款规定情形之一的，由县级卫生行政部门按照《乡村医师从业管理条例》第三十八条有关规定处理。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【部门规章】《医疗气功管理暂行规定》（2000年卫生部令第12号）</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第二十五条 违反本规定，医疗气功人员在医疗气功活动中违反医学常规或医疗气功基本操作规范，造成严重后果的，按照《执业医师法》第三十七条的规定进行处罚；构成犯罪的，依法追究刑事责任。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【部门规章】《医师外出会诊管理暂行规定》（2005年卫生部令第42号）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第二十条第二款 医师外出会诊违反《执业医师法》有关规定的，按照《执业医师法》第三十七条处理。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【部门规章】《处方管理办法》（2006年卫生部令第53号）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第五十七条 医师出现下列情形之一的，按照《执业医师法》第三十七条的规定，由县级以上卫生行政部门给予警告或者责令暂停六个月以上一年以下执业活动；情节严重的，吊销其执业证书：</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（一）未取得处方权或者被取消处方权后开具药品处方的；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（二）未按照本办法规定开具药品处方的；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（三）违反本办法其他规定的。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【部门规章】《香港、澳门特别行政区医师在内地短期行医管理规定》（2008年卫生部令第62号）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第十九条 港澳医师未按照注册的执业地点、执业类别、执业范围从事诊疗活动的，由县级以上人民政府卫生行政部门责令改正，并给予警告；逾期不改的，按照《执业医师法》第三十七条第（一）项规定处理。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【部门规章】《台湾地区医师在大陆短期行医管理规定》(2009年卫生部令第63号） </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第十九条 台湾医师未按照注册的执业地点、执业类别、执业范围从事诊疗活动的,由县级以上人民政府卫生行政部门责令改正,并给予警告；逾期不改的,按照《执业医师法》第三十七条第(一)项规定处理。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警告或者责令暂停六个月以上一年以下执业活动；情节严重的，吊销其执业证书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0"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40</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对医疗、预防、保健机构对应当注销注册医师的信息未按规定履行报告职责导致严重后果行为的处罚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0220040000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【法律】《中华人民共和国执业医师法》（2009年修正）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第十六条 医师注册后有下列情形之一的，其所在的医疗、预防、保健机构应当在三十日内报告准予注册的卫生行政部门，卫生行政部门应当注销注册，收回医师执业证书：</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死亡或者被宣告失踪的；（二）受刑事处罚的；（三）受吊销医师执业证书行政处罚的；（四）依照本法第三十一条规定暂停执业活动期满，再次考核仍不合格的；（五）中止医师执业活动满二年的；（六）有国务院卫生行政部门规定不宜从事医疗、预防、保健业务的其他情形的。被注销注册的当事人有异议的，可以自收到注销注册通知之日起十五日内，依法申请复议或者向人民法院提起诉讼。</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第四十一条 医疗、预防、保健机构未依照本法第十六条的规定履行报告职责，导致严重后果的，由县级以上人民政府卫生行政部门给予警告；并对该机构的行政负责人依法给予行政处分。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对医疗、预防、保健机构对应当注销注册医师的信息未按规定履行报告职责导致严重后果</w:t>
            </w:r>
            <w:r>
              <w:rPr>
                <w:rFonts w:hint="eastAsia" w:ascii="仿宋_GB2312" w:hAnsi="仿宋_GB2312" w:eastAsia="仿宋_GB2312" w:cs="仿宋_GB2312"/>
                <w:b w:val="0"/>
                <w:bCs/>
                <w:color w:val="auto"/>
                <w:sz w:val="18"/>
                <w:szCs w:val="18"/>
                <w:highlight w:val="none"/>
                <w:u w:val="none"/>
                <w:lang w:eastAsia="zh-CN"/>
              </w:rPr>
              <w:t>的</w:t>
            </w:r>
            <w:r>
              <w:rPr>
                <w:rFonts w:hint="eastAsia" w:ascii="仿宋_GB2312" w:hAnsi="仿宋_GB2312" w:eastAsia="仿宋_GB2312" w:cs="仿宋_GB2312"/>
                <w:b w:val="0"/>
                <w:bCs/>
                <w:color w:val="auto"/>
                <w:sz w:val="18"/>
                <w:szCs w:val="18"/>
                <w:highlight w:val="none"/>
                <w:u w:val="none"/>
              </w:rPr>
              <w:t>行为</w:t>
            </w:r>
            <w:r>
              <w:rPr>
                <w:rFonts w:hint="eastAsia" w:ascii="仿宋_GB2312" w:hAnsi="仿宋_GB2312" w:eastAsia="仿宋_GB2312" w:cs="仿宋_GB2312"/>
                <w:b w:val="0"/>
                <w:bCs/>
                <w:color w:val="auto"/>
                <w:sz w:val="18"/>
                <w:szCs w:val="18"/>
                <w:highlight w:val="none"/>
                <w:u w:val="none"/>
                <w:lang w:eastAsia="zh-CN"/>
              </w:rPr>
              <w:t>进行</w:t>
            </w:r>
            <w:r>
              <w:rPr>
                <w:rFonts w:hint="eastAsia" w:ascii="仿宋_GB2312" w:hAnsi="仿宋_GB2312" w:eastAsia="仿宋_GB2312" w:cs="仿宋_GB2312"/>
                <w:b w:val="0"/>
                <w:bCs/>
                <w:color w:val="auto"/>
                <w:sz w:val="18"/>
                <w:szCs w:val="18"/>
                <w:highlight w:val="none"/>
                <w:u w:val="none"/>
              </w:rPr>
              <w:t>处罚</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41</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对中医医疗机构</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不符合设置标准</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或者获得城镇职</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工基本医疗定点</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医院资格未按规</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定向参保人员提</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供基本医疗服务</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行为的处罚</w:t>
            </w:r>
          </w:p>
        </w:tc>
        <w:tc>
          <w:tcPr>
            <w:tcW w:w="717" w:type="dxa"/>
            <w:vAlign w:val="center"/>
          </w:tcPr>
          <w:p>
            <w:pPr>
              <w:adjustRightInd w:val="0"/>
              <w:snapToGrid w:val="0"/>
              <w:spacing w:line="260" w:lineRule="exact"/>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w:t>
            </w:r>
          </w:p>
          <w:p>
            <w:pPr>
              <w:adjustRightInd w:val="0"/>
              <w:snapToGrid w:val="0"/>
              <w:spacing w:line="260" w:lineRule="exact"/>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41000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【行政法规】《中华人民共和国中医药条例》（2003 年国务院令第 374 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第三十二条 中医医疗机构违反本条例的规定，有下列情形之一的，由县级以上地方人民政</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府负责中医药管理的部门责令限期改正；逾期不改正的，责令停业整顿，直至由原审批机关吊</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销其医疗机构执业许可证、取消其城镇职工基本医疗保险定点医疗机构资格，并对负有责任的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主管人员和其他直接责任人员依法给予纪律处分：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（一）不符合中医医疗机构设置标准的；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（二）获得城镇职工基本医疗保险定点医疗机构资格，未按照规定向参保人员提供基本医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疗服务的。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对不符合中医医疗</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机构设置标准的，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责令停业整顿，直</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至吊销医疗机构执</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业许可证。对未按</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照规定向参保人员</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提供基本医疗服务</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的城镇职工基本医</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疗保险定点医疗机</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构，取消其城镇职</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工基本医疗保险定</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点医疗机构资格</w:t>
            </w:r>
            <w:r>
              <w:rPr>
                <w:rFonts w:hint="eastAsia" w:ascii="仿宋_GB2312" w:hAnsi="仿宋_GB2312" w:eastAsia="仿宋_GB2312" w:cs="仿宋_GB2312"/>
                <w:b w:val="0"/>
                <w:bCs/>
                <w:color w:val="auto"/>
                <w:sz w:val="18"/>
                <w:szCs w:val="18"/>
                <w:highlight w:val="none"/>
                <w:u w:val="none"/>
                <w:lang w:val="en-US" w:eastAsia="zh-CN"/>
              </w:rPr>
              <w:t>,</w:t>
            </w:r>
            <w:r>
              <w:rPr>
                <w:rFonts w:hint="eastAsia" w:ascii="仿宋_GB2312" w:hAnsi="仿宋_GB2312" w:eastAsia="仿宋_GB2312" w:cs="仿宋_GB2312"/>
                <w:b w:val="0"/>
                <w:bCs/>
                <w:color w:val="auto"/>
                <w:sz w:val="18"/>
                <w:szCs w:val="18"/>
                <w:highlight w:val="none"/>
                <w:u w:val="none"/>
              </w:rPr>
              <w:t>并对负有责任的主</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管人员和其他直接</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责任人员依法给予纪律处分。</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42</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对推荐中医医术确有专长人员的中医医师、以师承方式学习中医的医术确有专长人员的指导老师，违反本办法有关规定，在推荐中弄虚作假、徇私舞弊行为的处罚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0220042000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【部门规章】《中医医术确有专长人员医师资格考核注册管理暂行办法》（2017年国家卫生计生委令第15号）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第三十六条  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责令暂停六个月以上一年以下执业活动；情节严重的，吊销其医师执业证书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43</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对举办中医诊所</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应当备案而未备</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案，或者备案时提</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供虚假材料行为</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02200</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43000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【法律】《中华人民共和国中医药法》（2016 年）</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第五十六条 违反本法规定，举办中医诊所、炮制中药饮片、委托配制中药制剂应当备案而</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【部门规章】《中医诊所备案管理暂行办法》（2017 年国家卫生计生委令第 14 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第二十条 违反本办法规定，未经县级中医药主管部门备案擅自执业的，由县级中医药主管</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部门责令改正，没收违法所得，并处三万元以下罚款，向社会公告相关信息；拒不改正的，责令其停止执业活动，其直接责任人员自处罚决定作出之日起五年内不得从事中医药相关活动。</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第二十一条 提交虚假备案材料取得《中医诊所备案证》的，由县级中医药主管部门责令改</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正，没收违法所得，并处三万元以下罚款，向社会公告相关信息；拒不改正的，责令其停止执业活动并注销《中医诊所备案证》，其直接责任人员自处罚决定作出之日起五年内不得从事中医药相关活动。</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没收违法所得，并</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处三万元以下罚款；拒不改正的，责令其停止执业活动并注销《中医诊所备案证》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44</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对中医诊所擅自</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更改设置未经备</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案或者实际设置</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与取得的《中医诊</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所备案证》记载事</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项不一致行为的</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处罚</w:t>
            </w:r>
          </w:p>
        </w:tc>
        <w:tc>
          <w:tcPr>
            <w:tcW w:w="717" w:type="dxa"/>
            <w:vAlign w:val="center"/>
          </w:tcPr>
          <w:p>
            <w:pPr>
              <w:adjustRightInd w:val="0"/>
              <w:snapToGrid w:val="0"/>
              <w:spacing w:line="260" w:lineRule="exact"/>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w:t>
            </w:r>
          </w:p>
          <w:p>
            <w:pPr>
              <w:adjustRightInd w:val="0"/>
              <w:snapToGrid w:val="0"/>
              <w:spacing w:line="260" w:lineRule="exact"/>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44000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【部门规章】《中医诊所备案管理暂行办法》（2017 年国家卫生计生委令第 14 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第十条 中医诊所的人员、名称、地址等实际设置应当与《中医诊所备案证》记载事项相</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一致。中医诊所名称、场所、主要负责人、诊疗科目、技术等备案事项发生变动的，应当及时到原备案机关对变动事项进行备案。</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第二十二条 违反本办法第十条规定，中医诊所擅自更改设置未经备案或者实际设置与取</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得的《中医诊所备案证》记载事项不一致的，不得开展诊疗活动。擅自开展诊疗活动的，由县级中医药主管部门责令改正，给予警告，并处一万元以上三万元以下罚款；情节严重的，应当责令其停止执业活动，注销《中医诊所备案证》。</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警告，罚款；情节</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严重的，应当责令</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其停止执业活动，</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注销《中医诊所备</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案证》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45</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对出卖、转让、出</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借《中医诊所备案</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证》行为的处罚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45000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【部门规章】《中医诊所备案管理暂行办法》（2017 年国家卫生计生委令第 14 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第十一条 禁止伪造、出卖、转让、出借《中医诊所备案证》。</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第二十三条 违反本办法第十一条规定，出卖、转让、出借《中医诊所备案证》的，由县</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级中医药主管部门责令改正，给予警告，可以并处一万元以上三万元以下罚款；情节严重的，应当责令其停止执业活动，注销《中医诊所备案证》。</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警告，罚款；情节</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严重的，应当责令</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其停止执业活动，</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注销《中医诊所备</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案证》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46</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 政</w:t>
            </w:r>
          </w:p>
          <w:p>
            <w:pPr>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对医疗机构未按</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规定配备、聘用护</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士行为的处罚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46000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【行政法规】《护士条例》（2008 年国务院令第 517 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第二十八条医疗卫生机构有下列情形之一的，由县级以上地方人民政府卫生主管部门依据</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职责分工责令限期改正，给予警告；逾期不改正的，根据国务院卫生主管部门规定的护士配备标准和在医疗卫生机构合法执业的护士数量核减其诊疗科目，或者暂停其 6 个月以上 1 年以下执业活动；国家举办的医疗卫生机构有下列情形之一、情节严重的，还应当对负有责任的主管人员和其他直接责任人员依法给予处分：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（一）违反本条例规定，护士的配备数量低于国务院卫生主管部门规定的护士配备标准的；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（二）允许未取得护士执业证书的人员或者允许未依照本条例规定办理执业地点变更手续、</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延续执业注册有效期的护士在本机构从事诊疗技术规范规定的护理活动的。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警告；逾期不改正</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的，核减其诊疗科</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目，或者暂停其 6</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个月以上 1 年以下</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执业活动</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47</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对医疗机构未制定实施护士在职培训计划、未保证护士接受培训或者未履行护士管理职责行为的处罚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0220047000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【行政法规】《护士条例》（2008年国务院令第517号）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第三十条 医疗卫生机构有下列情形之一的，由县级以上地方人民政府卫生主管部门依据职责分工责令限期改正，给予警告：</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（一）未制定、实施本机构护士在职培训计划或者未保证护士接受培训的；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（二）未依照本条例规定履行护士管理职责。</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48</w:t>
            </w:r>
          </w:p>
        </w:tc>
        <w:tc>
          <w:tcPr>
            <w:tcW w:w="631"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对护士在执业活动中发现患者病情危急未立即通知医师的或发现医嘱违反法律、法规、规章或者诊疗技术规范的规定及泄露患者隐私等行为行为的处罚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0220048000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pStyle w:val="12"/>
              <w:widowControl w:val="0"/>
              <w:adjustRightInd/>
              <w:snapToGrid/>
              <w:spacing w:line="260" w:lineRule="exact"/>
              <w:ind w:firstLine="360" w:firstLineChars="200"/>
              <w:jc w:val="both"/>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【行政法规】《护士条例》（2008年国务院令第517号）</w:t>
            </w:r>
          </w:p>
          <w:p>
            <w:pPr>
              <w:pStyle w:val="12"/>
              <w:widowControl w:val="0"/>
              <w:adjustRightInd/>
              <w:snapToGrid/>
              <w:spacing w:line="260" w:lineRule="exact"/>
              <w:ind w:firstLine="360" w:firstLineChars="200"/>
              <w:jc w:val="both"/>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第三十一条 护士在执业活动中有下列情形之一的，由县级以上地方人民政府卫生主管部门依据职责分工责令改正，给予警告；情节严重的，暂停其6个月以上1年以下执业活动，直至由原发证部门吊销其护士执业证书：（一）发现患者病情危急未立即通知医师的；（二）发现医嘱违反法律、法规、规章或者诊疗技术规范的规定，未依照本条例第十七条的规定提出或者报告的；（三）泄露患者隐私的；（四）发生自然灾害、公共卫生事件等严重威胁公众生命健康的突发事件，不服从安排参加医疗救护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第十七条 护士在执业活动中，发现患者病情危急，应当立即通知医师；在紧急情况下为抢救垂危患者生命，应当先行实施必要的紧急救护。护士发现医嘱违反法律、法规、规章或者诊疗技术规范规定的，应当及时向开具医嘱的医师提出；必要时，应当向该医师所在科室的负责</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警告；情节严重的，暂停其6个月以上1年以下执业活动，直至由原发证部门吊销其护士执业证书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49</w:t>
            </w:r>
          </w:p>
        </w:tc>
        <w:tc>
          <w:tcPr>
            <w:tcW w:w="631"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对乡村医生执业</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活动超出规定的</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执业范围或使用</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基本用药目录以</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外的处方药品等</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50000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【行政法规】《乡村医生从业管理条例》（2003 年国务院令第 386 号）</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第三十八条：乡村医生在执业活动中，违反本条例规定，有下列行为之一的，由县级人民</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政府卫生行政主管部门责令限期改正，给予警告；逾期不改正的，责令暂停 3 个月以上 6 个月以下执业活动；情节严重的，由原发证部门暂扣乡村医生执业证书：（一）执业活动超出规定的执业范围，或者未按照规定进行转诊的；（二）违反规定使用乡村医生基本用药目录以外的处方药品的；（三）违反规定出具医学证明，或者伪造卫生统计资料的；（四）发现传染病疫情、中毒事件不按规定报告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警告；逾期不改正</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的，责令暂停 3 个</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月以上 6 个月以下执业活动；情节严重的，由原发证部门暂扣乡村医生执业证书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50</w:t>
            </w:r>
          </w:p>
        </w:tc>
        <w:tc>
          <w:tcPr>
            <w:tcW w:w="631"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对乡村医生违反</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规定进行实验性</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临床医疗活动，或</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者重复使用一次</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性医疗器械和卫</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生材料行为的处</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51000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【行政法规】《乡村医生从业管理条例》（2003 年国务院令第 386 号）</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第三十九条 乡村医生在职业活动中，违反规定进行实验性临床医疗活动，或者重复使用一</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次性医疗器械和卫生材料的，由县级人民政府卫生行政主管部门责令停止违法行为，给予警告，</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可以并处 1000 元以下的罚款；情节严重的，由原发证部门暂扣或者吊销乡村执业证书。</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警告，并处1000 元以下的罚款；情节严重的，暂扣或者吊销乡村执业证书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51</w:t>
            </w:r>
          </w:p>
        </w:tc>
        <w:tc>
          <w:tcPr>
            <w:tcW w:w="631"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对乡村医生未办</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理变更执业注册</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手续行为的处罚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52000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【行政法规】《乡村医生从业管理条例》（2003 年国务院令第 386 号）</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第四十条 乡村医生变更执业的村医疗卫生机构，未办理变更执业注册手续的，由县级人民</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政府卫生行政主管部门给予警告，责令限期办理变更注册手续。</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52</w:t>
            </w:r>
          </w:p>
        </w:tc>
        <w:tc>
          <w:tcPr>
            <w:tcW w:w="631"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对未经注册在村</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医疗卫生机构从</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事医疗活动或者</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以不正当手段取</w:t>
            </w:r>
          </w:p>
          <w:p>
            <w:pPr>
              <w:widowControl/>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得乡村医生执业证书行为的处罚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53000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7646"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【行政法规】《乡村医生从业管理条例》（2003 年国务院令第 386 号）</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第四十二条 未经注册在村医疗卫生机构从事医疗活动的，由县级以上地方人民政府卫生行</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政主管部门予以取缔，没收其违法所得以及药品、医疗器械，违法所得 5000 元以上的，并处违法所得 1 倍以上 3 倍以下的罚款；没有违法所得或者违法所得不足 5000 元的，并处 1000 元以上 3000 元以下的罚款；造成患者人身损害的，依法承担民事赔偿责任；构成犯罪的，依法追究刑事责任。</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第四十一条 以不正当手段取得乡村医生执业证书的，由发证部门收缴乡村医生执业证书；</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造成患者人身损害的，依法承担民事赔偿责任；构成犯罪的，依法追究刑事责任。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没收其违法所得以</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及药品、医疗器械；</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53</w:t>
            </w:r>
          </w:p>
        </w:tc>
        <w:tc>
          <w:tcPr>
            <w:tcW w:w="631" w:type="dxa"/>
            <w:vAlign w:val="center"/>
          </w:tcPr>
          <w:p>
            <w:pPr>
              <w:pStyle w:val="12"/>
              <w:widowControl w:val="0"/>
              <w:adjustRightInd/>
              <w:snapToGrid/>
              <w:spacing w:line="260" w:lineRule="exact"/>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pStyle w:val="12"/>
              <w:widowControl w:val="0"/>
              <w:adjustRightInd/>
              <w:snapToGrid/>
              <w:spacing w:line="260" w:lineRule="exact"/>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对医师未取得处方权或者被取消处方权开具要凭处方的或者未按照规定开具药品处方行为的处罚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0220054000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【法律】《中华人民共和国执业医师法》（2009年修正）</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第三十七条  医师在执业活动中，违反本法规定，有下列行为之一的，由县级以上人民政府卫生行政部门给予警告或者责令暂停六个月以上一年以下执业活动；情节严重的，吊销其执业证书；构成犯罪的，依法追究刑事责任：</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（一）违反卫生行政规章制度或者技术操作规范，造成严重后果的；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（二）由于不负责任延误急危患者的抢救和诊治，造成严重后果的；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（三）造成医疗责任事故的；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（四）未经亲自诊查、调查，签署诊断、治疗、流行病学等证明文件或者有关出生、死亡等证明文件的；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（五）隐匿、伪造或者擅自销毁医学文书及有关资料的；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（六）使用未经批准使用的药品、消毒药剂和医疗器械的；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（七）不按照规定使用麻醉药品、医疗用毒性药品、精神药品和放射性药品的；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（八）未经患者或者其家属同意，对患者进行实验性临床医疗的；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（九）泄露患者隐私，造成严重后果的；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（十）利用职务之便，索取、非法收受患者财物或者牟取其他不正当利益的；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（十一）发生自然灾害、传染病流行、突发重大伤亡事故以及其他严重威胁人民生命健康的紧急情况时，不服从卫生行政部门调遣的；</w:t>
            </w:r>
          </w:p>
          <w:p>
            <w:pPr>
              <w:pStyle w:val="12"/>
              <w:widowControl w:val="0"/>
              <w:adjustRightInd/>
              <w:snapToGrid/>
              <w:spacing w:line="260" w:lineRule="exact"/>
              <w:ind w:firstLine="360" w:firstLineChars="200"/>
              <w:jc w:val="both"/>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（十二）发生医疗事故或者发现传染病疫情，患者涉嫌伤害事件或者非正常死亡，不按照规定报告的</w:t>
            </w:r>
          </w:p>
          <w:p>
            <w:pPr>
              <w:pStyle w:val="12"/>
              <w:widowControl w:val="0"/>
              <w:adjustRightInd/>
              <w:snapToGrid/>
              <w:spacing w:line="260" w:lineRule="exact"/>
              <w:ind w:firstLine="360" w:firstLineChars="200"/>
              <w:jc w:val="both"/>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【部门规章】《处方管理办法》（2007年卫生部令第53号）</w:t>
            </w:r>
          </w:p>
          <w:p>
            <w:pPr>
              <w:pStyle w:val="12"/>
              <w:widowControl w:val="0"/>
              <w:adjustRightInd/>
              <w:snapToGrid/>
              <w:spacing w:line="260" w:lineRule="exact"/>
              <w:ind w:firstLine="360" w:firstLineChars="200"/>
              <w:jc w:val="both"/>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第五十七条 医师出现下列情形之一的，按照《执业医师法》第三十七条的规定，由县级以上卫生行政部门给予警告或者责令暂停六个月以上一年以下执业活动；情节严重的，吊销其执业证书:（一）未取得处方权或者被取消处方权开具要凭处方的；（二）未按照本办法规定开具药品处方的；（三）违反本办法其他规定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警告或者责令暂停六个月以上一年以下执业活动；情节严重的，吊销其执业证书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54</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对医师违法或者未按有关要求开具、使用麻醉药品处方以及处方的调配人、核对人违法未履行核对义务行为的处罚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0220055000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【行政法规】《麻醉药品和精神药品管理条例》（2016年国务院令第666号修正）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第七十三条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处方的调配人、核对人违反本条例的规定未对麻醉药品和第一类精神药品处方进行核对，造成严重后果的，由原发证部门吊销其执业证书。</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【部门规章】《处方管理办法》（2007年卫生部令第53号）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第五十六条  医师和药师出现下列情形之一的，由县级以上卫生行政部门按照《麻醉药品和精神药品管理条例》第七十三条的规定予以处罚：</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（一）未取得麻醉药品和第一类精神药品处方资格的医师擅自开具麻醉药品和第一类精神药品处方的；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（二）具有麻醉药品和第一类精神药品处方医师未按照规定开具麻醉药品和第一类精神药品处方，或者未按照卫生部制定的麻醉药品和精神药品临床应用指导原则使用麻醉药 和第一类神药品的；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（三）药师未按照规定调剂麻醉药品、精神药品处方的。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第五十八条 药师未按照规定调剂处方药品，情节严重的，由县级以上卫生行政部门责令改正、通报批评，给予警告；并由所在医疗机构或者其上级单位给予纪律处分。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警告，暂停其执业活动；造成严重后果的，吊销其执业证书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55</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对发生麻醉药品和精神药品被盗、被抢、丢失的单位未采取必要控制措施或者依法报告行为的处罚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0220056000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【行政法规】《麻醉药品和精神药品管理条例》（2016年国务院令第666号修正）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第八十条  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警告；情节严重的，处5000元以上1万元以下的罚款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56</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对医疗机构未建立抗菌药物管理规章制度等行为的处罚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0220057000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【部门规章】《抗菌药物临床应用管理办法》（2012年卫生部令第84号）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第四十九条  医疗机构有下列情形之一的，由县级以上卫生行政部门责令限期改正；逾期不改的，进行通报批评，并给予警告；造成严重后果的，对负有责任的主管人员和其他直接责任人员，给予处分：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（一）未建立抗菌药物管理组织机构或者未指定专（兼）职技术人员负责具体管理工作的；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（二）未建立抗菌药物管理规章制度的；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（三）抗菌药物临床应用管理混乱的；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（四）未按照本办法规定执行抗菌药物分级管理、医师抗菌药物处方权限管理、药师抗菌药物调剂资格管理或者未配备相关专业技术人员的；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（五）其他违反本办法规定行为的。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57</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对使用未取得抗菌药物处方权的医师或者使用被取消抗菌药物处方权的医师开具抗菌药物处方等行为的处罚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0220058000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【部门规章】《抗菌药物临床应用管理办法》（2012年卫生部令第84号）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第五十条  医疗机构有下列情形之一的，由县级以上卫生行政部门责令限期改正，给予警告，并可根据情节轻重处以三万元以下罚款；对负有责任的主管人员和其他直接责任人员，可根据情节给予处分：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（一）使用未取得抗菌药物处方权的医师或者使用被取消抗菌药物处方权的医师开具抗菌药物处方的；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（二）未对抗菌药物处方、医嘱实施适宜性审核，情节严重的；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（三）非药学部门从事抗菌药物购销、调剂活动的；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（四）将抗菌药物购销、临床应用情况与个人或者科室经济利益挂钩的；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（五）在抗菌药物购销、临床应用中牟取不正当利益的。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警告，并可根据情节轻重处以三万元以下罚款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58</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对医师未按规定开具抗菌药物处方，造成严重后果的及使用未经国家药品监督管理部门批准的抗菌药物等行为的处罚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0220059000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pStyle w:val="12"/>
              <w:widowControl w:val="0"/>
              <w:adjustRightInd/>
              <w:snapToGrid/>
              <w:spacing w:line="260" w:lineRule="exact"/>
              <w:ind w:firstLine="360" w:firstLineChars="200"/>
              <w:jc w:val="both"/>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【部门规章】《抗菌药物临床应用管理办法》（2012年卫生部令第84号）</w:t>
            </w:r>
          </w:p>
          <w:p>
            <w:pPr>
              <w:pStyle w:val="12"/>
              <w:widowControl w:val="0"/>
              <w:adjustRightInd/>
              <w:snapToGrid/>
              <w:spacing w:line="260" w:lineRule="exact"/>
              <w:ind w:firstLine="360" w:firstLineChars="200"/>
              <w:jc w:val="both"/>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第五十二条 医师有下列情形之一的，由县级以上卫生行政部门按照《执业医师法》第三十七条的有关规定，给予警告或者责令暂停六个月以上一年以下执业活动；情节严重的，吊销其执业证书；构成犯罪的，依法追究刑事责任：（一）未按照本办法规定开具抗菌药物处方，造成严重后果的；（二）使用未经国家药品监督管理部门批准的抗菌药物的；（三）使用本机构抗菌药物供应目录以外的品种、品规，造成严重后果的；（四）违反本办法其他规定，造成严重后果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警告或者责令暂停六个月以上一年以下执业活动；情节严重的，吊销其执业证书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59</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对药师未按照规定审核、调剂抗菌药物处方，情节严重的、未按照规定私自增加抗菌药物品种或者品规等行为的处罚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0220060000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【部门规章】《抗菌药物临床应用管理办法》（2012年卫生部令第84号）</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第五十三条药师有下列情形之一的，由县级以上卫生行政部门责令限期改正，给予警告；构成犯罪的，依法追究刑事责任：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（一）未按照规定审核、调剂抗菌药物处方，情节严重的；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（二）未按照规定私自增加抗菌药物品种或者品规的；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（三）违反本办法其他规定的。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60</w:t>
            </w:r>
          </w:p>
        </w:tc>
        <w:tc>
          <w:tcPr>
            <w:tcW w:w="631" w:type="dxa"/>
            <w:vAlign w:val="center"/>
          </w:tcPr>
          <w:p>
            <w:pPr>
              <w:pStyle w:val="12"/>
              <w:widowControl w:val="0"/>
              <w:adjustRightInd/>
              <w:snapToGrid/>
              <w:spacing w:line="260" w:lineRule="exact"/>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pStyle w:val="12"/>
              <w:widowControl w:val="0"/>
              <w:adjustRightInd/>
              <w:snapToGrid/>
              <w:spacing w:line="260" w:lineRule="exact"/>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对村卫生室、诊所、社区卫生服务站未经核准使用抗菌药物开展静脉输注活动行为的处罚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0220061000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52" w:firstLineChars="196"/>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【部门规章】《抗菌药物临床应用管理办法》（2012年卫生部令第84号）</w:t>
            </w:r>
          </w:p>
          <w:p>
            <w:pPr>
              <w:spacing w:line="260" w:lineRule="exact"/>
              <w:ind w:firstLine="352" w:firstLineChars="196"/>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第五十四条 未经县级卫生行政部门核准，村卫生室、诊所、社区卫生服务站擅自使用抗菌药物开展静脉输注活动的，由县级以上地方卫生行政部门责令限期改正，给予警告；逾期不改的，可根据情节轻重处以一万元以下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警告；逾期不改的，可根据情节轻重处以一万元以下罚款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jc w:val="center"/>
        </w:trPr>
        <w:tc>
          <w:tcPr>
            <w:tcW w:w="774" w:type="dxa"/>
            <w:vAlign w:val="center"/>
          </w:tcPr>
          <w:p>
            <w:pPr>
              <w:spacing w:line="260" w:lineRule="exact"/>
              <w:ind w:firstLine="180" w:firstLineChars="100"/>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61</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对医疗机构从无</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证企业购进药品</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62000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【法律】《中华人民共和国药品管理法》(2015 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第三十四条 药品生产企业、药品经营企业、医疗机构必须从具有药品生产、经营资格的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企业购进药品；但是，购进没有实施批准文号管理的中药材除外。</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第七十九条 药品的生产企业、经营企业或者医疗机构违反本法第三十四条的规定，从无</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吊销医疗机构执业</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许可证书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774" w:type="dxa"/>
            <w:vAlign w:val="center"/>
          </w:tcPr>
          <w:p>
            <w:pPr>
              <w:spacing w:line="260" w:lineRule="exact"/>
              <w:ind w:firstLine="180" w:firstLineChars="100"/>
              <w:jc w:val="both"/>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62</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对医疗机构的负责人、药品采购人、医师等有关人员收受药品生产企业、药品经营企业或者其代理人给予的财务或者其他利益行为的处罚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0220063000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【法律】《中华人民共和国药品管理法》(2015年修正）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第九十条第二款 医疗机构的负责人、药品采购人员、医师等有关人员收受药品生产企业、药品经营企业或者其代理人给予的财物或者其他利益的，由卫生行政部门或者本单位给予处分，没收违法所得；对违法行为情节严重的执业医师，由卫生行政部门吊销其执业证书；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没收违法所得；吊销医师执业证书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63</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对医疗机构无专职或者兼职人员负责本单位药品不良反应监测工作等行为的处罚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0220064000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【部门规章】《药品不良反应报告和监测管理办法》（2011年卫生部令81号）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第六十条  医疗机构有下列情形之一的，由所在地卫生行政部门给予警告，责令限期改正；逾期不改的，处三万元以下的罚款。情节严重并造成严重后果的，由所在地卫生行政部门对相关责任人给予行政处分：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（一）无专职或者兼职人员负责本单位药品不良反应监测工作的；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（二）未按照要求开展药品不良反应或者群体不良事件报告、调查、评价和处理的；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（三）不配合严重药品不良反应和群体不良事件相关调查工作的。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药品监督管理部门发现医疗机构有前款规定行为之一的，应当移交同级卫生行政部门处理。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卫生行政部门对医疗机构作出行政处罚决定的，应当及时通报同级药品监督管理部门。</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警告；逾期不改的，处三万元以下的罚款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774" w:type="dxa"/>
            <w:vAlign w:val="center"/>
          </w:tcPr>
          <w:p>
            <w:pPr>
              <w:spacing w:line="260" w:lineRule="exact"/>
              <w:ind w:firstLine="180" w:firstLineChars="100"/>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64</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对未经许可擅自配置使用大型医用设备行为的处罚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0220065000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【行政法规】《医疗器械监督管理条例》（2017年国务院令第680号）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三条第三款：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警告，没收违法所得；罚款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65</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对提供虚假资料或者采取其他欺骗手段取得大型医用设备配置许可证行为的处罚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0220066000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【行政法规】《医疗器械监督管理条例》（2017年国务院令第680号）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四条第一款：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66</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对医疗器械使用单位违反医疗器械进货查验、消毒管理、检验维护等规定行为的处罚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0220067000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【行政法规】《医疗器械监督管理条例》（2017年国务院令第680号）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（二）医疗器械经营企业、使用单位未依照本条例规定建立并执行医疗器械进货查验记录制度的；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（四）对重复使用的医疗器械，医疗器械使用单位未按照消毒和管理的规定进行处理的；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（五）医疗器械使用单位重复使用一次性使用的医疗器械，或者未按照规定销毁使用过的一次性使用的医疗器械的；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（六）对需要定期检查、检验、校准、保养、维护的医疗器械，医疗器械使用单位未按照产品说明书要求检查、检验、校准、保养、维护并予以记录，及时进行分析、评估，确保医疗器械处于良好状态的；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（七）医疗器械使用单位未妥善保存购入第三类医疗器械的原始资料，或者未按照规定将大型医疗器械以及植入和介入类医疗器械的信息记载到病历等相关记录中的；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（八）医疗器械使用单位发现使用的医疗器械存在安全隐患未立即停止使用、通知检修，或者继续使用经检修仍不能达到使用安全标准的医疗器械的；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九）医疗器械生产经营企业、使用单位未依照本条例规定开展医疗器械不良事件监测，未按照要求报告不良事件，或者对医疗器械不良事件监测技术机构、食品药品监督管理部门开展的不良事件调查不予配合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警告；拒不改正的，处5000元以上2万元以下罚款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67</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对医疗机构未建立医疗技术临床应用管理相关规章制度或未按照要求向卫生行政部门进行医疗技术临床应用备案等违法行为的处罚</w:t>
            </w:r>
          </w:p>
        </w:tc>
        <w:tc>
          <w:tcPr>
            <w:tcW w:w="717" w:type="dxa"/>
            <w:vAlign w:val="center"/>
          </w:tcPr>
          <w:p>
            <w:pPr>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0220068000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pStyle w:val="5"/>
              <w:widowControl/>
              <w:spacing w:before="0" w:beforeAutospacing="0" w:after="0" w:afterAutospacing="0" w:line="260" w:lineRule="exact"/>
              <w:ind w:firstLine="360"/>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【部门规章】《医疗技术临床应用管理办法》(2018年国家卫生健康委员会令第1号）</w:t>
            </w:r>
          </w:p>
          <w:p>
            <w:pPr>
              <w:pStyle w:val="5"/>
              <w:widowControl/>
              <w:spacing w:before="0" w:beforeAutospacing="0" w:after="0" w:afterAutospacing="0" w:line="260" w:lineRule="exact"/>
              <w:ind w:firstLine="360"/>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第四十一条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（一）未建立医疗技术临床应用管理专门组织或者未指定专（兼）职人员负责具体管理工作的；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（二）未建立医疗技术临床应用管理相关规章制度的；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（三）医疗技术临床应用管理混乱，存在医疗质量和医疗安全隐患的；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（四）未按照要求向卫生行政部门进行医疗技术临床应用备案的；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（五）未按照要求报告或者报告不实信息的；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（六）未按照要求向国家和省级医疗技术临床应用信息化管理平台报送相关信息的；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（七）未将相关信息纳入院务公开范围向社会公开的；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（八）未按要求保障医务人员接受医疗技术临床应用规范化培训权益的。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68</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对医疗机构开展相关医疗技术与登记的诊疗科目不相符或开展禁止类技术临床应用等违法行为的处罚</w:t>
            </w:r>
          </w:p>
        </w:tc>
        <w:tc>
          <w:tcPr>
            <w:tcW w:w="717" w:type="dxa"/>
            <w:vAlign w:val="center"/>
          </w:tcPr>
          <w:p>
            <w:pPr>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0220069000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【行政法规】《医疗机构管理条例》</w:t>
            </w:r>
            <w:r>
              <w:rPr>
                <w:rFonts w:hint="eastAsia" w:ascii="仿宋_GB2312" w:hAnsi="仿宋_GB2312" w:eastAsia="仿宋_GB2312" w:cs="仿宋_GB2312"/>
                <w:b w:val="0"/>
                <w:bCs/>
                <w:color w:val="auto"/>
                <w:kern w:val="0"/>
                <w:sz w:val="18"/>
                <w:szCs w:val="18"/>
                <w:highlight w:val="none"/>
                <w:u w:val="none"/>
              </w:rPr>
              <w:t>(2016年国务院令第666号修正）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第四十七条 违反本条例第二十七条规定，诊疗活动超出登记范围的，由县级以上人民政府卫生行政部门予以警告、责令其改正，并可以根据情节处以3000元以下的罚款；情节严重的，吊销其《医疗机构执业许可证》。</w:t>
            </w:r>
          </w:p>
          <w:p>
            <w:pPr>
              <w:pStyle w:val="5"/>
              <w:widowControl/>
              <w:spacing w:before="0" w:beforeAutospacing="0" w:after="0" w:afterAutospacing="0" w:line="260" w:lineRule="exact"/>
              <w:ind w:firstLine="360"/>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【部门规章】《医疗技术临床应用管理办法》(2018年国家卫生健康委员会令第1号）</w:t>
            </w:r>
          </w:p>
          <w:p>
            <w:pPr>
              <w:spacing w:line="260" w:lineRule="exact"/>
              <w:ind w:firstLine="360"/>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第四十三条 医疗机构有下列情形之一的，由县级以上地方卫生行政部门依据《医疗机构管理条例》第四十七条的规定进行处理；情节严重的，还应当对医疗机构主要负责人和其他直接责任人员依法给予处分：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（一）开展相关医疗技术与登记的诊疗科目不相符的；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（二）开展禁止类技术临床应用的； </w:t>
            </w:r>
            <w:r>
              <w:rPr>
                <w:rFonts w:hint="eastAsia" w:ascii="仿宋_GB2312" w:hAnsi="仿宋_GB2312" w:eastAsia="仿宋_GB2312" w:cs="仿宋_GB2312"/>
                <w:b w:val="0"/>
                <w:bCs/>
                <w:color w:val="auto"/>
                <w:sz w:val="18"/>
                <w:szCs w:val="18"/>
                <w:highlight w:val="none"/>
                <w:u w:val="none"/>
              </w:rPr>
              <w:br w:type="textWrapping"/>
            </w:r>
            <w:r>
              <w:rPr>
                <w:rFonts w:hint="eastAsia" w:ascii="仿宋_GB2312" w:hAnsi="仿宋_GB2312" w:eastAsia="仿宋_GB2312" w:cs="仿宋_GB2312"/>
                <w:b w:val="0"/>
                <w:bCs/>
                <w:color w:val="auto"/>
                <w:sz w:val="18"/>
                <w:szCs w:val="18"/>
                <w:highlight w:val="none"/>
                <w:u w:val="none"/>
              </w:rPr>
              <w:t>　　（三）不符合医疗技术临床应用管理规范要求擅自开展相关医疗技术的。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警告，罚款；情节严重的，吊销《医疗机构执业许可证》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69</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对医疗机构管理混乱导致医疗技术临床应用造成严重不良后果，并产生重大社会影响行为的处罚</w:t>
            </w:r>
          </w:p>
        </w:tc>
        <w:tc>
          <w:tcPr>
            <w:tcW w:w="717" w:type="dxa"/>
            <w:vAlign w:val="center"/>
          </w:tcPr>
          <w:p>
            <w:pPr>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0220070000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pStyle w:val="5"/>
              <w:widowControl/>
              <w:spacing w:before="0" w:beforeAutospacing="0" w:after="0" w:afterAutospacing="0" w:line="260" w:lineRule="exact"/>
              <w:ind w:firstLine="360"/>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【部门规章】《医疗技术临床应用管理办法》(2018年国家卫生健康委员会令第1号）</w:t>
            </w:r>
          </w:p>
          <w:p>
            <w:pPr>
              <w:pStyle w:val="5"/>
              <w:widowControl/>
              <w:spacing w:before="0" w:beforeAutospacing="0" w:after="0" w:afterAutospacing="0" w:line="260" w:lineRule="exact"/>
              <w:ind w:firstLine="360"/>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第四十四条 医疗机构管理混乱导致医疗技术临床应用造成严重不良后果，并产生重大社会影响的，由县级以上地方卫生行政部门责令限期整改，并给予警告；逾期不改的，给予三万元以下罚款，并对医疗机构主要负责人、负有责任的主管人员和其他直接责任人员依法给予处分。 </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70</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对医务人员篡改、伪造、隐匿、毁灭病历资料行为的处罚</w:t>
            </w:r>
          </w:p>
        </w:tc>
        <w:tc>
          <w:tcPr>
            <w:tcW w:w="717" w:type="dxa"/>
            <w:vAlign w:val="center"/>
          </w:tcPr>
          <w:p>
            <w:pPr>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0220071000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【行政法规】《医疗纠纷预防和处理条例》（2018年国务院令第701号）</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第四十五条 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成严重后果的，对直接负责的主管人员和其他直接责任人员给予或者责令给予开除的处分，对有关医务人员由原发证部门吊销执业证书；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责令暂停6个月以上1年以下执业活动；造成严重后果的，吊销执业证书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71</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对医疗机构及其有关医务人员将未通过技术评估和伦理审查的医疗新技术应用于临床行为的处罚</w:t>
            </w:r>
          </w:p>
        </w:tc>
        <w:tc>
          <w:tcPr>
            <w:tcW w:w="717" w:type="dxa"/>
            <w:vAlign w:val="center"/>
          </w:tcPr>
          <w:p>
            <w:pPr>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0220072000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【行政法规】《医疗纠纷预防和处理条例》（2018年国务院令第701号）</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第四十六条 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没收违法所得，并处5万元以上10万元以下罚款；暂停6个月以上1年以下执业活动，情节严重的，吊销执业证书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72</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对医疗机构及其医务人员未按规定制定和实施医疗质量安全管理制度，未按规定告知患者病情、医疗措施、医疗风险、替代医疗方案等违法行为的处罚</w:t>
            </w:r>
          </w:p>
        </w:tc>
        <w:tc>
          <w:tcPr>
            <w:tcW w:w="717" w:type="dxa"/>
            <w:vAlign w:val="center"/>
          </w:tcPr>
          <w:p>
            <w:pPr>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0220073000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【行政法规】《医疗纠纷预防和处理条例》（2018年国务院令第701号）</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第四十七条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（一）未按规定制定和实施医疗质量安全管理制度；</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（二）未按规定告知患者病情、医疗措施、医疗风险、替代医疗方案等；</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（三）开展具有较高医疗风险的诊疗活动，未提前预备应对方案防范突发风险；</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（四）未按规定填写、保管病历资料，或者未按规定补记抢救病历；</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（五）拒绝为患者提供查阅、复制病历资料服务；</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（六）未建立投诉接待制度、设置统一投诉管理部门或者配备专（兼）职人员；</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（七）未按规定封存、保管、启封病历资料和现场实物；</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（八）未按规定向卫生主管部门报告重大医疗纠纷；</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（九）其他未履行本条例规定义务的情形。</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警告，罚款；情节严重的，暂停1个月以上6个月以下执业活动</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73</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对医学会、司法鉴定机构出具虚假医疗损害鉴定意见行为的处罚</w:t>
            </w:r>
          </w:p>
        </w:tc>
        <w:tc>
          <w:tcPr>
            <w:tcW w:w="717" w:type="dxa"/>
            <w:vAlign w:val="center"/>
          </w:tcPr>
          <w:p>
            <w:pPr>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0220074000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【行政法规】《医疗纠纷预防和处理条例》（2018年国务院令第701号）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第四十八条 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该医学会、司法鉴定机构和有关鉴定人员5年内不得从事医疗损害鉴定业务或者撤销登记，对直接负责的主管人员和其他直接责任人员给予或者责令给予开除的处分；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罚款，暂停3个月以上1年以下医疗损害鉴定业务</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74</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对尸检机构出具虚假尸检报告行为的处罚</w:t>
            </w:r>
          </w:p>
        </w:tc>
        <w:tc>
          <w:tcPr>
            <w:tcW w:w="717" w:type="dxa"/>
            <w:vAlign w:val="center"/>
          </w:tcPr>
          <w:p>
            <w:pPr>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0220075000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【行政法规】《医疗纠纷预防和处理条例》（2018年国务院令第701号）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第四十九条 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没收违法所得，罚款；暂停3个月以上1年以下尸检业务</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75</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对发生医疗事故的医疗机构和有关医务人员行为的处罚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0220076000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【行政法规】《医疗事故处理条例》（2002年国务院令第351号）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第五十五条  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对发生医疗事故的有关医务人员，除依照前款处罚外，卫生行政部门并可以责令暂停6个月以上1年以下执业活动；情节严重的，吊销其执业证书。</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对医疗机构给予警告；责令限期停业整顿，吊销执业许可证。对医务人员给予责令暂停6个月以上1年以下执业活动；情节严重的，吊销其执业证书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76</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对医疗机构或者其他有关机构承担尸检任务的机构没有正当理由，拒绝进行尸检及涂改、伪造、隐匿、销毁病历资料行为的处罚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0220077000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【行政法规】《医疗事故处理条例》（2002年国务院令第351号）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第五十八条  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(一)承担尸检任务的机构没有正当理由，拒绝进行尸检的；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(二)涂改、伪造、隐匿、销毁病历资料的。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对医疗机构给予警告，对主管人员和其他直接责任人员给予吊销执业证书或者资格证书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77</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对医疗卫生机构、医疗废物集中处置单位未建立、健全医疗废物管理制度，或者未设置监控部门或者专（兼）职人员等行为的处罚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0220078000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【行政法规】《医疗废物管理条例》（2011年国务院令第588号修正）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（一）未建立、健全医疗废物管理制度，或者未设置监控部门或者专（兼）职人员的；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（二）未对有关人员进行相关法律和专业技术、安全防护以及紧急处理等知识的培训的；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（三）未对从事医疗废物收集、运送、贮存、处置等工作的人员和管理人员采取职业卫生防护措施的；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（四）未对医疗废物进行登记或者未保存登记资料的；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（五）对使用后的医疗废物运送工具或者运送车辆未在指定地点及时进行消毒和清洁的；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（六）未及时收集、运送医疗废物的；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（七）未定期对医疗废物处置设施的环境污染防治和卫生学效果进行检测、评价，或者未将检测、评价效果存档、报告的。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【部门规章】《医疗卫生机构医疗废物管理办法》（2003年卫生部令第36号）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第三十九条  医疗卫生机构违反《医疗废物管理条例》及本办法规定，有下列情形之一的，由县级以上地方人民政府卫生行政主管部门责令限期改正、给予警告；逾期不改正的，处以2000元以上5000元以下的罚款：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(一)未建立、健全医疗废物管理制度，或者未设置监控部门或者专(兼)职人员的；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(二)未对有关人员进行相关法律和专业技术、安全防护以及紧急处理等知识的培训的；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(三)未对医疗废物进行登记或者未保存登记资料的；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(四)未对机构内从事医疗废物分类收集、运送、暂时贮存、处置等工作的人员和管理人员采取职业卫生防护措施的；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(五)未对使用后的医疗废物运送工具及时进行清洁和消毒的；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(六)自行建有医疗废物处置设施的医疗卫生机构，未定期对医疗废物处置设施的卫生学效果进行检测、评价，或者未将检测、评价效果存档、报告的。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警告；逾期不改正的，处2000元以上5000元以下的罚款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78</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对医疗卫生机构、医疗废物集中处置单位贮存设施或者设备不符合环境保护、卫生要求等行为的处罚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0220079000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【行政法规】《医疗废物管理条例》（2011年国务院令第588号修正）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（一）贮存设施或者设备不符合环境保护、卫生要求的；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（二）未将医疗废物按照类别分置于专用包装物或者容器的；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（三）未使用符合标准的专用车辆运送医疗废物或者使用运送医疗废物的车辆运送其他物品的；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（四）未安装污染物排放在线监控装置或者监控装置未经常处于正常运行状态的。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【部门规章】《医疗卫生机构医疗废物管理办法》（2003年卫生部令36号）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第四十条  医疗卫生机构违反《医疗废物管理条例》及本办法规定，有下列情形之一的，由县级以上地方人民政府卫生行政主管部门责令限期改正、给予警告，可以并处5000元以下的罚款；逾期不改正的，处5000元以上3万元以下的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（一）医疗废物暂时贮存地点、设施或者设备不符合卫生要求的；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（二）未将医疗废物按类别分置于专用包装物或者容器的；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（三）使用的医疗废物运送工具不符合要求的。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79</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对医疗卫生机构、医疗废物集中处置单位未执行危险废物转移联单管理制度等行为的处罚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0220080000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【行政法规】《医疗废物管理条例》（2011年国务院令第588号修正）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（一）在运送过程中丢弃医疗废物，在非贮存地点倾倒、堆放医疗废物或者将医疗废物混入其他废物和生活垃圾的；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（二）未执行危险废物转移联单管理制度的；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（三）将医疗废物交给未取得经营许可证的单位或者个人收集、运送、贮存、处置的；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（四）对医疗废物的处置不符合国家规定的环境保护、卫生标准、规范的；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（五）未按照本条例的规定对污水、传染病病人或者疑似传染病病人的排泄物，进行严格消毒，或者未达到国家规定的排放标准，排入污水处理系统的；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（六）对收治的传染病病人或者疑似传染病病人产生的生活垃圾，未按照医疗废物进行管理和处置的。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【部门规章】《医疗卫生机构医疗废物管理办法》（2003年卫生部令36号）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第四十一条  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(一)在医疗卫生机构内丢弃医疗废物和在非贮存地点倾倒、堆放医疗废物或者将医疗废物混入其他废物和生活垃圾的；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(二)将医疗废物交给未取得经营许可证的单位或者个人的；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(三)未按照条例及本办法的规定对污水、传染病病人和疑似传染病病人的排泄物进行严格消毒，或者未达到国家规定的排放标准，排入污水处理系统的；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(四)对收治的传染病病人或者疑似传染病病人产生的生活垃圾，未按照医疗废物进行管理和处置的。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警告，罚款；吊销医疗卫生机构执业许可证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80</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对医疗机构发生医疗废物流失、泄露、扩散时未采取紧急处理措施或者未及时报告行为的处罚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0220081000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【行政法规】《医疗废物管理条例》（2011年国务院令第588号修正）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警告，罚款；吊销医疗卫生机构执业许可证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81</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对医疗卫生机构无正当理由阻碍执法人员执行职务、或者不配合执法部门的检查、监测、调查取证行为的处罚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0220082000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【行政法规】《医疗废物管理条例》（2011年国务院令第588号修正）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【部门规章】《医疗卫生机构医疗废物管理办法》（2003年卫生部令36号）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第四十四条  医疗卫生机构无正当理由，阻碍卫生行政主管部门执法人员执行职务，拒绝执法人员进入现场，或者不配合执法部门的检查、监测、调查取证的，由县级以上地方人民政府卫生行政主管部门责令改正，给予警告；拒不改正的，由原发证部门暂扣或者吊销医疗卫生机构执业许可证件；触犯《中华人民共和国治安管理处罚法》，构成违反治安管理行为的，由公安机关依法予以处罚；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警告；吊销医疗卫生机构执业许可证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82</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对不具备集中处</w:t>
            </w:r>
          </w:p>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置医疗废物条件</w:t>
            </w:r>
          </w:p>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的农村医疗卫生</w:t>
            </w:r>
          </w:p>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机构未按照要求</w:t>
            </w:r>
          </w:p>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处置医疗废物行</w:t>
            </w:r>
          </w:p>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83000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【行政法规】《医疗废物管理条例》（2011 年国务院令第 588 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第五十一条 不具备集中处置医疗废物条件的农村，医疗卫生机构未按照本条例的要求处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置医疗废物的，由县级人民政府卫生行政主管部门或者环境保护行政主管部门按照各自的职责责令限期改正，给予警告；逾期不改正的，处 1000 元以上 5000 元以下的罚款；造成传染病传播或者环境污染事故的，由原发证部门暂扣或者吊销执业许可证件；构成犯罪的，依法追究刑事责任。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【部门规章】《医疗卫生机构医疗废物管理办法》（2003 年卫生部令 36 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第四十五条 不具备集中处置医疗废物条件的农村，医疗卫生机构未按照《医疗废物管理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条例》和本办法的要求处置医疗废物的，由县级以上地方人民政府卫生行政主管部门责令限期改正，给予警告；逾期不改的，处 1000 元以上 5000 元以下的罚款；造成传染病传播的，由原发证部门暂扣或者吊销医疗卫生机构执业许可证件；构成犯罪的，依法追究刑事责任。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警告，罚款；吊销</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医疗卫生机构执业</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83</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对医疗卫生机构、康复机构及其工作人员未依照规定开展残疾预防和残疾人康复工作行为的处罚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0220089000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【行政法规】《残疾预防和残疾人康复条例》（2017年2月7日 国务院令第675号）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第三十三条　医疗卫生机构、康复机构及其工作人员未依照本条例规定开展残疾预防和残疾人康复工作的，由有关主管部门按照各自职责分工责令改正，给予警告；情节严重的，责令暂停相关执业活动，依法对负有责任的领导人员和直接责任人员给予处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警告；情节严重的，责令暂停相关执业活动</w:t>
            </w:r>
          </w:p>
          <w:p>
            <w:pPr>
              <w:spacing w:line="260" w:lineRule="exact"/>
              <w:rPr>
                <w:rFonts w:hint="eastAsia" w:ascii="仿宋_GB2312" w:hAnsi="仿宋_GB2312" w:eastAsia="仿宋_GB2312" w:cs="仿宋_GB2312"/>
                <w:b w:val="0"/>
                <w:bCs/>
                <w:color w:val="auto"/>
                <w:sz w:val="18"/>
                <w:szCs w:val="18"/>
                <w:highlight w:val="none"/>
                <w:u w:val="none"/>
              </w:rPr>
            </w:pP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84</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对医疗机构违反规定发布医疗广告行为的处罚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0220090000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【法律】《中华人民共和国广告法》（2015年修正）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第五十五条第一款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第五十五条第二款  医疗机构有前款规定违法行为，情节严重的，除由工商行政管理部门依照本法处罚外，卫生行政部门可以吊销诊疗科目或者吊销医疗机构执业许可证。</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第五十八条第二款 医疗机构有前款规定违法行为，情节严重的，除由工商行政管理部门依照本法处罚外，卫生行政部门可以吊销诊疗科目或者吊销医疗机构执业许可证。</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吊销诊疗科目或者吊销医疗机构执业许可证，撤销广告审查批准文件、一年内不受理其广告审查申请</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85</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对医疗气功人员</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在注册的执业地</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点以外开展医疗</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气功活动等行为</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的处罚</w:t>
            </w:r>
          </w:p>
        </w:tc>
        <w:tc>
          <w:tcPr>
            <w:tcW w:w="717" w:type="dxa"/>
            <w:vAlign w:val="center"/>
          </w:tcPr>
          <w:p>
            <w:pPr>
              <w:adjustRightInd w:val="0"/>
              <w:snapToGrid w:val="0"/>
              <w:spacing w:line="260" w:lineRule="exact"/>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w:t>
            </w:r>
          </w:p>
          <w:p>
            <w:pPr>
              <w:adjustRightInd w:val="0"/>
              <w:snapToGrid w:val="0"/>
              <w:spacing w:line="260" w:lineRule="exact"/>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91000</w:t>
            </w:r>
          </w:p>
        </w:tc>
        <w:tc>
          <w:tcPr>
            <w:tcW w:w="709" w:type="dxa"/>
            <w:vAlign w:val="center"/>
          </w:tcPr>
          <w:p>
            <w:pPr>
              <w:spacing w:line="260" w:lineRule="exact"/>
              <w:jc w:val="both"/>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pacing w:line="260" w:lineRule="exact"/>
              <w:jc w:val="both"/>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pacing w:line="260" w:lineRule="exact"/>
              <w:jc w:val="both"/>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7646" w:type="dxa"/>
            <w:vAlign w:val="center"/>
          </w:tcPr>
          <w:p>
            <w:pPr>
              <w:widowControl/>
              <w:adjustRightInd w:val="0"/>
              <w:snapToGrid w:val="0"/>
              <w:spacing w:line="260" w:lineRule="exact"/>
              <w:ind w:firstLine="352" w:firstLineChars="196"/>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【部门规章】《医疗气功管理暂行规定》（2000 年卫生部令第 12 号）</w:t>
            </w:r>
          </w:p>
          <w:p>
            <w:pPr>
              <w:widowControl/>
              <w:adjustRightInd w:val="0"/>
              <w:snapToGrid w:val="0"/>
              <w:spacing w:line="260" w:lineRule="exact"/>
              <w:ind w:firstLine="352" w:firstLineChars="196"/>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第二十六条 违反本规定，有下列情形之一的，由县级以上人民政府中医药行政管理机构</w:t>
            </w:r>
          </w:p>
          <w:p>
            <w:pPr>
              <w:widowControl/>
              <w:adjustRightInd w:val="0"/>
              <w:snapToGrid w:val="0"/>
              <w:spacing w:line="260" w:lineRule="exact"/>
              <w:ind w:firstLine="352" w:firstLineChars="196"/>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责令其停止活动，给予警告，并可以处以一万元以下罚款；情节严重的，处以一万元以上三万元以下罚款；构成犯罪的，依法追究刑事责任。（一）医疗气功人员在注册的执业地点以外开展医疗气功活动的；（二）借医疗气功之名损害公民身心健康、宣扬迷信、骗人敛财的；（三）非医疗气功人员开展医疗气功活动的；（四）制造、使用、经营、散发宣称具有医疗气功效力物品的；（五）未经批准擅自组织开展大型医疗气功讲座、大型现场性医疗气功活动，或未经批准擅自开展国家中医药管理局规定必须严格管理的其它医疗气功活动的。</w:t>
            </w:r>
          </w:p>
        </w:tc>
        <w:tc>
          <w:tcPr>
            <w:tcW w:w="1712"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86</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对未经批准非法从事组织、采集、供应、倒卖原料血浆活动行为的处罚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0220092000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【法律】《中华人民共和国献血法》（1997年）</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第十八条  有下列行为之一的，由县级以上地方人民政府卫生行政部门予以取缔，没收违法所得，可以并处十万元以下的罚款；构成犯罪的，依法追究刑事责任：</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（一）非法采集血液的；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（二）血站、医疗机构出售无偿献血的血液的；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（三）非法组织他人出卖血液的。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【行政法规】《血液制品管理条例》（2016年国务院令第666号修正）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第三十四条  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5倍以上10倍以下的罚款，没有违法所得的，并处5万元以上10万元以下的罚款；造成经血液途径传播的疾病传播、人身伤害等危害，构成犯罪的，依法追究刑事责任。</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【部门规章】《血站管理办法》（2017年国家卫生计生委令第18号修正）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第五十九条  有下列行为之一的，属于非法采集血液，由县级以上地方人民政府</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按照《献血法》第十八条的有关规定予以处罚；构成犯罪的，依法追究刑事责任：</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（一）未经批准，擅自设置血站，开展采供血活动的；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（二）已被注消的血站，仍开展采供血活动的；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（三）已取得设置批准但尚未取得《血站执业许可证》即开展采供血活动，或者《血站执业许可证》有效期满未再次登记仍开展采供血活动的；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（四）租用、借用、出租、出借、变造、伪造《血站执业许可证》开展采供血活动的。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第六十条  血站出售无偿献血血液的，由县级以上地方人民政府</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按照《献血法》第十八条的有关规定，予以处罚；构成犯罪的，依法追究刑事责任。</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【部门规章】《单采血浆站管理办法》（2016年国家卫生计生委令第8号修正）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第六十一条  单采血浆站有下列行为之一的，由县级以上地方人民政府</w:t>
            </w:r>
            <w:r>
              <w:rPr>
                <w:rFonts w:hint="eastAsia" w:ascii="仿宋_GB2312" w:hAnsi="仿宋_GB2312" w:eastAsia="仿宋_GB2312" w:cs="仿宋_GB2312"/>
                <w:b w:val="0"/>
                <w:bCs/>
                <w:color w:val="auto"/>
                <w:kern w:val="0"/>
                <w:sz w:val="18"/>
                <w:szCs w:val="18"/>
                <w:highlight w:val="none"/>
                <w:u w:val="none"/>
                <w:lang w:eastAsia="zh-CN"/>
              </w:rPr>
              <w:t>卫生健康局</w:t>
            </w:r>
            <w:r>
              <w:rPr>
                <w:rFonts w:hint="eastAsia" w:ascii="仿宋_GB2312" w:hAnsi="仿宋_GB2312" w:eastAsia="仿宋_GB2312" w:cs="仿宋_GB2312"/>
                <w:b w:val="0"/>
                <w:bCs/>
                <w:color w:val="auto"/>
                <w:kern w:val="0"/>
                <w:sz w:val="18"/>
                <w:szCs w:val="18"/>
                <w:highlight w:val="none"/>
                <w:u w:val="none"/>
              </w:rPr>
              <w:t>依据《血液制品管理条例》第三十四条的有关规定予以处罚：</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（一）未取得《单采血浆许可证》开展采供血浆活动的；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（二）《单采血浆许可证》已被注销或者吊销仍开展采供血浆活动的；</w:t>
            </w:r>
          </w:p>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（三）租用、借用、出租、出借、变造、伪造《单采血浆许可证》开展采供血浆活动的。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没收违法所得和从事违法活动的器材、设备，罚款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87</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对伪造、涂改、出租、转借无偿献血证书、雇佣他人冒名献血行为的处罚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0220093000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【政府规章】《宁夏回族自治区献血管理办法》（1999年自治区政府令第8号）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第二十二条  违反本办法规定，伪造、涂改、出租、转借无偿献血证书的，由县级以上人民政府卫生行政部门没收证书，并处以一百元至一千元的罚款。</w:t>
            </w:r>
          </w:p>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雇佣他人冒名献血的，对单位处以五千元至五万元的罚款；对个人处以五百元至五千元的罚款。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88</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单采血浆站隐瞒、阻碍、拒绝卫生行政部门监督检查或者不如实提供有关资料等行为的处罚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0220094000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【部门规章】《单采血浆站管理办法》</w:t>
            </w:r>
            <w:r>
              <w:rPr>
                <w:rFonts w:hint="eastAsia" w:ascii="仿宋_GB2312" w:hAnsi="仿宋_GB2312" w:eastAsia="仿宋_GB2312" w:cs="仿宋_GB2312"/>
                <w:b w:val="0"/>
                <w:bCs/>
                <w:color w:val="auto"/>
                <w:kern w:val="0"/>
                <w:sz w:val="18"/>
                <w:szCs w:val="18"/>
                <w:highlight w:val="none"/>
                <w:u w:val="none"/>
              </w:rPr>
              <w:t>（2016年国家卫生计生委令第8号修正）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第六十二条  单采血浆站违反本办法有关规定，有下列行为之一的，由县级以上地方人民政府</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予以警告，并处3万元以下的罚款：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（一）隐瞒、阻碍、拒绝</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 xml:space="preserve">监督检查或者不如实提供有关资料的；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（二）对供血浆者未履行事先告知义务，未经供血浆者同意开展特殊免疫的；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（三）未按照规定建立供血浆者档案管理及屏蔽、淘汰制度的；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（四）未按照规定制订各项工作制度或者不落实的；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（五）工作人员未取得相关岗位执业资格或者未经执业注册从事采供血浆工作的；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（六）不按照规定记录或者保存工作记录的；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（七）未按照规定保存血浆标本的。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警告，并处3万元以下的罚款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89</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承担单采血浆站技术评价、检测的技术机构出具虚假证明文件行为的处罚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0220095000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【部门规章】《单采血浆站管理办法》</w:t>
            </w:r>
            <w:r>
              <w:rPr>
                <w:rFonts w:hint="eastAsia" w:ascii="仿宋_GB2312" w:hAnsi="仿宋_GB2312" w:eastAsia="仿宋_GB2312" w:cs="仿宋_GB2312"/>
                <w:b w:val="0"/>
                <w:bCs/>
                <w:color w:val="auto"/>
                <w:kern w:val="0"/>
                <w:sz w:val="18"/>
                <w:szCs w:val="18"/>
                <w:highlight w:val="none"/>
                <w:u w:val="none"/>
              </w:rPr>
              <w:t>（2016年国家卫生计生委令第8号修正）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第六十七  承担单采血浆站技术评价、检测的技术机构出具虚假证明文件的，由</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责令改正，给予警告，并可处2万元以下的罚款；对直接负责的主管人员和其他直接责任人员，依法给予处分；情节严重，构成犯罪的，依法追究刑事责任。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罚款；吊销《单采血浆许可证》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90</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单采血浆站采集血浆前，未按照国务院卫生行政部门颁布的健康检查标准对供血浆者进行健康检查和血液化验等行为行为的处罚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0220096000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【行政法规】《血液制品管理条例》</w:t>
            </w:r>
            <w:r>
              <w:rPr>
                <w:rFonts w:hint="eastAsia" w:ascii="仿宋_GB2312" w:hAnsi="仿宋_GB2312" w:eastAsia="仿宋_GB2312" w:cs="仿宋_GB2312"/>
                <w:b w:val="0"/>
                <w:bCs/>
                <w:color w:val="auto"/>
                <w:kern w:val="0"/>
                <w:sz w:val="18"/>
                <w:szCs w:val="18"/>
                <w:highlight w:val="none"/>
                <w:u w:val="none"/>
              </w:rPr>
              <w:t>（2016年国务院令第666号修正）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（一）采集血浆前，未按照国务院卫生行政部门颁布的健康检查标准对供血浆者进行健康检查和血液化验的；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（二）采集非划定区域内的供血浆者或者其他人员的血浆的，或者不对供血浆者进行身份识别，采集冒名顶替者、健康检查不合格者或者无《供血浆证》者的血浆的；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（三）违反国务院卫生行政部门制定的血浆采集技术操作标准和程序，过频过量采集血浆的；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（四）向医疗机构直接供应原料血浆或者擅自采集血液的；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（五）未使用单采血浆机械进行血浆采集的；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（六）未使用有产品批准文号并经国家药品生物制品检定机构逐批检定合格的体外诊断试剂以及合格的一次性采血浆器材的；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（七）未按照国家规定的卫生标准和要求包装、储存、运输原料血浆的；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（八）对国家规定检测项目检测结果呈阳性的血浆不清除、不及时上报的；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（九）对污染的注射器、采血浆器材及不合格血浆等不经消毒处理，擅自倾倒，污染环境，造成社会危害的；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（十）重复使用一次性采血浆器材的；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（十一）向与其签订质量责任书的血液制品生产单位以外的其他单位供应原料血浆的。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罚款；吊销《单采血浆许可证》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91</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单采血浆站已知其采集的血浆检测结果呈阳性，仍向血液制品生产单位供应行为的处罚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0220097000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【行政法规】《血液制品管理条例》</w:t>
            </w:r>
            <w:r>
              <w:rPr>
                <w:rFonts w:hint="eastAsia" w:ascii="仿宋_GB2312" w:hAnsi="仿宋_GB2312" w:eastAsia="仿宋_GB2312" w:cs="仿宋_GB2312"/>
                <w:b w:val="0"/>
                <w:bCs/>
                <w:color w:val="auto"/>
                <w:kern w:val="0"/>
                <w:sz w:val="18"/>
                <w:szCs w:val="18"/>
                <w:highlight w:val="none"/>
                <w:u w:val="none"/>
              </w:rPr>
              <w:t>（2016年国务院令第666号修正）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第三十六条  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造成经血液途径传播的疾病传播、人身伤害等危害，构成犯罪的，对负有直接责任的主管人员和其他直接责任人员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吊销《单采血浆许可证》，罚款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92</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涂改、伪造、转让《供血浆证》行为的处罚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0220098000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【行政法规】《血液制品管理条例》</w:t>
            </w:r>
            <w:r>
              <w:rPr>
                <w:rFonts w:hint="eastAsia" w:ascii="仿宋_GB2312" w:hAnsi="仿宋_GB2312" w:eastAsia="仿宋_GB2312" w:cs="仿宋_GB2312"/>
                <w:b w:val="0"/>
                <w:bCs/>
                <w:color w:val="auto"/>
                <w:kern w:val="0"/>
                <w:sz w:val="18"/>
                <w:szCs w:val="18"/>
                <w:highlight w:val="none"/>
                <w:u w:val="none"/>
              </w:rPr>
              <w:t>（2016年国务院令第666号修正）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第三十七条  涂改、伪造、转让《供血浆证》的，由县级人民政府卫生行政部门收缴《供血浆证》，没收违法所得，并处违法所得3倍以上5倍以下的罚款，没有违法所得的，并处1万元以下的罚款；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没收违法所得，罚款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93</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医疗机构未设立临床用血管理委员会或者工作组等行为的处罚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0220100000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【部门规章】《医疗机构临床用血管理办法》（2012年卫生部令第85号）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第三十五条  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（一）未设立临床用血管理委员会或者工作组的；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（二）未拟定临床用血计划或者一年内未对计划实施情况进行评估和考核的；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（三）未建立血液发放和输血核对制度的；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（四）未建立临床用血申请管理制度的；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（五）未建立医务人员临床用血和无偿献血知识培训制度的；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（六）未建立科室和医师临床用血评价及公示制度的；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（七）将经济收入作为对输血科或者血库工作的考核指标的；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（八）违反本办法的其他行为。</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94</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临床用血的包装、储存、运输,不符合国家规定的卫生标准和要求行为的处罚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0220101000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【法律】《中华人民共和国献血法》（1997年）</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第二十条 临床用血的包装、储存、运输,不符合国家规定的卫生标准和要求的,由县级以上地方人民政府卫生行政部门责令改正,给予警告,可以并处一万元以下的罚款。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警告,并处一万元以下的罚款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95</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医疗机构使用未经卫生行政部门指定的血站供应的血液行为的处罚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0220102000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【部门规章】《医疗机构临床用血管理办法》（2012年卫生部令第85号）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第三十六条  医疗机构使用未经卫生行政部门指定的血站供应的血液的，由县级以上地方人民政府卫生行政部门给予警告，并处3万元以下罚款；情节严重或者造成严重后果的，对负有责任的主管人员和其他直接责任人员依法给予处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警告，并处3万元以下罚款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96</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医疗机构违反应急用血采血规定行为的处罚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0220103000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【部门规章】《医疗机构临床用血管理办法》（2012年卫生部令第85号）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第三十七条  医疗机构违反本办法关于应急用血采血规定的，由县级以上人民政府卫生行政部门责令限期改正，给予警告；情节严重或者造成严重后果的，处3万元以下罚款，对负有责任的主管人员和其他直接责任人员依法给予处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97</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不符合条件的医疗机构擅自从事精神障碍诊断、治疗等的处罚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0220104000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【法律】《中华人民共和国精神卫生法》（2018年修正）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第七十三条  不符合本法规定条件的医疗机构擅自从事精神障碍诊断、治疗的，由县级以上人民政府卫生行政部门责令停止相关诊疗活动，给予警告，并处5000元以上10000元以下罚款，有违法所得的，没收违法所得；对直接负责的主管人员和其他直接责任人员依法给予或者责令给予降低岗位等级或者撤职、开除的处分；对有关医务人员，吊销其执业证书。</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警告，罚款,有违法所得的，没收违法所得;对有关医务人员，吊销其执业证书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98</w:t>
            </w:r>
          </w:p>
        </w:tc>
        <w:tc>
          <w:tcPr>
            <w:tcW w:w="631" w:type="dxa"/>
            <w:vAlign w:val="center"/>
          </w:tcPr>
          <w:p>
            <w:pPr>
              <w:pStyle w:val="12"/>
              <w:widowControl w:val="0"/>
              <w:adjustRightInd/>
              <w:snapToGrid/>
              <w:spacing w:line="260" w:lineRule="exact"/>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pStyle w:val="12"/>
              <w:widowControl w:val="0"/>
              <w:adjustRightInd/>
              <w:snapToGrid/>
              <w:spacing w:line="260" w:lineRule="exact"/>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对医疗机构及其工作人员违反法律规定实施约束、隔离等保护性医疗措施，强迫精神障碍患者劳动等行为的处罚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0220105000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pStyle w:val="12"/>
              <w:widowControl w:val="0"/>
              <w:adjustRightInd/>
              <w:snapToGrid/>
              <w:spacing w:line="260" w:lineRule="exact"/>
              <w:ind w:firstLine="360" w:firstLineChars="200"/>
              <w:jc w:val="both"/>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【法律】《中华人民共和国精神卫生法》（2018年修正）</w:t>
            </w:r>
          </w:p>
          <w:p>
            <w:pPr>
              <w:pStyle w:val="12"/>
              <w:widowControl w:val="0"/>
              <w:adjustRightInd/>
              <w:snapToGrid/>
              <w:spacing w:line="260" w:lineRule="exact"/>
              <w:ind w:firstLine="360" w:firstLineChars="200"/>
              <w:jc w:val="both"/>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一）违反本法规定实施约束、隔离等保护性医疗措施的；（二）违反本法规定，强迫精神障碍患者劳动的；（三）违反本法规定对精神障碍患者实施外科手术或者实验性临床医疗的；（四）违反本法规定，侵害精神障碍患者的通讯和会见探访者等权利的；（五）违反精神障碍诊断标准，将非精神障碍患者诊断为精神障碍患者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暂停六个月以上一年以下执业活动；情节严重的，吊销有关医务人员的执业证书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99</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从事心理咨询人员、心理治疗人员开展业务范围以外工作行为的处罚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0220106000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【法律】《中华人民共和国精神卫生法》（2018年修正）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（一）心理咨询人员从事心理治疗或者精神障碍的诊断、治疗的；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（二）从事心理治疗的人员在医疗机构以外开展心理治疗活动的；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（三）专门从事心理治疗的人员从事精神障碍的诊断的；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（四）专门从事心理治疗的人员为精神障碍患者开具处方或者提供外科治疗的。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警告，罚款，有违法所得的，没收违法所得；造成严重后果的，责令暂停六个月以上一年以下执业活动，直至吊销执业证书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100</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医疗机构及其工作人员拒绝对送诊的疑似精神障碍患者作出诊断等行为的处罚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0220107000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【法律】《中华人民共和国精神卫生法》（2018年修正）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第三十二条　精神障碍患者有本法第三十条第二款第二项情形，患者或者其监护人对需要住院治疗的诊断结论有异议，不同意对患者实施住院治疗的，可以要求再次诊断和鉴定。</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依照前款规定要求再次诊断的，应当自收到诊断结论之日起三日内向原医疗机构或者其他具有合法资质的医疗机构提出。承担再次诊断的医疗机构应当在接到再次诊断要求后指派二名初次诊断医师以外的精神科执业医师进行再次诊断，并及时出具再次诊断结论。承担再次诊断的执业医师应当到收治患者的医疗机构面见、询问患者，该医疗机构应当予以配合。</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第七十四条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（一）拒绝对送诊的疑似精神障碍患者作出诊断的；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（二）对依照本法第三十条第二款规定实施住院治疗的患者未及时进行检查评估或者未根据评估结果作出处理的。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（一）违反本法规定实施约束、隔离等保护性医疗措施的；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（二）违反本法规定，强迫精神障碍患者劳动的；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（三）违反本法规定对精神障碍患者实施外科手术或者实验性临床医疗的；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（四）违反本法规定，侵害精神障碍患者的通讯和会见探访者等权利的；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（五）违反精神障碍诊断标准，将非精神障碍患者诊断为精神障碍患者的。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警告；情节严重的，可以责令有关医务人员暂停一个月以上六个月以下执业活动</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101</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医疗机构及其人员违反规定未按照规定承担本单位的传染病预防、控制工作、医院感染控制任务和责任区域内的传染病预防工作等行为的处罚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0220108000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【法律】《中华人民共和国传染病防治法》（2013年修正）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按照规定承担本单位的传染病预防、控制工作、医院感染控制任务和责任区域内的传染病预防工作的；（二）未按照规定报告传染病疫情，或者隐瞒、谎报、缓报传染病疫情的；（三）发现传染病疫情时，未按照规定对传染病病人、疑似传染病病人提供医疗救护、现场救援、接诊、转诊的，或者拒绝接受转诊的；（四）未按照规定对本单位内被传染病病原体污染的场所、物品以及医疗废物实施消毒或者无害化处置的；（五）未按照规定对医疗器械进行消毒，或者对按照规定一次使用的医疗器具未予销毁，再次使用的；（六）在医疗救治过程中未按照规定保管医学记录资料的；（七）故意泄露传染病病人、病原携带者、疑似传染病病人、密切接触者涉及个人隐私的有关信息、资料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【行政法规】《中华人民共和国传染病防治法实施办法》（1991年卫生部令第17号）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第七十一条  执行职务的医疗保健人员、卫生防疫人员和责任单位，不报、漏报、迟报传染病疫情的，由县级以上政府卫生行政部门责令限期改正，对主管人员和直接责任人员由其所在单位或者上级机关根据情节，可以给予行政处分。</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个体行医人员在执行职务时，不报、漏报、迟报传染病疫情的，由县级以上政府卫生行政部门责令限期改正，限期内不改的，可以处100元以上500元以下罚款；对造成传染病传播流行的，可以处200元以上2000元以下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【地方性法规】《宁夏回族自治区结核病防治条例》（2002年）</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第三十三条  医疗保健人员、结核病防治人员和其他组织，不报、漏报、谎报、迟报结核病疫情的，由县级以上人民政府卫生行政部门对直接负责的主管人员和其他直接责任人员依法给予行政处分。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个体诊所不报、漏报、谎报、迟报结核病疫情的，由县级以上卫生行政部门责令限期改正；逾期不改正的，处以一百元至五百元的罚款；对造成结核病传播流行的，处以二百元至二千元罚款。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警告；罚款；吊销有关责任人员的执业证书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102</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采供血机构未履行法定报告传染病疫情报告义务导致血液传播疾病发生行为的处罚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0220109000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【法律】《中华人民共和国传染病防治法》（2013年修正）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第七十条第一款  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警告；吊销采供血机构的执业许可证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9"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103</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对饮用水供水单</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位供应的饮用水</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或者涉及饮用水</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卫生安全的产品</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等不符合国家卫</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生标准和卫生规</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范等行为的处罚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10000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【法律】《中华人民共和国传染病防治法》（2013 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第七十三条 违反本法规定，有下列情形之一，导致或者可能导致传染病传播、流行的，由</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县级以上人民政府卫生行政部门责令限期改正，没收违法所得，可以并处五万元以下的罚款；已取得许可证的，原发证部门可以依法暂扣或者吊销许可证；构成犯罪的，依法追究刑事责任：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饮用水供水单位供应的饮用水不符合国家卫生标准和卫生规范的；（二）涉及饮用水卫生安全的产品不符合国家卫生标准和卫生规范的；（三）用于传染病防治的消毒产品不符合国家卫生标准和卫生规范的；（四）出售、运输疫区中被传染病病原体污染或者可能被传染病病原体污染的物品，未进行消毒处理的；（五）生物制品生产单位生产的血液制品不符合国家质量标准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没收违法所得，并</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处五万元以下的罚</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款；已取得许可证</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的，可依法暂扣或</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者吊销许可证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104</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对违反国家有关</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规定，采集、保藏、</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携带、运输和使用</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传染病菌种、毒种</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和传染病检测样</w:t>
            </w:r>
          </w:p>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本等行为的处罚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11000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【法律】《中华人民共和国传染病防治法》（2013 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第七十四条 违反本法规定，有下列情形之一的，由县级以上地方人民政府卫生行政部门</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（一）疾病预防控制机构、医疗机构和从事病原微生物实验的单位，不符合国家规定的条件和技术标准，对传染病病原体样本未按照规定进行严格管理，造成实验室感染和病原微生物</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扩散的；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（二）违反国家有关规定，采集、保藏、携带、运输和使用传染病菌种、毒种和传染病检</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测样本的；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（三）疾病预防控制机构、医疗机构未执行国家有关规定，导致因输入血液、使用血液制</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品引起经血液传播疾病发生的。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警告，已取得许可</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证的，可依法暂扣</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或者吊销许可证；</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对负有责任的主管</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人员和其他直接责</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任人员，可以依法</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吊销有关责任人员的执业证书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105</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自然疫源地兴建的大型建设项目未经卫生调查进行施工的，或未按照疾病预防控制机构的意见采取必要的传染病预防、控制措施行为的处罚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0220112000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【法律】《中华人民共和国传染病防治法》（2013年修正）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警告，罚款，并可提请有关人民政府依据职责权限，责令停建、关闭</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106</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对单位自备水源未经批准与城镇供水系统连接等行为的处罚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0220113000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【行政法规】《中华人民共和国传染病防治法实施办法》（1991年卫生部令第17号）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第六十六条  有下列行为之一的，由县级以上政府卫生行政部门责令限期改正，可以处5000元以下的罚款；情节较严重的，可以处5000元以上20000元以下的罚款，对主管人员和直接责任人员由其所在单位或者上级机关给予行政处分：（一）集中式供水单位供应的饮用水不符合国家规定的《生活饮用水卫生标准》的；（二）单位自备水源未经批准与城镇供水系统连接的；（三）未按城市环境卫生设施标准修建公共卫生设施致使垃圾、粪便、污水不能进行无害化处理的；（四）对被传染病病原体污染的污水、污物、粪便不按规定进行消毒处理的；（五）对被甲类和乙类传染病病人、病原携带者、疑似传染病病人污染的场所、物品未按照卫生防疫机构的要求实施必要的卫生处理的；（六）造成传染病的医源性感染、医院内感染、实验室感染和致病性微生物扩散的；（七）生产、经营、使用消毒药剂和消毒器械、卫生用品、卫生材料、一次性医疗器材、隐形眼镜、人造器官等不符合国家卫生标准，可能造成传染病的传播、扩散或者造成传染病的传播、扩散的；（八）准许或者纵容传染病病人、病原携带者和疑似传染病病人，从事国务院卫生行政部门规定禁止从事的易使该传染病扩散的工作的；（九）传染病病人、病原携带者故意传播传染病，造成他人感染的；（十）甲类传染病病人、病原携带者或者疑似传染病病人，乙类传染病中艾滋病、肺炭疽病人拒绝进行隔离治疗的；（十一）招用流动人员的用工单位，未向</w:t>
            </w:r>
            <w:r>
              <w:rPr>
                <w:rFonts w:hint="default" w:ascii="仿宋_GB2312" w:hAnsi="仿宋_GB2312" w:eastAsia="仿宋_GB2312" w:cs="仿宋_GB2312"/>
                <w:b w:val="0"/>
                <w:bCs/>
                <w:color w:val="auto"/>
                <w:kern w:val="0"/>
                <w:sz w:val="18"/>
                <w:szCs w:val="18"/>
                <w:highlight w:val="none"/>
                <w:u w:val="none"/>
                <w:lang w:val="en-US"/>
              </w:rPr>
              <w:t>卫生防疫</w:t>
            </w:r>
            <w:r>
              <w:rPr>
                <w:rFonts w:hint="eastAsia" w:ascii="仿宋_GB2312" w:hAnsi="仿宋_GB2312" w:eastAsia="仿宋_GB2312" w:cs="仿宋_GB2312"/>
                <w:b w:val="0"/>
                <w:bCs/>
                <w:color w:val="auto"/>
                <w:kern w:val="0"/>
                <w:sz w:val="18"/>
                <w:szCs w:val="18"/>
                <w:highlight w:val="none"/>
                <w:u w:val="none"/>
              </w:rPr>
              <w:t>机构报告并未采取卫生措施，造成传染传播、流行的；（十二）违章养犬或者拒绝、阻挠捕杀违章犬，造成咬伤他人或者导致人群中发生狂犬病的。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前款所称情节较严重的，是指下列情形之一：（一）造成甲类传染病、艾滋病、肺炭疽传播危险的；（二）造成除艾滋病、肺炭疽上的乙、丙类传染病暴发、流行的；（三）造成传染病菌（毒）种扩散的；（四）造成病人残疾、死亡的；（五）拒绝执行《传染病防治法》及本办法的规定，屡经教育仍继续违法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107</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对单位和个人出售、运输被传染病病原体污染和来自疫区可能被传染病病原体污染的皮毛、旧衣物及生活用品行为的处罚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0220114000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【行政法规】《中华人民共和国传染病防治法实施办法》（1991年卫生部令第17号）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第六十八条  单位和个人出售、运输被传染病病原体污染和来自疫区可能被传染病病原体污染的皮毛、旧衣物及生活用品的，由县级以上政府卫生行政部门责令限期进行卫生处理，可以处出售金额1倍以下的罚款；造成传染病流行的，根据情节，可以处相当出售金额3倍以下的罚款，危害严重，出售金额不满2000元的，以2000元计算；对主管人员和直接责任人员由所在单位或者上级机关给予行政处分。</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【部门规章】《消毒管理办法》（2017年国家卫生计生委令第18号修正）</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第四十二条  加工、出售、运输被传染病病原体污染或者来自疫区可能被传染病病原体污染的皮毛，未按国家有关规定进行消毒处理的，应当按照《传染病防治法实施办法》第六十八条的有关规定给予处罚。</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74" w:type="dxa"/>
            <w:vAlign w:val="center"/>
          </w:tcPr>
          <w:p>
            <w:pPr>
              <w:spacing w:line="260" w:lineRule="exact"/>
              <w:ind w:firstLine="180" w:firstLineChars="100"/>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108</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对单位和个人非法经营、出售用于预防传染病菌苗、疫苗等生物制品行为的处罚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0220115000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【行政法规】《中华人民共和国传染病防治法实施办法》（1991年卫生部令第17号）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第六十九条  单位和个人非法经营、出售用于预防传染病菌苗、疫苗等生物制品的，县级以上政府卫生行政部门可以处相当出售金额3倍以下的罚款，危害严重，出售金额不满5000元的，以5000元计算；对主管人员和直接责任人员由所在单位或者上级机关根据情节，可以给予行政处分。</w:t>
            </w:r>
          </w:p>
        </w:tc>
        <w:tc>
          <w:tcPr>
            <w:tcW w:w="1712" w:type="dxa"/>
            <w:vAlign w:val="center"/>
          </w:tcPr>
          <w:p>
            <w:pPr>
              <w:widowControl/>
              <w:adjustRightInd w:val="0"/>
              <w:snapToGrid w:val="0"/>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对单位和个人非法经营、出售用于预防传染病菌苗、疫苗等生物制品行为</w:t>
            </w:r>
            <w:r>
              <w:rPr>
                <w:rFonts w:hint="eastAsia" w:ascii="仿宋_GB2312" w:hAnsi="仿宋_GB2312" w:eastAsia="仿宋_GB2312" w:cs="仿宋_GB2312"/>
                <w:b w:val="0"/>
                <w:bCs/>
                <w:color w:val="auto"/>
                <w:kern w:val="0"/>
                <w:sz w:val="18"/>
                <w:szCs w:val="18"/>
                <w:highlight w:val="none"/>
                <w:u w:val="none"/>
                <w:lang w:eastAsia="zh-CN"/>
              </w:rPr>
              <w:t>进行</w:t>
            </w:r>
            <w:r>
              <w:rPr>
                <w:rFonts w:hint="eastAsia" w:ascii="仿宋_GB2312" w:hAnsi="仿宋_GB2312" w:eastAsia="仿宋_GB2312" w:cs="仿宋_GB2312"/>
                <w:b w:val="0"/>
                <w:bCs/>
                <w:color w:val="auto"/>
                <w:kern w:val="0"/>
                <w:sz w:val="18"/>
                <w:szCs w:val="18"/>
                <w:highlight w:val="none"/>
                <w:u w:val="none"/>
              </w:rPr>
              <w:t>处罚</w:t>
            </w:r>
          </w:p>
        </w:tc>
        <w:tc>
          <w:tcPr>
            <w:tcW w:w="821" w:type="dxa"/>
            <w:vAlign w:val="center"/>
          </w:tcPr>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109</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医疗保健人员、卫生防疫人员和责任单位、个体行医人员在执行职务时不报、漏报、迟报传染病疫情或突发性公共卫生事件行为的处罚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0220116000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【行政法规】《中华人民共和国传染病防治法实施办法》（1991年卫生部令第17号）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第七十一条  执行职务的医疗保健人员、卫生防疫人员和责任单位，不报、漏报、迟报传染病疫情的，由县级以上政府卫生行政部门责令限期改正，对主管人员和直接责任人员由其所在单位或者上级机关根据情节，可以给予行政处分。</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个体行医人员在执行职务时，不报、漏报、迟报传染病疫情的，由县级以上政府卫生行政部门责令限期改正，限期内不改的，可以处100元以上500元以下罚款；对造成传染病传播流行的，可以处200元以上2000元以下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【地方性法规】《宁夏回族自治区结核病防治条例》（2002年）</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第三十三条  医疗保健人员、结核病防治人员和其他组织，不报、漏报、谎报、迟报结核病疫情的，由县级以上人民政府卫生行政部门对直接负责的主管人员和其他直接责任人员依法给予行政处分。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个体诊所不报、漏报、谎报、迟报结核病疫情的，由县级以上卫生行政部门责令限期改正；逾期不改正的，处以一百元至五百元的罚款；对造成结核病传播流行的，处以二百元至二千元罚款。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【部门规章】《突发公共卫生事件与传染病疫情监测信息报告管理办法》（2006年修改）</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第四十条  执行职务的医疗卫生人员瞒报、缓报、谎报传染病疫情的，由县级以上卫生行政部门给予警告，情节严重的，责令暂停六个月以上一年以下执业活动，或者吊销其执业证书。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责任报告单位和事件发生单位瞒报、缓报、谎报或授意他人不报告突发性公共卫生事件或传染病疫情的，对其主要领导、主管人员和直接责任人由其单位或上级主管机关给予行政处分，造成疫情播散或事态恶化等严重后果的，由司法机关追究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110</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对违反规定发布</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接种第二类疫苗</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的建议信息行为</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17000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【行政法规】《疫苗流通和预防接种管理条例》（2016 年国务院令第 668 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第六十七条 违反本条例规定发布接种第二类疫苗的建议信息的,由所在地或者行为发生</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地的县级人民政府卫生主管部门责令通过大众媒体消除影响,给予警告；有违法所得的,没收违法所得,并处违法所得 1 倍以上 3 倍以下的罚款；构成犯罪的,依法追究刑事责任。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警告；没收违法所</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得,并处违法所得 1</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倍以上 3 倍以下的</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774"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111</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 政</w:t>
            </w:r>
          </w:p>
          <w:p>
            <w:pPr>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处罚</w:t>
            </w:r>
          </w:p>
        </w:tc>
        <w:tc>
          <w:tcPr>
            <w:tcW w:w="1575"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对未经卫生主管</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部门依法指定擅</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自从事接种工作</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18000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【行政法规】《疫苗流通和预防接种管理条例》（2016 年国务院令第 668 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第六十八条 未经卫生主管部门依法指定擅自从事接种工作的,由所在地或者行为发生地的县级人民政府卫生主管部门责令改正,给予警告；有违法持有的疫苗的,没收违法持有的疫苗；有违法所得的,没收违法所得；拒不改正的,对主要负责人、直接负责的主管人员和其他直接责</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任人员依法给予警告、降级的处分。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警告；没收违法持</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有的疫苗和违法所</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得</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3"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112</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对卫生主管部门、疾病预防控制机构、接种单位以外的单位或者个人违反规定进行群体性预防接种行为的处罚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0220119000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【行政法规】《疫苗流通和预防接种管理条例》</w:t>
            </w:r>
            <w:r>
              <w:rPr>
                <w:rFonts w:hint="eastAsia" w:ascii="仿宋_GB2312" w:hAnsi="仿宋_GB2312" w:eastAsia="仿宋_GB2312" w:cs="仿宋_GB2312"/>
                <w:b w:val="0"/>
                <w:bCs/>
                <w:color w:val="auto"/>
                <w:sz w:val="18"/>
                <w:szCs w:val="18"/>
                <w:highlight w:val="none"/>
                <w:u w:val="none"/>
              </w:rPr>
              <w:t>（2016年国务院令第668号）</w:t>
            </w:r>
          </w:p>
          <w:p>
            <w:pPr>
              <w:spacing w:line="260" w:lineRule="exact"/>
              <w:ind w:firstLine="352" w:firstLineChars="196"/>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第七十一条  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没收违法持有的疫苗，并处违法持有的疫苗货值金额2倍以上5倍以下的罚款；有违法所得的，没收违法所得</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8"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113</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医疗卫生机构未履行艾滋病监测职责等行为的处罚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0220120000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 《艾滋病防治条例》（20</w:t>
            </w:r>
            <w:r>
              <w:rPr>
                <w:rFonts w:hint="eastAsia" w:ascii="仿宋_GB2312" w:hAnsi="仿宋_GB2312" w:eastAsia="仿宋_GB2312" w:cs="仿宋_GB2312"/>
                <w:b w:val="0"/>
                <w:bCs/>
                <w:color w:val="auto"/>
                <w:sz w:val="18"/>
                <w:szCs w:val="18"/>
                <w:highlight w:val="none"/>
                <w:u w:val="none"/>
                <w:lang w:val="en-US" w:eastAsia="zh-CN"/>
              </w:rPr>
              <w:t>19</w:t>
            </w:r>
            <w:r>
              <w:rPr>
                <w:rFonts w:hint="eastAsia" w:ascii="仿宋_GB2312" w:hAnsi="仿宋_GB2312" w:eastAsia="仿宋_GB2312" w:cs="仿宋_GB2312"/>
                <w:b w:val="0"/>
                <w:bCs/>
                <w:color w:val="auto"/>
                <w:sz w:val="18"/>
                <w:szCs w:val="18"/>
                <w:highlight w:val="none"/>
                <w:u w:val="none"/>
              </w:rPr>
              <w:t>年国务院令第</w:t>
            </w:r>
            <w:r>
              <w:rPr>
                <w:rFonts w:hint="eastAsia" w:ascii="仿宋_GB2312" w:hAnsi="仿宋_GB2312" w:eastAsia="仿宋_GB2312" w:cs="仿宋_GB2312"/>
                <w:b w:val="0"/>
                <w:bCs/>
                <w:color w:val="auto"/>
                <w:sz w:val="18"/>
                <w:szCs w:val="18"/>
                <w:highlight w:val="none"/>
                <w:u w:val="none"/>
                <w:lang w:val="en-US" w:eastAsia="zh-CN"/>
              </w:rPr>
              <w:t>709</w:t>
            </w:r>
            <w:r>
              <w:rPr>
                <w:rFonts w:hint="eastAsia" w:ascii="仿宋_GB2312" w:hAnsi="仿宋_GB2312" w:eastAsia="仿宋_GB2312" w:cs="仿宋_GB2312"/>
                <w:b w:val="0"/>
                <w:bCs/>
                <w:color w:val="auto"/>
                <w:sz w:val="18"/>
                <w:szCs w:val="18"/>
                <w:highlight w:val="none"/>
                <w:u w:val="none"/>
              </w:rPr>
              <w:t xml:space="preserve">号） </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第五十五条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(一)未履行艾滋病监测职责的;</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(二)未按照规定免费提供咨询和初筛检测的;</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(三)对临时应急采集的血液未进行艾滋病检测，对临床用血艾滋病检测结果未进行核查，或者将艾滋病检测阳性的血液用于临床的;</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(四)未遵守标准防护原则，或者未执行操作规程和消毒管理制度，发生艾滋病医院感染或者医源性感染的;</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(五)未采取有效的卫生防护措施和医疗保健措施的;</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(六)推诿、拒绝治疗艾滋病病毒感染者或者艾滋病病人的其他疾病，或者对艾滋病病毒感染者、艾滋病病人未提供咨询、诊断和治疗服务的;</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(七)未对艾滋病病毒感染者或者艾滋病病人进行医学随访的;</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(八)未按照规定对感染艾滋病病毒的孕产妇及其婴儿提供预防艾滋病母婴传播技术指导的。</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出入境检验检疫机构有前款第(一)项、第(四)项、第(五)项规定情形的，由其上级主管部门依照前款规定予以处罚。</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警告；依法吊销有关机构或者责任人员的执业许可证件</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74" w:type="dxa"/>
            <w:vAlign w:val="center"/>
          </w:tcPr>
          <w:p>
            <w:pPr>
              <w:spacing w:line="260" w:lineRule="exact"/>
              <w:jc w:val="center"/>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114</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对血站、单采血浆站未对采集人、人体血液（浆）进行艾滋病检测或发现采集人、人体血液（浆）检测呈阳性仍然采集、提供使用行为的处罚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0220121000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 《艾滋病防治条例》（20</w:t>
            </w:r>
            <w:r>
              <w:rPr>
                <w:rFonts w:hint="eastAsia" w:ascii="仿宋_GB2312" w:hAnsi="仿宋_GB2312" w:eastAsia="仿宋_GB2312" w:cs="仿宋_GB2312"/>
                <w:b w:val="0"/>
                <w:bCs/>
                <w:color w:val="auto"/>
                <w:sz w:val="18"/>
                <w:szCs w:val="18"/>
                <w:highlight w:val="none"/>
                <w:u w:val="none"/>
                <w:lang w:val="en-US" w:eastAsia="zh-CN"/>
              </w:rPr>
              <w:t>19</w:t>
            </w:r>
            <w:r>
              <w:rPr>
                <w:rFonts w:hint="eastAsia" w:ascii="仿宋_GB2312" w:hAnsi="仿宋_GB2312" w:eastAsia="仿宋_GB2312" w:cs="仿宋_GB2312"/>
                <w:b w:val="0"/>
                <w:bCs/>
                <w:color w:val="auto"/>
                <w:sz w:val="18"/>
                <w:szCs w:val="18"/>
                <w:highlight w:val="none"/>
                <w:u w:val="none"/>
              </w:rPr>
              <w:t>年国务院令第</w:t>
            </w:r>
            <w:r>
              <w:rPr>
                <w:rFonts w:hint="eastAsia" w:ascii="仿宋_GB2312" w:hAnsi="仿宋_GB2312" w:eastAsia="仿宋_GB2312" w:cs="仿宋_GB2312"/>
                <w:b w:val="0"/>
                <w:bCs/>
                <w:color w:val="auto"/>
                <w:sz w:val="18"/>
                <w:szCs w:val="18"/>
                <w:highlight w:val="none"/>
                <w:u w:val="none"/>
                <w:lang w:val="en-US" w:eastAsia="zh-CN"/>
              </w:rPr>
              <w:t>709</w:t>
            </w:r>
            <w:r>
              <w:rPr>
                <w:rFonts w:hint="eastAsia" w:ascii="仿宋_GB2312" w:hAnsi="仿宋_GB2312" w:eastAsia="仿宋_GB2312" w:cs="仿宋_GB2312"/>
                <w:b w:val="0"/>
                <w:bCs/>
                <w:color w:val="auto"/>
                <w:sz w:val="18"/>
                <w:szCs w:val="18"/>
                <w:highlight w:val="none"/>
                <w:u w:val="none"/>
              </w:rPr>
              <w:t xml:space="preserve">号） </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第五十七条 血站、单采血浆站违反本条例规定，有下列情形之一，构成犯罪的，依法追究刑事责任;尚不构成犯罪的，由县级以上人民政府卫生主管部门依照献血法和《</w:t>
            </w:r>
            <w:r>
              <w:rPr>
                <w:rFonts w:hint="eastAsia" w:ascii="仿宋_GB2312" w:hAnsi="仿宋_GB2312" w:eastAsia="仿宋_GB2312" w:cs="仿宋_GB2312"/>
                <w:b w:val="0"/>
                <w:bCs/>
                <w:color w:val="auto"/>
                <w:sz w:val="18"/>
                <w:szCs w:val="18"/>
                <w:highlight w:val="none"/>
                <w:u w:val="none"/>
              </w:rPr>
              <w:fldChar w:fldCharType="begin"/>
            </w:r>
            <w:r>
              <w:rPr>
                <w:rFonts w:hint="eastAsia" w:ascii="仿宋_GB2312" w:hAnsi="仿宋_GB2312" w:eastAsia="仿宋_GB2312" w:cs="仿宋_GB2312"/>
                <w:b w:val="0"/>
                <w:bCs/>
                <w:color w:val="auto"/>
                <w:sz w:val="18"/>
                <w:szCs w:val="18"/>
                <w:highlight w:val="none"/>
                <w:u w:val="none"/>
              </w:rPr>
              <w:instrText xml:space="preserve"> HYPERLINK "https://baike.so.com/doc/2680286-2830194.html" \t "https://baike.so.com/doc/_blank" </w:instrText>
            </w:r>
            <w:r>
              <w:rPr>
                <w:rFonts w:hint="eastAsia" w:ascii="仿宋_GB2312" w:hAnsi="仿宋_GB2312" w:eastAsia="仿宋_GB2312" w:cs="仿宋_GB2312"/>
                <w:b w:val="0"/>
                <w:bCs/>
                <w:color w:val="auto"/>
                <w:sz w:val="18"/>
                <w:szCs w:val="18"/>
                <w:highlight w:val="none"/>
                <w:u w:val="none"/>
              </w:rPr>
              <w:fldChar w:fldCharType="separate"/>
            </w:r>
            <w:r>
              <w:rPr>
                <w:rFonts w:hint="eastAsia" w:ascii="仿宋_GB2312" w:hAnsi="仿宋_GB2312" w:eastAsia="仿宋_GB2312" w:cs="仿宋_GB2312"/>
                <w:b w:val="0"/>
                <w:bCs/>
                <w:color w:val="auto"/>
                <w:sz w:val="18"/>
                <w:szCs w:val="18"/>
                <w:highlight w:val="none"/>
                <w:u w:val="none"/>
              </w:rPr>
              <w:t>血液制品管理条例</w:t>
            </w:r>
            <w:r>
              <w:rPr>
                <w:rFonts w:hint="eastAsia" w:ascii="仿宋_GB2312" w:hAnsi="仿宋_GB2312" w:eastAsia="仿宋_GB2312" w:cs="仿宋_GB2312"/>
                <w:b w:val="0"/>
                <w:bCs/>
                <w:color w:val="auto"/>
                <w:sz w:val="18"/>
                <w:szCs w:val="18"/>
                <w:highlight w:val="none"/>
                <w:u w:val="none"/>
              </w:rPr>
              <w:fldChar w:fldCharType="end"/>
            </w:r>
            <w:r>
              <w:rPr>
                <w:rFonts w:hint="eastAsia" w:ascii="仿宋_GB2312" w:hAnsi="仿宋_GB2312" w:eastAsia="仿宋_GB2312" w:cs="仿宋_GB2312"/>
                <w:b w:val="0"/>
                <w:bCs/>
                <w:color w:val="auto"/>
                <w:sz w:val="18"/>
                <w:szCs w:val="18"/>
                <w:highlight w:val="none"/>
                <w:u w:val="none"/>
              </w:rPr>
              <w:t>》的规定予以处罚;造成艾滋病传播、流行或者其他严重后果的，对负有责任的主管人员和其他直接责任人员依法给予降级、撤职、开除的处分，并可以依法吊销血站、单采血浆站的执业许可证:</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(一)对采集的人体血液、血浆未进行艾滋病检测，或者发现艾滋病检测阳性的人体血液、血浆仍然采集的;</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(二)将未经艾滋病检测的人体血液、血浆，或者艾滋病检测阳性的人体血液、血浆供应给医疗机构和血液制品生产单位的。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吊销血站、单采血浆站的执业许可证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115</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未经艾滋病检测采集或者使用人体组织、器官、细胞、骨髓等行为的处罚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0220122000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【行政法规】《艾滋病防治条例》（20</w:t>
            </w:r>
            <w:r>
              <w:rPr>
                <w:rFonts w:hint="eastAsia" w:ascii="仿宋_GB2312" w:hAnsi="仿宋_GB2312" w:eastAsia="仿宋_GB2312" w:cs="仿宋_GB2312"/>
                <w:b w:val="0"/>
                <w:bCs/>
                <w:color w:val="auto"/>
                <w:sz w:val="18"/>
                <w:szCs w:val="18"/>
                <w:highlight w:val="none"/>
                <w:u w:val="none"/>
                <w:lang w:val="en-US" w:eastAsia="zh-CN"/>
              </w:rPr>
              <w:t>19</w:t>
            </w:r>
            <w:r>
              <w:rPr>
                <w:rFonts w:hint="eastAsia" w:ascii="仿宋_GB2312" w:hAnsi="仿宋_GB2312" w:eastAsia="仿宋_GB2312" w:cs="仿宋_GB2312"/>
                <w:b w:val="0"/>
                <w:bCs/>
                <w:color w:val="auto"/>
                <w:sz w:val="18"/>
                <w:szCs w:val="18"/>
                <w:highlight w:val="none"/>
                <w:u w:val="none"/>
              </w:rPr>
              <w:t>年国务院令第</w:t>
            </w:r>
            <w:r>
              <w:rPr>
                <w:rFonts w:hint="eastAsia" w:ascii="仿宋_GB2312" w:hAnsi="仿宋_GB2312" w:eastAsia="仿宋_GB2312" w:cs="仿宋_GB2312"/>
                <w:b w:val="0"/>
                <w:bCs/>
                <w:color w:val="auto"/>
                <w:sz w:val="18"/>
                <w:szCs w:val="18"/>
                <w:highlight w:val="none"/>
                <w:u w:val="none"/>
                <w:lang w:val="en-US" w:eastAsia="zh-CN"/>
              </w:rPr>
              <w:t>709</w:t>
            </w:r>
            <w:r>
              <w:rPr>
                <w:rFonts w:hint="eastAsia" w:ascii="仿宋_GB2312" w:hAnsi="仿宋_GB2312" w:eastAsia="仿宋_GB2312" w:cs="仿宋_GB2312"/>
                <w:b w:val="0"/>
                <w:bCs/>
                <w:color w:val="auto"/>
                <w:sz w:val="18"/>
                <w:szCs w:val="18"/>
                <w:highlight w:val="none"/>
                <w:u w:val="none"/>
              </w:rPr>
              <w:t>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第三十六条  采集或者使用人体组织、器官、细胞、骨髓等的，应当进行艾滋病检测；未经艾滋病检测或者艾滋病检测阳性的，不得采集或者使用。但是，用于艾滋病防治科研、教学的除外。</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第五十八条  违反本条例第三十六条规定采集或者使用人体组织、器官、细胞、骨髓等的，由县级人民政府卫生主管部门责令改正，通报批评，给予警告；情节严重的，责令停业整顿，有执业许可证件的，由原发证部门暂扣或者吊销其执业许可证件。</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警告；情节严重的，责令停业整顿，有执业许可证件的，暂扣或者吊销其执业许可证件</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116</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提供、使用未经出入境检验检疫机构检疫的进口人体血液、血浆、组织、器官、细胞、骨髓等行为的处罚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0220123000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【行政法规】《艾滋病防治条例》（20</w:t>
            </w:r>
            <w:r>
              <w:rPr>
                <w:rFonts w:hint="eastAsia" w:ascii="仿宋_GB2312" w:hAnsi="仿宋_GB2312" w:eastAsia="仿宋_GB2312" w:cs="仿宋_GB2312"/>
                <w:b w:val="0"/>
                <w:bCs/>
                <w:color w:val="auto"/>
                <w:sz w:val="18"/>
                <w:szCs w:val="18"/>
                <w:highlight w:val="none"/>
                <w:u w:val="none"/>
                <w:lang w:val="en-US" w:eastAsia="zh-CN"/>
              </w:rPr>
              <w:t>19</w:t>
            </w:r>
            <w:r>
              <w:rPr>
                <w:rFonts w:hint="eastAsia" w:ascii="仿宋_GB2312" w:hAnsi="仿宋_GB2312" w:eastAsia="仿宋_GB2312" w:cs="仿宋_GB2312"/>
                <w:b w:val="0"/>
                <w:bCs/>
                <w:color w:val="auto"/>
                <w:sz w:val="18"/>
                <w:szCs w:val="18"/>
                <w:highlight w:val="none"/>
                <w:u w:val="none"/>
              </w:rPr>
              <w:t>年国务院令第</w:t>
            </w:r>
            <w:r>
              <w:rPr>
                <w:rFonts w:hint="eastAsia" w:ascii="仿宋_GB2312" w:hAnsi="仿宋_GB2312" w:eastAsia="仿宋_GB2312" w:cs="仿宋_GB2312"/>
                <w:b w:val="0"/>
                <w:bCs/>
                <w:color w:val="auto"/>
                <w:sz w:val="18"/>
                <w:szCs w:val="18"/>
                <w:highlight w:val="none"/>
                <w:u w:val="none"/>
                <w:lang w:val="en-US" w:eastAsia="zh-CN"/>
              </w:rPr>
              <w:t>709</w:t>
            </w:r>
            <w:r>
              <w:rPr>
                <w:rFonts w:hint="eastAsia" w:ascii="仿宋_GB2312" w:hAnsi="仿宋_GB2312" w:eastAsia="仿宋_GB2312" w:cs="仿宋_GB2312"/>
                <w:b w:val="0"/>
                <w:bCs/>
                <w:color w:val="auto"/>
                <w:sz w:val="18"/>
                <w:szCs w:val="18"/>
                <w:highlight w:val="none"/>
                <w:u w:val="none"/>
              </w:rPr>
              <w:t xml:space="preserve">号） </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九条对不符合本条例第三十七条第二款规定进出口的人体血液、血浆、组织、器官、细胞、骨髓等，进出口口岸出入境检验检疫机构应当禁止出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未经国务院药品监督管理部门批准，进口血液制品的，依照药品管理法的规定予以处罚。</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没收违法物品以及违法所得，并处违法物品货值金额３倍以上５倍以下的罚款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117</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医疗机构提供性病诊疗服务时违反诊疗规范行为的处罚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0220124000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【部门规章】《性病防治管理办法》（2012年卫生部令第89号）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第四十九条  医疗机构提供性病诊疗服务时违反诊疗规范的，由县级以上卫生行政部门责令限期改正，给予警告；逾期不改的，可以根据情节轻重处以三万元以下罚款。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警告；逾期不改的，可以根据情节轻重处以三万元以下罚款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118</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未设立结核病门诊和结核病病房的医疗保健机构收治传染性肺结核病人行为的处罚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0220125000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【地方性法规】《宁夏回族自治区结核病防治条例》（2002年）</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第十二条第二款  未设立结核病门诊和结核病病房的医疗保健机构，不得收治传染性结核病病人。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第三十一条  违反本条例第十二条第二款规定的，由县级以上人民政府卫生行政部门给予警告，责令限期改正；逾期不改正的，并处五百元至五千元罚款；有违法所得的，没收违法所得，并处违法所得三倍以下的罚款；对直接负责的主管人员和其他直接责任人员依法给予行政处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警告；罚款；有违法所得的，没收违法所得</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119</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对基层医疗卫生</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机构违反《结核病</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防治管理办法》行</w:t>
            </w:r>
          </w:p>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26000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52" w:firstLineChars="196"/>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【部门规章】《结核病防治管理办法》（2013 年卫生部令第 92 号）</w:t>
            </w:r>
          </w:p>
          <w:p>
            <w:pPr>
              <w:spacing w:line="260" w:lineRule="exact"/>
              <w:ind w:firstLine="352" w:firstLineChars="196"/>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第三十七条 基层医疗卫生机构违反本办法规定,有下列情形之一的,由县级卫生行政部门责令改正,给予警告：（一）未履行对辖区内肺结核患者居家治疗期间的督导管理职责的；（二）未按照规定转诊、追踪肺结核患者或者疑似肺结核患者及有可疑症状的密切接触者。</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w:t>
            </w:r>
          </w:p>
        </w:tc>
        <w:tc>
          <w:tcPr>
            <w:tcW w:w="821"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120</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对相关单位未对结核病扩散采取预防性措施，及结核病病人故意扩散造成他人感染行为的处罚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0220127000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【地方性法规】《宁夏回族自治区结核病防治条例》（2002年）</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第二十六条第二款  用工单位发现雇用的流动人员患有传染性肺结核病的，应当向结核病防治机构报告并采取措施，防止传播、流行。</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第三十二条  有下列行为之一的，由县级以上人民政府卫生行政部门给予警告，责令限期改正；逾期不改正的，处以五千元以下的罚款；情节严重的，处以五千元至五万元的罚款，并对直接负责的主管人员和其他直接责任人员依法给予行政处分：</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（一）违反本条例规定，未组织有关人员接受结核病预防性体检的；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（二）结核病病人故意传播该病，造成他人感染的；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（三）允许或者纵容传染性肺结核病人从事易使该病扩散的工作的；</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（四）医疗保健机构和结核病防治机构不执行隔离消毒制度，未对带有结核病菌的痰液、污物、污水以及废弃的培养基等进行卫生处理的；</w:t>
            </w:r>
          </w:p>
          <w:p>
            <w:pPr>
              <w:spacing w:line="260" w:lineRule="exact"/>
              <w:ind w:firstLine="352" w:firstLineChars="196"/>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（五）用工单位违反本条例第二十六条第二款规定的。</w:t>
            </w:r>
          </w:p>
        </w:tc>
        <w:tc>
          <w:tcPr>
            <w:tcW w:w="1712"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121</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在不符合相应生物安全要求的实验室从事病原微生物实验活动行为的处罚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0220129000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【行政法规】《病原微生物实验室生物安全管理条例》（2018年国务院令第698号）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第二十二条第二款  实验室申报或者接受与高致病性病原微生物有关的科研项目，应当符合科研需要和生物安全要求，具有相应的生物安全防护水平。与动物间传染的高致病性病原微生物有关的科研项目，应当经国务院兽医主管部门同意；与人体健康有关的高致病性病原微生物科研项目，实验室应当将立项结果告知省级以上人民政府卫生主管部门。</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第五十九条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122</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未依照规定在明显位置标示国务院卫生主管部门和兽医主管部门规定的生物危险标识和生物安全实验室级别标志等行为的处罚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0220130000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【行政法规】《病原微生物实验室生物安全管理条例》（2018年国务院令第698号）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(一)未依照规定在明显位置标示国务院卫生主管部门和兽医主管部门规定的生物危险标识和生物安全实验室级别标志的；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(二)未向原批准部门报告实验活动结果以及工作情况的；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(三)未依照规定采集病原微生物样本，或者对所采集样本的来源、采集过程和方法等未作详细记录的；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(四)新建、改建或者扩建一级、二级实验室未向设区的市级人民政府卫生主管部门或者兽医主管部门备案的；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(五)未依照规定定期对工作人员进行培训，或者工作人员考核不合格允许其上岗，或者批准未采取防护措施的人员进入实验室的；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(六)实验室工作人员未遵守实验室生物安全技术规范和操作规程的；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(七)未依照规定建立或者保存实验档案的；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(八)未依照规定制定实验室感染应急处置预案并备案的。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123</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从事高致病性病原微生物相关实验活动的实验室的设立单位未建立健全安全保卫制度，或者未采取安全保卫措施行为的处罚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0220131000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【行政法规】《病原微生物实验室生物安全管理条例》（2018年国务院令第698号）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第六十一条</w:t>
            </w:r>
            <w:r>
              <w:rPr>
                <w:rFonts w:hint="eastAsia" w:ascii="仿宋_GB2312" w:hAnsi="仿宋_GB2312" w:eastAsia="仿宋_GB2312" w:cs="仿宋_GB2312"/>
                <w:b w:val="0"/>
                <w:bCs/>
                <w:color w:val="auto"/>
                <w:sz w:val="18"/>
                <w:szCs w:val="18"/>
                <w:highlight w:val="none"/>
                <w:u w:val="none"/>
                <w:lang w:val="en-US" w:eastAsia="zh-CN"/>
              </w:rPr>
              <w:t xml:space="preserve">  </w:t>
            </w:r>
            <w:r>
              <w:rPr>
                <w:rFonts w:hint="eastAsia" w:ascii="仿宋_GB2312" w:hAnsi="仿宋_GB2312" w:eastAsia="仿宋_GB2312" w:cs="仿宋_GB2312"/>
                <w:b w:val="0"/>
                <w:bCs/>
                <w:color w:val="auto"/>
                <w:sz w:val="18"/>
                <w:szCs w:val="18"/>
                <w:highlight w:val="none"/>
                <w:u w:val="none"/>
              </w:rPr>
              <w:t>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责令停止该项实验活动，该实验室2年内不得申请从事高致病性病原微生物实验活动；造成传染病传播、流行的，该实验室设立单位的主管部门还应当对该实验室的设立单位的直接负责的主管人员和其他直接责任人员，依法给予降级、撤职、开除的处分；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吊销该实验室从事高致病性病原微生物相关实验活动的资格证书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124</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医疗机构高致病性病原微生物菌(毒)种或者样本被盗、被抢、丢失、泄漏行为的处罚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0220132000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【行政法规】《病原微生物实验室生物安全管理条例》（2018年国务院令第698号）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第十一条第二款  运输高致病性病原微生物菌(毒)种或者样本，应当经省级以上人民政府卫生主管部门或者兽医主管部门批准。在省、自治区、直辖市行政区域内运输的，由省、自治区、直辖市人民政府卫生主管部门或者兽医主管部门批准；需要跨省、自治区、直辖市运输或者运往国外的，由出发地的省、自治区、直辖市人民政府卫生主管部门或者兽医主管部门进行初审后，分别报国务院卫生主管部门或者兽医主管部门批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第六十七条  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125</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实验室有关责任人员未履行病原微生物实验室相关情况报告义务或未按规定采取控制措施行为的处罚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0220134000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【行政法规】《病原微生物实验室生物安全管理条例》（2018年国务院令第698号）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第六十五条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警告；吊销有关许可证件</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126</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实验室拒绝接受主管部门依法开展的监督活动或控制措施行为的处罚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0220135000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【行政法规】《病原微生物实验室生物安全管理条例》（201</w:t>
            </w:r>
            <w:r>
              <w:rPr>
                <w:rFonts w:hint="eastAsia" w:ascii="仿宋_GB2312" w:hAnsi="仿宋_GB2312" w:eastAsia="仿宋_GB2312" w:cs="仿宋_GB2312"/>
                <w:b w:val="0"/>
                <w:bCs/>
                <w:color w:val="auto"/>
                <w:sz w:val="18"/>
                <w:szCs w:val="18"/>
                <w:highlight w:val="none"/>
                <w:u w:val="none"/>
                <w:lang w:val="en-US" w:eastAsia="zh-CN"/>
              </w:rPr>
              <w:t>8</w:t>
            </w:r>
            <w:r>
              <w:rPr>
                <w:rFonts w:hint="eastAsia" w:ascii="仿宋_GB2312" w:hAnsi="仿宋_GB2312" w:eastAsia="仿宋_GB2312" w:cs="仿宋_GB2312"/>
                <w:b w:val="0"/>
                <w:bCs/>
                <w:color w:val="auto"/>
                <w:sz w:val="18"/>
                <w:szCs w:val="18"/>
                <w:highlight w:val="none"/>
                <w:u w:val="none"/>
              </w:rPr>
              <w:t>年国务院令第6</w:t>
            </w:r>
            <w:r>
              <w:rPr>
                <w:rFonts w:hint="eastAsia" w:ascii="仿宋_GB2312" w:hAnsi="仿宋_GB2312" w:eastAsia="仿宋_GB2312" w:cs="仿宋_GB2312"/>
                <w:b w:val="0"/>
                <w:bCs/>
                <w:color w:val="auto"/>
                <w:sz w:val="18"/>
                <w:szCs w:val="18"/>
                <w:highlight w:val="none"/>
                <w:u w:val="none"/>
                <w:lang w:val="en-US" w:eastAsia="zh-CN"/>
              </w:rPr>
              <w:t>98</w:t>
            </w:r>
            <w:r>
              <w:rPr>
                <w:rFonts w:hint="eastAsia" w:ascii="仿宋_GB2312" w:hAnsi="仿宋_GB2312" w:eastAsia="仿宋_GB2312" w:cs="仿宋_GB2312"/>
                <w:b w:val="0"/>
                <w:bCs/>
                <w:color w:val="auto"/>
                <w:sz w:val="18"/>
                <w:szCs w:val="18"/>
                <w:highlight w:val="none"/>
                <w:u w:val="none"/>
              </w:rPr>
              <w:t>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警告；吊销有关许可证件</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127</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医疗卫生机构未依照规定履行报告职责，隐瞒、缓报或者谎报等行为的处罚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0220136000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【行政法规】《突发公共卫生事件应急条例》（2011年国务院令第588号修正）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第五十条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(一)未依照本条例的规定履行报告职责，隐瞒、缓报或者谎报的；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(二)未依照本条例的规定及时采取控制措施的；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(三)未依照本条例的规定履行突发事件监测职责的；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(四)拒绝接诊病人的；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(五)拒不服从突发事件应急处理指挥部调度的。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警告；情节严重的，吊销《医疗机构执业许可证》</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128</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对道路运输经营者、水路运输经营者违反本规定，对在车船上发现的检疫传染病病人、疑似检疫传染病病人，未按有关规定采取相应措施行为的处罚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0220137000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【部门规章】《突发公共卫生事件交通应急规定》（2004年卫生部、交通部令第2号）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第四十四条  道路运输经营者、水路运输经营者违反本规定，对在车船上发现的检疫传染病病人、疑似检疫传染病病人，未按有关规定采取相应措施的，由县级以上地方人民政府卫生行政主管部门责令改正，给予警告，并处1000元以上5000元以下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警告，并处1000元以上5000元以下的罚款</w:t>
            </w:r>
          </w:p>
        </w:tc>
        <w:tc>
          <w:tcPr>
            <w:tcW w:w="821"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129</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对检疫传染病病人、疑似检疫传染病病人以及与其密切接触者隐瞒真实情况、逃避交通卫生检疫行为的处罚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0220138000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【部门规章】《突发公共卫生事件交通应急规定》（2004年卫生部、交通部令第2号）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第四十五条  检疫传染病病人、疑似检疫传染病病人以及与其密切接触者隐瞒真实情况、逃避交通卫生检疫的，由县级以上地方人民政府卫生行政主管部门责令限期改正，给予警告，可以并处1000元以下的罚款；拒绝接受交通卫生检疫和必要的卫生处理的，给予警告，并处1000元以上5000元以下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警告，并处1000元以下的罚款</w:t>
            </w:r>
          </w:p>
        </w:tc>
        <w:tc>
          <w:tcPr>
            <w:tcW w:w="821"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130</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对检疫传染病病人、病原携带者、疑似检疫传染病病人和与其密切接触者隐瞒真实情况、逃避交通卫生检疫行为的处罚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0220139000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【行政法规】《国内交通卫生检疫条例》（1998年国务院令第254号）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第十三条   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情节严重，引起检疫传染病传播或者有传播严重危险，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警告，并处1000元以下的罚款</w:t>
            </w:r>
          </w:p>
        </w:tc>
        <w:tc>
          <w:tcPr>
            <w:tcW w:w="821"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131</w:t>
            </w:r>
          </w:p>
        </w:tc>
        <w:tc>
          <w:tcPr>
            <w:tcW w:w="631"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医疗保健机构或者人员未取得母婴保健技术许可，擅自从事婚前医学检查、遗传病诊断、产前诊断或者医学技术鉴定等行为的处罚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0220140000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【法律】《中华人民共和国母婴保健法》（2017年修正）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第三十五条  未取得国家颁发的有关合格证书的，有下列行为之一，县级以上地方人民政府卫生行政部门应当予以制止，并可以根据情节给予警告或者处以罚款：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（一）从事婚前医学检查、遗传病诊断、产前诊断或者医学技术鉴定的；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（二）施行终止妊娠手术的；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（三）出具本法规定的有关医学证明的。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上款第（三）项出具的有关医学证明无效。</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【行政法规】《中华人民共和国母婴保健法实施办法》（2017年国务院令第690号修正）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【部门规章】《产前诊断技术管理办法》（2019年国家卫生健康委令第2号）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第三十条  对违反本办法，医疗保健机构未取得产前诊断执业许可或超越许可范围，擅自从事产前诊断的，按照《中华人民共和国母婴保健法实施办法》有关规定处罚，由卫生</w:t>
            </w:r>
            <w:r>
              <w:rPr>
                <w:rFonts w:hint="eastAsia" w:ascii="仿宋_GB2312" w:hAnsi="仿宋_GB2312" w:eastAsia="仿宋_GB2312" w:cs="仿宋_GB2312"/>
                <w:b w:val="0"/>
                <w:bCs/>
                <w:color w:val="auto"/>
                <w:sz w:val="18"/>
                <w:szCs w:val="18"/>
                <w:highlight w:val="none"/>
                <w:u w:val="none"/>
                <w:lang w:eastAsia="zh-CN"/>
              </w:rPr>
              <w:t>健康主管</w:t>
            </w:r>
            <w:r>
              <w:rPr>
                <w:rFonts w:hint="eastAsia" w:ascii="仿宋_GB2312" w:hAnsi="仿宋_GB2312" w:eastAsia="仿宋_GB2312" w:cs="仿宋_GB2312"/>
                <w:b w:val="0"/>
                <w:bCs/>
                <w:color w:val="auto"/>
                <w:sz w:val="18"/>
                <w:szCs w:val="18"/>
                <w:highlight w:val="none"/>
                <w:u w:val="none"/>
              </w:rPr>
              <w:t>部门给予警告，责令停止违法行为，没收违法所得；违法所得5000元以上的，并处违法所得3倍以上5倍以下的罚款；违法所得不足5000元的，并处5000元以上2万元以下的罚款。情节严重的, 依据《医疗机构管理条例》依法吊销医疗机构执业许可证。</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警告，责令停止违法行为，没收违法所得；罚款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132</w:t>
            </w:r>
          </w:p>
        </w:tc>
        <w:tc>
          <w:tcPr>
            <w:tcW w:w="631" w:type="dxa"/>
            <w:vAlign w:val="center"/>
          </w:tcPr>
          <w:p>
            <w:pPr>
              <w:spacing w:line="260" w:lineRule="exact"/>
              <w:rPr>
                <w:rFonts w:hint="eastAsia" w:ascii="仿宋_GB2312" w:hAnsi="仿宋_GB2312" w:eastAsia="仿宋_GB2312" w:cs="仿宋_GB2312"/>
                <w:b w:val="0"/>
                <w:bCs/>
                <w:color w:val="FF0000"/>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从事母婴保健工作的人员出具有关虚假医学证明或者进行胎儿性别鉴定等违法行为的处罚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0220141000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【法律】《中华人民共和国母婴保健法》（2017年修正）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第三十七条  从事母婴保健工作的人员违反本法规定，出具有关虚假医学证明或者进行胎儿性别鉴定的，由医疗保健机构或者卫生行政部门根据情节给予行政处分；情节严重的，依法取消执业资格。</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【行政法规】《中华人民共和国母婴保健法实施办法》（2017年国务院令第690号修正）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第四十一条 从事母婴保健技术服务的人员出具虚假医学证明文件的，依法给予行政处分；有下列情形之一的，由原发证部门撤销相应的母婴保健技术执业资格或者医师执业证书：</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（一）因延误诊治，造成严重后果的；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（二）给当事人身心健康造成严重后果的；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（三）造成其他严重后果的。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第四十二条  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【地方政府规章】《宁夏回族自治区母婴保健管理办法》（宁政发〔1997〕82号）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第三十九条  拒报、谎报、隐瞒、伪造以及涂改孕产女死亡、儿童死亡、围产儿死亡及出生缺陷报告的，由卫生行政部门责令改正，并处以直接责任人100元以上500元以下的罚款。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警告；罚款；撤销相应的母婴保健技术执业资格或者医师执业证书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133</w:t>
            </w:r>
          </w:p>
        </w:tc>
        <w:tc>
          <w:tcPr>
            <w:tcW w:w="631" w:type="dxa"/>
            <w:vAlign w:val="center"/>
          </w:tcPr>
          <w:p>
            <w:pPr>
              <w:spacing w:line="260" w:lineRule="exact"/>
              <w:rPr>
                <w:rFonts w:hint="eastAsia" w:ascii="仿宋_GB2312" w:hAnsi="仿宋_GB2312" w:eastAsia="仿宋_GB2312" w:cs="仿宋_GB2312"/>
                <w:b w:val="0"/>
                <w:bCs/>
                <w:color w:val="FF0000"/>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开展新生儿疾病筛查的医疗机构违反《新生儿疾病筛查技术规范》等行为的处罚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0220142000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 《新生儿疾病筛查管理办法》（2009年卫生部令第64号）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第十七条  开展新生儿疾病筛查的医疗机构违反本办法规定，有下列行为之一的，由县级以上地方人民政府卫生行政部门责令改正，通报批评，给予警告：</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（一）违反《新生儿疾病筛查技术规范》的；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（二）未履行告知程序擅自进行新生儿疾病筛查的；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（三）未按规定进行实验室质量监测、检查的；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（四）违反本办法其他规定的。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134</w:t>
            </w:r>
          </w:p>
        </w:tc>
        <w:tc>
          <w:tcPr>
            <w:tcW w:w="631" w:type="dxa"/>
            <w:vAlign w:val="center"/>
          </w:tcPr>
          <w:p>
            <w:pPr>
              <w:spacing w:line="260" w:lineRule="exact"/>
              <w:rPr>
                <w:rFonts w:hint="eastAsia" w:ascii="仿宋_GB2312" w:hAnsi="仿宋_GB2312" w:eastAsia="仿宋_GB2312" w:cs="仿宋_GB2312"/>
                <w:b w:val="0"/>
                <w:bCs/>
                <w:color w:val="FF0000"/>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非法为他人施行计划生育手术等行为的处罚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0220143000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【法律】《中华人民共和国人口与计划生育法》（2015年修正）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第三十六条  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（一）非法为他人施行计划生育手术的；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（二）利用超声技术和其他技术手段为他人进行非医学需要的胎儿性别鉴定或者选择性别的人工终止妊娠的；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（三）实施假节育手术、进行假医学鉴定、出具假计划生育证明的。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【地方性法规】《宁夏回族自治区人口与计划生育条例》（2016年修正）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第五十六条  违反本条例规定，有下列行为之一的，由卫生和计划生育行政部门依据职权责令改正，给予警告，没收违法所得，违法所得在一万元以上的，处违法所得二倍以上六倍以下的罚款；没有违法所得或者违法所得不足一万元的，处一万元以上三万元以下的罚款；情节严重的，由原发证机关依法吊销执业证书；构成犯罪的，依法追究刑事责任：</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（一）非法为他人摘取宫内节育器、皮下埋植剂或者施行输卵（精）管复通手术的；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（二）利用超声技术和其他技术手段为他人进行非医学需要的胎儿性别鉴定或者选择性别的人工终止妊娠的；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（三）实施假节育手术、进行假医学鉴定、出具假计划生育证明的；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（四）未依法取得资质、资格的单位和个人实施计划生育手术的。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警告，没收违法所得；罚款；情节严重的，由原发证机关吊销执业证书</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both"/>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135</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对伪造、变造、买</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卖计划生育证明</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或者以不正当手</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段取得计划生育</w:t>
            </w:r>
          </w:p>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证明行为的处罚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w:t>
            </w:r>
          </w:p>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44000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【法律】《中华人民共和国人口与计划生育法》（2015 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第三十七条 伪造、变造、买卖计划生育证明，由计划生育行政部门没收违法所得，违法</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所得五千元以上的，处违法所得二倍以上十倍以下的罚款；没有违法所得或者违法所得不足五千元的，处五千元以上二万元以下的罚款；构成犯罪的，依法追究刑事责任。以不正当手段取得计划生育证明的，由计划生育行政部门取消其计划生育证明；出具证明的单位有过错的，对直接负责的主管人员和其他直接责任人员依法给予行政处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【地方性法规】《宁夏回族自治区人口与计划生育条例》（2016 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第五十九条 伪造、变造、买卖计划生育证明的，由卫生和计划生育行政部门没收违法所得，</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违法所得在五千元以上的，处违法所得二倍以上十倍以下的罚款；没有违法所得或者违法所得不足五千元的，处五千元以上二万元以下的罚款；构成犯罪的，依法追究刑事责任。以不正当手段取得计划生育证明的，由县（市、区）卫生和计划生育行政部门撤销其计划生育证明；出具证明的单位有过错的，对直接负责的主管人员和其他直接责任人员给予处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没收违法所得；罚</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款;以不正当手段</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取得计划生育证明</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的，由计划生育行</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政部门取消其计划</w:t>
            </w:r>
          </w:p>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生育证明.</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136</w:t>
            </w:r>
          </w:p>
        </w:tc>
        <w:tc>
          <w:tcPr>
            <w:tcW w:w="631"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非法倒卖、变卖、销售国家免费提供的避孕药具行为的处罚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0220145000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270" w:firstLineChars="15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【地方性法规】《宁夏回族自治区人口与计划生育条例》（2016年修正）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第五十七条 非法倒卖、变卖、销售国家免费提供的避孕药具的，由卫生和计划生育行政部门对直接负责的主管人员和其他直接责任人员依法给予处分；违法所得在二千元以上的，处违法所得二倍以上五倍以下的罚款；没有违法所得或者违法所得不足二千元的，处二千元以上五千元以下的罚款；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137</w:t>
            </w:r>
          </w:p>
        </w:tc>
        <w:tc>
          <w:tcPr>
            <w:tcW w:w="631" w:type="dxa"/>
            <w:vAlign w:val="center"/>
          </w:tcPr>
          <w:p>
            <w:pPr>
              <w:spacing w:line="260" w:lineRule="exact"/>
              <w:rPr>
                <w:rFonts w:hint="eastAsia" w:ascii="仿宋_GB2312" w:hAnsi="仿宋_GB2312" w:eastAsia="仿宋_GB2312" w:cs="仿宋_GB2312"/>
                <w:b w:val="0"/>
                <w:bCs/>
                <w:color w:val="FF0000"/>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计划生育技术服务机构未经批准擅自从事产前诊断和使用辅助生育技术治疗不育症行为的处罚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0220146000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【行政法规】《计划生育技术服务管理条例》（2004年国务院令第428号修正）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第三十五条  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警告，没收违法所得和有关药品、医疗器械；罚款；吊销计划生育技术服务的执业资格</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138</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对买卖、出借、出租或者涂改、伪造计划生育技术服务执业许可证明文件行为的处罚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0220147000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【行政法规】《计划生育技术服务管理条例》（2004年国务院令428号修订）</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第三十七条  违反本条例的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相关的执业资格。</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没收违法所得；</w:t>
            </w:r>
            <w:r>
              <w:rPr>
                <w:rFonts w:hint="eastAsia" w:ascii="仿宋_GB2312" w:hAnsi="仿宋_GB2312" w:eastAsia="仿宋_GB2312" w:cs="仿宋_GB2312"/>
                <w:b w:val="0"/>
                <w:bCs/>
                <w:color w:val="auto"/>
                <w:sz w:val="18"/>
                <w:szCs w:val="18"/>
                <w:highlight w:val="none"/>
                <w:u w:val="none"/>
              </w:rPr>
              <w:t>罚款；吊销计划生育技术服务的执业资格</w:t>
            </w:r>
          </w:p>
        </w:tc>
        <w:tc>
          <w:tcPr>
            <w:tcW w:w="821"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139</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对隐瞒、谎报本人生育情况或者容留、包庇他人违反生育规定怀孕或者生育行为的处罚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0220148000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【地方条例】《宁夏回族自治区人口与计划生育条例》（2016年修正）</w:t>
            </w:r>
          </w:p>
          <w:p>
            <w:pPr>
              <w:widowControl/>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第六十条 隐瞒、谎报本人生育情况或者容留、包庇他人违反生育规定怀孕或者生育的，由卫生和计划生育行政部门或者其他有关部门处以三千元以上一万元以下的罚款；属于国家工作人员的，由其所在单位或者上级主管部门给予处分。</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140</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对计划生育技术服务机构或者医疗、保健机构以外的机构或者人员违反本条例的规定擅自从事计划生育技术服务行为的处罚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0220149000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【行政法规】《计划生育技术服务管理条例》（2004年国务院令428号修正）</w:t>
            </w:r>
          </w:p>
          <w:p>
            <w:pPr>
              <w:spacing w:line="260" w:lineRule="exact"/>
              <w:ind w:firstLine="352" w:firstLineChars="196"/>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第三十四条  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造成严重后果，构成犯罪的，依法追究刑事责任。</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警告，没收违法所得和有关药品、医疗器械；罚款</w:t>
            </w:r>
          </w:p>
        </w:tc>
        <w:tc>
          <w:tcPr>
            <w:tcW w:w="821"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141</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对从事计划生育技术服务的人员擅自增加计划生育技术服务项目或在执业的机构外行使计划生育技术服务行为的处罚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0220150000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 《计划生育技术服务管理条例实施细则》（2001年国家计划生育委员会令第6号）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第五十二条  从事计划生育技术服务的人员违反条例和本细则规定，擅自增加计划生育技术服务项目或在执业的机构外从事计划生育技术服务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警告，没收违法所得；罚款；吊销相关的执业资格</w:t>
            </w:r>
          </w:p>
        </w:tc>
        <w:tc>
          <w:tcPr>
            <w:tcW w:w="821"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4" w:type="dxa"/>
            <w:vAlign w:val="center"/>
          </w:tcPr>
          <w:p>
            <w:pPr>
              <w:spacing w:line="260" w:lineRule="exact"/>
              <w:ind w:firstLine="180" w:firstLineChars="100"/>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142</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对买卖、出借、出租或涂改、伪造计划生育技术服务人员合格证明文件行为的处罚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0220151000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【部门规章】《计划生育技术服务管理条例实施细则》（2001年国家计划生育委员会令第6号）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第五十条第二款  买卖、出借、出租或涂改、伪造计划生育技术服务人员合格证明文件的，由原发证部门责令改正，没收违法所得；违法所得1000元以上的，并处违法所得2倍以上5倍以下的罚款；没有违法所得或者违法所得不足1000元的，并处1000元以上3000元以下罚款；情节严重的，并由原发证部门吊销相关的执业资格。</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没收违法所得；罚款；吊销相关的执业资格</w:t>
            </w:r>
          </w:p>
        </w:tc>
        <w:tc>
          <w:tcPr>
            <w:tcW w:w="821" w:type="dxa"/>
            <w:vAlign w:val="center"/>
          </w:tcPr>
          <w:p>
            <w:pPr>
              <w:spacing w:line="260" w:lineRule="exact"/>
              <w:rPr>
                <w:rFonts w:hint="eastAsia" w:ascii="仿宋_GB2312" w:hAnsi="仿宋_GB2312" w:eastAsia="仿宋_GB2312" w:cs="仿宋_GB2312"/>
                <w:b w:val="0"/>
                <w:bCs/>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774" w:type="dxa"/>
            <w:vAlign w:val="center"/>
          </w:tcPr>
          <w:p>
            <w:pPr>
              <w:spacing w:line="260" w:lineRule="exact"/>
              <w:ind w:firstLine="180" w:firstLineChars="100"/>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143</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对经批准实施人工终止妊娠手术的机构未建立真实完整的终止妊娠药品购进记录，或者未按照规定为终止妊娠药品使用者建立完整用药档案行为的处罚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0220152000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【部门规章】《禁止非医学需要的胎儿性别鉴定和选择性别人工终止妊娠的规定》（2016年国家卫生计生委令第9号）</w:t>
            </w:r>
          </w:p>
          <w:p>
            <w:pPr>
              <w:widowControl/>
              <w:adjustRightInd w:val="0"/>
              <w:snapToGrid w:val="0"/>
              <w:spacing w:line="26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第二十条 经批准实施人工终止妊娠手术的机构未建立真实完整的终止妊娠药品购进记录，或者未按照规定为终止妊娠药品使用者建立完整用药档案的，由县级以上卫生</w:t>
            </w:r>
            <w:r>
              <w:rPr>
                <w:rFonts w:hint="eastAsia" w:ascii="仿宋_GB2312" w:hAnsi="仿宋_GB2312" w:eastAsia="仿宋_GB2312" w:cs="仿宋_GB2312"/>
                <w:b w:val="0"/>
                <w:bCs/>
                <w:color w:val="auto"/>
                <w:sz w:val="18"/>
                <w:szCs w:val="18"/>
                <w:highlight w:val="none"/>
                <w:u w:val="none"/>
                <w:lang w:eastAsia="zh-CN"/>
              </w:rPr>
              <w:t>计生</w:t>
            </w:r>
            <w:r>
              <w:rPr>
                <w:rFonts w:hint="eastAsia" w:ascii="仿宋_GB2312" w:hAnsi="仿宋_GB2312" w:eastAsia="仿宋_GB2312" w:cs="仿宋_GB2312"/>
                <w:b w:val="0"/>
                <w:bCs/>
                <w:color w:val="auto"/>
                <w:sz w:val="18"/>
                <w:szCs w:val="18"/>
                <w:highlight w:val="none"/>
                <w:u w:val="none"/>
              </w:rPr>
              <w:t>行政部门责令改正；拒不改正的，给予警告，并可处1万元以上3万元以下罚款；对医疗卫生机构的主要负责人、直接负责的主管人员和直接责任人员，依法进行处理。 </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774" w:type="dxa"/>
            <w:vAlign w:val="center"/>
          </w:tcPr>
          <w:p>
            <w:pPr>
              <w:spacing w:line="260" w:lineRule="exact"/>
              <w:ind w:firstLine="180" w:firstLineChars="100"/>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144</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对介绍、组织孕妇实施非医学需要的胎儿性别鉴定或者选择性别人工终止妊娠行为的处罚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0220153000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【部门规章】《禁止非医学需要的胎儿性别鉴定和选择性别人工终止妊娠的规定》（2016年国家卫生计生委令第9号）</w:t>
            </w:r>
          </w:p>
          <w:p>
            <w:pPr>
              <w:spacing w:line="26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第二十三条 介绍、组织孕妇实施非医学需要的胎儿性别鉴定或者选择性别人工终止妊娠的，由县级以上</w:t>
            </w:r>
            <w:r>
              <w:rPr>
                <w:rFonts w:hint="eastAsia" w:ascii="仿宋_GB2312" w:hAnsi="仿宋_GB2312" w:eastAsia="仿宋_GB2312" w:cs="仿宋_GB2312"/>
                <w:b w:val="0"/>
                <w:bCs/>
                <w:color w:val="auto"/>
                <w:sz w:val="18"/>
                <w:szCs w:val="18"/>
                <w:highlight w:val="none"/>
                <w:u w:val="none"/>
                <w:lang w:eastAsia="zh-CN"/>
              </w:rPr>
              <w:t>卫生健康局</w:t>
            </w:r>
            <w:r>
              <w:rPr>
                <w:rFonts w:hint="eastAsia" w:ascii="仿宋_GB2312" w:hAnsi="仿宋_GB2312" w:eastAsia="仿宋_GB2312" w:cs="仿宋_GB2312"/>
                <w:b w:val="0"/>
                <w:bCs/>
                <w:color w:val="auto"/>
                <w:sz w:val="18"/>
                <w:szCs w:val="18"/>
                <w:highlight w:val="none"/>
                <w:u w:val="none"/>
              </w:rPr>
              <w:t>责令改正，给予警告；情节严重的，没收违法所得，并处5000元以上3万元以下罚款。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警告；情节严重的，没收违法所得，并处5000元以上3万元以下罚款</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145</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对建设单位未按规定进行职业病危害预评价、建设项目的职业病防护设施未按照规定与主体工程同时设计、同时施工、同时投入生产和使用等行为的处罚（医疗机构放射性职业病危害的建设项目除外）</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0229169000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【法律】《中华人民共和国职业病防治法》（</w:t>
            </w:r>
            <w:r>
              <w:rPr>
                <w:rFonts w:hint="eastAsia" w:ascii="仿宋_GB2312" w:hAnsi="仿宋_GB2312" w:eastAsia="仿宋_GB2312" w:cs="仿宋_GB2312"/>
                <w:b w:val="0"/>
                <w:bCs/>
                <w:color w:val="auto"/>
                <w:sz w:val="18"/>
                <w:szCs w:val="18"/>
                <w:highlight w:val="none"/>
                <w:u w:val="none"/>
                <w:lang w:val="en-US" w:eastAsia="zh-CN"/>
              </w:rPr>
              <w:t>2018</w:t>
            </w:r>
            <w:r>
              <w:rPr>
                <w:rFonts w:hint="eastAsia" w:ascii="仿宋_GB2312" w:hAnsi="仿宋_GB2312" w:eastAsia="仿宋_GB2312" w:cs="仿宋_GB2312"/>
                <w:b w:val="0"/>
                <w:bCs/>
                <w:color w:val="auto"/>
                <w:sz w:val="18"/>
                <w:szCs w:val="18"/>
                <w:highlight w:val="none"/>
                <w:u w:val="none"/>
              </w:rPr>
              <w:t>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第六十九条  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（一）未按照规定进行职业病危害预评价的；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（二）医疗机构可能产生放射性职业病危害的建设项目未按照规定提交放射性职业病危害预评价报告，或者放射性职业病危害预评价报告未经卫生行政部门审核同意，开工建设的；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（三）建设项目的职业病防护设施未按照规定与主体工程同时设计、同时施工、同时投入生产和使用的；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（四）建设项目的职业病防护设施设计不符合国家职业卫生标准和卫生要求，或者医疗机构放射性职业病危害严重的建设项目的防护设施设计未经卫生行政部门审查同意擅自施工的；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（五）未按照规定对职业病防护设施进行职业病危害控制效果评价的；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（六）建设项目竣工投入生产和使用前，职业病防护设施未按照规定验收合格的。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对建设单位未按规定进行职业病危害预评价、建设项目的职业病防护设施未按照规定与主体工程同时设计、同时施工、同时投入生产和使用等行为的处罚（医疗机构放射性职业病危害的建设项目除外）</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146</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对建设单位未按规定进行职业病危害预评价、建设项目的职业病防护设施未按照规定与主体工程同时设计、同时施工、同时投入生产和使用等的处罚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0229170000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【部门规章】《建设项目职业病防护设施“三同时”监督管理办法》（2017年国家安全监管总局令第90号）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第三十九条 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（一）未按照本办法规定进行职业病危害预评价的；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（二）建设项目的职业病防护设施未按照规定与主体工程同时设计、同时施工、同时投入生产和使用的；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（三）建设项目的职业病防护设施设计不符合国家职业卫生标准和卫生要求的；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（四）未按照本办法规定对职业病防护设施进行职业病危害控制效果评价的；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（五）建设项目竣工投入生产和使用前，职业病防护设施未按照本办法规定验收合格的。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第五条 国家安全生产监督管理总局在国务院规定的职责范围内对全国建设项目职业病防护设施“三同时”实施监督管理。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县级以上地方各级人民政府安全生产监督管理部门依法在本级人民政府规定的职责范围内对本行政区域内的建设项目职业病防护设施“三同时”实施分类分级监督管理，具体办法由省级安全生产监督管理部门制定，并报国家安全生产监督管理总局备案。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跨两个及两个以上行政区域的建设项目职业病防护设施“三同时”由其共同的上一级人民政府安全生产监督管理部门实施监督管理。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上一级人民政府安全生产监督管理部门根据工作需要，可以将其负责的建设项目职业病防护设施“三同时”监督管理工作委托下一级人民政府安全生产监督管理部门实施；接受委托的安全生产监督管理部门不得再委托。</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对建设单位未按规定进行职业病危害预评价、建设项目的职业病防护设施未按照规定与主体工程同时设计、同时施工、同时投入生产和使用等的处罚</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147</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对建设单位未按规定对职业病危害预评价报告、职业病防护设施设计、职业病危害控制效果评价报告进行评审或者组织职业病防护设施验收等的处罚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0229171000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【部门规章】《建设项目职业病防护设施“三同时”监督管理办法》（2017年国家安全监管总局令第90号）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第四十条 建设单位有下列行为之一的，由安全生产监督管理部门给予警告，责令限期改正；逾期不改正的，处5000元以上3万元以下的罚款：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（一）未按照本办法规定，对职业病危害预评价报告、职业病防护设施设计、职业病危害控制效果评价报告进行评审或者组织职业病防护设施验收的；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（二）职业病危害预评价、职业病防护设施设计、职业病危害控制效果评价或者职业病防护设施验收工作过程未形成书面报告备查的；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（三）建设项目的生产规模、工艺等发生变更导致职业病危害风险发生重大变化的，建设单位对变更内容未重新进行职业病危害预评价和评审，或者未重新进行职业病防护设施设计和评审的；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（四）需要试运行的职业病防护设施未与主体工程同时试运行的；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（五）建设单位未按照本办法第八条规定公布有关信息的。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第五条 国家安全生产监督管理总局在国务院规定的职责范围内对全国建设项目职业病防护设施“三同时”实施监督管理。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县级以上地方各级人民政府安全生产监督管理部门依法在本级人民政府规定的职责范围内对本行政区域内的建设项目职业病防护设施“三同时”实施分类分级监督管理，具体办法由省级安全生产监督管理部门制定，并报国家安全生产监督管理总局备案。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跨两个及两个以上行政区域的建设项目职业病防护设施“三同时”由其共同的上一级人民政府安全生产监督管理部门实施监督管理。</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上一级人民政府安全生产监督管理部门根据工作需要，可以将其负责的建设项目职业病防护设施“三同时”监督管理工作委托下一级人民政府安全生产监督管理部门实施；接受委托的安全生产监督管理部门不得再委托。</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对建设单位未按规定对职业病危害预评价报告、职业病防护设施设计、职业病危害控制效果评价报告进行评审或者组织职业病防护设施验收等的处罚</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148</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对建设单位在职业病危害预评价报告、职业病防护设施设计、职业病危害控制效果评价报告编制、评审以及职业病防护设施验收等过程中弄虚作假的处罚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0229172000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【部门规章】《建设项目职业病防护设施“三同时”监督管理办法》（2017年国家安全监管总局令第90号）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第四十一条 建设单位在职业病危害预评价报告、职业病防护设施设计、职业病危害控制效果评价报告编制、评审以及职业病防护设施验收等过程中弄虚作假的，由安全生产监督管理部门责令限期改正，给予警告，可以并处5000元以上3万元以下的罚款。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第五条 国家安全生产监督管理总局在国务院规定的职责范围内对全国建设项目职业病防护设施“三同时”实施监督管理。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县级以上地方各级人民政府安全生产监督管理部门依法在本级人民政府规定的职责范围内对本行政区域内的建设项目职业病防护设施“三同时”实施分类分级监督管理，具体办法由省级安全生产监督管理部门制定，并报国家安全生产监督管理总局备案。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跨两个及两个以上行政区域的建设项目职业病防护设施“三同时”由其共同的上一级人民政府安全生产监督管理部门实施监督管理。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上一级人民政府安全生产监督管理部门根据工作需要，可以将其负责的建设项目职业病防护设施“三同时”监督管理工作委托下一级人民政府安全生产监督管理部门实施；接受委托的安全生产监督管理部门不得再委托。</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对建设单位在职业病危害预评价报告、职业病防护设施设计、职业病危害控制效果评价报告编制、评审以及职业病防护设施验收等过程中弄虚作假的处罚</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jc w:val="center"/>
        </w:trPr>
        <w:tc>
          <w:tcPr>
            <w:tcW w:w="774" w:type="dxa"/>
            <w:vAlign w:val="center"/>
          </w:tcPr>
          <w:p>
            <w:pPr>
              <w:spacing w:line="260" w:lineRule="exact"/>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149</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对工作场所职业病危害因素检测、评价结果没有存档、上报、公布、未采取规定的职业病防治管理措施等行为的处罚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0229173000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【法律】《中华人民共和国职业病防治法》（</w:t>
            </w:r>
            <w:r>
              <w:rPr>
                <w:rFonts w:hint="eastAsia" w:ascii="仿宋_GB2312" w:hAnsi="仿宋_GB2312" w:eastAsia="仿宋_GB2312" w:cs="仿宋_GB2312"/>
                <w:b w:val="0"/>
                <w:bCs/>
                <w:color w:val="auto"/>
                <w:sz w:val="18"/>
                <w:szCs w:val="18"/>
                <w:highlight w:val="none"/>
                <w:u w:val="none"/>
                <w:lang w:val="en-US" w:eastAsia="zh-CN"/>
              </w:rPr>
              <w:t>2018</w:t>
            </w:r>
            <w:r>
              <w:rPr>
                <w:rFonts w:hint="eastAsia" w:ascii="仿宋_GB2312" w:hAnsi="仿宋_GB2312" w:eastAsia="仿宋_GB2312" w:cs="仿宋_GB2312"/>
                <w:b w:val="0"/>
                <w:bCs/>
                <w:color w:val="auto"/>
                <w:sz w:val="18"/>
                <w:szCs w:val="18"/>
                <w:highlight w:val="none"/>
                <w:u w:val="none"/>
              </w:rPr>
              <w:t>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第七十条 违反本法规定，有下列行为之一的，由安全生产监督管理部门给予警告，责令限期改正；逾期不改正的，处十万元以下的罚款：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（一）工作场所职业病危害因素检测、评价结果没有存档、上报、公布的；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（二）未采取本法第二十条规定的职业病防治管理措施的；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（三）未按照规定公布有关职业病防治的规章制度、操作规程、职业病危害事故应急救援措施的；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（四）未按照规定组织劳动者进行职业卫生培训，或者未对劳动者个人职业病防护采取指导、督促措施的；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（五）国内首次使用或者首次进口与职业病危害有关的化学材料，未按照规定报送毒性鉴定资料以及经有关部门登记注册或者批准进口的文件的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第二十条 用人单位应当采取下列职业病防治管理措施：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（一）设置或者指定职业卫生管理机构或者组织，配备专职或者兼职的职业卫生管理人员，负责本单位的职业病防治工作；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（二）制定职业病防治计划和实施方案；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（三）建立、健全职业卫生管理制度和操作规程；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（四）建立、健全职业卫生档案和劳动者健康监护档案；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（五）建立、健全工作场所职业病危害因素监测及评价制度；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（六）建立、健全职业病危害事故应急救援预案。 </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对工作场所职业病危害因素检测、评价结果没有存档、上报、公布、未采取规定的职业病防治管理措施等行为的处罚</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74" w:type="dxa"/>
            <w:vAlign w:val="center"/>
          </w:tcPr>
          <w:p>
            <w:pPr>
              <w:widowControl/>
              <w:tabs>
                <w:tab w:val="left" w:pos="425"/>
              </w:tabs>
              <w:adjustRightInd w:val="0"/>
              <w:snapToGrid w:val="0"/>
              <w:jc w:val="left"/>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150</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对用人单位未按规定及时、如实向安全生产监督管理部门申报产生职业病危害的项目、未实施由专人负责的职业病危害因素日常监测，或者监测系统不能正常监测等行为的处罚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0229174000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【法律】《中华人民共和国职业病防治法》（</w:t>
            </w:r>
            <w:r>
              <w:rPr>
                <w:rFonts w:hint="eastAsia" w:ascii="仿宋_GB2312" w:hAnsi="仿宋_GB2312" w:eastAsia="仿宋_GB2312" w:cs="仿宋_GB2312"/>
                <w:b w:val="0"/>
                <w:bCs/>
                <w:color w:val="auto"/>
                <w:sz w:val="18"/>
                <w:szCs w:val="18"/>
                <w:highlight w:val="none"/>
                <w:u w:val="none"/>
                <w:lang w:val="en-US" w:eastAsia="zh-CN"/>
              </w:rPr>
              <w:t>2018</w:t>
            </w:r>
            <w:r>
              <w:rPr>
                <w:rFonts w:hint="eastAsia" w:ascii="仿宋_GB2312" w:hAnsi="仿宋_GB2312" w:eastAsia="仿宋_GB2312" w:cs="仿宋_GB2312"/>
                <w:b w:val="0"/>
                <w:bCs/>
                <w:color w:val="auto"/>
                <w:sz w:val="18"/>
                <w:szCs w:val="18"/>
                <w:highlight w:val="none"/>
                <w:u w:val="none"/>
              </w:rPr>
              <w:t>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第七十一条 用人单位违反本法规定，有下列行为之一的，由安全生产监督管理部门责令限期改正，给予警告，可以并处五万元以上十万元以下的罚款：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（一）未按照规定及时、如实向安全生产监督管理部门申报产生职业病危害的项目的；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（二）未实施由专人负责的职业病危害因素日常监测，或者监测系统不能正常监测的；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（三）订立或者变更劳动合同时，未告知劳动者职业病危害真实情况的；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（四）未按照规定组织职业健康检查、建立职业健康监护档案或者未将检查结果书面告知劳动者的；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（五）未依照本法规定在劳动者离开用人单位时提供职业健康监护档案复印件的。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对用人单位未按规定及时、如实向安全生产监督管理部门申报产生职业病危害的项目、未实施由专人负责的职业病危害因素日常监测，或者监测系统不能正常监测等行为的处罚</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atLeast"/>
          <w:jc w:val="center"/>
        </w:trPr>
        <w:tc>
          <w:tcPr>
            <w:tcW w:w="774" w:type="dxa"/>
            <w:vAlign w:val="center"/>
          </w:tcPr>
          <w:p>
            <w:pPr>
              <w:widowControl/>
              <w:tabs>
                <w:tab w:val="left" w:pos="425"/>
              </w:tabs>
              <w:adjustRightInd w:val="0"/>
              <w:snapToGrid w:val="0"/>
              <w:jc w:val="left"/>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151</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用人单位工作场所职业病危害因素的强度或者浓度超过国家职业卫生标准、未提供职业病防护设施和个人使用的职业病防护用品，或者提供的职业病防护设施和个人使用的职业病防护用品不符合国家职业卫生标准和卫生要求等行为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0229175000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【法律】《中华人民共和国职业病防治法》（</w:t>
            </w:r>
            <w:r>
              <w:rPr>
                <w:rFonts w:hint="eastAsia" w:ascii="仿宋_GB2312" w:hAnsi="仿宋_GB2312" w:eastAsia="仿宋_GB2312" w:cs="仿宋_GB2312"/>
                <w:b w:val="0"/>
                <w:bCs/>
                <w:color w:val="auto"/>
                <w:sz w:val="18"/>
                <w:szCs w:val="18"/>
                <w:highlight w:val="none"/>
                <w:u w:val="none"/>
                <w:lang w:val="en-US" w:eastAsia="zh-CN"/>
              </w:rPr>
              <w:t>2018</w:t>
            </w:r>
            <w:r>
              <w:rPr>
                <w:rFonts w:hint="eastAsia" w:ascii="仿宋_GB2312" w:hAnsi="仿宋_GB2312" w:eastAsia="仿宋_GB2312" w:cs="仿宋_GB2312"/>
                <w:b w:val="0"/>
                <w:bCs/>
                <w:color w:val="auto"/>
                <w:sz w:val="18"/>
                <w:szCs w:val="18"/>
                <w:highlight w:val="none"/>
                <w:u w:val="none"/>
              </w:rPr>
              <w:t>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第七十二条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（一）工作场所职业病危害因素的强度或者浓度超过国家职业卫生标准的；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（二）未提供职业病防护设施和个人使用的职业病防护用品，或者提供的职业病防护设施和个人使用的职业病防护用品不符合国家职业卫生标准和卫生要求的；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（三）对职业病防护设备、应急救援设施和个人使用的职业病防护用品未按照规定进行维护、检修、检测，或者不能保持正常运行、使用状态的；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（四）未按照规定对工作场所职业病危害因素进行检测、评价的；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（五）工作场所职业病危害因素经治理仍然达不到国家职业卫生标准和卫生要求时，未停止存在职业病危害因素的作业的；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（六）未按照规定安排职业病病人、疑似职业病病人进行诊治的；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（七）发生或者可能发生急性职业病危害事故时，未立即采取应急救援和控制措施或者未按照规定及时报告的；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（八）未按照规定在产生严重职业病危害的作业岗位醒目位置设置警示标识和中文警示说明的；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（九）拒绝职业卫生监督管理部门监督检查的；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（十）隐瞒、伪造、篡改、毁损职业健康监护档案、工作场所职业病危害因素检测评价结果等相关资料，或者拒不提供职业病诊断、鉴定所需资料的；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（十一）未按照规定承担职业病诊断、鉴定费用和职业病病人的医疗、生活保障费用的。</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用人单位工作场所职业病危害因素的强度或者浓度超过国家职业卫生标准、未提供职业病防护设施和个人使用的职业病防护用品，或者提供的职业病防护设施和个人使用的职业病防护用品不符合国家职业卫生标准和卫生要求等行为的处罚</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4" w:type="dxa"/>
            <w:vAlign w:val="center"/>
          </w:tcPr>
          <w:p>
            <w:pPr>
              <w:widowControl/>
              <w:tabs>
                <w:tab w:val="left" w:pos="425"/>
              </w:tabs>
              <w:adjustRightInd w:val="0"/>
              <w:snapToGrid w:val="0"/>
              <w:jc w:val="left"/>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152</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对向用人单位提供可能产生职业病危害的设备、材料，未按规定提供中文说明书或者设置警示标识和中文警示说明的处罚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0229176000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【法律】《中华人民共和国职业病防治法》（</w:t>
            </w:r>
            <w:r>
              <w:rPr>
                <w:rFonts w:hint="eastAsia" w:ascii="仿宋_GB2312" w:hAnsi="仿宋_GB2312" w:eastAsia="仿宋_GB2312" w:cs="仿宋_GB2312"/>
                <w:b w:val="0"/>
                <w:bCs/>
                <w:color w:val="auto"/>
                <w:sz w:val="18"/>
                <w:szCs w:val="18"/>
                <w:highlight w:val="none"/>
                <w:u w:val="none"/>
                <w:lang w:val="en-US" w:eastAsia="zh-CN"/>
              </w:rPr>
              <w:t>2018</w:t>
            </w:r>
            <w:r>
              <w:rPr>
                <w:rFonts w:hint="eastAsia" w:ascii="仿宋_GB2312" w:hAnsi="仿宋_GB2312" w:eastAsia="仿宋_GB2312" w:cs="仿宋_GB2312"/>
                <w:b w:val="0"/>
                <w:bCs/>
                <w:color w:val="auto"/>
                <w:sz w:val="18"/>
                <w:szCs w:val="18"/>
                <w:highlight w:val="none"/>
                <w:u w:val="none"/>
              </w:rPr>
              <w:t>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第七十三条 向用人单位提供可能产生职业病危害的设备、材料，未按照规定提供中文说明书或者设置警示标识和中文警示说明的，由安全生产监督管理部门责令限期改正，给予警告，并处五万元以上二十万元以下的罚款。</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对向用人单位提供可能产生职业病危害的设备、材料，未按规定提供中文说明书或者设置警示标识和中文警示说明的处罚</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774" w:type="dxa"/>
            <w:vAlign w:val="center"/>
          </w:tcPr>
          <w:p>
            <w:pPr>
              <w:widowControl/>
              <w:tabs>
                <w:tab w:val="left" w:pos="425"/>
              </w:tabs>
              <w:adjustRightInd w:val="0"/>
              <w:snapToGrid w:val="0"/>
              <w:jc w:val="left"/>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153</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对用人单位和医疗卫生机构未按照规定报告职业病、疑似职业病的处罚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0229177000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【法律】《中华人民共和国职业病防治法》（</w:t>
            </w:r>
            <w:r>
              <w:rPr>
                <w:rFonts w:hint="eastAsia" w:ascii="仿宋_GB2312" w:hAnsi="仿宋_GB2312" w:eastAsia="仿宋_GB2312" w:cs="仿宋_GB2312"/>
                <w:b w:val="0"/>
                <w:bCs/>
                <w:color w:val="auto"/>
                <w:sz w:val="18"/>
                <w:szCs w:val="18"/>
                <w:highlight w:val="none"/>
                <w:u w:val="none"/>
                <w:lang w:val="en-US" w:eastAsia="zh-CN"/>
              </w:rPr>
              <w:t>2018</w:t>
            </w:r>
            <w:r>
              <w:rPr>
                <w:rFonts w:hint="eastAsia" w:ascii="仿宋_GB2312" w:hAnsi="仿宋_GB2312" w:eastAsia="仿宋_GB2312" w:cs="仿宋_GB2312"/>
                <w:b w:val="0"/>
                <w:bCs/>
                <w:color w:val="auto"/>
                <w:sz w:val="18"/>
                <w:szCs w:val="18"/>
                <w:highlight w:val="none"/>
                <w:u w:val="none"/>
              </w:rPr>
              <w:t>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【部门规章】《工作场所职业卫生监督管理规定》（2012年国家安全监管总局令第47号）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第五十五条 用人单位未按照规定报告职业病、疑似职业病的，责令限期改正，给予警告，可以并处1万元以下的罚款；弄虚作假的，并处2万元以上5万元以下的罚款。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第五十七条 本规定所规定的行政处罚，由县级以上安全生产监督管理部门决定。法律、行政法规和国务院有关规定对行政处罚决定机关另有规定的，依照其规定。</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对用人单位未按规定报告职业病、疑似职业病的处罚</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774" w:type="dxa"/>
            <w:vAlign w:val="center"/>
          </w:tcPr>
          <w:p>
            <w:pPr>
              <w:widowControl/>
              <w:tabs>
                <w:tab w:val="left" w:pos="425"/>
              </w:tabs>
              <w:adjustRightInd w:val="0"/>
              <w:snapToGrid w:val="0"/>
              <w:jc w:val="left"/>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154</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对用人单位隐瞒技术、工艺、设备、材料所产生的职业病危害而采用、隐瞒本单位职业卫生真实情况等情形的处罚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0229178000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【法律】《中华人民共和国职业病防治法》（</w:t>
            </w:r>
            <w:r>
              <w:rPr>
                <w:rFonts w:hint="eastAsia" w:ascii="仿宋_GB2312" w:hAnsi="仿宋_GB2312" w:eastAsia="仿宋_GB2312" w:cs="仿宋_GB2312"/>
                <w:b w:val="0"/>
                <w:bCs/>
                <w:color w:val="auto"/>
                <w:sz w:val="18"/>
                <w:szCs w:val="18"/>
                <w:highlight w:val="none"/>
                <w:u w:val="none"/>
                <w:lang w:val="en-US" w:eastAsia="zh-CN"/>
              </w:rPr>
              <w:t>2018</w:t>
            </w:r>
            <w:r>
              <w:rPr>
                <w:rFonts w:hint="eastAsia" w:ascii="仿宋_GB2312" w:hAnsi="仿宋_GB2312" w:eastAsia="仿宋_GB2312" w:cs="仿宋_GB2312"/>
                <w:b w:val="0"/>
                <w:bCs/>
                <w:color w:val="auto"/>
                <w:sz w:val="18"/>
                <w:szCs w:val="18"/>
                <w:highlight w:val="none"/>
                <w:u w:val="none"/>
              </w:rPr>
              <w:t>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第七十五条 违反本法规定，有下列情形之一的，由安全生产监督管理部门责令限期治理，并处五万元以上三十万元以下的罚款；情节严重的，责令停止产生职业病危害的作业，或者提请有关人民政府按照国务院规定的权限责令关闭：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（一）隐瞒技术、工艺、设备、材料所产生的职业病危害而采用的；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（二）隐瞒本单位职业卫生真实情况的；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（三）可能发生急性职业损伤的有毒、有害工作场所、放射工作场所或者放射性同位素的运输、贮存不符合本法第二十五条规定的；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（四）使用国家明令禁止使用的可能产生职业病危害的设备或者材料的；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（五）将产生职业病危害的作业转移给没有职业病防护条件的单位和个人，或者没有职业病防护条件的单位和个人接受产生职业病危害的作业的；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（六）擅自拆除、停止使用职业病防护设备或者应急救援设施的；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（七）安排未经职业健康检查的劳动者、有职业禁忌的劳动者、未成年工或者孕期、哺乳期女职工从事接触职业病危害的作业或者禁忌作业的；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（八）违章指挥和强令劳动者进行没有职业病防护措施的作业的。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第二十五条 对可能发生急性职业损伤的有毒、有害工作场所，用人单位应当设置报警装置，配置现场急救用品、冲洗设备、应急撤离通道和必要的泄险区。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对放射工作场所和放射性同位素的运输、贮存，用人单位必须配置防护设备和报警装置，保证接触放射线的工作人员佩戴个人剂量计。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    对职业病防护设备、应急救援设施和个人使用的职业病防护用品，用人单位应当进行经常性的维护、检修，定期检测其性能和效果，确保其处于正常状态，不得擅自拆除或者停止使用。 </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774" w:type="dxa"/>
            <w:vAlign w:val="center"/>
          </w:tcPr>
          <w:p>
            <w:pPr>
              <w:widowControl/>
              <w:tabs>
                <w:tab w:val="left" w:pos="425"/>
              </w:tabs>
              <w:adjustRightInd w:val="0"/>
              <w:snapToGrid w:val="0"/>
              <w:jc w:val="left"/>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155</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对用人单位违反规定，已经对劳动者生命健康造成严重损害的处罚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0229179000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【法律】《中华人民共和国职业病防治法》（</w:t>
            </w:r>
            <w:r>
              <w:rPr>
                <w:rFonts w:hint="eastAsia" w:ascii="仿宋_GB2312" w:hAnsi="仿宋_GB2312" w:eastAsia="仿宋_GB2312" w:cs="仿宋_GB2312"/>
                <w:b w:val="0"/>
                <w:bCs/>
                <w:color w:val="auto"/>
                <w:sz w:val="18"/>
                <w:szCs w:val="18"/>
                <w:highlight w:val="none"/>
                <w:u w:val="none"/>
                <w:lang w:val="en-US" w:eastAsia="zh-CN"/>
              </w:rPr>
              <w:t>2018</w:t>
            </w:r>
            <w:r>
              <w:rPr>
                <w:rFonts w:hint="eastAsia" w:ascii="仿宋_GB2312" w:hAnsi="仿宋_GB2312" w:eastAsia="仿宋_GB2312" w:cs="仿宋_GB2312"/>
                <w:b w:val="0"/>
                <w:bCs/>
                <w:color w:val="auto"/>
                <w:sz w:val="18"/>
                <w:szCs w:val="18"/>
                <w:highlight w:val="none"/>
                <w:u w:val="none"/>
              </w:rPr>
              <w:t>年修正）</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第七十七条 用人单位违反本法规定，已经对劳动者生命健康造成严重损害的，由安全生产监督管理部门责令停止产生职业病危害的作业，或者提请有关人民政府按照国务院规定的权限责令关闭，并处十万元以上五十万元以下的罚款。 </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对用人单位违反规定，已经对劳动者生命健康造成严重损害的处罚</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0" w:hRule="atLeast"/>
          <w:jc w:val="center"/>
        </w:trPr>
        <w:tc>
          <w:tcPr>
            <w:tcW w:w="774" w:type="dxa"/>
            <w:vAlign w:val="center"/>
          </w:tcPr>
          <w:p>
            <w:pPr>
              <w:widowControl/>
              <w:tabs>
                <w:tab w:val="left" w:pos="397"/>
                <w:tab w:val="left" w:pos="425"/>
              </w:tabs>
              <w:adjustRightInd w:val="0"/>
              <w:snapToGrid w:val="0"/>
              <w:jc w:val="left"/>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156</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对用人单位未按规定制定职业病防治计划和实施方案、设置或者指定职业卫生管理机构或者组织，或者未配备专职或者兼职的职业卫生管理人员等情形的处罚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0229182000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【部门规章】《工作场所职业卫生监督管理规定》（2012年国家安全监管总局令第47号）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第四十九条  用人单位有下列情形之一的给予警告、责令限期改正、逾期未改正的，处10万元以下的罚款：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（一）未按照规定制定职业病防治计划和实施方案的；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（二）未按照规定设置或者指定职业卫生管理机构或者组织，或者未配备专职或者兼职的职业卫生管理人员的；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（三）未按照规定建立、健全职业卫生管理制度和操作规程的；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（四）未按照规定建立、健全职业卫生档案和劳动者健康监护档案的；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（五）未建立、健全工作场所职业病危害因素监测及评价制度的；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（六）未按照规定公布有关职业病防治的规章制度、操作规程、职业病危害事故应急救援措施的；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（七）未按照规定组织劳动者进行职业卫生培训，或者未对劳动者个体防护采取有效的指导、督促措施的；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（八）工作场所职业病危害因素检测、评价结果未按照规定存档、上报和公布的。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第五十七条  本规定所规定的行政处罚，由县级以上安全生产监督管理部门决定。法律、行政法规和国务院有关规定对行政处罚决定机关另有规定的，依照其规定。</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对用人单位未按规定制定职业病防治计划和实施方案、设置或者指定职业卫生管理机构或者组织，或者未配备专职或者兼职的职业卫生管理人员等情形的处罚</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774" w:type="dxa"/>
            <w:vAlign w:val="center"/>
          </w:tcPr>
          <w:p>
            <w:pPr>
              <w:widowControl/>
              <w:tabs>
                <w:tab w:val="left" w:pos="397"/>
                <w:tab w:val="left" w:pos="425"/>
              </w:tabs>
              <w:adjustRightInd w:val="0"/>
              <w:snapToGrid w:val="0"/>
              <w:jc w:val="left"/>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157</w:t>
            </w:r>
          </w:p>
        </w:tc>
        <w:tc>
          <w:tcPr>
            <w:tcW w:w="631" w:type="dxa"/>
            <w:vAlign w:val="center"/>
          </w:tcPr>
          <w:p>
            <w:pPr>
              <w:widowControl/>
              <w:adjustRightInd w:val="0"/>
              <w:snapToGrid w:val="0"/>
              <w:spacing w:line="260" w:lineRule="exact"/>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widowControl/>
              <w:adjustRightInd w:val="0"/>
              <w:snapToGrid w:val="0"/>
              <w:spacing w:line="260" w:lineRule="exact"/>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对用人单位未按规定实行有害作业与无害作业分开、工作场所与生活场所分开、主要负责人、职业卫生管理人员未接受职业卫生培训的处罚</w:t>
            </w:r>
          </w:p>
        </w:tc>
        <w:tc>
          <w:tcPr>
            <w:tcW w:w="717" w:type="dxa"/>
            <w:vAlign w:val="center"/>
          </w:tcPr>
          <w:p>
            <w:pPr>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0229183000</w:t>
            </w:r>
          </w:p>
        </w:tc>
        <w:tc>
          <w:tcPr>
            <w:tcW w:w="709"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【部门规章】《工作场所职业卫生监督管理规定》（2012年国家安全监管总局令第47号）</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第四十八条  用人单位有下列情形之一的，给予警告，责令限期改正，可以并处5千元以上2万元以下的罚款：</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（一）未按照规定实行有害作业与无害作业分开、工作场所与生活场所分开的；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（二）用人单位的主要负责人、职业卫生管理人员未接受职业卫生培训的。</w:t>
            </w:r>
          </w:p>
          <w:p>
            <w:pPr>
              <w:spacing w:line="26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第五十七条  本规定所规定的行政处罚，由县级以上安全生产监督管理部门决定。法律、行政法规和国务院有关规定对行政处罚决定机关另有规定的，依照其规定。</w:t>
            </w:r>
          </w:p>
        </w:tc>
        <w:tc>
          <w:tcPr>
            <w:tcW w:w="1712"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对用人单位未按规定实行有害作业与无害作业分开、工作场所与生活场所分开、主要负责人、职业卫生管理人员未接受职业卫生培训的处罚</w:t>
            </w:r>
          </w:p>
        </w:tc>
        <w:tc>
          <w:tcPr>
            <w:tcW w:w="821" w:type="dxa"/>
            <w:vAlign w:val="center"/>
          </w:tcPr>
          <w:p>
            <w:pPr>
              <w:spacing w:line="26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774" w:type="dxa"/>
            <w:vAlign w:val="center"/>
          </w:tcPr>
          <w:p>
            <w:pPr>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158</w:t>
            </w:r>
          </w:p>
        </w:tc>
        <w:tc>
          <w:tcPr>
            <w:tcW w:w="631" w:type="dxa"/>
            <w:vAlign w:val="center"/>
          </w:tcPr>
          <w:p>
            <w:pPr>
              <w:jc w:val="center"/>
              <w:rPr>
                <w:rFonts w:hint="eastAsia" w:ascii="仿宋_GB2312" w:hAnsi="仿宋_GB2312" w:eastAsia="仿宋_GB2312" w:cs="仿宋_GB2312"/>
                <w:b w:val="0"/>
                <w:bCs/>
                <w:color w:val="FF0000"/>
                <w:sz w:val="18"/>
                <w:szCs w:val="18"/>
                <w:highlight w:val="none"/>
                <w:u w:val="none"/>
                <w:lang w:eastAsia="zh-CN"/>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jc w:val="both"/>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对用人单位有关</w:t>
            </w:r>
          </w:p>
          <w:p>
            <w:pPr>
              <w:jc w:val="both"/>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事项发生重大变</w:t>
            </w:r>
          </w:p>
          <w:p>
            <w:pPr>
              <w:jc w:val="both"/>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化，未按照规定申</w:t>
            </w:r>
          </w:p>
          <w:p>
            <w:pPr>
              <w:jc w:val="both"/>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报变更职业病危</w:t>
            </w:r>
          </w:p>
          <w:p>
            <w:pPr>
              <w:jc w:val="both"/>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害项目内容的处</w:t>
            </w:r>
          </w:p>
          <w:p>
            <w:pPr>
              <w:jc w:val="both"/>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罚</w:t>
            </w:r>
          </w:p>
        </w:tc>
        <w:tc>
          <w:tcPr>
            <w:tcW w:w="717" w:type="dxa"/>
            <w:vAlign w:val="center"/>
          </w:tcPr>
          <w:p>
            <w:pPr>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w:t>
            </w:r>
          </w:p>
          <w:p>
            <w:pPr>
              <w:jc w:val="both"/>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84000</w:t>
            </w:r>
          </w:p>
        </w:tc>
        <w:tc>
          <w:tcPr>
            <w:tcW w:w="709" w:type="dxa"/>
            <w:vAlign w:val="center"/>
          </w:tcPr>
          <w:p>
            <w:pPr>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【部门规章】《职业病危害项目申报办法》（2012 年国家安全监管总局令第 48 号）</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第十五条 用人单位有关事项发生重大变化，未按照本办法的规定申报变更职业病危害</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项目内容的，责令限期改正，可以并处 5 千元以上 3 万元以下的罚款。</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第二条 用人单位（煤矿除外）工作场所存在职业病目录所列职业病的危害因素的，应当</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及时、如实向所在地安全生产监督管理部门申报危害项目，并接受安全生产监督管理部门的监</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督管理。</w:t>
            </w:r>
          </w:p>
        </w:tc>
        <w:tc>
          <w:tcPr>
            <w:tcW w:w="1712" w:type="dxa"/>
            <w:vAlign w:val="center"/>
          </w:tcPr>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对用人单位有关事</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项发生重大变化，</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未按照规定申报变</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更职业病危害项目</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内容的处罚</w:t>
            </w:r>
          </w:p>
        </w:tc>
        <w:tc>
          <w:tcPr>
            <w:tcW w:w="821" w:type="dxa"/>
            <w:vAlign w:val="center"/>
          </w:tcPr>
          <w:p>
            <w:pPr>
              <w:jc w:val="center"/>
              <w:rPr>
                <w:rFonts w:hint="eastAsia" w:ascii="仿宋_GB2312" w:hAnsi="仿宋_GB2312" w:eastAsia="仿宋_GB2312" w:cs="仿宋_GB2312"/>
                <w:b w:val="0"/>
                <w:bCs/>
                <w:color w:val="auto"/>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74" w:type="dxa"/>
            <w:vAlign w:val="center"/>
          </w:tcPr>
          <w:p>
            <w:pPr>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159</w:t>
            </w:r>
          </w:p>
        </w:tc>
        <w:tc>
          <w:tcPr>
            <w:tcW w:w="631" w:type="dxa"/>
            <w:vAlign w:val="center"/>
          </w:tcPr>
          <w:p>
            <w:pPr>
              <w:jc w:val="cente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jc w:val="cente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对用人单位未建</w:t>
            </w:r>
          </w:p>
          <w:p>
            <w:pPr>
              <w:jc w:val="cente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立或落实职业健</w:t>
            </w:r>
          </w:p>
          <w:p>
            <w:pPr>
              <w:jc w:val="cente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康监护制度、制定</w:t>
            </w:r>
          </w:p>
          <w:p>
            <w:pPr>
              <w:jc w:val="cente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职业健康监护计</w:t>
            </w:r>
          </w:p>
          <w:p>
            <w:pPr>
              <w:jc w:val="cente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划和落实专项经</w:t>
            </w:r>
          </w:p>
          <w:p>
            <w:pPr>
              <w:jc w:val="cente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费等行为的处罚</w:t>
            </w:r>
          </w:p>
        </w:tc>
        <w:tc>
          <w:tcPr>
            <w:tcW w:w="717" w:type="dxa"/>
            <w:vAlign w:val="center"/>
          </w:tcPr>
          <w:p>
            <w:pPr>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02291</w:t>
            </w:r>
          </w:p>
          <w:p>
            <w:pPr>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85000</w:t>
            </w:r>
          </w:p>
        </w:tc>
        <w:tc>
          <w:tcPr>
            <w:tcW w:w="709" w:type="dxa"/>
            <w:vAlign w:val="center"/>
          </w:tcPr>
          <w:p>
            <w:pPr>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【部门规章】《用人单位职业健康监护监督管理办法》（2012 年国家安全监管总局令第 49</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号）</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第二十六条 用人单位有下列行为之一的，给予警告，责令限期改正，可以并处 3 万元以</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下的罚款：</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（一）未建立或者落实职业健康监护制度的；</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（二）未按照规定制定职业健康监护计划和落实专项经费的；</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（三）弄虚作假，指使他人冒名顶替参加职业健康检查的；</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（四）未如实提供职业健康检查所需要的文件、资料的；</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（五）未根据职业健康检查情况采取相应措施的；</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（六）不承担职业健康检查费用的。</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第五条 用人单位应当接受安全生产监督管理部门依法对其职业健康监护工作的监督检</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查，并提供有关文件和资料。</w:t>
            </w:r>
          </w:p>
        </w:tc>
        <w:tc>
          <w:tcPr>
            <w:tcW w:w="1712" w:type="dxa"/>
            <w:vAlign w:val="center"/>
          </w:tcPr>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对用人单位未建立</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或落实职业健康监</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护制度、制定职业</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健康监护计划和落</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实专项经费等行为</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的处罚</w:t>
            </w:r>
          </w:p>
        </w:tc>
        <w:tc>
          <w:tcPr>
            <w:tcW w:w="821" w:type="dxa"/>
            <w:vAlign w:val="center"/>
          </w:tcPr>
          <w:p>
            <w:pPr>
              <w:jc w:val="center"/>
              <w:rPr>
                <w:rFonts w:hint="eastAsia" w:ascii="仿宋_GB2312" w:hAnsi="仿宋_GB2312" w:eastAsia="仿宋_GB2312" w:cs="仿宋_GB2312"/>
                <w:b w:val="0"/>
                <w:bCs/>
                <w:color w:val="auto"/>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774" w:type="dxa"/>
            <w:vAlign w:val="center"/>
          </w:tcPr>
          <w:p>
            <w:pPr>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160</w:t>
            </w:r>
          </w:p>
        </w:tc>
        <w:tc>
          <w:tcPr>
            <w:tcW w:w="631" w:type="dxa"/>
            <w:vAlign w:val="center"/>
          </w:tcPr>
          <w:p>
            <w:pPr>
              <w:jc w:val="cente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tabs>
                <w:tab w:val="left" w:pos="545"/>
              </w:tabs>
              <w:jc w:val="lef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ab/>
            </w: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对</w:t>
            </w:r>
            <w:r>
              <w:rPr>
                <w:rFonts w:hint="eastAsia" w:ascii="仿宋_GB2312" w:hAnsi="仿宋_GB2312" w:eastAsia="仿宋_GB2312" w:cs="仿宋_GB2312"/>
                <w:b w:val="0"/>
                <w:bCs/>
                <w:color w:val="000000" w:themeColor="text1"/>
                <w:sz w:val="18"/>
                <w:szCs w:val="18"/>
                <w:highlight w:val="none"/>
                <w:u w:val="none"/>
                <w:lang w:val="en-US" w:eastAsia="zh-CN"/>
                <w14:textFill>
                  <w14:solidFill>
                    <w14:schemeClr w14:val="tx1"/>
                  </w14:solidFill>
                </w14:textFill>
              </w:rPr>
              <w:t>未经批准擅自使用救护车开展院前医疗急救服务、处罚急救中心（站）因指挥调度或者费用等因素拒绝、推诿或者延误院前医疗急救服务的</w:t>
            </w:r>
          </w:p>
        </w:tc>
        <w:tc>
          <w:tcPr>
            <w:tcW w:w="717" w:type="dxa"/>
            <w:vAlign w:val="center"/>
          </w:tcPr>
          <w:p>
            <w:pPr>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w:t>
            </w:r>
            <w:r>
              <w:rPr>
                <w:rFonts w:hint="eastAsia" w:ascii="仿宋_GB2312" w:hAnsi="仿宋_GB2312" w:eastAsia="仿宋_GB2312" w:cs="仿宋_GB2312"/>
                <w:b w:val="0"/>
                <w:bCs/>
                <w:color w:val="000000" w:themeColor="text1"/>
                <w:sz w:val="18"/>
                <w:szCs w:val="18"/>
                <w:highlight w:val="none"/>
                <w:u w:val="none"/>
                <w:lang w:val="en-US" w:eastAsia="zh-CN"/>
                <w14:textFill>
                  <w14:solidFill>
                    <w14:schemeClr w14:val="tx1"/>
                  </w14:solidFill>
                </w14:textFill>
              </w:rPr>
              <w:t>58</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000</w:t>
            </w:r>
          </w:p>
        </w:tc>
        <w:tc>
          <w:tcPr>
            <w:tcW w:w="709" w:type="dxa"/>
            <w:vAlign w:val="center"/>
          </w:tcPr>
          <w:p>
            <w:pPr>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jc w:val="left"/>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rPr>
              <w:t>【部门规章】</w:t>
            </w:r>
            <w:r>
              <w:rPr>
                <w:rFonts w:hint="eastAsia" w:ascii="仿宋_GB2312" w:hAnsi="仿宋_GB2312" w:eastAsia="仿宋_GB2312" w:cs="仿宋_GB2312"/>
                <w:b w:val="0"/>
                <w:bCs/>
                <w:color w:val="auto"/>
                <w:sz w:val="18"/>
                <w:szCs w:val="18"/>
                <w:highlight w:val="none"/>
                <w:u w:val="none"/>
                <w:lang w:eastAsia="zh-CN"/>
              </w:rPr>
              <w:t>《院前医疗急救管理办法》（</w:t>
            </w:r>
            <w:r>
              <w:rPr>
                <w:rFonts w:hint="eastAsia" w:ascii="仿宋_GB2312" w:hAnsi="仿宋_GB2312" w:eastAsia="仿宋_GB2312" w:cs="仿宋_GB2312"/>
                <w:b w:val="0"/>
                <w:bCs/>
                <w:color w:val="auto"/>
                <w:sz w:val="18"/>
                <w:szCs w:val="18"/>
                <w:highlight w:val="none"/>
                <w:u w:val="none"/>
                <w:lang w:val="en-US" w:eastAsia="zh-CN"/>
              </w:rPr>
              <w:t>2013年国家卫生计生委令第3号</w:t>
            </w:r>
            <w:r>
              <w:rPr>
                <w:rFonts w:hint="eastAsia" w:ascii="仿宋_GB2312" w:hAnsi="仿宋_GB2312" w:eastAsia="仿宋_GB2312" w:cs="仿宋_GB2312"/>
                <w:b w:val="0"/>
                <w:bCs/>
                <w:color w:val="auto"/>
                <w:sz w:val="18"/>
                <w:szCs w:val="18"/>
                <w:highlight w:val="none"/>
                <w:u w:val="none"/>
                <w:lang w:eastAsia="zh-CN"/>
              </w:rPr>
              <w:t>）</w:t>
            </w:r>
          </w:p>
          <w:p>
            <w:pP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lang w:val="en-US" w:eastAsia="zh-CN"/>
              </w:rPr>
              <w:t xml:space="preserve">    第三十七条 医疗机构有下列情形之一的，由县级以上地方卫生健康局责令改正、</w:t>
            </w:r>
            <w:r>
              <w:rPr>
                <w:rFonts w:hint="eastAsia" w:ascii="仿宋_GB2312" w:hAnsi="仿宋_GB2312" w:eastAsia="仿宋_GB2312" w:cs="仿宋_GB2312"/>
                <w:b w:val="0"/>
                <w:bCs/>
                <w:color w:val="auto"/>
                <w:sz w:val="18"/>
                <w:szCs w:val="18"/>
                <w:highlight w:val="none"/>
                <w:u w:val="none"/>
                <w:lang w:val="en-US" w:eastAsia="zh-CN"/>
              </w:rPr>
              <w:fldChar w:fldCharType="begin"/>
            </w:r>
            <w:r>
              <w:rPr>
                <w:rFonts w:hint="eastAsia" w:ascii="仿宋_GB2312" w:hAnsi="仿宋_GB2312" w:eastAsia="仿宋_GB2312" w:cs="仿宋_GB2312"/>
                <w:b w:val="0"/>
                <w:bCs/>
                <w:color w:val="auto"/>
                <w:sz w:val="18"/>
                <w:szCs w:val="18"/>
                <w:highlight w:val="none"/>
                <w:u w:val="none"/>
                <w:lang w:val="en-US" w:eastAsia="zh-CN"/>
              </w:rPr>
              <w:instrText xml:space="preserve"> HYPERLINK "https://baike.baidu.com/item/%E9%80%9A%E6%8A%A5%E6%89%B9%E8%AF%84/12618554" \t "https://baike.baidu.com/item/%E9%99%A2%E5%89%8D%E5%8C%BB%E7%96%97%E6%80%A5%E6%95%91%E7%AE%A1%E7%90%86%E5%8A%9E%E6%B3%95/_blank" </w:instrText>
            </w:r>
            <w:r>
              <w:rPr>
                <w:rFonts w:hint="eastAsia" w:ascii="仿宋_GB2312" w:hAnsi="仿宋_GB2312" w:eastAsia="仿宋_GB2312" w:cs="仿宋_GB2312"/>
                <w:b w:val="0"/>
                <w:bCs/>
                <w:color w:val="auto"/>
                <w:sz w:val="18"/>
                <w:szCs w:val="18"/>
                <w:highlight w:val="none"/>
                <w:u w:val="none"/>
                <w:lang w:val="en-US" w:eastAsia="zh-CN"/>
              </w:rPr>
              <w:fldChar w:fldCharType="separate"/>
            </w:r>
            <w:r>
              <w:rPr>
                <w:rFonts w:hint="eastAsia" w:ascii="仿宋_GB2312" w:hAnsi="仿宋_GB2312" w:eastAsia="仿宋_GB2312" w:cs="仿宋_GB2312"/>
                <w:b w:val="0"/>
                <w:bCs/>
                <w:color w:val="auto"/>
                <w:sz w:val="18"/>
                <w:szCs w:val="18"/>
                <w:highlight w:val="none"/>
                <w:u w:val="none"/>
              </w:rPr>
              <w:t>通报批评</w:t>
            </w:r>
            <w:r>
              <w:rPr>
                <w:rFonts w:hint="eastAsia" w:ascii="仿宋_GB2312" w:hAnsi="仿宋_GB2312" w:eastAsia="仿宋_GB2312" w:cs="仿宋_GB2312"/>
                <w:b w:val="0"/>
                <w:bCs/>
                <w:color w:val="auto"/>
                <w:sz w:val="18"/>
                <w:szCs w:val="18"/>
                <w:highlight w:val="none"/>
                <w:u w:val="none"/>
                <w:lang w:val="en-US" w:eastAsia="zh-CN"/>
              </w:rPr>
              <w:fldChar w:fldCharType="end"/>
            </w:r>
            <w:r>
              <w:rPr>
                <w:rFonts w:hint="eastAsia" w:ascii="仿宋_GB2312" w:hAnsi="仿宋_GB2312" w:eastAsia="仿宋_GB2312" w:cs="仿宋_GB2312"/>
                <w:b w:val="0"/>
                <w:bCs/>
                <w:color w:val="auto"/>
                <w:sz w:val="18"/>
                <w:szCs w:val="18"/>
                <w:highlight w:val="none"/>
                <w:u w:val="none"/>
                <w:lang w:val="en-US" w:eastAsia="zh-CN"/>
              </w:rPr>
              <w:t>、给予警告；对直接负责的主管人员和其他直接责任人员，根据情节轻重，依法给予警告、记过、降低岗位等级、撤职、开除等处分：</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lang w:val="en-US" w:eastAsia="zh-CN"/>
              </w:rPr>
              <w:t>（一）未经批准擅自使用“120”院前医疗急救呼叫号码或者其他带有院前医疗急救呼叫性质号码的；</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lang w:val="en-US" w:eastAsia="zh-CN"/>
              </w:rPr>
              <w:t>（二）未经批准擅自使用救护车开展院前医疗急救服务的；</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lang w:val="en-US" w:eastAsia="zh-CN"/>
              </w:rPr>
              <w:t>（三）急救中心（站）因指挥调度或者费用等因素拒绝、推诿或者延误院前医疗急救服务的；</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（四）违反本办法其他规定的。</w:t>
            </w:r>
          </w:p>
        </w:tc>
        <w:tc>
          <w:tcPr>
            <w:tcW w:w="1712" w:type="dxa"/>
            <w:vAlign w:val="center"/>
          </w:tcPr>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责令改正、</w:t>
            </w:r>
            <w:r>
              <w:rPr>
                <w:rFonts w:hint="eastAsia" w:ascii="仿宋_GB2312" w:hAnsi="仿宋_GB2312" w:eastAsia="仿宋_GB2312" w:cs="仿宋_GB2312"/>
                <w:b w:val="0"/>
                <w:bCs/>
                <w:color w:val="auto"/>
                <w:sz w:val="18"/>
                <w:szCs w:val="18"/>
                <w:highlight w:val="none"/>
                <w:u w:val="none"/>
                <w:lang w:val="en-US" w:eastAsia="zh-CN"/>
              </w:rPr>
              <w:fldChar w:fldCharType="begin"/>
            </w:r>
            <w:r>
              <w:rPr>
                <w:rFonts w:hint="eastAsia" w:ascii="仿宋_GB2312" w:hAnsi="仿宋_GB2312" w:eastAsia="仿宋_GB2312" w:cs="仿宋_GB2312"/>
                <w:b w:val="0"/>
                <w:bCs/>
                <w:color w:val="auto"/>
                <w:sz w:val="18"/>
                <w:szCs w:val="18"/>
                <w:highlight w:val="none"/>
                <w:u w:val="none"/>
                <w:lang w:val="en-US" w:eastAsia="zh-CN"/>
              </w:rPr>
              <w:instrText xml:space="preserve"> HYPERLINK "https://baike.baidu.com/item/%E9%80%9A%E6%8A%A5%E6%89%B9%E8%AF%84/12618554" \t "https://baike.baidu.com/item/%E9%99%A2%E5%89%8D%E5%8C%BB%E7%96%97%E6%80%A5%E6%95%91%E7%AE%A1%E7%90%86%E5%8A%9E%E6%B3%95/_blank" </w:instrText>
            </w:r>
            <w:r>
              <w:rPr>
                <w:rFonts w:hint="eastAsia" w:ascii="仿宋_GB2312" w:hAnsi="仿宋_GB2312" w:eastAsia="仿宋_GB2312" w:cs="仿宋_GB2312"/>
                <w:b w:val="0"/>
                <w:bCs/>
                <w:color w:val="auto"/>
                <w:sz w:val="18"/>
                <w:szCs w:val="18"/>
                <w:highlight w:val="none"/>
                <w:u w:val="none"/>
                <w:lang w:val="en-US" w:eastAsia="zh-CN"/>
              </w:rPr>
              <w:fldChar w:fldCharType="separate"/>
            </w:r>
            <w:r>
              <w:rPr>
                <w:rFonts w:hint="eastAsia" w:ascii="仿宋_GB2312" w:hAnsi="仿宋_GB2312" w:eastAsia="仿宋_GB2312" w:cs="仿宋_GB2312"/>
                <w:b w:val="0"/>
                <w:bCs/>
                <w:color w:val="auto"/>
                <w:sz w:val="18"/>
                <w:szCs w:val="18"/>
                <w:highlight w:val="none"/>
                <w:u w:val="none"/>
              </w:rPr>
              <w:t>通报批评</w:t>
            </w:r>
            <w:r>
              <w:rPr>
                <w:rFonts w:hint="eastAsia" w:ascii="仿宋_GB2312" w:hAnsi="仿宋_GB2312" w:eastAsia="仿宋_GB2312" w:cs="仿宋_GB2312"/>
                <w:b w:val="0"/>
                <w:bCs/>
                <w:color w:val="auto"/>
                <w:sz w:val="18"/>
                <w:szCs w:val="18"/>
                <w:highlight w:val="none"/>
                <w:u w:val="none"/>
                <w:lang w:val="en-US" w:eastAsia="zh-CN"/>
              </w:rPr>
              <w:fldChar w:fldCharType="end"/>
            </w:r>
            <w:r>
              <w:rPr>
                <w:rFonts w:hint="eastAsia" w:ascii="仿宋_GB2312" w:hAnsi="仿宋_GB2312" w:eastAsia="仿宋_GB2312" w:cs="仿宋_GB2312"/>
                <w:b w:val="0"/>
                <w:bCs/>
                <w:color w:val="auto"/>
                <w:sz w:val="18"/>
                <w:szCs w:val="18"/>
                <w:highlight w:val="none"/>
                <w:u w:val="none"/>
                <w:lang w:val="en-US" w:eastAsia="zh-CN"/>
              </w:rPr>
              <w:t>、给予警告；对直接负责的主管人员和其他直接责任人员，根据情节轻重，依法给予警告、记过、降低岗位等级、撤职、开除等处分</w:t>
            </w:r>
          </w:p>
        </w:tc>
        <w:tc>
          <w:tcPr>
            <w:tcW w:w="821" w:type="dxa"/>
            <w:vAlign w:val="center"/>
          </w:tcPr>
          <w:p>
            <w:pPr>
              <w:jc w:val="center"/>
              <w:rPr>
                <w:rFonts w:hint="eastAsia" w:ascii="仿宋_GB2312" w:hAnsi="仿宋_GB2312" w:eastAsia="仿宋_GB2312" w:cs="仿宋_GB2312"/>
                <w:b w:val="0"/>
                <w:bCs/>
                <w:color w:val="auto"/>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774" w:type="dxa"/>
            <w:vAlign w:val="center"/>
          </w:tcPr>
          <w:p>
            <w:pPr>
              <w:jc w:val="both"/>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161</w:t>
            </w:r>
          </w:p>
        </w:tc>
        <w:tc>
          <w:tcPr>
            <w:tcW w:w="631" w:type="dxa"/>
            <w:vAlign w:val="center"/>
          </w:tcPr>
          <w:p>
            <w:pPr>
              <w:jc w:val="cente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tabs>
                <w:tab w:val="left" w:pos="545"/>
              </w:tabs>
              <w:jc w:val="lef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未取得职业卫生</w:t>
            </w:r>
          </w:p>
          <w:p>
            <w:pPr>
              <w:tabs>
                <w:tab w:val="left" w:pos="545"/>
              </w:tabs>
              <w:jc w:val="lef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技术服务资质认</w:t>
            </w:r>
          </w:p>
          <w:p>
            <w:pPr>
              <w:tabs>
                <w:tab w:val="left" w:pos="545"/>
              </w:tabs>
              <w:jc w:val="lef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可擅自从事职业</w:t>
            </w:r>
          </w:p>
          <w:p>
            <w:pPr>
              <w:tabs>
                <w:tab w:val="left" w:pos="545"/>
              </w:tabs>
              <w:jc w:val="lef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卫生技术服务的</w:t>
            </w:r>
          </w:p>
          <w:p>
            <w:pPr>
              <w:tabs>
                <w:tab w:val="left" w:pos="545"/>
              </w:tabs>
              <w:jc w:val="left"/>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处罚</w:t>
            </w:r>
          </w:p>
        </w:tc>
        <w:tc>
          <w:tcPr>
            <w:tcW w:w="717" w:type="dxa"/>
            <w:vAlign w:val="center"/>
          </w:tcPr>
          <w:p>
            <w:pPr>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w:t>
            </w:r>
          </w:p>
          <w:p>
            <w:pPr>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59000</w:t>
            </w:r>
          </w:p>
        </w:tc>
        <w:tc>
          <w:tcPr>
            <w:tcW w:w="709" w:type="dxa"/>
            <w:vAlign w:val="center"/>
          </w:tcPr>
          <w:p>
            <w:pPr>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【法律】《中华人民共和国职业病防治法》(2018 年修正)</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第七十九条 未取得职业卫生技术服务资质认可擅自从事职业卫生技术服务的，由卫生行政</w:t>
            </w:r>
          </w:p>
          <w:p>
            <w:pPr>
              <w:ind w:firstLine="360" w:firstLineChars="200"/>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c>
          <w:tcPr>
            <w:tcW w:w="1712" w:type="dxa"/>
            <w:vAlign w:val="center"/>
          </w:tcPr>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未取得职业卫生技</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术服务资质认可擅</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自从事职业卫生技</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术服务的，由卫生</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行政部门责令立即</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停止违法行为，没</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收违法所得;违法</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所得五千元以上</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的，并处违法所得</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二倍以上十倍以下</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的罚款;没有违法</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所得或者违法所得</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不足五千元的，并</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处五千元以上五万元以下的罚款;情</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节严重的，对直接</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负责的主管人员和</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其他直接责任人</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员，依法给予降级、</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撤职或者开除的处</w:t>
            </w:r>
          </w:p>
          <w:p>
            <w:pPr>
              <w:jc w:val="cente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分</w:t>
            </w:r>
          </w:p>
        </w:tc>
        <w:tc>
          <w:tcPr>
            <w:tcW w:w="821" w:type="dxa"/>
            <w:vAlign w:val="center"/>
          </w:tcPr>
          <w:p>
            <w:pPr>
              <w:jc w:val="center"/>
              <w:rPr>
                <w:rFonts w:hint="eastAsia" w:ascii="仿宋_GB2312" w:hAnsi="仿宋_GB2312" w:eastAsia="仿宋_GB2312" w:cs="仿宋_GB2312"/>
                <w:b w:val="0"/>
                <w:bCs/>
                <w:color w:val="FF000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dxa"/>
            <w:vAlign w:val="center"/>
          </w:tcPr>
          <w:p>
            <w:pPr>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162</w:t>
            </w:r>
          </w:p>
        </w:tc>
        <w:tc>
          <w:tcPr>
            <w:tcW w:w="631" w:type="dxa"/>
            <w:vAlign w:val="center"/>
          </w:tcPr>
          <w:p>
            <w:pPr>
              <w:adjustRightInd w:val="0"/>
              <w:snapToGrid w:val="0"/>
              <w:rPr>
                <w:rFonts w:hint="eastAsia" w:ascii="仿宋_GB2312" w:hAnsi="仿宋_GB2312" w:eastAsia="仿宋_GB2312" w:cs="仿宋_GB2312"/>
                <w:b w:val="0"/>
                <w:bCs/>
                <w:color w:val="FF0000"/>
                <w:sz w:val="18"/>
                <w:szCs w:val="18"/>
                <w:highlight w:val="none"/>
                <w:u w:val="none"/>
                <w:lang w:bidi="ar"/>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adjustRightInd w:val="0"/>
              <w:snapToGrid w:val="0"/>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bidi="ar"/>
                <w14:textFill>
                  <w14:solidFill>
                    <w14:schemeClr w14:val="tx1"/>
                  </w14:solidFill>
                </w14:textFill>
              </w:rPr>
              <w:t>建设单位未按规定对职业病危害预评价报告、职业病防护设施设计、职业病危害控制效果评价报告进行评审、需要试运行的职业病防护设施未与主体工程同时试运行等的处罚</w:t>
            </w:r>
          </w:p>
        </w:tc>
        <w:tc>
          <w:tcPr>
            <w:tcW w:w="717" w:type="dxa"/>
            <w:vAlign w:val="center"/>
          </w:tcPr>
          <w:p>
            <w:pPr>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w:t>
            </w:r>
            <w:r>
              <w:rPr>
                <w:rFonts w:hint="eastAsia" w:ascii="仿宋_GB2312" w:hAnsi="仿宋_GB2312" w:eastAsia="仿宋_GB2312" w:cs="仿宋_GB2312"/>
                <w:b w:val="0"/>
                <w:bCs/>
                <w:color w:val="000000" w:themeColor="text1"/>
                <w:sz w:val="18"/>
                <w:szCs w:val="18"/>
                <w:highlight w:val="none"/>
                <w:u w:val="none"/>
                <w:lang w:val="en-US" w:eastAsia="zh-CN"/>
                <w14:textFill>
                  <w14:solidFill>
                    <w14:schemeClr w14:val="tx1"/>
                  </w14:solidFill>
                </w14:textFill>
              </w:rPr>
              <w:t>62</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000</w:t>
            </w:r>
          </w:p>
        </w:tc>
        <w:tc>
          <w:tcPr>
            <w:tcW w:w="709" w:type="dxa"/>
            <w:vAlign w:val="center"/>
          </w:tcPr>
          <w:p>
            <w:pPr>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adjustRightInd w:val="0"/>
              <w:snapToGrid w:val="0"/>
              <w:ind w:firstLine="360" w:firstLineChars="200"/>
              <w:rPr>
                <w:rFonts w:hint="eastAsia" w:ascii="仿宋_GB2312" w:hAnsi="仿宋_GB2312" w:eastAsia="仿宋_GB2312" w:cs="仿宋_GB2312"/>
                <w:b w:val="0"/>
                <w:bCs/>
                <w:color w:val="auto"/>
                <w:sz w:val="18"/>
                <w:szCs w:val="18"/>
                <w:highlight w:val="none"/>
                <w:u w:val="none"/>
                <w:lang w:bidi="ar"/>
              </w:rPr>
            </w:pPr>
            <w:r>
              <w:rPr>
                <w:rFonts w:hint="eastAsia" w:ascii="仿宋_GB2312" w:hAnsi="仿宋_GB2312" w:eastAsia="仿宋_GB2312" w:cs="仿宋_GB2312"/>
                <w:b w:val="0"/>
                <w:bCs/>
                <w:color w:val="auto"/>
                <w:sz w:val="18"/>
                <w:szCs w:val="18"/>
                <w:highlight w:val="none"/>
                <w:u w:val="none"/>
                <w:lang w:bidi="ar"/>
              </w:rPr>
              <w:t>【法律】《中华人民共和国职业病防治法》(2018年修正)</w:t>
            </w:r>
          </w:p>
          <w:p>
            <w:pP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rPr>
              <w:t>第六十九条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w:t>
            </w:r>
          </w:p>
        </w:tc>
        <w:tc>
          <w:tcPr>
            <w:tcW w:w="1712" w:type="dxa"/>
            <w:vAlign w:val="center"/>
          </w:tcPr>
          <w:p>
            <w:pPr>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bidi="ar"/>
              </w:rPr>
              <w:t>给予警告，责令限期改正；逾期不改正的，处3万元以下的罚款</w:t>
            </w:r>
          </w:p>
        </w:tc>
        <w:tc>
          <w:tcPr>
            <w:tcW w:w="821" w:type="dxa"/>
            <w:vAlign w:val="center"/>
          </w:tcPr>
          <w:p>
            <w:pPr>
              <w:jc w:val="center"/>
              <w:rPr>
                <w:rFonts w:hint="eastAsia" w:ascii="仿宋_GB2312" w:hAnsi="仿宋_GB2312" w:eastAsia="仿宋_GB2312" w:cs="仿宋_GB2312"/>
                <w:b w:val="0"/>
                <w:bCs/>
                <w:color w:val="auto"/>
                <w:sz w:val="18"/>
                <w:szCs w:val="18"/>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2" w:hRule="atLeast"/>
          <w:jc w:val="center"/>
        </w:trPr>
        <w:tc>
          <w:tcPr>
            <w:tcW w:w="774" w:type="dxa"/>
            <w:vAlign w:val="center"/>
          </w:tcPr>
          <w:p>
            <w:pPr>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163</w:t>
            </w:r>
          </w:p>
        </w:tc>
        <w:tc>
          <w:tcPr>
            <w:tcW w:w="631" w:type="dxa"/>
            <w:vAlign w:val="center"/>
          </w:tcPr>
          <w:p>
            <w:pPr>
              <w:adjustRightInd w:val="0"/>
              <w:snapToGrid w:val="0"/>
              <w:rPr>
                <w:rFonts w:hint="eastAsia" w:ascii="仿宋_GB2312" w:hAnsi="仿宋_GB2312" w:eastAsia="仿宋_GB2312" w:cs="仿宋_GB2312"/>
                <w:b w:val="0"/>
                <w:bCs/>
                <w:color w:val="FF0000"/>
                <w:sz w:val="18"/>
                <w:szCs w:val="18"/>
                <w:highlight w:val="none"/>
                <w:u w:val="none"/>
                <w:lang w:bidi="ar"/>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adjustRightInd w:val="0"/>
              <w:snapToGrid w:val="0"/>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bidi="ar"/>
                <w14:textFill>
                  <w14:solidFill>
                    <w14:schemeClr w14:val="tx1"/>
                  </w14:solidFill>
                </w14:textFill>
              </w:rPr>
              <w:t>建设单位在职业病危害预评价报告、职业病防护设施设计、职业病危害控制效果评价报告评审以及职业病防护设施验收中弄虚作假的处罚</w:t>
            </w:r>
          </w:p>
        </w:tc>
        <w:tc>
          <w:tcPr>
            <w:tcW w:w="717" w:type="dxa"/>
            <w:vAlign w:val="center"/>
          </w:tcPr>
          <w:p>
            <w:pPr>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w:t>
            </w:r>
            <w:r>
              <w:rPr>
                <w:rFonts w:hint="eastAsia" w:ascii="仿宋_GB2312" w:hAnsi="仿宋_GB2312" w:eastAsia="仿宋_GB2312" w:cs="仿宋_GB2312"/>
                <w:b w:val="0"/>
                <w:bCs/>
                <w:color w:val="000000" w:themeColor="text1"/>
                <w:sz w:val="18"/>
                <w:szCs w:val="18"/>
                <w:highlight w:val="none"/>
                <w:u w:val="none"/>
                <w:lang w:val="en-US" w:eastAsia="zh-CN"/>
                <w14:textFill>
                  <w14:solidFill>
                    <w14:schemeClr w14:val="tx1"/>
                  </w14:solidFill>
                </w14:textFill>
              </w:rPr>
              <w:t>63</w:t>
            </w: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000</w:t>
            </w:r>
          </w:p>
        </w:tc>
        <w:tc>
          <w:tcPr>
            <w:tcW w:w="709" w:type="dxa"/>
            <w:vAlign w:val="center"/>
          </w:tcPr>
          <w:p>
            <w:pPr>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ind w:firstLine="360" w:firstLineChars="200"/>
              <w:rPr>
                <w:rFonts w:hint="eastAsia" w:ascii="仿宋_GB2312" w:hAnsi="仿宋_GB2312" w:eastAsia="仿宋_GB2312" w:cs="仿宋_GB2312"/>
                <w:b w:val="0"/>
                <w:bCs/>
                <w:color w:val="auto"/>
                <w:sz w:val="18"/>
                <w:szCs w:val="18"/>
                <w:highlight w:val="none"/>
                <w:u w:val="none"/>
                <w:lang w:bidi="ar"/>
              </w:rPr>
            </w:pPr>
            <w:r>
              <w:rPr>
                <w:rFonts w:hint="eastAsia" w:ascii="仿宋_GB2312" w:hAnsi="仿宋_GB2312" w:eastAsia="仿宋_GB2312" w:cs="仿宋_GB2312"/>
                <w:b w:val="0"/>
                <w:bCs/>
                <w:color w:val="auto"/>
                <w:sz w:val="18"/>
                <w:szCs w:val="18"/>
                <w:highlight w:val="none"/>
                <w:u w:val="none"/>
                <w:lang w:bidi="ar"/>
              </w:rPr>
              <w:t>【法律】《中华人民共和国职业病防治法》(2018年修正)</w:t>
            </w:r>
          </w:p>
          <w:p>
            <w:pPr>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rPr>
              <w:t>（一）工作场所职业病危害因素的强度或者浓度超过国家职业卫生标准的；（二）未提供职业病防护设施和个人使用的职业病防护用品，或者提供的职业病防护设施和个人使用的职业病防护用品不符合国家职业卫生标准和卫生要求的；（三）对职业病防护设备、应急救援设施和个人使用的职业病防护用品未按照规定进行维护、检修、检测，或者不能保持正常运行、使用状态的；（四）未按照规定对工作场所职业病危害因素进行检测、评价的；（五）工作场所职业病危害因素经治理仍然达不到国家职业卫生标准和卫生要求时，未停止存在职业病危害因素的作业的；（六）未按照规定安排职业病病人、疑似职业病病人进行诊治的；（七）发生或者可能发生急性职业病危害事故时，未立即采取应急救援和控制措施或者未按照规定及时报告的；（八）未按照规定在产生严重职业病危害的作业岗位醒目位置设置警示标识和中文警示说明的；（九）拒绝职业卫生监督管理部门监督检查的；（十）隐瞒、伪造、篡改、毁损职业健康监护档案、工作场所职业病危害因素检测评价结果等相关资料，或者拒不提供职业病诊断、鉴定所需资料的；（十一）未按照规定承担职业病诊断、鉴定费用和职业病病人的医疗、生活保障费用的。</w:t>
            </w:r>
          </w:p>
        </w:tc>
        <w:tc>
          <w:tcPr>
            <w:tcW w:w="1712" w:type="dxa"/>
            <w:vAlign w:val="center"/>
          </w:tcPr>
          <w:p>
            <w:pPr>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bidi="ar"/>
              </w:rPr>
              <w:t>责令改正，并处5千元以上3万元以下的罚款</w:t>
            </w:r>
          </w:p>
        </w:tc>
        <w:tc>
          <w:tcPr>
            <w:tcW w:w="821" w:type="dxa"/>
            <w:vAlign w:val="center"/>
          </w:tcPr>
          <w:p>
            <w:pPr>
              <w:jc w:val="center"/>
              <w:rPr>
                <w:rFonts w:hint="eastAsia" w:ascii="仿宋_GB2312" w:hAnsi="仿宋_GB2312" w:eastAsia="仿宋_GB2312" w:cs="仿宋_GB2312"/>
                <w:b w:val="0"/>
                <w:bCs/>
                <w:color w:val="auto"/>
                <w:sz w:val="18"/>
                <w:szCs w:val="18"/>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774" w:type="dxa"/>
            <w:vAlign w:val="center"/>
          </w:tcPr>
          <w:p>
            <w:pPr>
              <w:jc w:val="both"/>
              <w:rPr>
                <w:rFonts w:hint="default"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164</w:t>
            </w:r>
          </w:p>
        </w:tc>
        <w:tc>
          <w:tcPr>
            <w:tcW w:w="631" w:type="dxa"/>
            <w:vAlign w:val="center"/>
          </w:tcPr>
          <w:p>
            <w:pPr>
              <w:adjustRightInd w:val="0"/>
              <w:snapToGrid w:val="0"/>
              <w:rPr>
                <w:rFonts w:hint="eastAsia" w:ascii="仿宋_GB2312" w:hAnsi="仿宋_GB2312" w:eastAsia="仿宋_GB2312" w:cs="仿宋_GB2312"/>
                <w:b w:val="0"/>
                <w:bCs/>
                <w:color w:val="FF0000"/>
                <w:sz w:val="18"/>
                <w:szCs w:val="18"/>
                <w:highlight w:val="none"/>
                <w:u w:val="none"/>
                <w:lang w:bidi="ar"/>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行政处罚</w:t>
            </w:r>
          </w:p>
        </w:tc>
        <w:tc>
          <w:tcPr>
            <w:tcW w:w="1575" w:type="dxa"/>
            <w:vAlign w:val="center"/>
          </w:tcPr>
          <w:p>
            <w:pPr>
              <w:adjustRightInd w:val="0"/>
              <w:snapToGrid w:val="0"/>
              <w:rPr>
                <w:rFonts w:hint="eastAsia" w:ascii="仿宋_GB2312" w:hAnsi="仿宋_GB2312" w:eastAsia="仿宋_GB2312" w:cs="仿宋_GB2312"/>
                <w:b w:val="0"/>
                <w:bCs/>
                <w:color w:val="000000" w:themeColor="text1"/>
                <w:kern w:val="2"/>
                <w:sz w:val="18"/>
                <w:szCs w:val="18"/>
                <w:highlight w:val="none"/>
                <w:u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bidi="ar"/>
                <w14:textFill>
                  <w14:solidFill>
                    <w14:schemeClr w14:val="tx1"/>
                  </w14:solidFill>
                </w14:textFill>
              </w:rPr>
              <w:t>使用有毒物品作业场所未按照规定设置警示标识和中文警示说明等情形的处罚</w:t>
            </w:r>
          </w:p>
        </w:tc>
        <w:tc>
          <w:tcPr>
            <w:tcW w:w="717" w:type="dxa"/>
            <w:vAlign w:val="center"/>
          </w:tcPr>
          <w:p>
            <w:pPr>
              <w:jc w:val="center"/>
              <w:rPr>
                <w:rFonts w:hint="eastAsia" w:ascii="仿宋_GB2312" w:hAnsi="仿宋_GB2312" w:eastAsia="仿宋_GB2312" w:cs="仿宋_GB2312"/>
                <w:b w:val="0"/>
                <w:bCs/>
                <w:color w:val="000000" w:themeColor="text1"/>
                <w:kern w:val="2"/>
                <w:sz w:val="18"/>
                <w:szCs w:val="18"/>
                <w:highlight w:val="none"/>
                <w:u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0220164000</w:t>
            </w:r>
          </w:p>
        </w:tc>
        <w:tc>
          <w:tcPr>
            <w:tcW w:w="709" w:type="dxa"/>
            <w:vAlign w:val="center"/>
          </w:tcPr>
          <w:p>
            <w:pPr>
              <w:jc w:val="center"/>
              <w:rPr>
                <w:rFonts w:hint="eastAsia" w:ascii="仿宋_GB2312" w:hAnsi="仿宋_GB2312" w:eastAsia="仿宋_GB2312" w:cs="仿宋_GB2312"/>
                <w:b w:val="0"/>
                <w:bCs/>
                <w:color w:val="auto"/>
                <w:kern w:val="2"/>
                <w:sz w:val="18"/>
                <w:szCs w:val="18"/>
                <w:highlight w:val="none"/>
                <w:u w:val="none"/>
                <w:lang w:val="en-US" w:eastAsia="zh-CN" w:bidi="ar-SA"/>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646" w:type="dxa"/>
            <w:vAlign w:val="center"/>
          </w:tcPr>
          <w:p>
            <w:pPr>
              <w:adjustRightInd w:val="0"/>
              <w:snapToGrid w:val="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lang w:bidi="ar"/>
              </w:rPr>
              <w:t xml:space="preserve">   【行政法规】《使用有毒物品作业场所劳动保护条例》（2002年</w:t>
            </w:r>
            <w:r>
              <w:rPr>
                <w:rFonts w:hint="eastAsia" w:ascii="仿宋_GB2312" w:hAnsi="仿宋_GB2312" w:eastAsia="仿宋_GB2312" w:cs="仿宋_GB2312"/>
                <w:b w:val="0"/>
                <w:bCs/>
                <w:color w:val="auto"/>
                <w:sz w:val="18"/>
                <w:szCs w:val="18"/>
                <w:highlight w:val="none"/>
                <w:u w:val="none"/>
                <w:lang w:bidi="ar"/>
              </w:rPr>
              <w:fldChar w:fldCharType="begin"/>
            </w:r>
            <w:r>
              <w:rPr>
                <w:rFonts w:hint="eastAsia" w:ascii="仿宋_GB2312" w:hAnsi="仿宋_GB2312" w:eastAsia="仿宋_GB2312" w:cs="仿宋_GB2312"/>
                <w:b w:val="0"/>
                <w:bCs/>
                <w:color w:val="auto"/>
                <w:sz w:val="18"/>
                <w:szCs w:val="18"/>
                <w:highlight w:val="none"/>
                <w:u w:val="none"/>
                <w:lang w:bidi="ar"/>
              </w:rPr>
              <w:instrText xml:space="preserve"> HYPERLINK "http://baike.baidu.com/view/2204753.htm" </w:instrText>
            </w:r>
            <w:r>
              <w:rPr>
                <w:rFonts w:hint="eastAsia" w:ascii="仿宋_GB2312" w:hAnsi="仿宋_GB2312" w:eastAsia="仿宋_GB2312" w:cs="仿宋_GB2312"/>
                <w:b w:val="0"/>
                <w:bCs/>
                <w:color w:val="auto"/>
                <w:sz w:val="18"/>
                <w:szCs w:val="18"/>
                <w:highlight w:val="none"/>
                <w:u w:val="none"/>
                <w:lang w:bidi="ar"/>
              </w:rPr>
              <w:fldChar w:fldCharType="separate"/>
            </w:r>
            <w:r>
              <w:rPr>
                <w:rStyle w:val="10"/>
                <w:rFonts w:hint="eastAsia" w:ascii="仿宋_GB2312" w:hAnsi="仿宋_GB2312" w:eastAsia="仿宋_GB2312" w:cs="仿宋_GB2312"/>
                <w:b w:val="0"/>
                <w:bCs/>
                <w:color w:val="auto"/>
                <w:sz w:val="18"/>
                <w:szCs w:val="18"/>
                <w:highlight w:val="none"/>
                <w:u w:val="none"/>
              </w:rPr>
              <w:t>国务院令</w:t>
            </w:r>
            <w:r>
              <w:rPr>
                <w:rFonts w:hint="eastAsia" w:ascii="仿宋_GB2312" w:hAnsi="仿宋_GB2312" w:eastAsia="仿宋_GB2312" w:cs="仿宋_GB2312"/>
                <w:b w:val="0"/>
                <w:bCs/>
                <w:color w:val="auto"/>
                <w:sz w:val="18"/>
                <w:szCs w:val="18"/>
                <w:highlight w:val="none"/>
                <w:u w:val="none"/>
                <w:lang w:bidi="ar"/>
              </w:rPr>
              <w:fldChar w:fldCharType="end"/>
            </w:r>
            <w:r>
              <w:rPr>
                <w:rFonts w:hint="eastAsia" w:ascii="仿宋_GB2312" w:hAnsi="仿宋_GB2312" w:eastAsia="仿宋_GB2312" w:cs="仿宋_GB2312"/>
                <w:b w:val="0"/>
                <w:bCs/>
                <w:snapToGrid w:val="0"/>
                <w:color w:val="auto"/>
                <w:sz w:val="18"/>
                <w:szCs w:val="18"/>
                <w:highlight w:val="none"/>
                <w:u w:val="none"/>
                <w:lang w:bidi="ar"/>
              </w:rPr>
              <w:t>第352号</w:t>
            </w:r>
            <w:r>
              <w:rPr>
                <w:rFonts w:hint="eastAsia" w:ascii="仿宋_GB2312" w:hAnsi="仿宋_GB2312" w:eastAsia="仿宋_GB2312" w:cs="仿宋_GB2312"/>
                <w:b w:val="0"/>
                <w:bCs/>
                <w:color w:val="auto"/>
                <w:sz w:val="18"/>
                <w:szCs w:val="18"/>
                <w:highlight w:val="none"/>
                <w:u w:val="none"/>
                <w:lang w:bidi="ar"/>
              </w:rPr>
              <w:t>）</w:t>
            </w:r>
          </w:p>
          <w:p>
            <w:pPr>
              <w:adjustRightInd w:val="0"/>
              <w:snapToGrid w:val="0"/>
              <w:ind w:firstLine="360" w:firstLineChars="200"/>
              <w:rPr>
                <w:rFonts w:hint="eastAsia" w:ascii="仿宋_GB2312" w:hAnsi="仿宋_GB2312" w:eastAsia="仿宋_GB2312" w:cs="仿宋_GB2312"/>
                <w:b w:val="0"/>
                <w:bCs/>
                <w:color w:val="auto"/>
                <w:kern w:val="2"/>
                <w:sz w:val="18"/>
                <w:szCs w:val="18"/>
                <w:highlight w:val="none"/>
                <w:u w:val="none"/>
                <w:lang w:val="en-US" w:eastAsia="zh-CN" w:bidi="ar-SA"/>
              </w:rPr>
            </w:pPr>
            <w:r>
              <w:rPr>
                <w:rFonts w:hint="eastAsia" w:ascii="仿宋_GB2312" w:hAnsi="仿宋_GB2312" w:eastAsia="仿宋_GB2312" w:cs="仿宋_GB2312"/>
                <w:b w:val="0"/>
                <w:bCs/>
                <w:color w:val="auto"/>
                <w:sz w:val="18"/>
                <w:szCs w:val="18"/>
                <w:highlight w:val="none"/>
                <w:u w:val="none"/>
                <w:lang w:bidi="ar"/>
              </w:rPr>
              <w:t>第五十九条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一）使用有毒物品作业场所未按照规定设置警示标识和中文警示说明的；（二）未对职业卫生防护设备、应急救援设施、通讯报警装置进行维护、检修和定期检测，导致上述设施处于不正常状态的；（三）未依照本条例的规定进行职业中毒危害因素检测和职业中毒危害控制效果评价的；（四）高毒作业场所未按照规定设置撤离通道和泄险区的；（五）高毒作业场所未按照规定设置警示线的；（六）未向从事使用有毒物品作业的劳动者提供符合国家职业卫生标准的防护用品，或者未保证劳动者正确使用的。</w:t>
            </w:r>
          </w:p>
        </w:tc>
        <w:tc>
          <w:tcPr>
            <w:tcW w:w="1712" w:type="dxa"/>
            <w:vAlign w:val="center"/>
          </w:tcPr>
          <w:p>
            <w:pPr>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bidi="ar"/>
              </w:rPr>
              <w:t>给予警告，责令限期改正，处5万元以上20万元以下的罚款；逾期不改正的，提请有关人民政府按照国务院规定的权限予以关闭；</w:t>
            </w:r>
          </w:p>
        </w:tc>
        <w:tc>
          <w:tcPr>
            <w:tcW w:w="821" w:type="dxa"/>
            <w:vAlign w:val="center"/>
          </w:tcPr>
          <w:p>
            <w:pPr>
              <w:jc w:val="center"/>
              <w:rPr>
                <w:rFonts w:hint="eastAsia" w:ascii="仿宋_GB2312" w:hAnsi="仿宋_GB2312" w:eastAsia="仿宋_GB2312" w:cs="仿宋_GB2312"/>
                <w:b w:val="0"/>
                <w:bCs/>
                <w:color w:val="auto"/>
                <w:sz w:val="18"/>
                <w:szCs w:val="18"/>
                <w:highlight w:val="none"/>
                <w:u w:val="none"/>
                <w:lang w:bidi="ar"/>
              </w:rPr>
            </w:pPr>
          </w:p>
        </w:tc>
      </w:tr>
    </w:tbl>
    <w:p>
      <w:pPr>
        <w:spacing w:line="500" w:lineRule="exact"/>
        <w:jc w:val="both"/>
        <w:rPr>
          <w:rFonts w:hint="eastAsia" w:asciiTheme="minorHAnsi" w:hAnsiTheme="minorHAnsi" w:eastAsiaTheme="minorEastAsia" w:cstheme="minorBidi"/>
          <w:kern w:val="2"/>
          <w:sz w:val="21"/>
          <w:szCs w:val="24"/>
          <w:lang w:val="en-US" w:eastAsia="zh-CN" w:bidi="ar-SA"/>
        </w:rPr>
      </w:pPr>
    </w:p>
    <w:p>
      <w:pPr>
        <w:pStyle w:val="2"/>
        <w:rPr>
          <w:rFonts w:hint="eastAsia" w:asciiTheme="minorHAnsi" w:hAnsiTheme="minorHAnsi" w:eastAsiaTheme="minorEastAsia" w:cstheme="minorBidi"/>
          <w:kern w:val="2"/>
          <w:sz w:val="21"/>
          <w:szCs w:val="24"/>
          <w:lang w:val="en-US" w:eastAsia="zh-CN" w:bidi="ar-SA"/>
        </w:rPr>
      </w:pPr>
    </w:p>
    <w:p>
      <w:pPr>
        <w:pStyle w:val="2"/>
        <w:rPr>
          <w:rFonts w:hint="eastAsia" w:asciiTheme="minorHAnsi" w:hAnsiTheme="minorHAnsi" w:eastAsiaTheme="minorEastAsia" w:cstheme="minorBidi"/>
          <w:kern w:val="2"/>
          <w:sz w:val="21"/>
          <w:szCs w:val="24"/>
          <w:lang w:val="en-US" w:eastAsia="zh-CN" w:bidi="ar-SA"/>
        </w:rPr>
      </w:pPr>
    </w:p>
    <w:p>
      <w:pPr>
        <w:pStyle w:val="2"/>
        <w:rPr>
          <w:rFonts w:hint="eastAsia" w:asciiTheme="minorHAnsi" w:hAnsiTheme="minorHAnsi" w:eastAsiaTheme="minorEastAsia" w:cstheme="minorBidi"/>
          <w:kern w:val="2"/>
          <w:sz w:val="21"/>
          <w:szCs w:val="24"/>
          <w:lang w:val="en-US" w:eastAsia="zh-CN" w:bidi="ar-SA"/>
        </w:rPr>
      </w:pPr>
    </w:p>
    <w:p>
      <w:pPr>
        <w:pStyle w:val="2"/>
        <w:rPr>
          <w:rFonts w:hint="eastAsia" w:asciiTheme="minorHAnsi" w:hAnsiTheme="minorHAnsi" w:eastAsiaTheme="minorEastAsia" w:cstheme="minorBidi"/>
          <w:kern w:val="2"/>
          <w:sz w:val="21"/>
          <w:szCs w:val="24"/>
          <w:lang w:val="en-US" w:eastAsia="zh-CN" w:bidi="ar-SA"/>
        </w:rPr>
      </w:pPr>
    </w:p>
    <w:p>
      <w:pPr>
        <w:pStyle w:val="2"/>
        <w:rPr>
          <w:rFonts w:hint="eastAsia" w:asciiTheme="minorHAnsi" w:hAnsiTheme="minorHAnsi" w:eastAsiaTheme="minorEastAsia" w:cstheme="minorBidi"/>
          <w:kern w:val="2"/>
          <w:sz w:val="21"/>
          <w:szCs w:val="24"/>
          <w:lang w:val="en-US" w:eastAsia="zh-CN" w:bidi="ar-SA"/>
        </w:rPr>
      </w:pPr>
    </w:p>
    <w:p>
      <w:pPr>
        <w:pStyle w:val="2"/>
        <w:rPr>
          <w:rFonts w:hint="eastAsia" w:asciiTheme="minorHAnsi" w:hAnsiTheme="minorHAnsi" w:eastAsiaTheme="minorEastAsia" w:cstheme="minorBidi"/>
          <w:kern w:val="2"/>
          <w:sz w:val="21"/>
          <w:szCs w:val="24"/>
          <w:lang w:val="en-US" w:eastAsia="zh-CN" w:bidi="ar-SA"/>
        </w:rPr>
      </w:pPr>
    </w:p>
    <w:p>
      <w:pPr>
        <w:pStyle w:val="2"/>
        <w:rPr>
          <w:rFonts w:hint="eastAsia" w:asciiTheme="minorHAnsi" w:hAnsiTheme="minorHAnsi" w:eastAsiaTheme="minorEastAsia" w:cstheme="minorBidi"/>
          <w:kern w:val="2"/>
          <w:sz w:val="21"/>
          <w:szCs w:val="24"/>
          <w:lang w:val="en-US" w:eastAsia="zh-CN" w:bidi="ar-SA"/>
        </w:rPr>
      </w:pPr>
    </w:p>
    <w:p>
      <w:pPr>
        <w:pStyle w:val="2"/>
        <w:rPr>
          <w:rFonts w:hint="eastAsia" w:asciiTheme="minorHAnsi" w:hAnsiTheme="minorHAnsi" w:eastAsiaTheme="minorEastAsia" w:cstheme="minorBidi"/>
          <w:kern w:val="2"/>
          <w:sz w:val="21"/>
          <w:szCs w:val="24"/>
          <w:lang w:val="en-US" w:eastAsia="zh-CN" w:bidi="ar-SA"/>
        </w:rPr>
      </w:pPr>
    </w:p>
    <w:p>
      <w:pPr>
        <w:pStyle w:val="2"/>
        <w:rPr>
          <w:rFonts w:hint="eastAsia" w:asciiTheme="minorHAnsi" w:hAnsiTheme="minorHAnsi" w:eastAsiaTheme="minorEastAsia" w:cstheme="minorBidi"/>
          <w:kern w:val="2"/>
          <w:sz w:val="21"/>
          <w:szCs w:val="24"/>
          <w:lang w:val="en-US" w:eastAsia="zh-CN" w:bidi="ar-SA"/>
        </w:rPr>
      </w:pPr>
    </w:p>
    <w:p>
      <w:pPr>
        <w:pStyle w:val="2"/>
        <w:rPr>
          <w:rFonts w:hint="eastAsia" w:asciiTheme="minorHAnsi" w:hAnsiTheme="minorHAnsi" w:eastAsiaTheme="minorEastAsia" w:cstheme="minorBidi"/>
          <w:kern w:val="2"/>
          <w:sz w:val="21"/>
          <w:szCs w:val="24"/>
          <w:lang w:val="en-US" w:eastAsia="zh-CN" w:bidi="ar-SA"/>
        </w:rPr>
      </w:pPr>
    </w:p>
    <w:p>
      <w:pPr>
        <w:pStyle w:val="2"/>
        <w:rPr>
          <w:rFonts w:hint="eastAsia" w:asciiTheme="minorHAnsi" w:hAnsiTheme="minorHAnsi" w:eastAsiaTheme="minorEastAsia" w:cstheme="minorBidi"/>
          <w:kern w:val="2"/>
          <w:sz w:val="21"/>
          <w:szCs w:val="24"/>
          <w:lang w:val="en-US" w:eastAsia="zh-CN" w:bidi="ar-SA"/>
        </w:rPr>
      </w:pPr>
    </w:p>
    <w:p>
      <w:pPr>
        <w:pStyle w:val="2"/>
        <w:rPr>
          <w:rFonts w:hint="eastAsia" w:asciiTheme="minorHAnsi" w:hAnsiTheme="minorHAnsi" w:eastAsiaTheme="minorEastAsia" w:cstheme="minorBidi"/>
          <w:kern w:val="2"/>
          <w:sz w:val="21"/>
          <w:szCs w:val="24"/>
          <w:lang w:val="en-US" w:eastAsia="zh-CN" w:bidi="ar-SA"/>
        </w:rPr>
      </w:pPr>
    </w:p>
    <w:p>
      <w:pPr>
        <w:pStyle w:val="2"/>
        <w:rPr>
          <w:rFonts w:hint="eastAsia" w:asciiTheme="minorHAnsi" w:hAnsiTheme="minorHAnsi" w:eastAsiaTheme="minorEastAsia" w:cstheme="minorBidi"/>
          <w:kern w:val="2"/>
          <w:sz w:val="21"/>
          <w:szCs w:val="24"/>
          <w:lang w:val="en-US" w:eastAsia="zh-CN" w:bidi="ar-SA"/>
        </w:rPr>
      </w:pPr>
    </w:p>
    <w:tbl>
      <w:tblPr>
        <w:tblStyle w:val="6"/>
        <w:tblW w:w="14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618"/>
        <w:gridCol w:w="1590"/>
        <w:gridCol w:w="720"/>
        <w:gridCol w:w="690"/>
        <w:gridCol w:w="7650"/>
        <w:gridCol w:w="174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801" w:type="dxa"/>
            <w:vAlign w:val="center"/>
          </w:tcPr>
          <w:p>
            <w:pPr>
              <w:widowControl/>
              <w:spacing w:line="260" w:lineRule="exact"/>
              <w:jc w:val="center"/>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序号</w:t>
            </w:r>
          </w:p>
        </w:tc>
        <w:tc>
          <w:tcPr>
            <w:tcW w:w="618" w:type="dxa"/>
            <w:vAlign w:val="center"/>
          </w:tcPr>
          <w:p>
            <w:pPr>
              <w:spacing w:line="260" w:lineRule="exact"/>
              <w:jc w:val="center"/>
              <w:rPr>
                <w:rFonts w:hint="eastAsia" w:ascii="仿宋_GB2312" w:hAnsi="仿宋_GB2312" w:eastAsia="仿宋_GB2312" w:cs="仿宋_GB2312"/>
                <w:b w:val="0"/>
                <w:bCs/>
                <w:color w:val="auto"/>
                <w:kern w:val="0"/>
                <w:sz w:val="18"/>
                <w:szCs w:val="18"/>
                <w:highlight w:val="none"/>
                <w:u w:val="none"/>
                <w:lang w:eastAsia="zh-CN"/>
              </w:rPr>
            </w:pPr>
            <w:r>
              <w:rPr>
                <w:rFonts w:hint="eastAsia" w:ascii="仿宋_GB2312" w:hAnsi="仿宋_GB2312" w:eastAsia="仿宋_GB2312" w:cs="仿宋_GB2312"/>
                <w:b w:val="0"/>
                <w:bCs/>
                <w:color w:val="auto"/>
                <w:kern w:val="0"/>
                <w:sz w:val="18"/>
                <w:szCs w:val="18"/>
                <w:highlight w:val="none"/>
                <w:u w:val="none"/>
                <w:lang w:eastAsia="zh-CN"/>
              </w:rPr>
              <w:t>职权类型</w:t>
            </w:r>
          </w:p>
        </w:tc>
        <w:tc>
          <w:tcPr>
            <w:tcW w:w="1590" w:type="dxa"/>
            <w:vAlign w:val="center"/>
          </w:tcPr>
          <w:p>
            <w:pPr>
              <w:spacing w:line="260" w:lineRule="exact"/>
              <w:jc w:val="center"/>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职权名称</w:t>
            </w:r>
          </w:p>
        </w:tc>
        <w:tc>
          <w:tcPr>
            <w:tcW w:w="720" w:type="dxa"/>
            <w:vAlign w:val="center"/>
          </w:tcPr>
          <w:p>
            <w:pPr>
              <w:widowControl/>
              <w:spacing w:line="260" w:lineRule="exact"/>
              <w:jc w:val="center"/>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基本</w:t>
            </w:r>
          </w:p>
          <w:p>
            <w:pPr>
              <w:widowControl/>
              <w:spacing w:line="260" w:lineRule="exact"/>
              <w:jc w:val="center"/>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编码</w:t>
            </w:r>
          </w:p>
        </w:tc>
        <w:tc>
          <w:tcPr>
            <w:tcW w:w="690" w:type="dxa"/>
            <w:vAlign w:val="center"/>
          </w:tcPr>
          <w:p>
            <w:pPr>
              <w:widowControl/>
              <w:spacing w:line="260" w:lineRule="exact"/>
              <w:jc w:val="center"/>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实施部门</w:t>
            </w:r>
          </w:p>
        </w:tc>
        <w:tc>
          <w:tcPr>
            <w:tcW w:w="7650" w:type="dxa"/>
            <w:vAlign w:val="center"/>
          </w:tcPr>
          <w:p>
            <w:pPr>
              <w:widowControl/>
              <w:spacing w:line="260" w:lineRule="exact"/>
              <w:jc w:val="center"/>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职权依据</w:t>
            </w:r>
          </w:p>
        </w:tc>
        <w:tc>
          <w:tcPr>
            <w:tcW w:w="1740" w:type="dxa"/>
            <w:vAlign w:val="center"/>
          </w:tcPr>
          <w:p>
            <w:pPr>
              <w:widowControl/>
              <w:spacing w:line="260" w:lineRule="exact"/>
              <w:jc w:val="center"/>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行使内容</w:t>
            </w:r>
          </w:p>
        </w:tc>
        <w:tc>
          <w:tcPr>
            <w:tcW w:w="810" w:type="dxa"/>
            <w:vAlign w:val="center"/>
          </w:tcPr>
          <w:p>
            <w:pPr>
              <w:widowControl/>
              <w:spacing w:line="260" w:lineRule="exact"/>
              <w:jc w:val="center"/>
              <w:rPr>
                <w:rFonts w:hint="eastAsia" w:ascii="仿宋_GB2312" w:hAnsi="仿宋_GB2312" w:eastAsia="仿宋_GB2312" w:cs="仿宋_GB2312"/>
                <w:b w:val="0"/>
                <w:bCs/>
                <w:color w:val="auto"/>
                <w:kern w:val="0"/>
                <w:sz w:val="18"/>
                <w:szCs w:val="18"/>
                <w:highlight w:val="none"/>
                <w:u w:val="none"/>
                <w:lang w:eastAsia="zh-CN"/>
              </w:rPr>
            </w:pPr>
            <w:r>
              <w:rPr>
                <w:rFonts w:hint="eastAsia" w:ascii="仿宋_GB2312" w:hAnsi="仿宋_GB2312" w:eastAsia="仿宋_GB2312" w:cs="仿宋_GB2312"/>
                <w:b w:val="0"/>
                <w:bCs/>
                <w:color w:val="auto"/>
                <w:kern w:val="0"/>
                <w:sz w:val="18"/>
                <w:szCs w:val="18"/>
                <w:highlight w:val="none"/>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801" w:type="dxa"/>
            <w:vAlign w:val="center"/>
          </w:tcPr>
          <w:p>
            <w:pPr>
              <w:widowControl/>
              <w:adjustRightInd w:val="0"/>
              <w:snapToGrid w:val="0"/>
              <w:spacing w:line="260" w:lineRule="exact"/>
              <w:jc w:val="center"/>
              <w:rPr>
                <w:rFonts w:hint="eastAsia" w:ascii="仿宋_GB2312" w:hAnsi="仿宋_GB2312" w:eastAsia="仿宋_GB2312" w:cs="仿宋_GB2312"/>
                <w:b w:val="0"/>
                <w:bCs w:val="0"/>
                <w:color w:val="auto"/>
                <w:kern w:val="0"/>
                <w:sz w:val="18"/>
                <w:szCs w:val="18"/>
                <w:highlight w:val="none"/>
                <w:u w:val="none"/>
                <w:lang w:val="en-US" w:eastAsia="zh-CN"/>
              </w:rPr>
            </w:pPr>
            <w:r>
              <w:rPr>
                <w:rFonts w:hint="eastAsia" w:ascii="仿宋_GB2312" w:hAnsi="仿宋_GB2312" w:eastAsia="仿宋_GB2312" w:cs="仿宋_GB2312"/>
                <w:b w:val="0"/>
                <w:bCs w:val="0"/>
                <w:color w:val="auto"/>
                <w:kern w:val="0"/>
                <w:sz w:val="18"/>
                <w:szCs w:val="18"/>
                <w:highlight w:val="none"/>
                <w:u w:val="none"/>
                <w:lang w:val="en-US" w:eastAsia="zh-CN"/>
              </w:rPr>
              <w:t>1</w:t>
            </w:r>
          </w:p>
        </w:tc>
        <w:tc>
          <w:tcPr>
            <w:tcW w:w="618" w:type="dxa"/>
            <w:vAlign w:val="center"/>
          </w:tcPr>
          <w:p>
            <w:pPr>
              <w:spacing w:line="260" w:lineRule="exact"/>
              <w:jc w:val="left"/>
              <w:rPr>
                <w:rFonts w:hint="eastAsia" w:ascii="仿宋_GB2312" w:hAnsi="仿宋_GB2312" w:eastAsia="仿宋_GB2312" w:cs="仿宋_GB2312"/>
                <w:b w:val="0"/>
                <w:bCs w:val="0"/>
                <w:color w:val="FF0000"/>
                <w:sz w:val="18"/>
                <w:szCs w:val="18"/>
                <w:highlight w:val="none"/>
                <w:u w:val="none"/>
                <w:lang w:eastAsia="zh-CN"/>
              </w:rPr>
            </w:pPr>
            <w:r>
              <w:rPr>
                <w:rFonts w:hint="eastAsia" w:ascii="仿宋_GB2312" w:hAnsi="仿宋_GB2312" w:eastAsia="仿宋_GB2312" w:cs="仿宋_GB2312"/>
                <w:b w:val="0"/>
                <w:bCs w:val="0"/>
                <w:color w:val="000000" w:themeColor="text1"/>
                <w:sz w:val="18"/>
                <w:szCs w:val="18"/>
                <w:highlight w:val="none"/>
                <w:u w:val="none"/>
                <w:lang w:eastAsia="zh-CN"/>
                <w14:textFill>
                  <w14:solidFill>
                    <w14:schemeClr w14:val="tx1"/>
                  </w14:solidFill>
                </w14:textFill>
              </w:rPr>
              <w:t>行政强制</w:t>
            </w:r>
          </w:p>
        </w:tc>
        <w:tc>
          <w:tcPr>
            <w:tcW w:w="1590" w:type="dxa"/>
            <w:vAlign w:val="center"/>
          </w:tcPr>
          <w:p>
            <w:pPr>
              <w:spacing w:line="260" w:lineRule="exact"/>
              <w:jc w:val="lef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对涉嫌违反《医疗废物管理条例》规定的场所、设备、运输工具和物品的查封或者暂扣</w:t>
            </w:r>
          </w:p>
        </w:tc>
        <w:tc>
          <w:tcPr>
            <w:tcW w:w="720" w:type="dxa"/>
            <w:vAlign w:val="center"/>
          </w:tcPr>
          <w:p>
            <w:pPr>
              <w:adjustRightInd w:val="0"/>
              <w:snapToGrid w:val="0"/>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0320001000</w:t>
            </w:r>
          </w:p>
        </w:tc>
        <w:tc>
          <w:tcPr>
            <w:tcW w:w="69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650" w:type="dxa"/>
            <w:vAlign w:val="center"/>
          </w:tcPr>
          <w:p>
            <w:pPr>
              <w:spacing w:line="260" w:lineRule="exac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    【行政法规】 《医疗废物管理条例》（2011年国务院令第588号修正）</w:t>
            </w:r>
          </w:p>
          <w:p>
            <w:pPr>
              <w:spacing w:line="260" w:lineRule="exac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     第三十九条 卫生行政主管部门、环境保护行政主管部门履行监督检查职责时，有权采取下列措施：</w:t>
            </w:r>
          </w:p>
          <w:p>
            <w:pPr>
              <w:spacing w:line="260" w:lineRule="exac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    （四）查封或者暂扣涉嫌违反本条例规定的场所、设备、运输工具和物品；</w:t>
            </w:r>
          </w:p>
        </w:tc>
        <w:tc>
          <w:tcPr>
            <w:tcW w:w="1740" w:type="dxa"/>
            <w:vAlign w:val="center"/>
          </w:tcPr>
          <w:p>
            <w:pPr>
              <w:spacing w:line="260" w:lineRule="exac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对本级监管的医疗机构涉嫌违反《医疗废物管理条例》规定的场所、设备、运输工具和物品的查封或者暂扣</w:t>
            </w:r>
          </w:p>
        </w:tc>
        <w:tc>
          <w:tcPr>
            <w:tcW w:w="810" w:type="dxa"/>
            <w:vAlign w:val="center"/>
          </w:tcPr>
          <w:p>
            <w:pPr>
              <w:spacing w:line="260" w:lineRule="exact"/>
              <w:rPr>
                <w:rFonts w:hint="eastAsia" w:ascii="仿宋_GB2312" w:hAnsi="仿宋_GB2312" w:eastAsia="仿宋_GB2312" w:cs="仿宋_GB2312"/>
                <w:b w:val="0"/>
                <w:b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801" w:type="dxa"/>
            <w:vAlign w:val="center"/>
          </w:tcPr>
          <w:p>
            <w:pPr>
              <w:widowControl/>
              <w:adjustRightInd w:val="0"/>
              <w:snapToGrid w:val="0"/>
              <w:spacing w:line="260" w:lineRule="exact"/>
              <w:jc w:val="center"/>
              <w:rPr>
                <w:rFonts w:hint="eastAsia" w:ascii="仿宋_GB2312" w:hAnsi="仿宋_GB2312" w:eastAsia="仿宋_GB2312" w:cs="仿宋_GB2312"/>
                <w:b w:val="0"/>
                <w:bCs w:val="0"/>
                <w:color w:val="auto"/>
                <w:kern w:val="0"/>
                <w:sz w:val="18"/>
                <w:szCs w:val="18"/>
                <w:highlight w:val="none"/>
                <w:u w:val="none"/>
                <w:lang w:val="en-US" w:eastAsia="zh-CN"/>
              </w:rPr>
            </w:pPr>
            <w:r>
              <w:rPr>
                <w:rFonts w:hint="eastAsia" w:ascii="仿宋_GB2312" w:hAnsi="仿宋_GB2312" w:eastAsia="仿宋_GB2312" w:cs="仿宋_GB2312"/>
                <w:b w:val="0"/>
                <w:bCs w:val="0"/>
                <w:color w:val="auto"/>
                <w:kern w:val="0"/>
                <w:sz w:val="18"/>
                <w:szCs w:val="18"/>
                <w:highlight w:val="none"/>
                <w:u w:val="none"/>
                <w:lang w:val="en-US" w:eastAsia="zh-CN"/>
              </w:rPr>
              <w:t>2</w:t>
            </w:r>
          </w:p>
        </w:tc>
        <w:tc>
          <w:tcPr>
            <w:tcW w:w="618" w:type="dxa"/>
            <w:vAlign w:val="center"/>
          </w:tcPr>
          <w:p>
            <w:pPr>
              <w:spacing w:line="260" w:lineRule="exact"/>
              <w:jc w:val="left"/>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行政强制</w:t>
            </w:r>
          </w:p>
        </w:tc>
        <w:tc>
          <w:tcPr>
            <w:tcW w:w="1590" w:type="dxa"/>
            <w:vAlign w:val="center"/>
          </w:tcPr>
          <w:p>
            <w:pPr>
              <w:spacing w:line="260" w:lineRule="exact"/>
              <w:jc w:val="lef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对发生因医疗废物管理不当导致传染病传播或者环境污染事故，或者有证据证明传染病传播或者环境污染事故有可能发生时，采取的临时控制措施</w:t>
            </w:r>
          </w:p>
        </w:tc>
        <w:tc>
          <w:tcPr>
            <w:tcW w:w="720" w:type="dxa"/>
            <w:vAlign w:val="center"/>
          </w:tcPr>
          <w:p>
            <w:pPr>
              <w:adjustRightInd w:val="0"/>
              <w:snapToGrid w:val="0"/>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0320002000</w:t>
            </w:r>
          </w:p>
        </w:tc>
        <w:tc>
          <w:tcPr>
            <w:tcW w:w="69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650" w:type="dxa"/>
            <w:vAlign w:val="center"/>
          </w:tcPr>
          <w:p>
            <w:pPr>
              <w:spacing w:line="260" w:lineRule="exact"/>
              <w:ind w:firstLine="360" w:firstLineChars="200"/>
              <w:jc w:val="lef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【行政法规】《医疗废物管理条例》（2011年国务院令第588号修正）  </w:t>
            </w:r>
          </w:p>
          <w:p>
            <w:pPr>
              <w:spacing w:line="260" w:lineRule="exact"/>
              <w:ind w:firstLine="360" w:firstLineChars="200"/>
              <w:jc w:val="lef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第四十条 发生因医疗废物管理不当导致传染病传播或者环境污染事故，或者有证据证明传染病传播或者环境污染事故有可能发生时，卫生行政主管部门、环境保护行政主管部门应当采取临时控制措施，疏散人员，控制现场，并根据需要责令暂停导致或者可能导致传染病传播或者环境污染事故的作业。</w:t>
            </w:r>
          </w:p>
        </w:tc>
        <w:tc>
          <w:tcPr>
            <w:tcW w:w="1740" w:type="dxa"/>
            <w:vAlign w:val="top"/>
          </w:tcPr>
          <w:p>
            <w:pPr>
              <w:spacing w:line="260" w:lineRule="exac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对本级监管的医疗机构发生因医疗废物管理不当导致传染病传播或者环境污染事故，或者有证据证明传染病传播或者环境污染事故有可能发生时，采取的临时控制措施</w:t>
            </w:r>
          </w:p>
        </w:tc>
        <w:tc>
          <w:tcPr>
            <w:tcW w:w="810" w:type="dxa"/>
            <w:vAlign w:val="top"/>
          </w:tcPr>
          <w:p>
            <w:pPr>
              <w:spacing w:line="260" w:lineRule="exact"/>
              <w:rPr>
                <w:rFonts w:hint="eastAsia" w:ascii="仿宋_GB2312" w:hAnsi="仿宋_GB2312" w:eastAsia="仿宋_GB2312" w:cs="仿宋_GB2312"/>
                <w:b w:val="0"/>
                <w:b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5" w:hRule="atLeast"/>
          <w:jc w:val="center"/>
        </w:trPr>
        <w:tc>
          <w:tcPr>
            <w:tcW w:w="801" w:type="dxa"/>
            <w:vAlign w:val="center"/>
          </w:tcPr>
          <w:p>
            <w:pPr>
              <w:widowControl/>
              <w:adjustRightInd w:val="0"/>
              <w:snapToGrid w:val="0"/>
              <w:spacing w:line="260" w:lineRule="exact"/>
              <w:jc w:val="center"/>
              <w:rPr>
                <w:rFonts w:hint="eastAsia" w:ascii="仿宋_GB2312" w:hAnsi="仿宋_GB2312" w:eastAsia="仿宋_GB2312" w:cs="仿宋_GB2312"/>
                <w:b w:val="0"/>
                <w:bCs w:val="0"/>
                <w:color w:val="auto"/>
                <w:kern w:val="0"/>
                <w:sz w:val="18"/>
                <w:szCs w:val="18"/>
                <w:highlight w:val="none"/>
                <w:u w:val="none"/>
                <w:lang w:val="en-US" w:eastAsia="zh-CN"/>
              </w:rPr>
            </w:pPr>
            <w:r>
              <w:rPr>
                <w:rFonts w:hint="eastAsia" w:ascii="仿宋_GB2312" w:hAnsi="仿宋_GB2312" w:eastAsia="仿宋_GB2312" w:cs="仿宋_GB2312"/>
                <w:b w:val="0"/>
                <w:bCs w:val="0"/>
                <w:color w:val="auto"/>
                <w:kern w:val="0"/>
                <w:sz w:val="18"/>
                <w:szCs w:val="18"/>
                <w:highlight w:val="none"/>
                <w:u w:val="none"/>
                <w:lang w:val="en-US" w:eastAsia="zh-CN"/>
              </w:rPr>
              <w:t>3</w:t>
            </w:r>
          </w:p>
        </w:tc>
        <w:tc>
          <w:tcPr>
            <w:tcW w:w="618" w:type="dxa"/>
            <w:vAlign w:val="center"/>
          </w:tcPr>
          <w:p>
            <w:pPr>
              <w:widowControl/>
              <w:adjustRightInd w:val="0"/>
              <w:snapToGrid w:val="0"/>
              <w:spacing w:line="260" w:lineRule="exact"/>
              <w:jc w:val="left"/>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行政强制</w:t>
            </w:r>
          </w:p>
        </w:tc>
        <w:tc>
          <w:tcPr>
            <w:tcW w:w="1590" w:type="dxa"/>
            <w:vAlign w:val="center"/>
          </w:tcPr>
          <w:p>
            <w:pPr>
              <w:widowControl/>
              <w:adjustRightInd w:val="0"/>
              <w:snapToGrid w:val="0"/>
              <w:spacing w:line="260" w:lineRule="exact"/>
              <w:jc w:val="left"/>
              <w:rPr>
                <w:rFonts w:hint="eastAsia" w:ascii="仿宋_GB2312" w:hAnsi="仿宋_GB2312" w:eastAsia="仿宋_GB2312" w:cs="仿宋_GB2312"/>
                <w:b w:val="0"/>
                <w:bCs w:val="0"/>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kern w:val="0"/>
                <w:sz w:val="18"/>
                <w:szCs w:val="18"/>
                <w:highlight w:val="none"/>
                <w:u w:val="none"/>
                <w14:textFill>
                  <w14:solidFill>
                    <w14:schemeClr w14:val="tx1"/>
                  </w14:solidFill>
                </w14:textFill>
              </w:rPr>
              <w:t>对被传染病病原体污染的污水、污物、场所和物品采取的控制措施</w:t>
            </w:r>
          </w:p>
        </w:tc>
        <w:tc>
          <w:tcPr>
            <w:tcW w:w="720" w:type="dxa"/>
            <w:vAlign w:val="center"/>
          </w:tcPr>
          <w:p>
            <w:pPr>
              <w:adjustRightInd w:val="0"/>
              <w:snapToGrid w:val="0"/>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0320003000</w:t>
            </w:r>
          </w:p>
        </w:tc>
        <w:tc>
          <w:tcPr>
            <w:tcW w:w="69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650"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【法律】《中华人民共和国传染病防治法》（2013年修正）</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第二十七条  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第五十五条  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 </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【行政法规】《艾滋病防治条例》</w:t>
            </w:r>
            <w:r>
              <w:rPr>
                <w:rFonts w:hint="eastAsia" w:ascii="仿宋_GB2312" w:hAnsi="仿宋_GB2312" w:eastAsia="仿宋_GB2312" w:cs="仿宋_GB2312"/>
                <w:b w:val="0"/>
                <w:bCs w:val="0"/>
                <w:color w:val="auto"/>
                <w:sz w:val="18"/>
                <w:szCs w:val="18"/>
                <w:highlight w:val="none"/>
                <w:u w:val="none"/>
              </w:rPr>
              <w:t>（20</w:t>
            </w:r>
            <w:r>
              <w:rPr>
                <w:rFonts w:hint="eastAsia" w:ascii="仿宋_GB2312" w:hAnsi="仿宋_GB2312" w:eastAsia="仿宋_GB2312" w:cs="仿宋_GB2312"/>
                <w:b w:val="0"/>
                <w:bCs w:val="0"/>
                <w:color w:val="auto"/>
                <w:sz w:val="18"/>
                <w:szCs w:val="18"/>
                <w:highlight w:val="none"/>
                <w:u w:val="none"/>
                <w:lang w:val="en-US" w:eastAsia="zh-CN"/>
              </w:rPr>
              <w:t>19</w:t>
            </w:r>
            <w:r>
              <w:rPr>
                <w:rFonts w:hint="eastAsia" w:ascii="仿宋_GB2312" w:hAnsi="仿宋_GB2312" w:eastAsia="仿宋_GB2312" w:cs="仿宋_GB2312"/>
                <w:b w:val="0"/>
                <w:bCs w:val="0"/>
                <w:color w:val="auto"/>
                <w:sz w:val="18"/>
                <w:szCs w:val="18"/>
                <w:highlight w:val="none"/>
                <w:u w:val="none"/>
              </w:rPr>
              <w:t>年国务院令第</w:t>
            </w:r>
            <w:r>
              <w:rPr>
                <w:rFonts w:hint="eastAsia" w:ascii="仿宋_GB2312" w:hAnsi="仿宋_GB2312" w:eastAsia="仿宋_GB2312" w:cs="仿宋_GB2312"/>
                <w:b w:val="0"/>
                <w:bCs w:val="0"/>
                <w:color w:val="auto"/>
                <w:sz w:val="18"/>
                <w:szCs w:val="18"/>
                <w:highlight w:val="none"/>
                <w:u w:val="none"/>
                <w:lang w:val="en-US" w:eastAsia="zh-CN"/>
              </w:rPr>
              <w:t>709</w:t>
            </w:r>
            <w:r>
              <w:rPr>
                <w:rFonts w:hint="eastAsia" w:ascii="仿宋_GB2312" w:hAnsi="仿宋_GB2312" w:eastAsia="仿宋_GB2312" w:cs="仿宋_GB2312"/>
                <w:b w:val="0"/>
                <w:bCs w:val="0"/>
                <w:color w:val="auto"/>
                <w:sz w:val="18"/>
                <w:szCs w:val="18"/>
                <w:highlight w:val="none"/>
                <w:u w:val="none"/>
              </w:rPr>
              <w:t>号）</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第四十条  县级以上人民政府卫生主管部门和出入境检验检疫机构可以封存有证据证明可能被艾滋病病毒污染的物品，并予以检验或者进行消毒。经检验，属于被艾滋病病毒污染的物品，应当进行卫生处理或者予以销毁；对未被艾滋病病毒污染的物品或者经消毒后可以使用的物品，应当及时解除封存。</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【行政法规】《国内交通卫生检疫条例》（1998年国务院令第254号） </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第六条  对出入检疫传染病疫区的交通工具及其乘运的人员、物资，县级以上地方人民政府卫生行政部门或者铁路、交通、民用航空行政主管部门的卫生主管机构根据各自的职责，有权采取下列相应的交通卫生检疫措施：</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（一）对出入检疫传染病疫区的人员、交通工具及其承运的物资进行查验；</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（二）对检疫传染病病人、病原携带者、疑似检疫传染病病人和与其密切接触者，实施临时隔离、医学检查及其他应急医学措施；</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（三）对被检疫传染病病原体污染或者可能被污染的物品，实施控制和卫生处理；</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（四）对通过该疫区的交通工具及其停靠场所，实施紧急卫生处理；</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（五）需要采取的其他卫生检疫措施。</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采取前款所列交通卫生检疫措施的期间自决定实施时起至决定解除时止。</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第十条  对拒绝隔离、治疗、留验的检疫传染病病人、病原携带者、疑似检疫传染病病人和与其密切接触者，以及拒绝检查和卫生处理的可能传播检疫传染病的交通工具、停靠场所及物资，县级以上地方人民政府卫生行政部门或者铁路、交通、民用航空行政主管部门的卫生主管机构根据各自的职责，应当依照传染病防治法的规定，采取强制检疫措施；必要时，由当地县级以上人民政府组织公安部门予以协助。</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【行政法规】《病原微生物实验室生物安全管理条例》（2018年国务院令第698号修正）</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 第四十六条 卫生主管部门或者兽医主管部门接到关于实验室发生工作人员感染事故或者病原微生物泄漏事件的报告，或者发现实验室从事病原微生物相关实验活动造成实验室感染事故的，应当立即组织疾病预防控制机构、动物防疫监督机构和医疗机构以及其他有关机构依法下列预防、控制措施：</w:t>
            </w:r>
          </w:p>
          <w:p>
            <w:pPr>
              <w:widowControl/>
              <w:numPr>
                <w:ilvl w:val="0"/>
                <w:numId w:val="3"/>
              </w:numPr>
              <w:adjustRightInd w:val="0"/>
              <w:snapToGrid w:val="0"/>
              <w:spacing w:line="26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封闭被病原微生物污染的实验室或者可能造成病原微生物扩散的场所；</w:t>
            </w:r>
          </w:p>
          <w:p>
            <w:pPr>
              <w:widowControl/>
              <w:numPr>
                <w:ilvl w:val="0"/>
                <w:numId w:val="3"/>
              </w:numPr>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开展流行病学调查；</w:t>
            </w:r>
          </w:p>
          <w:p>
            <w:pPr>
              <w:widowControl/>
              <w:numPr>
                <w:ilvl w:val="0"/>
                <w:numId w:val="3"/>
              </w:numPr>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对病人进行隔离治疗，对相关人员进行医学检查；</w:t>
            </w:r>
          </w:p>
          <w:p>
            <w:pPr>
              <w:widowControl/>
              <w:numPr>
                <w:ilvl w:val="0"/>
                <w:numId w:val="3"/>
              </w:numPr>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)对密切接触者进行医学观察；</w:t>
            </w:r>
          </w:p>
          <w:p>
            <w:pPr>
              <w:widowControl/>
              <w:numPr>
                <w:ilvl w:val="0"/>
                <w:numId w:val="3"/>
              </w:numPr>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进行现场消毒； 　</w:t>
            </w:r>
          </w:p>
          <w:p>
            <w:pPr>
              <w:widowControl/>
              <w:numPr>
                <w:ilvl w:val="0"/>
                <w:numId w:val="3"/>
              </w:numPr>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对染疫或者疑似染疫的动物采取隔离、扑杀等措施；</w:t>
            </w:r>
          </w:p>
          <w:p>
            <w:pPr>
              <w:widowControl/>
              <w:numPr>
                <w:ilvl w:val="0"/>
                <w:numId w:val="3"/>
              </w:numPr>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(七)其他需要采取的预防、控制措施。</w:t>
            </w:r>
          </w:p>
        </w:tc>
        <w:tc>
          <w:tcPr>
            <w:tcW w:w="1740" w:type="dxa"/>
            <w:vAlign w:val="center"/>
          </w:tcPr>
          <w:p>
            <w:pPr>
              <w:widowControl/>
              <w:adjustRightInd w:val="0"/>
              <w:snapToGrid w:val="0"/>
              <w:spacing w:line="260" w:lineRule="exact"/>
              <w:jc w:val="lef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对被传染病病原体污染的污水、污物、场所和物品采取控制措施</w:t>
            </w:r>
          </w:p>
        </w:tc>
        <w:tc>
          <w:tcPr>
            <w:tcW w:w="810" w:type="dxa"/>
            <w:vAlign w:val="center"/>
          </w:tcPr>
          <w:p>
            <w:pPr>
              <w:widowControl/>
              <w:adjustRightInd w:val="0"/>
              <w:snapToGrid w:val="0"/>
              <w:spacing w:line="260" w:lineRule="exact"/>
              <w:jc w:val="left"/>
              <w:rPr>
                <w:rFonts w:hint="eastAsia" w:ascii="仿宋_GB2312" w:hAnsi="仿宋_GB2312" w:eastAsia="仿宋_GB2312" w:cs="仿宋_GB2312"/>
                <w:b w:val="0"/>
                <w:bCs w:val="0"/>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801" w:type="dxa"/>
            <w:vAlign w:val="center"/>
          </w:tcPr>
          <w:p>
            <w:pPr>
              <w:widowControl/>
              <w:adjustRightInd w:val="0"/>
              <w:snapToGrid w:val="0"/>
              <w:spacing w:line="260" w:lineRule="exact"/>
              <w:jc w:val="center"/>
              <w:rPr>
                <w:rFonts w:hint="eastAsia" w:ascii="仿宋_GB2312" w:hAnsi="仿宋_GB2312" w:eastAsia="仿宋_GB2312" w:cs="仿宋_GB2312"/>
                <w:b w:val="0"/>
                <w:bCs w:val="0"/>
                <w:color w:val="auto"/>
                <w:kern w:val="0"/>
                <w:sz w:val="18"/>
                <w:szCs w:val="18"/>
                <w:highlight w:val="none"/>
                <w:u w:val="none"/>
                <w:lang w:val="en-US" w:eastAsia="zh-CN"/>
              </w:rPr>
            </w:pPr>
            <w:r>
              <w:rPr>
                <w:rFonts w:hint="eastAsia" w:ascii="仿宋_GB2312" w:hAnsi="仿宋_GB2312" w:eastAsia="仿宋_GB2312" w:cs="仿宋_GB2312"/>
                <w:b w:val="0"/>
                <w:bCs w:val="0"/>
                <w:color w:val="auto"/>
                <w:kern w:val="0"/>
                <w:sz w:val="18"/>
                <w:szCs w:val="18"/>
                <w:highlight w:val="none"/>
                <w:u w:val="none"/>
                <w:lang w:val="en-US" w:eastAsia="zh-CN"/>
              </w:rPr>
              <w:t>4</w:t>
            </w:r>
          </w:p>
        </w:tc>
        <w:tc>
          <w:tcPr>
            <w:tcW w:w="618" w:type="dxa"/>
            <w:vAlign w:val="center"/>
          </w:tcPr>
          <w:p>
            <w:pPr>
              <w:widowControl/>
              <w:adjustRightInd w:val="0"/>
              <w:snapToGrid w:val="0"/>
              <w:spacing w:line="260" w:lineRule="exact"/>
              <w:jc w:val="left"/>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行政强制</w:t>
            </w:r>
          </w:p>
        </w:tc>
        <w:tc>
          <w:tcPr>
            <w:tcW w:w="1590" w:type="dxa"/>
            <w:vAlign w:val="center"/>
          </w:tcPr>
          <w:p>
            <w:pPr>
              <w:widowControl/>
              <w:adjustRightInd w:val="0"/>
              <w:snapToGrid w:val="0"/>
              <w:spacing w:line="260" w:lineRule="exact"/>
              <w:jc w:val="left"/>
              <w:rPr>
                <w:rFonts w:hint="eastAsia" w:ascii="仿宋_GB2312" w:hAnsi="仿宋_GB2312" w:eastAsia="仿宋_GB2312" w:cs="仿宋_GB2312"/>
                <w:b w:val="0"/>
                <w:bCs w:val="0"/>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kern w:val="0"/>
                <w:sz w:val="18"/>
                <w:szCs w:val="18"/>
                <w:highlight w:val="none"/>
                <w:u w:val="none"/>
                <w14:textFill>
                  <w14:solidFill>
                    <w14:schemeClr w14:val="tx1"/>
                  </w14:solidFill>
                </w14:textFill>
              </w:rPr>
              <w:t>对突发公共卫生事件现场、人员、食物、水源等采取的控制措施</w:t>
            </w:r>
          </w:p>
        </w:tc>
        <w:tc>
          <w:tcPr>
            <w:tcW w:w="720" w:type="dxa"/>
            <w:vAlign w:val="center"/>
          </w:tcPr>
          <w:p>
            <w:pPr>
              <w:adjustRightInd w:val="0"/>
              <w:snapToGrid w:val="0"/>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0320004000</w:t>
            </w:r>
          </w:p>
        </w:tc>
        <w:tc>
          <w:tcPr>
            <w:tcW w:w="69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650"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【行政法规】 《突发公共卫生事件应急条例》（2011年国务院令第588号修正）</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第三十三条  根据突发事件应急处理的需要，突发事件应急处理指挥部有权紧急调集人员、储备的物资、交通工具以及相关设施、设备；必要时，对人员进行疏散或者隔离，并可以依法对传染病疫区实行封锁。 </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第三十四条  突发事件应急处理指挥部根据突发事件应急处理的需要，可以对食物和水源采取控制措施。</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县级以上地方人民政府卫生行政主管部门应当对突发事件现场等采取控制措施，宣传突发事件防治知识，及时对易受感染的人群和其他易受损害的人群采取应急接种、预防性投药、群体防护等措施。</w:t>
            </w:r>
          </w:p>
        </w:tc>
        <w:tc>
          <w:tcPr>
            <w:tcW w:w="1740" w:type="dxa"/>
            <w:vAlign w:val="center"/>
          </w:tcPr>
          <w:p>
            <w:pPr>
              <w:widowControl/>
              <w:adjustRightInd w:val="0"/>
              <w:snapToGrid w:val="0"/>
              <w:spacing w:line="260" w:lineRule="exact"/>
              <w:jc w:val="lef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对突发公共卫生事件现场、人员、食物、水源等采取控制措施</w:t>
            </w:r>
          </w:p>
        </w:tc>
        <w:tc>
          <w:tcPr>
            <w:tcW w:w="810" w:type="dxa"/>
            <w:vAlign w:val="center"/>
          </w:tcPr>
          <w:p>
            <w:pPr>
              <w:widowControl/>
              <w:adjustRightInd w:val="0"/>
              <w:snapToGrid w:val="0"/>
              <w:spacing w:line="260" w:lineRule="exact"/>
              <w:jc w:val="left"/>
              <w:rPr>
                <w:rFonts w:hint="eastAsia" w:ascii="仿宋_GB2312" w:hAnsi="仿宋_GB2312" w:eastAsia="仿宋_GB2312" w:cs="仿宋_GB2312"/>
                <w:b w:val="0"/>
                <w:bCs w:val="0"/>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801" w:type="dxa"/>
            <w:vAlign w:val="center"/>
          </w:tcPr>
          <w:p>
            <w:pPr>
              <w:widowControl/>
              <w:adjustRightInd w:val="0"/>
              <w:snapToGrid w:val="0"/>
              <w:spacing w:line="260" w:lineRule="exact"/>
              <w:jc w:val="center"/>
              <w:rPr>
                <w:rFonts w:hint="eastAsia" w:ascii="仿宋_GB2312" w:hAnsi="仿宋_GB2312" w:eastAsia="仿宋_GB2312" w:cs="仿宋_GB2312"/>
                <w:b w:val="0"/>
                <w:bCs w:val="0"/>
                <w:color w:val="auto"/>
                <w:kern w:val="0"/>
                <w:sz w:val="18"/>
                <w:szCs w:val="18"/>
                <w:highlight w:val="none"/>
                <w:u w:val="none"/>
                <w:lang w:val="en-US" w:eastAsia="zh-CN"/>
              </w:rPr>
            </w:pPr>
            <w:r>
              <w:rPr>
                <w:rFonts w:hint="eastAsia" w:ascii="仿宋_GB2312" w:hAnsi="仿宋_GB2312" w:eastAsia="仿宋_GB2312" w:cs="仿宋_GB2312"/>
                <w:b w:val="0"/>
                <w:bCs w:val="0"/>
                <w:color w:val="auto"/>
                <w:kern w:val="0"/>
                <w:sz w:val="18"/>
                <w:szCs w:val="18"/>
                <w:highlight w:val="none"/>
                <w:u w:val="none"/>
                <w:lang w:val="en-US" w:eastAsia="zh-CN"/>
              </w:rPr>
              <w:t>5</w:t>
            </w:r>
          </w:p>
        </w:tc>
        <w:tc>
          <w:tcPr>
            <w:tcW w:w="618" w:type="dxa"/>
            <w:vAlign w:val="center"/>
          </w:tcPr>
          <w:p>
            <w:pPr>
              <w:widowControl/>
              <w:adjustRightInd w:val="0"/>
              <w:snapToGrid w:val="0"/>
              <w:spacing w:line="260" w:lineRule="exact"/>
              <w:jc w:val="left"/>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行政强制</w:t>
            </w:r>
          </w:p>
        </w:tc>
        <w:tc>
          <w:tcPr>
            <w:tcW w:w="1590" w:type="dxa"/>
            <w:vAlign w:val="center"/>
          </w:tcPr>
          <w:p>
            <w:pPr>
              <w:widowControl/>
              <w:adjustRightInd w:val="0"/>
              <w:snapToGrid w:val="0"/>
              <w:spacing w:line="260" w:lineRule="exact"/>
              <w:jc w:val="left"/>
              <w:rPr>
                <w:rFonts w:hint="eastAsia" w:ascii="仿宋_GB2312" w:hAnsi="仿宋_GB2312" w:eastAsia="仿宋_GB2312" w:cs="仿宋_GB2312"/>
                <w:b w:val="0"/>
                <w:bCs w:val="0"/>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对非法采集血液或者出售无偿献血的血液、非法组织他人出卖血液的取缔</w:t>
            </w:r>
          </w:p>
        </w:tc>
        <w:tc>
          <w:tcPr>
            <w:tcW w:w="720" w:type="dxa"/>
            <w:vAlign w:val="center"/>
          </w:tcPr>
          <w:p>
            <w:pPr>
              <w:adjustRightInd w:val="0"/>
              <w:snapToGrid w:val="0"/>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0320005000</w:t>
            </w:r>
          </w:p>
        </w:tc>
        <w:tc>
          <w:tcPr>
            <w:tcW w:w="69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650" w:type="dxa"/>
            <w:vAlign w:val="center"/>
          </w:tcPr>
          <w:p>
            <w:pPr>
              <w:widowControl/>
              <w:adjustRightInd w:val="0"/>
              <w:snapToGrid w:val="0"/>
              <w:spacing w:line="260" w:lineRule="exact"/>
              <w:ind w:firstLine="36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【法律】《中华人民共和国献血法》（1997年）</w:t>
            </w:r>
          </w:p>
          <w:p>
            <w:pPr>
              <w:widowControl/>
              <w:adjustRightInd w:val="0"/>
              <w:snapToGrid w:val="0"/>
              <w:spacing w:line="260" w:lineRule="exact"/>
              <w:ind w:firstLine="36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第十八条 有下列行为之一的，由县级以上地方人民政府卫生行政部门予以取缔，没收违法所得，可以并处十万元以下的罚款；构成犯罪的，依法追究刑事责任：</w:t>
            </w:r>
          </w:p>
          <w:p>
            <w:pPr>
              <w:widowControl/>
              <w:adjustRightInd w:val="0"/>
              <w:snapToGrid w:val="0"/>
              <w:spacing w:line="260" w:lineRule="exact"/>
              <w:ind w:firstLine="36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（一）非法采集血液的。 </w:t>
            </w:r>
          </w:p>
          <w:p>
            <w:pPr>
              <w:widowControl/>
              <w:adjustRightInd w:val="0"/>
              <w:snapToGrid w:val="0"/>
              <w:spacing w:line="260" w:lineRule="exact"/>
              <w:ind w:left="36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（二）血站、医疗机构出售无偿献血的血液的； </w:t>
            </w:r>
          </w:p>
          <w:p>
            <w:pPr>
              <w:widowControl/>
              <w:adjustRightInd w:val="0"/>
              <w:snapToGrid w:val="0"/>
              <w:spacing w:line="260" w:lineRule="exact"/>
              <w:ind w:left="36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（三）非法组织他人出卖血液的。 </w:t>
            </w:r>
          </w:p>
          <w:p>
            <w:pPr>
              <w:widowControl/>
              <w:adjustRightInd w:val="0"/>
              <w:snapToGrid w:val="0"/>
              <w:spacing w:line="260" w:lineRule="exact"/>
              <w:ind w:firstLine="36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【法律】《中华人民共和国传染病防治法》（2013年修正）</w:t>
            </w:r>
          </w:p>
          <w:p>
            <w:pPr>
              <w:widowControl/>
              <w:adjustRightInd w:val="0"/>
              <w:snapToGrid w:val="0"/>
              <w:spacing w:line="260" w:lineRule="exact"/>
              <w:ind w:firstLine="36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第七十条 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非法采集血液或者组织他人出卖血液的，由县级以上人民政府卫生行政部门予以取缔，没收违法所得，可以并处十万元以下的罚款；构成犯罪的，依法追究刑事责任。</w:t>
            </w:r>
          </w:p>
        </w:tc>
        <w:tc>
          <w:tcPr>
            <w:tcW w:w="1740" w:type="dxa"/>
            <w:vAlign w:val="center"/>
          </w:tcPr>
          <w:p>
            <w:pPr>
              <w:spacing w:line="260" w:lineRule="exac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lang w:eastAsia="zh-CN"/>
              </w:rPr>
              <w:t>对</w:t>
            </w:r>
            <w:r>
              <w:rPr>
                <w:rFonts w:hint="eastAsia" w:ascii="仿宋_GB2312" w:hAnsi="仿宋_GB2312" w:eastAsia="仿宋_GB2312" w:cs="仿宋_GB2312"/>
                <w:b w:val="0"/>
                <w:bCs w:val="0"/>
                <w:color w:val="auto"/>
                <w:sz w:val="18"/>
                <w:szCs w:val="18"/>
                <w:highlight w:val="none"/>
                <w:u w:val="none"/>
              </w:rPr>
              <w:t>非法采集血液或者出售无偿献血的血液、非法组织他人出卖血液</w:t>
            </w:r>
            <w:r>
              <w:rPr>
                <w:rFonts w:hint="eastAsia" w:ascii="仿宋_GB2312" w:hAnsi="仿宋_GB2312" w:eastAsia="仿宋_GB2312" w:cs="仿宋_GB2312"/>
                <w:b w:val="0"/>
                <w:bCs w:val="0"/>
                <w:color w:val="auto"/>
                <w:sz w:val="18"/>
                <w:szCs w:val="18"/>
                <w:highlight w:val="none"/>
                <w:u w:val="none"/>
                <w:lang w:eastAsia="zh-CN"/>
              </w:rPr>
              <w:t>行为予以</w:t>
            </w:r>
            <w:r>
              <w:rPr>
                <w:rFonts w:hint="eastAsia" w:ascii="仿宋_GB2312" w:hAnsi="仿宋_GB2312" w:eastAsia="仿宋_GB2312" w:cs="仿宋_GB2312"/>
                <w:b w:val="0"/>
                <w:bCs w:val="0"/>
                <w:color w:val="auto"/>
                <w:sz w:val="18"/>
                <w:szCs w:val="18"/>
                <w:highlight w:val="none"/>
                <w:u w:val="none"/>
              </w:rPr>
              <w:t>取缔</w:t>
            </w:r>
          </w:p>
        </w:tc>
        <w:tc>
          <w:tcPr>
            <w:tcW w:w="810" w:type="dxa"/>
            <w:vAlign w:val="center"/>
          </w:tcPr>
          <w:p>
            <w:pPr>
              <w:spacing w:line="260" w:lineRule="exact"/>
              <w:rPr>
                <w:rFonts w:hint="eastAsia" w:ascii="仿宋_GB2312" w:hAnsi="仿宋_GB2312" w:eastAsia="仿宋_GB2312" w:cs="仿宋_GB2312"/>
                <w:b w:val="0"/>
                <w:bCs w:val="0"/>
                <w:color w:val="auto"/>
                <w:sz w:val="18"/>
                <w:szCs w:val="18"/>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801" w:type="dxa"/>
            <w:vAlign w:val="center"/>
          </w:tcPr>
          <w:p>
            <w:pPr>
              <w:widowControl/>
              <w:adjustRightInd w:val="0"/>
              <w:snapToGrid w:val="0"/>
              <w:spacing w:line="260" w:lineRule="exact"/>
              <w:jc w:val="center"/>
              <w:rPr>
                <w:rFonts w:hint="eastAsia" w:ascii="仿宋_GB2312" w:hAnsi="仿宋_GB2312" w:eastAsia="仿宋_GB2312" w:cs="仿宋_GB2312"/>
                <w:b w:val="0"/>
                <w:bCs w:val="0"/>
                <w:color w:val="auto"/>
                <w:kern w:val="0"/>
                <w:sz w:val="18"/>
                <w:szCs w:val="18"/>
                <w:highlight w:val="none"/>
                <w:u w:val="none"/>
                <w:lang w:val="en-US" w:eastAsia="zh-CN"/>
              </w:rPr>
            </w:pPr>
            <w:r>
              <w:rPr>
                <w:rFonts w:hint="eastAsia" w:ascii="仿宋_GB2312" w:hAnsi="仿宋_GB2312" w:eastAsia="仿宋_GB2312" w:cs="仿宋_GB2312"/>
                <w:b w:val="0"/>
                <w:bCs w:val="0"/>
                <w:color w:val="auto"/>
                <w:kern w:val="0"/>
                <w:sz w:val="18"/>
                <w:szCs w:val="18"/>
                <w:highlight w:val="none"/>
                <w:u w:val="none"/>
                <w:lang w:val="en-US" w:eastAsia="zh-CN"/>
              </w:rPr>
              <w:t>6</w:t>
            </w:r>
          </w:p>
        </w:tc>
        <w:tc>
          <w:tcPr>
            <w:tcW w:w="618" w:type="dxa"/>
            <w:vAlign w:val="center"/>
          </w:tcPr>
          <w:p>
            <w:pPr>
              <w:widowControl/>
              <w:adjustRightInd w:val="0"/>
              <w:snapToGrid w:val="0"/>
              <w:spacing w:line="260" w:lineRule="exact"/>
              <w:jc w:val="cente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行政强制</w:t>
            </w:r>
          </w:p>
        </w:tc>
        <w:tc>
          <w:tcPr>
            <w:tcW w:w="1590" w:type="dxa"/>
            <w:vAlign w:val="center"/>
          </w:tcPr>
          <w:p>
            <w:pPr>
              <w:widowControl/>
              <w:adjustRightInd w:val="0"/>
              <w:snapToGrid w:val="0"/>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对未经批准擅自开办医疗机构行医或者非医师行医的取缔</w:t>
            </w:r>
          </w:p>
        </w:tc>
        <w:tc>
          <w:tcPr>
            <w:tcW w:w="720" w:type="dxa"/>
            <w:vAlign w:val="center"/>
          </w:tcPr>
          <w:p>
            <w:pPr>
              <w:adjustRightInd w:val="0"/>
              <w:snapToGrid w:val="0"/>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0320006000</w:t>
            </w:r>
          </w:p>
        </w:tc>
        <w:tc>
          <w:tcPr>
            <w:tcW w:w="69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650" w:type="dxa"/>
            <w:vAlign w:val="center"/>
          </w:tcPr>
          <w:p>
            <w:pPr>
              <w:widowControl/>
              <w:adjustRightInd w:val="0"/>
              <w:snapToGrid w:val="0"/>
              <w:spacing w:line="260" w:lineRule="exact"/>
              <w:ind w:firstLine="361"/>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【法律】《中华人民共和国执业医师法》（2009年修正） </w:t>
            </w:r>
          </w:p>
          <w:p>
            <w:pPr>
              <w:widowControl/>
              <w:adjustRightInd w:val="0"/>
              <w:snapToGrid w:val="0"/>
              <w:spacing w:line="260" w:lineRule="exact"/>
              <w:ind w:firstLine="361"/>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p>
            <w:pPr>
              <w:widowControl/>
              <w:adjustRightInd w:val="0"/>
              <w:snapToGrid w:val="0"/>
              <w:spacing w:line="260" w:lineRule="exact"/>
              <w:ind w:firstLine="361"/>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【行政法规】《乡村医师从业管理条例》（2003年国务院令第386号）</w:t>
            </w:r>
          </w:p>
          <w:p>
            <w:pPr>
              <w:widowControl/>
              <w:adjustRightInd w:val="0"/>
              <w:snapToGrid w:val="0"/>
              <w:spacing w:line="260" w:lineRule="exact"/>
              <w:ind w:firstLine="361" w:firstLineChars="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tc>
        <w:tc>
          <w:tcPr>
            <w:tcW w:w="1740" w:type="dxa"/>
            <w:vAlign w:val="center"/>
          </w:tcPr>
          <w:p>
            <w:pPr>
              <w:spacing w:line="260" w:lineRule="exact"/>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rPr>
              <w:t>取缔对未经批准擅自开办医疗机构行医或者非医师行医</w:t>
            </w:r>
          </w:p>
        </w:tc>
        <w:tc>
          <w:tcPr>
            <w:tcW w:w="810" w:type="dxa"/>
            <w:vAlign w:val="center"/>
          </w:tcPr>
          <w:p>
            <w:pPr>
              <w:spacing w:line="260" w:lineRule="exact"/>
              <w:rPr>
                <w:rFonts w:hint="eastAsia" w:ascii="仿宋_GB2312" w:hAnsi="仿宋_GB2312" w:eastAsia="仿宋_GB2312" w:cs="仿宋_GB2312"/>
                <w:b w:val="0"/>
                <w:bCs w:val="0"/>
                <w:color w:val="auto"/>
                <w:sz w:val="18"/>
                <w:szCs w:val="18"/>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01" w:type="dxa"/>
            <w:vAlign w:val="center"/>
          </w:tcPr>
          <w:p>
            <w:pPr>
              <w:widowControl/>
              <w:adjustRightInd w:val="0"/>
              <w:snapToGrid w:val="0"/>
              <w:spacing w:line="260" w:lineRule="exact"/>
              <w:jc w:val="center"/>
              <w:rPr>
                <w:rFonts w:hint="eastAsia" w:ascii="仿宋_GB2312" w:hAnsi="仿宋_GB2312" w:eastAsia="仿宋_GB2312" w:cs="仿宋_GB2312"/>
                <w:b w:val="0"/>
                <w:bCs w:val="0"/>
                <w:color w:val="auto"/>
                <w:kern w:val="0"/>
                <w:sz w:val="18"/>
                <w:szCs w:val="18"/>
                <w:highlight w:val="none"/>
                <w:u w:val="none"/>
                <w:lang w:val="en-US" w:eastAsia="zh-CN"/>
              </w:rPr>
            </w:pPr>
            <w:r>
              <w:rPr>
                <w:rFonts w:hint="eastAsia" w:ascii="仿宋_GB2312" w:hAnsi="仿宋_GB2312" w:eastAsia="仿宋_GB2312" w:cs="仿宋_GB2312"/>
                <w:b w:val="0"/>
                <w:bCs w:val="0"/>
                <w:color w:val="auto"/>
                <w:kern w:val="0"/>
                <w:sz w:val="18"/>
                <w:szCs w:val="18"/>
                <w:highlight w:val="none"/>
                <w:u w:val="none"/>
                <w:lang w:val="en-US" w:eastAsia="zh-CN"/>
              </w:rPr>
              <w:t>7</w:t>
            </w:r>
          </w:p>
        </w:tc>
        <w:tc>
          <w:tcPr>
            <w:tcW w:w="618" w:type="dxa"/>
            <w:vAlign w:val="center"/>
          </w:tcPr>
          <w:p>
            <w:pPr>
              <w:widowControl/>
              <w:adjustRightInd w:val="0"/>
              <w:snapToGrid w:val="0"/>
              <w:spacing w:line="260" w:lineRule="exact"/>
              <w:jc w:val="center"/>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行政强制</w:t>
            </w:r>
          </w:p>
        </w:tc>
        <w:tc>
          <w:tcPr>
            <w:tcW w:w="1590" w:type="dxa"/>
            <w:vAlign w:val="center"/>
          </w:tcPr>
          <w:p>
            <w:pPr>
              <w:widowControl/>
              <w:adjustRightInd w:val="0"/>
              <w:snapToGrid w:val="0"/>
              <w:spacing w:line="260" w:lineRule="exact"/>
              <w:jc w:val="center"/>
              <w:rPr>
                <w:rFonts w:hint="eastAsia" w:ascii="仿宋_GB2312" w:hAnsi="仿宋_GB2312" w:eastAsia="仿宋_GB2312" w:cs="仿宋_GB2312"/>
                <w:b w:val="0"/>
                <w:bCs w:val="0"/>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kern w:val="0"/>
                <w:sz w:val="18"/>
                <w:szCs w:val="18"/>
                <w:highlight w:val="none"/>
                <w:u w:val="none"/>
                <w14:textFill>
                  <w14:solidFill>
                    <w14:schemeClr w14:val="tx1"/>
                  </w14:solidFill>
                </w14:textFill>
              </w:rPr>
              <w:t>对发生职业中毒事故或者有证据证明职业中毒危害状态可能导致事故发生的临时控制措施</w:t>
            </w:r>
          </w:p>
        </w:tc>
        <w:tc>
          <w:tcPr>
            <w:tcW w:w="720" w:type="dxa"/>
            <w:vAlign w:val="center"/>
          </w:tcPr>
          <w:p>
            <w:pPr>
              <w:adjustRightInd w:val="0"/>
              <w:snapToGrid w:val="0"/>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0320008000</w:t>
            </w:r>
          </w:p>
        </w:tc>
        <w:tc>
          <w:tcPr>
            <w:tcW w:w="69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650" w:type="dxa"/>
            <w:vAlign w:val="center"/>
          </w:tcPr>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【行政法规】《使用有毒物品作业场所劳动保护条例》（2002年国务院令第352号）</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第五十四条  发生职业中毒事故或者有证据证明职业中毒危害状态可能导致事故发生时，卫生行政部门有权采取下列临时控制措施：</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（一）责令暂停导致职业中毒事故的作业；</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（二）封存造成职业中毒事故或者可能导致事故发生的物品；</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（三）组织控制职业中毒事故现场。</w:t>
            </w:r>
          </w:p>
          <w:p>
            <w:pPr>
              <w:widowControl/>
              <w:adjustRightInd w:val="0"/>
              <w:snapToGrid w:val="0"/>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在职业中毒事故或者危害状态得到有效控制后，卫生行政部门应当及时解除控制措施。</w:t>
            </w:r>
          </w:p>
        </w:tc>
        <w:tc>
          <w:tcPr>
            <w:tcW w:w="1740" w:type="dxa"/>
            <w:vAlign w:val="center"/>
          </w:tcPr>
          <w:p>
            <w:pPr>
              <w:spacing w:line="260" w:lineRule="exac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对发生职业中毒事故或者有证据证明职业中毒危害状态可能导致事故发生</w:t>
            </w:r>
            <w:r>
              <w:rPr>
                <w:rFonts w:hint="eastAsia" w:ascii="仿宋_GB2312" w:hAnsi="仿宋_GB2312" w:eastAsia="仿宋_GB2312" w:cs="仿宋_GB2312"/>
                <w:b w:val="0"/>
                <w:bCs w:val="0"/>
                <w:color w:val="auto"/>
                <w:kern w:val="0"/>
                <w:sz w:val="18"/>
                <w:szCs w:val="18"/>
                <w:highlight w:val="none"/>
                <w:u w:val="none"/>
                <w:lang w:eastAsia="zh-CN"/>
              </w:rPr>
              <w:t>时采取</w:t>
            </w:r>
            <w:r>
              <w:rPr>
                <w:rFonts w:hint="eastAsia" w:ascii="仿宋_GB2312" w:hAnsi="仿宋_GB2312" w:eastAsia="仿宋_GB2312" w:cs="仿宋_GB2312"/>
                <w:b w:val="0"/>
                <w:bCs w:val="0"/>
                <w:color w:val="auto"/>
                <w:kern w:val="0"/>
                <w:sz w:val="18"/>
                <w:szCs w:val="18"/>
                <w:highlight w:val="none"/>
                <w:u w:val="none"/>
              </w:rPr>
              <w:t>临时控制措施</w:t>
            </w:r>
          </w:p>
        </w:tc>
        <w:tc>
          <w:tcPr>
            <w:tcW w:w="810" w:type="dxa"/>
            <w:vAlign w:val="center"/>
          </w:tcPr>
          <w:p>
            <w:pPr>
              <w:spacing w:line="260" w:lineRule="exact"/>
              <w:rPr>
                <w:rFonts w:hint="eastAsia" w:ascii="仿宋_GB2312" w:hAnsi="仿宋_GB2312" w:eastAsia="仿宋_GB2312" w:cs="仿宋_GB2312"/>
                <w:b w:val="0"/>
                <w:bCs w:val="0"/>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01" w:type="dxa"/>
            <w:vAlign w:val="center"/>
          </w:tcPr>
          <w:p>
            <w:pPr>
              <w:widowControl/>
              <w:adjustRightInd w:val="0"/>
              <w:snapToGrid w:val="0"/>
              <w:spacing w:line="260" w:lineRule="exact"/>
              <w:jc w:val="center"/>
              <w:rPr>
                <w:rFonts w:hint="eastAsia" w:ascii="仿宋_GB2312" w:hAnsi="仿宋_GB2312" w:eastAsia="仿宋_GB2312" w:cs="仿宋_GB2312"/>
                <w:b w:val="0"/>
                <w:bCs w:val="0"/>
                <w:color w:val="auto"/>
                <w:kern w:val="0"/>
                <w:sz w:val="18"/>
                <w:szCs w:val="18"/>
                <w:highlight w:val="none"/>
                <w:u w:val="none"/>
                <w:lang w:val="en-US" w:eastAsia="zh-CN"/>
              </w:rPr>
            </w:pPr>
            <w:r>
              <w:rPr>
                <w:rFonts w:hint="eastAsia" w:ascii="仿宋_GB2312" w:hAnsi="仿宋_GB2312" w:eastAsia="仿宋_GB2312" w:cs="仿宋_GB2312"/>
                <w:b w:val="0"/>
                <w:bCs w:val="0"/>
                <w:color w:val="auto"/>
                <w:kern w:val="0"/>
                <w:sz w:val="18"/>
                <w:szCs w:val="18"/>
                <w:highlight w:val="none"/>
                <w:u w:val="none"/>
                <w:lang w:val="en-US" w:eastAsia="zh-CN"/>
              </w:rPr>
              <w:t>8</w:t>
            </w:r>
          </w:p>
        </w:tc>
        <w:tc>
          <w:tcPr>
            <w:tcW w:w="618" w:type="dxa"/>
            <w:vAlign w:val="center"/>
          </w:tcPr>
          <w:p>
            <w:pPr>
              <w:widowControl/>
              <w:adjustRightInd w:val="0"/>
              <w:snapToGrid w:val="0"/>
              <w:spacing w:line="260" w:lineRule="exact"/>
              <w:jc w:val="center"/>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行政强制</w:t>
            </w:r>
          </w:p>
        </w:tc>
        <w:tc>
          <w:tcPr>
            <w:tcW w:w="1590" w:type="dxa"/>
            <w:vAlign w:val="center"/>
          </w:tcPr>
          <w:p>
            <w:pPr>
              <w:widowControl/>
              <w:adjustRightInd w:val="0"/>
              <w:snapToGrid w:val="0"/>
              <w:spacing w:line="260" w:lineRule="exact"/>
              <w:jc w:val="center"/>
              <w:rPr>
                <w:rFonts w:hint="eastAsia" w:ascii="仿宋_GB2312" w:hAnsi="仿宋_GB2312" w:eastAsia="仿宋_GB2312" w:cs="仿宋_GB2312"/>
                <w:b w:val="0"/>
                <w:bCs w:val="0"/>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对导致职业病危害事故的作业责令暂停，对造成职业病危害事故或者可能导致职业病危害事故发生的材料和设备的封存，对职业病危害事故现场的组织控制</w:t>
            </w:r>
          </w:p>
        </w:tc>
        <w:tc>
          <w:tcPr>
            <w:tcW w:w="720" w:type="dxa"/>
            <w:vAlign w:val="center"/>
          </w:tcPr>
          <w:p>
            <w:pPr>
              <w:adjustRightInd w:val="0"/>
              <w:snapToGrid w:val="0"/>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0329005000</w:t>
            </w:r>
          </w:p>
        </w:tc>
        <w:tc>
          <w:tcPr>
            <w:tcW w:w="69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650" w:type="dxa"/>
            <w:vAlign w:val="center"/>
          </w:tcPr>
          <w:p>
            <w:pPr>
              <w:widowControl/>
              <w:adjustRightInd w:val="0"/>
              <w:snapToGrid w:val="0"/>
              <w:spacing w:line="260" w:lineRule="exact"/>
              <w:ind w:firstLine="36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【法律】《中华人民共和国职业病防治法》（</w:t>
            </w:r>
            <w:r>
              <w:rPr>
                <w:rFonts w:hint="eastAsia" w:ascii="仿宋_GB2312" w:hAnsi="仿宋_GB2312" w:eastAsia="仿宋_GB2312" w:cs="仿宋_GB2312"/>
                <w:b w:val="0"/>
                <w:bCs w:val="0"/>
                <w:color w:val="auto"/>
                <w:sz w:val="18"/>
                <w:szCs w:val="18"/>
                <w:highlight w:val="none"/>
                <w:u w:val="none"/>
                <w:lang w:val="en-US" w:eastAsia="zh-CN"/>
              </w:rPr>
              <w:t>2018</w:t>
            </w:r>
            <w:r>
              <w:rPr>
                <w:rFonts w:hint="eastAsia" w:ascii="仿宋_GB2312" w:hAnsi="仿宋_GB2312" w:eastAsia="仿宋_GB2312" w:cs="仿宋_GB2312"/>
                <w:b w:val="0"/>
                <w:bCs w:val="0"/>
                <w:color w:val="auto"/>
                <w:sz w:val="18"/>
                <w:szCs w:val="18"/>
                <w:highlight w:val="none"/>
                <w:u w:val="none"/>
              </w:rPr>
              <w:t>年修正）</w:t>
            </w:r>
          </w:p>
          <w:p>
            <w:pPr>
              <w:widowControl/>
              <w:adjustRightInd w:val="0"/>
              <w:snapToGrid w:val="0"/>
              <w:spacing w:line="260" w:lineRule="exact"/>
              <w:ind w:firstLine="36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第六十四条 发生职业病危害事故或者有证据证明危害状态可能导致职业病危害事故发生时，安全生产监督管理部门可以采取下列临时控制措施： </w:t>
            </w:r>
          </w:p>
          <w:p>
            <w:pPr>
              <w:widowControl/>
              <w:adjustRightInd w:val="0"/>
              <w:snapToGrid w:val="0"/>
              <w:spacing w:line="260" w:lineRule="exact"/>
              <w:ind w:firstLine="36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（一）责令暂停导致职业病危害事故的作业； </w:t>
            </w:r>
          </w:p>
          <w:p>
            <w:pPr>
              <w:widowControl/>
              <w:adjustRightInd w:val="0"/>
              <w:snapToGrid w:val="0"/>
              <w:spacing w:line="260" w:lineRule="exact"/>
              <w:ind w:firstLine="36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（二）封存造成职业病危害事故或者可能导致职业病危害事故发生的材料和设备； </w:t>
            </w:r>
          </w:p>
          <w:p>
            <w:pPr>
              <w:widowControl/>
              <w:adjustRightInd w:val="0"/>
              <w:snapToGrid w:val="0"/>
              <w:spacing w:line="260" w:lineRule="exact"/>
              <w:ind w:firstLine="36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（三）组织控制职业病危害事故现场。 </w:t>
            </w:r>
          </w:p>
          <w:p>
            <w:pPr>
              <w:widowControl/>
              <w:adjustRightInd w:val="0"/>
              <w:snapToGrid w:val="0"/>
              <w:spacing w:line="260" w:lineRule="exact"/>
              <w:ind w:firstLine="360" w:firstLineChars="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在职业病危害事故或者危害状态得到有效控制后，安全生产监督管理部门应当及时解除控制措施。 </w:t>
            </w:r>
          </w:p>
        </w:tc>
        <w:tc>
          <w:tcPr>
            <w:tcW w:w="1740" w:type="dxa"/>
            <w:vAlign w:val="center"/>
          </w:tcPr>
          <w:p>
            <w:pPr>
              <w:spacing w:line="260" w:lineRule="exact"/>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对导致职业病危害事故的作业责令暂停，对造成职业病危害事故或者可能导致职业病危害事故发生的材料和设备的封存，对职业病危害事故现场的组织控制</w:t>
            </w:r>
          </w:p>
        </w:tc>
        <w:tc>
          <w:tcPr>
            <w:tcW w:w="810" w:type="dxa"/>
            <w:vAlign w:val="center"/>
          </w:tcPr>
          <w:p>
            <w:pPr>
              <w:spacing w:line="260" w:lineRule="exact"/>
              <w:rPr>
                <w:rFonts w:hint="eastAsia" w:ascii="仿宋_GB2312" w:hAnsi="仿宋_GB2312" w:eastAsia="仿宋_GB2312" w:cs="仿宋_GB2312"/>
                <w:b w:val="0"/>
                <w:bCs w:val="0"/>
                <w:color w:val="auto"/>
                <w:sz w:val="18"/>
                <w:szCs w:val="18"/>
                <w:highlight w:val="none"/>
                <w:u w:val="none"/>
              </w:rPr>
            </w:pPr>
          </w:p>
        </w:tc>
      </w:tr>
    </w:tbl>
    <w:p>
      <w:pPr>
        <w:spacing w:line="500" w:lineRule="exact"/>
        <w:jc w:val="center"/>
        <w:rPr>
          <w:rFonts w:hint="eastAsia" w:ascii="仿宋_GB2312" w:hAnsi="仿宋_GB2312" w:eastAsia="仿宋_GB2312" w:cs="仿宋_GB2312"/>
          <w:sz w:val="21"/>
          <w:szCs w:val="21"/>
          <w:highlight w:val="none"/>
        </w:rPr>
      </w:pPr>
    </w:p>
    <w:p>
      <w:pPr>
        <w:spacing w:line="500" w:lineRule="exact"/>
        <w:jc w:val="center"/>
        <w:rPr>
          <w:rFonts w:hint="eastAsia" w:ascii="仿宋_GB2312" w:hAnsi="仿宋_GB2312" w:eastAsia="仿宋_GB2312" w:cs="仿宋_GB2312"/>
          <w:b/>
          <w:color w:val="FF0000"/>
        </w:rPr>
      </w:pPr>
    </w:p>
    <w:p>
      <w:pPr>
        <w:pStyle w:val="2"/>
        <w:rPr>
          <w:rFonts w:hint="eastAsia" w:ascii="仿宋_GB2312" w:hAnsi="仿宋_GB2312" w:eastAsia="仿宋_GB2312" w:cs="仿宋_GB2312"/>
          <w:b/>
          <w:color w:val="FF0000"/>
        </w:rPr>
      </w:pPr>
    </w:p>
    <w:p>
      <w:pPr>
        <w:pStyle w:val="2"/>
        <w:rPr>
          <w:rFonts w:hint="eastAsia" w:ascii="仿宋_GB2312" w:hAnsi="仿宋_GB2312" w:eastAsia="仿宋_GB2312" w:cs="仿宋_GB2312"/>
          <w:b/>
          <w:color w:val="FF0000"/>
        </w:rPr>
      </w:pPr>
    </w:p>
    <w:p>
      <w:pPr>
        <w:pStyle w:val="2"/>
        <w:tabs>
          <w:tab w:val="left" w:pos="9814"/>
        </w:tabs>
        <w:rPr>
          <w:rFonts w:hint="eastAsia" w:ascii="仿宋_GB2312" w:hAnsi="仿宋_GB2312" w:eastAsia="仿宋_GB2312" w:cs="仿宋_GB2312"/>
          <w:b/>
          <w:color w:val="FF0000"/>
          <w:lang w:eastAsia="zh-CN"/>
        </w:rPr>
      </w:pPr>
      <w:r>
        <w:rPr>
          <w:rFonts w:hint="eastAsia" w:ascii="仿宋_GB2312" w:hAnsi="仿宋_GB2312" w:eastAsia="仿宋_GB2312" w:cs="仿宋_GB2312"/>
          <w:b/>
          <w:color w:val="FF0000"/>
          <w:lang w:eastAsia="zh-CN"/>
        </w:rPr>
        <w:tab/>
      </w:r>
    </w:p>
    <w:p>
      <w:pPr>
        <w:pStyle w:val="2"/>
        <w:tabs>
          <w:tab w:val="left" w:pos="9814"/>
        </w:tabs>
        <w:rPr>
          <w:rFonts w:hint="eastAsia" w:ascii="仿宋_GB2312" w:hAnsi="仿宋_GB2312" w:eastAsia="仿宋_GB2312" w:cs="仿宋_GB2312"/>
          <w:b/>
          <w:color w:val="FF0000"/>
          <w:lang w:eastAsia="zh-CN"/>
        </w:rPr>
      </w:pPr>
    </w:p>
    <w:p>
      <w:pPr>
        <w:pStyle w:val="2"/>
        <w:tabs>
          <w:tab w:val="left" w:pos="9814"/>
        </w:tabs>
        <w:rPr>
          <w:rFonts w:hint="eastAsia" w:ascii="仿宋_GB2312" w:hAnsi="仿宋_GB2312" w:eastAsia="仿宋_GB2312" w:cs="仿宋_GB2312"/>
          <w:b/>
          <w:color w:val="FF0000"/>
          <w:lang w:eastAsia="zh-CN"/>
        </w:rPr>
      </w:pPr>
    </w:p>
    <w:p>
      <w:pPr>
        <w:pStyle w:val="2"/>
        <w:tabs>
          <w:tab w:val="left" w:pos="9814"/>
        </w:tabs>
        <w:rPr>
          <w:rFonts w:hint="eastAsia" w:ascii="仿宋_GB2312" w:hAnsi="仿宋_GB2312" w:eastAsia="仿宋_GB2312" w:cs="仿宋_GB2312"/>
          <w:b/>
          <w:color w:val="FF0000"/>
          <w:lang w:eastAsia="zh-CN"/>
        </w:rPr>
      </w:pPr>
    </w:p>
    <w:p>
      <w:pPr>
        <w:pStyle w:val="2"/>
        <w:tabs>
          <w:tab w:val="left" w:pos="9814"/>
        </w:tabs>
        <w:rPr>
          <w:rFonts w:hint="eastAsia" w:ascii="仿宋_GB2312" w:hAnsi="仿宋_GB2312" w:eastAsia="仿宋_GB2312" w:cs="仿宋_GB2312"/>
          <w:b/>
          <w:color w:val="FF0000"/>
          <w:lang w:eastAsia="zh-CN"/>
        </w:rPr>
      </w:pPr>
    </w:p>
    <w:p>
      <w:pPr>
        <w:pStyle w:val="2"/>
        <w:tabs>
          <w:tab w:val="left" w:pos="9814"/>
        </w:tabs>
        <w:rPr>
          <w:rFonts w:hint="eastAsia" w:ascii="仿宋_GB2312" w:hAnsi="仿宋_GB2312" w:eastAsia="仿宋_GB2312" w:cs="仿宋_GB2312"/>
          <w:b/>
          <w:color w:val="FF0000"/>
          <w:lang w:eastAsia="zh-CN"/>
        </w:rPr>
      </w:pPr>
    </w:p>
    <w:p>
      <w:pPr>
        <w:pStyle w:val="2"/>
        <w:tabs>
          <w:tab w:val="left" w:pos="9814"/>
        </w:tabs>
        <w:rPr>
          <w:rFonts w:hint="eastAsia" w:ascii="仿宋_GB2312" w:hAnsi="仿宋_GB2312" w:eastAsia="仿宋_GB2312" w:cs="仿宋_GB2312"/>
          <w:b/>
          <w:color w:val="FF0000"/>
          <w:lang w:eastAsia="zh-CN"/>
        </w:rPr>
      </w:pPr>
    </w:p>
    <w:p>
      <w:pPr>
        <w:pStyle w:val="2"/>
        <w:tabs>
          <w:tab w:val="left" w:pos="9814"/>
        </w:tabs>
        <w:rPr>
          <w:rFonts w:hint="eastAsia" w:ascii="仿宋_GB2312" w:hAnsi="仿宋_GB2312" w:eastAsia="仿宋_GB2312" w:cs="仿宋_GB2312"/>
          <w:b/>
          <w:color w:val="FF0000"/>
          <w:lang w:eastAsia="zh-CN"/>
        </w:rPr>
      </w:pPr>
    </w:p>
    <w:p>
      <w:pPr>
        <w:pStyle w:val="2"/>
        <w:rPr>
          <w:rFonts w:hint="eastAsia" w:ascii="仿宋_GB2312" w:hAnsi="仿宋_GB2312" w:eastAsia="仿宋_GB2312" w:cs="仿宋_GB2312"/>
          <w:b/>
          <w:color w:val="FF0000"/>
        </w:rPr>
      </w:pPr>
    </w:p>
    <w:p>
      <w:pPr>
        <w:pStyle w:val="2"/>
        <w:rPr>
          <w:rFonts w:hint="eastAsia" w:ascii="仿宋_GB2312" w:hAnsi="仿宋_GB2312" w:eastAsia="仿宋_GB2312" w:cs="仿宋_GB2312"/>
          <w:b/>
          <w:color w:val="FF0000"/>
        </w:rPr>
      </w:pPr>
    </w:p>
    <w:p>
      <w:pPr>
        <w:pStyle w:val="2"/>
        <w:rPr>
          <w:rFonts w:hint="eastAsia" w:ascii="仿宋_GB2312" w:hAnsi="仿宋_GB2312" w:eastAsia="仿宋_GB2312" w:cs="仿宋_GB2312"/>
          <w:b/>
          <w:color w:val="FF0000"/>
        </w:rPr>
      </w:pPr>
    </w:p>
    <w:tbl>
      <w:tblPr>
        <w:tblStyle w:val="6"/>
        <w:tblW w:w="14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776"/>
        <w:gridCol w:w="1553"/>
        <w:gridCol w:w="727"/>
        <w:gridCol w:w="720"/>
        <w:gridCol w:w="7650"/>
        <w:gridCol w:w="174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blHeader/>
          <w:jc w:val="center"/>
        </w:trPr>
        <w:tc>
          <w:tcPr>
            <w:tcW w:w="673" w:type="dxa"/>
            <w:vAlign w:val="center"/>
          </w:tcPr>
          <w:p>
            <w:pPr>
              <w:widowControl/>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序号</w:t>
            </w:r>
          </w:p>
        </w:tc>
        <w:tc>
          <w:tcPr>
            <w:tcW w:w="776" w:type="dxa"/>
            <w:vAlign w:val="center"/>
          </w:tcPr>
          <w:p>
            <w:pPr>
              <w:tabs>
                <w:tab w:val="left" w:pos="431"/>
              </w:tabs>
              <w:jc w:val="left"/>
              <w:rPr>
                <w:rFonts w:hint="eastAsia" w:ascii="仿宋_GB2312" w:hAnsi="仿宋_GB2312" w:eastAsia="仿宋_GB2312" w:cs="仿宋_GB2312"/>
                <w:b/>
                <w:kern w:val="0"/>
                <w:sz w:val="20"/>
                <w:szCs w:val="20"/>
                <w:lang w:eastAsia="zh-CN"/>
              </w:rPr>
            </w:pPr>
            <w:r>
              <w:rPr>
                <w:rFonts w:hint="eastAsia" w:ascii="仿宋_GB2312" w:hAnsi="仿宋_GB2312" w:eastAsia="仿宋_GB2312" w:cs="仿宋_GB2312"/>
                <w:b/>
                <w:kern w:val="0"/>
                <w:sz w:val="20"/>
                <w:szCs w:val="20"/>
                <w:lang w:eastAsia="zh-CN"/>
              </w:rPr>
              <w:t>职权类型</w:t>
            </w:r>
          </w:p>
        </w:tc>
        <w:tc>
          <w:tcPr>
            <w:tcW w:w="1553" w:type="dxa"/>
            <w:vAlign w:val="center"/>
          </w:tcPr>
          <w:p>
            <w:pPr>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职权名称</w:t>
            </w:r>
          </w:p>
        </w:tc>
        <w:tc>
          <w:tcPr>
            <w:tcW w:w="727" w:type="dxa"/>
            <w:vAlign w:val="center"/>
          </w:tcPr>
          <w:p>
            <w:pPr>
              <w:widowControl/>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基本编码</w:t>
            </w:r>
          </w:p>
        </w:tc>
        <w:tc>
          <w:tcPr>
            <w:tcW w:w="720" w:type="dxa"/>
            <w:vAlign w:val="center"/>
          </w:tcPr>
          <w:p>
            <w:pPr>
              <w:widowControl/>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实施部门</w:t>
            </w:r>
          </w:p>
        </w:tc>
        <w:tc>
          <w:tcPr>
            <w:tcW w:w="7650" w:type="dxa"/>
            <w:vAlign w:val="center"/>
          </w:tcPr>
          <w:p>
            <w:pPr>
              <w:widowControl/>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职权依据</w:t>
            </w:r>
          </w:p>
        </w:tc>
        <w:tc>
          <w:tcPr>
            <w:tcW w:w="1740" w:type="dxa"/>
            <w:vAlign w:val="center"/>
          </w:tcPr>
          <w:p>
            <w:pPr>
              <w:widowControl/>
              <w:jc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行使内容</w:t>
            </w:r>
          </w:p>
        </w:tc>
        <w:tc>
          <w:tcPr>
            <w:tcW w:w="818" w:type="dxa"/>
            <w:vAlign w:val="center"/>
          </w:tcPr>
          <w:p>
            <w:pPr>
              <w:widowControl/>
              <w:jc w:val="center"/>
              <w:rPr>
                <w:rFonts w:hint="eastAsia" w:ascii="仿宋_GB2312" w:hAnsi="仿宋_GB2312" w:eastAsia="仿宋_GB2312" w:cs="仿宋_GB2312"/>
                <w:b/>
                <w:kern w:val="0"/>
                <w:sz w:val="20"/>
                <w:szCs w:val="20"/>
                <w:lang w:eastAsia="zh-CN"/>
              </w:rPr>
            </w:pPr>
            <w:r>
              <w:rPr>
                <w:rFonts w:hint="eastAsia" w:ascii="仿宋_GB2312" w:hAnsi="仿宋_GB2312" w:eastAsia="仿宋_GB2312" w:cs="仿宋_GB2312"/>
                <w:b/>
                <w:kern w:val="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73" w:type="dxa"/>
            <w:vAlign w:val="center"/>
          </w:tcPr>
          <w:p>
            <w:pPr>
              <w:widowControl/>
              <w:adjustRightInd w:val="0"/>
              <w:snapToGrid w:val="0"/>
              <w:spacing w:before="188" w:after="188" w:line="326" w:lineRule="atLeast"/>
              <w:jc w:val="center"/>
              <w:rPr>
                <w:rFonts w:hint="eastAsia" w:ascii="仿宋_GB2312" w:hAnsi="仿宋_GB2312" w:eastAsia="仿宋_GB2312" w:cs="仿宋_GB2312"/>
                <w:b w:val="0"/>
                <w:bCs w:val="0"/>
                <w:color w:val="auto"/>
                <w:kern w:val="0"/>
                <w:sz w:val="18"/>
                <w:szCs w:val="18"/>
                <w:lang w:val="en-US" w:eastAsia="zh-CN"/>
              </w:rPr>
            </w:pPr>
            <w:r>
              <w:rPr>
                <w:rFonts w:hint="eastAsia" w:ascii="仿宋_GB2312" w:hAnsi="仿宋_GB2312" w:eastAsia="仿宋_GB2312" w:cs="仿宋_GB2312"/>
                <w:b w:val="0"/>
                <w:bCs w:val="0"/>
                <w:color w:val="auto"/>
                <w:kern w:val="0"/>
                <w:sz w:val="18"/>
                <w:szCs w:val="18"/>
                <w:lang w:val="en-US" w:eastAsia="zh-CN"/>
              </w:rPr>
              <w:t>1</w:t>
            </w:r>
          </w:p>
        </w:tc>
        <w:tc>
          <w:tcPr>
            <w:tcW w:w="776" w:type="dxa"/>
            <w:vAlign w:val="center"/>
          </w:tcPr>
          <w:p>
            <w:pPr>
              <w:widowControl/>
              <w:adjustRightInd w:val="0"/>
              <w:snapToGrid w:val="0"/>
              <w:spacing w:line="240" w:lineRule="exact"/>
              <w:jc w:val="center"/>
              <w:rPr>
                <w:rFonts w:hint="eastAsia" w:ascii="仿宋_GB2312" w:hAnsi="仿宋_GB2312" w:eastAsia="仿宋_GB2312" w:cs="仿宋_GB2312"/>
                <w:b w:val="0"/>
                <w:bCs w:val="0"/>
                <w:color w:val="auto"/>
                <w:sz w:val="18"/>
                <w:szCs w:val="18"/>
                <w:lang w:eastAsia="zh-CN"/>
              </w:rPr>
            </w:pPr>
            <w:r>
              <w:rPr>
                <w:rFonts w:hint="eastAsia" w:ascii="仿宋_GB2312" w:hAnsi="仿宋_GB2312" w:eastAsia="仿宋_GB2312" w:cs="仿宋_GB2312"/>
                <w:b w:val="0"/>
                <w:bCs w:val="0"/>
                <w:color w:val="auto"/>
                <w:sz w:val="18"/>
                <w:szCs w:val="18"/>
                <w:lang w:eastAsia="zh-CN"/>
              </w:rPr>
              <w:t>行政征收</w:t>
            </w:r>
          </w:p>
        </w:tc>
        <w:tc>
          <w:tcPr>
            <w:tcW w:w="1553" w:type="dxa"/>
            <w:vAlign w:val="center"/>
          </w:tcPr>
          <w:p>
            <w:pPr>
              <w:widowControl/>
              <w:adjustRightInd w:val="0"/>
              <w:snapToGrid w:val="0"/>
              <w:spacing w:line="240" w:lineRule="exact"/>
              <w:jc w:val="center"/>
              <w:rPr>
                <w:rFonts w:hint="eastAsia" w:ascii="仿宋_GB2312" w:hAnsi="仿宋_GB2312" w:eastAsia="仿宋_GB2312" w:cs="仿宋_GB2312"/>
                <w:b w:val="0"/>
                <w:bCs w:val="0"/>
                <w:color w:val="000000" w:themeColor="text1"/>
                <w:kern w:val="0"/>
                <w:sz w:val="18"/>
                <w:szCs w:val="18"/>
                <w14:textFill>
                  <w14:solidFill>
                    <w14:schemeClr w14:val="tx1"/>
                  </w14:solidFill>
                </w14:textFill>
              </w:rPr>
            </w:pPr>
            <w:r>
              <w:rPr>
                <w:rFonts w:hint="eastAsia" w:ascii="仿宋_GB2312" w:hAnsi="仿宋_GB2312" w:eastAsia="仿宋_GB2312" w:cs="仿宋_GB2312"/>
                <w:b w:val="0"/>
                <w:bCs w:val="0"/>
                <w:color w:val="000000" w:themeColor="text1"/>
                <w:sz w:val="18"/>
                <w:szCs w:val="18"/>
                <w14:textFill>
                  <w14:solidFill>
                    <w14:schemeClr w14:val="tx1"/>
                  </w14:solidFill>
                </w14:textFill>
              </w:rPr>
              <w:t>社会抚养费征收</w:t>
            </w:r>
          </w:p>
        </w:tc>
        <w:tc>
          <w:tcPr>
            <w:tcW w:w="727" w:type="dxa"/>
            <w:vAlign w:val="center"/>
          </w:tcPr>
          <w:p>
            <w:pPr>
              <w:adjustRightInd w:val="0"/>
              <w:snapToGrid w:val="0"/>
              <w:spacing w:line="240" w:lineRule="exact"/>
              <w:jc w:val="center"/>
              <w:rPr>
                <w:rFonts w:hint="eastAsia" w:ascii="仿宋_GB2312" w:hAnsi="仿宋_GB2312" w:eastAsia="仿宋_GB2312" w:cs="仿宋_GB2312"/>
                <w:b w:val="0"/>
                <w:bCs w:val="0"/>
                <w:color w:val="000000" w:themeColor="text1"/>
                <w:sz w:val="18"/>
                <w:szCs w:val="18"/>
                <w14:textFill>
                  <w14:solidFill>
                    <w14:schemeClr w14:val="tx1"/>
                  </w14:solidFill>
                </w14:textFill>
              </w:rPr>
            </w:pPr>
            <w:r>
              <w:rPr>
                <w:rFonts w:hint="eastAsia" w:ascii="仿宋_GB2312" w:hAnsi="仿宋_GB2312" w:eastAsia="仿宋_GB2312" w:cs="仿宋_GB2312"/>
                <w:b w:val="0"/>
                <w:bCs w:val="0"/>
                <w:color w:val="000000" w:themeColor="text1"/>
                <w:sz w:val="18"/>
                <w:szCs w:val="18"/>
                <w14:textFill>
                  <w14:solidFill>
                    <w14:schemeClr w14:val="tx1"/>
                  </w14:solidFill>
                </w14:textFill>
              </w:rPr>
              <w:t>0420001000</w:t>
            </w:r>
          </w:p>
        </w:tc>
        <w:tc>
          <w:tcPr>
            <w:tcW w:w="720" w:type="dxa"/>
            <w:vAlign w:val="center"/>
          </w:tcPr>
          <w:p>
            <w:pPr>
              <w:spacing w:line="240" w:lineRule="exact"/>
              <w:jc w:val="center"/>
              <w:rPr>
                <w:rFonts w:hint="eastAsia" w:ascii="仿宋_GB2312" w:hAnsi="仿宋_GB2312" w:eastAsia="仿宋_GB2312" w:cs="仿宋_GB2312"/>
                <w:b w:val="0"/>
                <w:bCs w:val="0"/>
                <w:color w:val="auto"/>
                <w:sz w:val="18"/>
                <w:szCs w:val="18"/>
                <w:lang w:eastAsia="zh-CN"/>
              </w:rPr>
            </w:pPr>
            <w:r>
              <w:rPr>
                <w:rFonts w:hint="eastAsia" w:ascii="仿宋_GB2312" w:hAnsi="仿宋_GB2312" w:eastAsia="仿宋_GB2312" w:cs="仿宋_GB2312"/>
                <w:b w:val="0"/>
                <w:bCs w:val="0"/>
                <w:color w:val="auto"/>
                <w:sz w:val="18"/>
                <w:szCs w:val="18"/>
                <w:lang w:eastAsia="zh-CN"/>
              </w:rPr>
              <w:t>卫生健康局</w:t>
            </w:r>
          </w:p>
        </w:tc>
        <w:tc>
          <w:tcPr>
            <w:tcW w:w="7650" w:type="dxa"/>
            <w:vAlign w:val="center"/>
          </w:tcPr>
          <w:p>
            <w:pPr>
              <w:widowControl/>
              <w:snapToGrid w:val="0"/>
              <w:spacing w:line="240" w:lineRule="exact"/>
              <w:ind w:firstLine="360" w:firstLineChars="200"/>
              <w:jc w:val="left"/>
              <w:rPr>
                <w:rFonts w:hint="eastAsia" w:ascii="仿宋_GB2312" w:hAnsi="仿宋_GB2312" w:eastAsia="仿宋_GB2312" w:cs="仿宋_GB2312"/>
                <w:b w:val="0"/>
                <w:bCs w:val="0"/>
                <w:color w:val="auto"/>
                <w:kern w:val="0"/>
                <w:sz w:val="18"/>
                <w:szCs w:val="18"/>
              </w:rPr>
            </w:pPr>
            <w:r>
              <w:rPr>
                <w:rFonts w:hint="eastAsia" w:ascii="仿宋_GB2312" w:hAnsi="仿宋_GB2312" w:eastAsia="仿宋_GB2312" w:cs="仿宋_GB2312"/>
                <w:b w:val="0"/>
                <w:bCs w:val="0"/>
                <w:color w:val="auto"/>
                <w:sz w:val="18"/>
                <w:szCs w:val="18"/>
              </w:rPr>
              <w:t>【法律】《中华人民共和国人口与计划生育法》</w:t>
            </w:r>
            <w:r>
              <w:rPr>
                <w:rFonts w:hint="eastAsia" w:ascii="仿宋_GB2312" w:hAnsi="仿宋_GB2312" w:eastAsia="仿宋_GB2312" w:cs="仿宋_GB2312"/>
                <w:b w:val="0"/>
                <w:bCs w:val="0"/>
                <w:color w:val="auto"/>
                <w:kern w:val="0"/>
                <w:sz w:val="18"/>
                <w:szCs w:val="18"/>
              </w:rPr>
              <w:t>（2015年修正）</w:t>
            </w:r>
          </w:p>
          <w:p>
            <w:pPr>
              <w:widowControl/>
              <w:snapToGrid w:val="0"/>
              <w:spacing w:line="240" w:lineRule="exact"/>
              <w:ind w:firstLine="360" w:firstLineChars="200"/>
              <w:jc w:val="left"/>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第四十一条第一款　不符合本法第十八条规定生育子女的公民，应当依法缴纳社会抚养费。</w:t>
            </w:r>
          </w:p>
          <w:p>
            <w:pPr>
              <w:widowControl/>
              <w:snapToGrid w:val="0"/>
              <w:spacing w:line="240" w:lineRule="exact"/>
              <w:ind w:firstLine="360" w:firstLineChars="200"/>
              <w:jc w:val="left"/>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【行政法规】《社会抚养费征收管理办法》（2002年国务院令第357号）</w:t>
            </w:r>
          </w:p>
          <w:p>
            <w:pPr>
              <w:widowControl/>
              <w:snapToGrid w:val="0"/>
              <w:spacing w:line="240" w:lineRule="exact"/>
              <w:ind w:firstLine="360" w:firstLineChars="200"/>
              <w:jc w:val="left"/>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 xml:space="preserve">第三条　不符合人口与计划生育法第十八条的规定生育子女的公民，应当依照本办法的规定缴纳社会抚养费。 　　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 　　任何单位和个人不得违反法律、法规的规定擅自增设与计划生育有关的收费项目，提高社会抚养费征收标准。第四条　社会抚养费的征收，由县级人民政府计划生育行政部门作出书面征收决定；县级人民政府计划生育行政部门可以委托乡(镇)人民政府或者街道办事处作出书面征收决定。 </w:t>
            </w:r>
          </w:p>
          <w:p>
            <w:pPr>
              <w:widowControl/>
              <w:snapToGrid w:val="0"/>
              <w:spacing w:line="240" w:lineRule="exact"/>
              <w:ind w:firstLine="360" w:firstLineChars="200"/>
              <w:jc w:val="left"/>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【地方性法规】《宁夏回族自治区人口与计划生育条例》（2016年修改）</w:t>
            </w:r>
          </w:p>
          <w:p>
            <w:pPr>
              <w:widowControl/>
              <w:adjustRightInd w:val="0"/>
              <w:snapToGrid w:val="0"/>
              <w:spacing w:line="240" w:lineRule="exact"/>
              <w:ind w:firstLine="360" w:firstLineChars="200"/>
              <w:rPr>
                <w:rFonts w:hint="eastAsia" w:ascii="仿宋_GB2312" w:hAnsi="仿宋_GB2312" w:eastAsia="仿宋_GB2312" w:cs="仿宋_GB2312"/>
                <w:b w:val="0"/>
                <w:bCs w:val="0"/>
                <w:color w:val="auto"/>
                <w:kern w:val="0"/>
                <w:sz w:val="18"/>
                <w:szCs w:val="18"/>
              </w:rPr>
            </w:pPr>
            <w:r>
              <w:rPr>
                <w:rFonts w:hint="eastAsia" w:ascii="仿宋_GB2312" w:hAnsi="仿宋_GB2312" w:eastAsia="仿宋_GB2312" w:cs="仿宋_GB2312"/>
                <w:b w:val="0"/>
                <w:bCs w:val="0"/>
                <w:color w:val="auto"/>
                <w:sz w:val="18"/>
                <w:szCs w:val="18"/>
              </w:rPr>
              <w:t>第五十二条 违反本条例规定生育的，以当地县上年度城镇人均可支配收入或者当地乡（镇）上年度农村人均收入为基数，对男女双方分别按照下列规定一次性征收社会抚养费：（一）超生一个子女，征收二至六倍的社会抚养费；（二）超生二个以上子女的，以超生一个子女应当征收社会抚养费为基数，按照生子女数为培数征收社会抚养费；（三）非婚生育子女，按照本条（一）项、二项规定征收社会抚养费；（四）违法收养子女的，按照本条（一）项、（二）项规定征收社会抚养费。</w:t>
            </w:r>
          </w:p>
        </w:tc>
        <w:tc>
          <w:tcPr>
            <w:tcW w:w="1740" w:type="dxa"/>
            <w:vAlign w:val="center"/>
          </w:tcPr>
          <w:p>
            <w:pPr>
              <w:spacing w:line="240" w:lineRule="exact"/>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highlight w:val="none"/>
              </w:rPr>
              <w:t>征收社会抚养费</w:t>
            </w:r>
          </w:p>
        </w:tc>
        <w:tc>
          <w:tcPr>
            <w:tcW w:w="818" w:type="dxa"/>
            <w:vAlign w:val="center"/>
          </w:tcPr>
          <w:p>
            <w:pPr>
              <w:spacing w:line="240" w:lineRule="exact"/>
              <w:rPr>
                <w:rFonts w:hint="eastAsia" w:ascii="仿宋_GB2312" w:hAnsi="仿宋_GB2312" w:eastAsia="仿宋_GB2312" w:cs="仿宋_GB2312"/>
                <w:b w:val="0"/>
                <w:bCs w:val="0"/>
                <w:color w:val="auto"/>
                <w:sz w:val="18"/>
                <w:szCs w:val="18"/>
                <w:highlight w:val="none"/>
              </w:rPr>
            </w:pPr>
          </w:p>
        </w:tc>
      </w:tr>
    </w:tbl>
    <w:p>
      <w:pPr>
        <w:spacing w:after="156" w:afterLines="50" w:line="500" w:lineRule="exact"/>
        <w:rPr>
          <w:rFonts w:hint="eastAsia" w:ascii="仿宋_GB2312" w:hAnsi="仿宋_GB2312" w:eastAsia="仿宋_GB2312" w:cs="仿宋_GB2312"/>
          <w:sz w:val="18"/>
          <w:szCs w:val="18"/>
        </w:rPr>
      </w:pPr>
    </w:p>
    <w:p>
      <w:pPr>
        <w:spacing w:line="500" w:lineRule="exact"/>
        <w:jc w:val="both"/>
        <w:rPr>
          <w:rFonts w:hint="eastAsia" w:ascii="仿宋_GB2312" w:hAnsi="仿宋_GB2312" w:eastAsia="仿宋_GB2312" w:cs="仿宋_GB2312"/>
          <w:sz w:val="44"/>
          <w:szCs w:val="44"/>
        </w:rPr>
      </w:pPr>
    </w:p>
    <w:p>
      <w:pPr>
        <w:pStyle w:val="2"/>
        <w:rPr>
          <w:rFonts w:hint="eastAsia" w:ascii="仿宋_GB2312" w:hAnsi="仿宋_GB2312" w:eastAsia="仿宋_GB2312" w:cs="仿宋_GB2312"/>
          <w:sz w:val="44"/>
          <w:szCs w:val="44"/>
        </w:rPr>
      </w:pPr>
    </w:p>
    <w:p>
      <w:pPr>
        <w:pStyle w:val="2"/>
        <w:rPr>
          <w:rFonts w:hint="eastAsia" w:ascii="仿宋_GB2312" w:hAnsi="仿宋_GB2312" w:eastAsia="仿宋_GB2312" w:cs="仿宋_GB2312"/>
          <w:sz w:val="44"/>
          <w:szCs w:val="44"/>
        </w:rPr>
      </w:pPr>
    </w:p>
    <w:p>
      <w:pPr>
        <w:spacing w:line="500" w:lineRule="exact"/>
        <w:jc w:val="both"/>
        <w:rPr>
          <w:rFonts w:hint="eastAsia" w:ascii="仿宋_GB2312" w:hAnsi="仿宋_GB2312" w:eastAsia="仿宋_GB2312" w:cs="仿宋_GB2312"/>
          <w:b/>
          <w:color w:val="000000"/>
          <w:kern w:val="0"/>
        </w:rPr>
      </w:pPr>
    </w:p>
    <w:p>
      <w:pPr>
        <w:spacing w:line="500" w:lineRule="exact"/>
        <w:jc w:val="center"/>
        <w:rPr>
          <w:rFonts w:hint="eastAsia" w:ascii="仿宋_GB2312" w:hAnsi="仿宋_GB2312" w:eastAsia="仿宋_GB2312" w:cs="仿宋_GB2312"/>
          <w:b/>
          <w:color w:val="000000"/>
          <w:kern w:val="0"/>
        </w:rPr>
      </w:pPr>
    </w:p>
    <w:tbl>
      <w:tblPr>
        <w:tblStyle w:val="6"/>
        <w:tblW w:w="15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56"/>
        <w:gridCol w:w="1469"/>
        <w:gridCol w:w="668"/>
        <w:gridCol w:w="607"/>
        <w:gridCol w:w="8262"/>
        <w:gridCol w:w="1646"/>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blHeader/>
          <w:jc w:val="center"/>
        </w:trPr>
        <w:tc>
          <w:tcPr>
            <w:tcW w:w="744" w:type="dxa"/>
            <w:vAlign w:val="center"/>
          </w:tcPr>
          <w:p>
            <w:pPr>
              <w:widowControl/>
              <w:spacing w:line="240" w:lineRule="exact"/>
              <w:jc w:val="center"/>
              <w:rPr>
                <w:rFonts w:hint="eastAsia" w:ascii="仿宋_GB2312" w:hAnsi="仿宋_GB2312" w:eastAsia="仿宋_GB2312" w:cs="仿宋_GB2312"/>
                <w:b/>
                <w:bCs w:val="0"/>
                <w:color w:val="auto"/>
                <w:kern w:val="0"/>
                <w:sz w:val="18"/>
                <w:szCs w:val="18"/>
                <w:highlight w:val="none"/>
                <w:u w:val="none"/>
              </w:rPr>
            </w:pPr>
            <w:r>
              <w:rPr>
                <w:rFonts w:hint="eastAsia" w:ascii="仿宋_GB2312" w:hAnsi="仿宋_GB2312" w:eastAsia="仿宋_GB2312" w:cs="仿宋_GB2312"/>
                <w:b/>
                <w:bCs w:val="0"/>
                <w:color w:val="auto"/>
                <w:kern w:val="0"/>
                <w:sz w:val="18"/>
                <w:szCs w:val="18"/>
                <w:highlight w:val="none"/>
                <w:u w:val="none"/>
              </w:rPr>
              <w:t>序号</w:t>
            </w:r>
          </w:p>
        </w:tc>
        <w:tc>
          <w:tcPr>
            <w:tcW w:w="756" w:type="dxa"/>
            <w:vAlign w:val="center"/>
          </w:tcPr>
          <w:p>
            <w:pPr>
              <w:tabs>
                <w:tab w:val="left" w:pos="238"/>
              </w:tabs>
              <w:spacing w:line="240" w:lineRule="exact"/>
              <w:jc w:val="left"/>
              <w:rPr>
                <w:rFonts w:hint="eastAsia" w:ascii="仿宋_GB2312" w:hAnsi="仿宋_GB2312" w:eastAsia="仿宋_GB2312" w:cs="仿宋_GB2312"/>
                <w:b/>
                <w:bCs w:val="0"/>
                <w:color w:val="auto"/>
                <w:kern w:val="0"/>
                <w:sz w:val="18"/>
                <w:szCs w:val="18"/>
                <w:highlight w:val="none"/>
                <w:u w:val="none"/>
                <w:lang w:eastAsia="zh-CN"/>
              </w:rPr>
            </w:pPr>
            <w:r>
              <w:rPr>
                <w:rFonts w:hint="eastAsia" w:ascii="仿宋_GB2312" w:hAnsi="仿宋_GB2312" w:eastAsia="仿宋_GB2312" w:cs="仿宋_GB2312"/>
                <w:b/>
                <w:bCs w:val="0"/>
                <w:color w:val="auto"/>
                <w:kern w:val="0"/>
                <w:sz w:val="18"/>
                <w:szCs w:val="18"/>
                <w:highlight w:val="none"/>
                <w:u w:val="none"/>
                <w:lang w:eastAsia="zh-CN"/>
              </w:rPr>
              <w:tab/>
            </w:r>
            <w:r>
              <w:rPr>
                <w:rFonts w:hint="eastAsia" w:ascii="仿宋_GB2312" w:hAnsi="仿宋_GB2312" w:eastAsia="仿宋_GB2312" w:cs="仿宋_GB2312"/>
                <w:b/>
                <w:bCs w:val="0"/>
                <w:color w:val="auto"/>
                <w:kern w:val="0"/>
                <w:sz w:val="18"/>
                <w:szCs w:val="18"/>
                <w:highlight w:val="none"/>
                <w:u w:val="none"/>
                <w:lang w:eastAsia="zh-CN"/>
              </w:rPr>
              <w:t>职权类型</w:t>
            </w:r>
          </w:p>
        </w:tc>
        <w:tc>
          <w:tcPr>
            <w:tcW w:w="1469" w:type="dxa"/>
            <w:vAlign w:val="center"/>
          </w:tcPr>
          <w:p>
            <w:pPr>
              <w:spacing w:line="240" w:lineRule="exact"/>
              <w:jc w:val="center"/>
              <w:rPr>
                <w:rFonts w:hint="eastAsia" w:ascii="仿宋_GB2312" w:hAnsi="仿宋_GB2312" w:eastAsia="仿宋_GB2312" w:cs="仿宋_GB2312"/>
                <w:b/>
                <w:bCs w:val="0"/>
                <w:color w:val="auto"/>
                <w:kern w:val="0"/>
                <w:sz w:val="18"/>
                <w:szCs w:val="18"/>
                <w:highlight w:val="none"/>
                <w:u w:val="none"/>
              </w:rPr>
            </w:pPr>
            <w:r>
              <w:rPr>
                <w:rFonts w:hint="eastAsia" w:ascii="仿宋_GB2312" w:hAnsi="仿宋_GB2312" w:eastAsia="仿宋_GB2312" w:cs="仿宋_GB2312"/>
                <w:b/>
                <w:bCs w:val="0"/>
                <w:color w:val="auto"/>
                <w:kern w:val="0"/>
                <w:sz w:val="18"/>
                <w:szCs w:val="18"/>
                <w:highlight w:val="none"/>
                <w:u w:val="none"/>
              </w:rPr>
              <w:t>职权名称</w:t>
            </w:r>
          </w:p>
        </w:tc>
        <w:tc>
          <w:tcPr>
            <w:tcW w:w="668" w:type="dxa"/>
            <w:vAlign w:val="center"/>
          </w:tcPr>
          <w:p>
            <w:pPr>
              <w:widowControl/>
              <w:spacing w:line="240" w:lineRule="exact"/>
              <w:jc w:val="center"/>
              <w:rPr>
                <w:rFonts w:hint="eastAsia" w:ascii="仿宋_GB2312" w:hAnsi="仿宋_GB2312" w:eastAsia="仿宋_GB2312" w:cs="仿宋_GB2312"/>
                <w:b/>
                <w:bCs w:val="0"/>
                <w:color w:val="auto"/>
                <w:kern w:val="0"/>
                <w:sz w:val="18"/>
                <w:szCs w:val="18"/>
                <w:highlight w:val="none"/>
                <w:u w:val="none"/>
              </w:rPr>
            </w:pPr>
            <w:r>
              <w:rPr>
                <w:rFonts w:hint="eastAsia" w:ascii="仿宋_GB2312" w:hAnsi="仿宋_GB2312" w:eastAsia="仿宋_GB2312" w:cs="仿宋_GB2312"/>
                <w:b/>
                <w:bCs w:val="0"/>
                <w:color w:val="auto"/>
                <w:kern w:val="0"/>
                <w:sz w:val="18"/>
                <w:szCs w:val="18"/>
                <w:highlight w:val="none"/>
                <w:u w:val="none"/>
              </w:rPr>
              <w:t>基本</w:t>
            </w:r>
          </w:p>
          <w:p>
            <w:pPr>
              <w:widowControl/>
              <w:spacing w:line="240" w:lineRule="exact"/>
              <w:jc w:val="center"/>
              <w:rPr>
                <w:rFonts w:hint="eastAsia" w:ascii="仿宋_GB2312" w:hAnsi="仿宋_GB2312" w:eastAsia="仿宋_GB2312" w:cs="仿宋_GB2312"/>
                <w:b/>
                <w:bCs w:val="0"/>
                <w:color w:val="auto"/>
                <w:kern w:val="0"/>
                <w:sz w:val="18"/>
                <w:szCs w:val="18"/>
                <w:highlight w:val="none"/>
                <w:u w:val="none"/>
              </w:rPr>
            </w:pPr>
            <w:r>
              <w:rPr>
                <w:rFonts w:hint="eastAsia" w:ascii="仿宋_GB2312" w:hAnsi="仿宋_GB2312" w:eastAsia="仿宋_GB2312" w:cs="仿宋_GB2312"/>
                <w:b/>
                <w:bCs w:val="0"/>
                <w:color w:val="auto"/>
                <w:kern w:val="0"/>
                <w:sz w:val="18"/>
                <w:szCs w:val="18"/>
                <w:highlight w:val="none"/>
                <w:u w:val="none"/>
              </w:rPr>
              <w:t>编码</w:t>
            </w:r>
          </w:p>
        </w:tc>
        <w:tc>
          <w:tcPr>
            <w:tcW w:w="607" w:type="dxa"/>
            <w:vAlign w:val="center"/>
          </w:tcPr>
          <w:p>
            <w:pPr>
              <w:widowControl/>
              <w:spacing w:line="260" w:lineRule="exact"/>
              <w:jc w:val="center"/>
              <w:rPr>
                <w:rFonts w:hint="eastAsia" w:ascii="仿宋_GB2312" w:hAnsi="仿宋_GB2312" w:eastAsia="仿宋_GB2312" w:cs="仿宋_GB2312"/>
                <w:b/>
                <w:bCs w:val="0"/>
                <w:color w:val="auto"/>
                <w:kern w:val="0"/>
                <w:sz w:val="18"/>
                <w:szCs w:val="18"/>
                <w:highlight w:val="none"/>
                <w:u w:val="none"/>
              </w:rPr>
            </w:pPr>
            <w:r>
              <w:rPr>
                <w:rFonts w:hint="eastAsia" w:ascii="仿宋_GB2312" w:hAnsi="仿宋_GB2312" w:eastAsia="仿宋_GB2312" w:cs="仿宋_GB2312"/>
                <w:b/>
                <w:bCs w:val="0"/>
                <w:color w:val="auto"/>
                <w:kern w:val="0"/>
                <w:sz w:val="18"/>
                <w:szCs w:val="18"/>
                <w:highlight w:val="none"/>
                <w:u w:val="none"/>
              </w:rPr>
              <w:t>实施部门</w:t>
            </w:r>
          </w:p>
        </w:tc>
        <w:tc>
          <w:tcPr>
            <w:tcW w:w="8262" w:type="dxa"/>
            <w:vAlign w:val="center"/>
          </w:tcPr>
          <w:p>
            <w:pPr>
              <w:widowControl/>
              <w:spacing w:line="240" w:lineRule="exact"/>
              <w:jc w:val="center"/>
              <w:rPr>
                <w:rFonts w:hint="eastAsia" w:ascii="仿宋_GB2312" w:hAnsi="仿宋_GB2312" w:eastAsia="仿宋_GB2312" w:cs="仿宋_GB2312"/>
                <w:b/>
                <w:bCs w:val="0"/>
                <w:color w:val="auto"/>
                <w:kern w:val="0"/>
                <w:sz w:val="18"/>
                <w:szCs w:val="18"/>
                <w:highlight w:val="none"/>
                <w:u w:val="none"/>
              </w:rPr>
            </w:pPr>
            <w:r>
              <w:rPr>
                <w:rFonts w:hint="eastAsia" w:ascii="仿宋_GB2312" w:hAnsi="仿宋_GB2312" w:eastAsia="仿宋_GB2312" w:cs="仿宋_GB2312"/>
                <w:b/>
                <w:bCs w:val="0"/>
                <w:color w:val="auto"/>
                <w:kern w:val="0"/>
                <w:sz w:val="18"/>
                <w:szCs w:val="18"/>
                <w:highlight w:val="none"/>
                <w:u w:val="none"/>
              </w:rPr>
              <w:t>职权依据</w:t>
            </w:r>
          </w:p>
        </w:tc>
        <w:tc>
          <w:tcPr>
            <w:tcW w:w="1646" w:type="dxa"/>
            <w:vAlign w:val="center"/>
          </w:tcPr>
          <w:p>
            <w:pPr>
              <w:widowControl/>
              <w:spacing w:line="240" w:lineRule="exact"/>
              <w:jc w:val="center"/>
              <w:rPr>
                <w:rFonts w:hint="eastAsia" w:ascii="仿宋_GB2312" w:hAnsi="仿宋_GB2312" w:eastAsia="仿宋_GB2312" w:cs="仿宋_GB2312"/>
                <w:b/>
                <w:bCs w:val="0"/>
                <w:color w:val="auto"/>
                <w:kern w:val="0"/>
                <w:sz w:val="18"/>
                <w:szCs w:val="18"/>
                <w:highlight w:val="none"/>
                <w:u w:val="none"/>
              </w:rPr>
            </w:pPr>
            <w:r>
              <w:rPr>
                <w:rFonts w:hint="eastAsia" w:ascii="仿宋_GB2312" w:hAnsi="仿宋_GB2312" w:eastAsia="仿宋_GB2312" w:cs="仿宋_GB2312"/>
                <w:b/>
                <w:bCs w:val="0"/>
                <w:color w:val="auto"/>
                <w:kern w:val="0"/>
                <w:sz w:val="18"/>
                <w:szCs w:val="18"/>
                <w:highlight w:val="none"/>
                <w:u w:val="none"/>
              </w:rPr>
              <w:t>行使内容</w:t>
            </w:r>
          </w:p>
        </w:tc>
        <w:tc>
          <w:tcPr>
            <w:tcW w:w="945" w:type="dxa"/>
            <w:vAlign w:val="center"/>
          </w:tcPr>
          <w:p>
            <w:pPr>
              <w:widowControl/>
              <w:spacing w:line="240" w:lineRule="exact"/>
              <w:jc w:val="center"/>
              <w:rPr>
                <w:rFonts w:hint="eastAsia" w:ascii="仿宋_GB2312" w:hAnsi="仿宋_GB2312" w:eastAsia="仿宋_GB2312" w:cs="仿宋_GB2312"/>
                <w:b/>
                <w:bCs w:val="0"/>
                <w:color w:val="auto"/>
                <w:kern w:val="0"/>
                <w:sz w:val="18"/>
                <w:szCs w:val="18"/>
                <w:highlight w:val="none"/>
                <w:u w:val="none"/>
                <w:lang w:eastAsia="zh-CN"/>
              </w:rPr>
            </w:pPr>
            <w:r>
              <w:rPr>
                <w:rFonts w:hint="eastAsia" w:ascii="仿宋_GB2312" w:hAnsi="仿宋_GB2312" w:eastAsia="仿宋_GB2312" w:cs="仿宋_GB2312"/>
                <w:b/>
                <w:bCs w:val="0"/>
                <w:color w:val="auto"/>
                <w:kern w:val="0"/>
                <w:sz w:val="18"/>
                <w:szCs w:val="18"/>
                <w:highlight w:val="none"/>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jc w:val="center"/>
        </w:trPr>
        <w:tc>
          <w:tcPr>
            <w:tcW w:w="744" w:type="dxa"/>
            <w:vAlign w:val="center"/>
          </w:tcPr>
          <w:p>
            <w:pPr>
              <w:widowControl/>
              <w:adjustRightInd w:val="0"/>
              <w:snapToGrid w:val="0"/>
              <w:spacing w:before="188" w:after="188" w:line="326" w:lineRule="atLeast"/>
              <w:jc w:val="center"/>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1</w:t>
            </w:r>
          </w:p>
        </w:tc>
        <w:tc>
          <w:tcPr>
            <w:tcW w:w="756" w:type="dxa"/>
            <w:vAlign w:val="center"/>
          </w:tcPr>
          <w:p>
            <w:pPr>
              <w:widowControl/>
              <w:tabs>
                <w:tab w:val="left" w:pos="478"/>
              </w:tabs>
              <w:adjustRightInd w:val="0"/>
              <w:snapToGrid w:val="0"/>
              <w:spacing w:line="240" w:lineRule="exact"/>
              <w:jc w:val="left"/>
              <w:rPr>
                <w:rFonts w:hint="eastAsia" w:ascii="仿宋_GB2312" w:hAnsi="仿宋_GB2312" w:eastAsia="仿宋_GB2312" w:cs="仿宋_GB2312"/>
                <w:b w:val="0"/>
                <w:bCs/>
                <w:color w:val="FF0000"/>
                <w:sz w:val="18"/>
                <w:szCs w:val="18"/>
                <w:highlight w:val="none"/>
                <w:u w:val="none"/>
                <w:lang w:eastAsia="zh-CN"/>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ab/>
            </w: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行政给付</w:t>
            </w:r>
          </w:p>
        </w:tc>
        <w:tc>
          <w:tcPr>
            <w:tcW w:w="1469" w:type="dxa"/>
            <w:vAlign w:val="center"/>
          </w:tcPr>
          <w:p>
            <w:pPr>
              <w:widowControl/>
              <w:adjustRightInd w:val="0"/>
              <w:snapToGrid w:val="0"/>
              <w:spacing w:line="240" w:lineRule="exact"/>
              <w:jc w:val="cente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因参与传染病防治工作致病、致残、死亡人员的补助、抚恤</w:t>
            </w:r>
          </w:p>
        </w:tc>
        <w:tc>
          <w:tcPr>
            <w:tcW w:w="668" w:type="dxa"/>
            <w:vAlign w:val="center"/>
          </w:tcPr>
          <w:p>
            <w:pPr>
              <w:adjustRightInd w:val="0"/>
              <w:snapToGrid w:val="0"/>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0520001000</w:t>
            </w:r>
          </w:p>
        </w:tc>
        <w:tc>
          <w:tcPr>
            <w:tcW w:w="607" w:type="dxa"/>
            <w:vAlign w:val="center"/>
          </w:tcPr>
          <w:p>
            <w:pPr>
              <w:widowControl/>
              <w:adjustRightInd w:val="0"/>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8262" w:type="dxa"/>
            <w:vAlign w:val="center"/>
          </w:tcPr>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【法律】《中华人民共和国传染病防治法》（2013年修正）</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第十一条第二款 对因参与传染病防治工作致病、致残、死亡的人员，按照有关规定给予补助、抚恤。 </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【规范性文件】《国务院办公厅关于加强传染病防治人员安全防护的意见》（国办发〔2015〕1号）</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六、完善传染病防治人员工资待遇倾斜政策 　　根据《中华人民共和国传染病防治法》和《突发公共卫生事件应急条例》等法律法规规定，对从事传染病预防、医疗、科研、教学及现场处理疫情的人员，以及在生产、工作中接触传染病病原体的其他人员给予适当津贴，并建立动态调整机制。对直接参与国内传染病类突发公共卫生事件现场调查处置、患者救治、口岸检疫、动物防疫等各类一线工作的人员，以及政府选派直接参与国外重大传染病疫情防治工作的医疗和公共卫生等防控人员，根据工作风险、强度和时间给予临时性工作补助。国务院有关部门要制定调整相关津贴和临时性工作补助的具体办法。 　　七、完善传染病感染保障政策 　　将诊断标准明确、因果关系明晰的职业行为导致的传染病，纳入职业病分类和目录。将重大传染病防治一线人员，纳入高危职业人群管理。对在重大传染病疫情中参与传染病防治工作致病、致残、死亡的人员，参照机关事业单位工伤抚恤或工伤保险等有关规定给予抚恤、保障。不断完善医疗保障政策，逐步扩大基本医保保障范围，加快实施城乡居民大病保险制度，加强基本医保、医疗救助和疾病应急救助工作的衔接，切实减轻重大传染病患者就医负担。</w:t>
            </w:r>
          </w:p>
        </w:tc>
        <w:tc>
          <w:tcPr>
            <w:tcW w:w="1646"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因参与传染病防治工作致病、致残、死亡人员的补助、抚恤</w:t>
            </w:r>
          </w:p>
        </w:tc>
        <w:tc>
          <w:tcPr>
            <w:tcW w:w="945"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744" w:type="dxa"/>
            <w:vAlign w:val="center"/>
          </w:tcPr>
          <w:p>
            <w:pPr>
              <w:widowControl/>
              <w:adjustRightInd w:val="0"/>
              <w:snapToGrid w:val="0"/>
              <w:spacing w:before="188" w:after="188" w:line="326" w:lineRule="atLeast"/>
              <w:jc w:val="center"/>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2</w:t>
            </w:r>
          </w:p>
        </w:tc>
        <w:tc>
          <w:tcPr>
            <w:tcW w:w="756" w:type="dxa"/>
            <w:vAlign w:val="center"/>
          </w:tcPr>
          <w:p>
            <w:pPr>
              <w:widowControl/>
              <w:adjustRightInd w:val="0"/>
              <w:snapToGrid w:val="0"/>
              <w:spacing w:line="240" w:lineRule="exact"/>
              <w:jc w:val="center"/>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行政给付</w:t>
            </w:r>
          </w:p>
        </w:tc>
        <w:tc>
          <w:tcPr>
            <w:tcW w:w="1469" w:type="dxa"/>
            <w:vAlign w:val="center"/>
          </w:tcPr>
          <w:p>
            <w:pPr>
              <w:widowControl/>
              <w:adjustRightInd w:val="0"/>
              <w:snapToGrid w:val="0"/>
              <w:spacing w:line="240" w:lineRule="exact"/>
              <w:jc w:val="cente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精神卫生工作人员因工致伤、致残、死亡的抚恤</w:t>
            </w:r>
          </w:p>
        </w:tc>
        <w:tc>
          <w:tcPr>
            <w:tcW w:w="668" w:type="dxa"/>
            <w:vAlign w:val="center"/>
          </w:tcPr>
          <w:p>
            <w:pPr>
              <w:adjustRightInd w:val="0"/>
              <w:snapToGrid w:val="0"/>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0520002000</w:t>
            </w:r>
          </w:p>
        </w:tc>
        <w:tc>
          <w:tcPr>
            <w:tcW w:w="607" w:type="dxa"/>
            <w:vAlign w:val="center"/>
          </w:tcPr>
          <w:p>
            <w:pPr>
              <w:widowControl/>
              <w:adjustRightInd w:val="0"/>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8262" w:type="dxa"/>
            <w:vAlign w:val="center"/>
          </w:tcPr>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【法律】《中华人民共和国精神卫生法》（2012年）</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第七十一条第二款　县级以上人民政府及其有关部门、医疗机构、康复机构应当采取措施，加强对精神卫生工作人员的职业保护，提高精神卫生工作人员的待遇水平，并按照规定给予适当的津贴。精神卫生工作人员因工致伤、致残、死亡的，其工伤待遇以及抚恤按照国家有关规定执行。</w:t>
            </w:r>
          </w:p>
        </w:tc>
        <w:tc>
          <w:tcPr>
            <w:tcW w:w="1646" w:type="dxa"/>
            <w:vAlign w:val="top"/>
          </w:tcPr>
          <w:p>
            <w:pP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工作人员因工致伤、致残、死亡的抚恤</w:t>
            </w:r>
          </w:p>
        </w:tc>
        <w:tc>
          <w:tcPr>
            <w:tcW w:w="945" w:type="dxa"/>
            <w:vAlign w:val="top"/>
          </w:tcPr>
          <w:p>
            <w:pPr>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744" w:type="dxa"/>
            <w:vAlign w:val="center"/>
          </w:tcPr>
          <w:p>
            <w:pPr>
              <w:widowControl/>
              <w:adjustRightInd w:val="0"/>
              <w:snapToGrid w:val="0"/>
              <w:spacing w:before="188" w:after="188" w:line="326" w:lineRule="atLeast"/>
              <w:jc w:val="center"/>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3</w:t>
            </w:r>
          </w:p>
        </w:tc>
        <w:tc>
          <w:tcPr>
            <w:tcW w:w="756" w:type="dxa"/>
            <w:vAlign w:val="center"/>
          </w:tcPr>
          <w:p>
            <w:pPr>
              <w:widowControl/>
              <w:adjustRightInd w:val="0"/>
              <w:snapToGrid w:val="0"/>
              <w:spacing w:line="240" w:lineRule="exact"/>
              <w:jc w:val="center"/>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行政给付</w:t>
            </w:r>
          </w:p>
        </w:tc>
        <w:tc>
          <w:tcPr>
            <w:tcW w:w="1469" w:type="dxa"/>
            <w:vAlign w:val="center"/>
          </w:tcPr>
          <w:p>
            <w:pPr>
              <w:widowControl/>
              <w:adjustRightInd w:val="0"/>
              <w:snapToGrid w:val="0"/>
              <w:spacing w:line="240" w:lineRule="exact"/>
              <w:jc w:val="cente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艾滋病防治个人补助、抚恤</w:t>
            </w:r>
          </w:p>
        </w:tc>
        <w:tc>
          <w:tcPr>
            <w:tcW w:w="668" w:type="dxa"/>
            <w:vAlign w:val="center"/>
          </w:tcPr>
          <w:p>
            <w:pPr>
              <w:adjustRightInd w:val="0"/>
              <w:snapToGrid w:val="0"/>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0520003000</w:t>
            </w:r>
          </w:p>
        </w:tc>
        <w:tc>
          <w:tcPr>
            <w:tcW w:w="607" w:type="dxa"/>
            <w:vAlign w:val="center"/>
          </w:tcPr>
          <w:p>
            <w:pPr>
              <w:widowControl/>
              <w:adjustRightInd w:val="0"/>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8262" w:type="dxa"/>
            <w:vAlign w:val="center"/>
          </w:tcPr>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【行政法规】《艾滋病防治条例》（20</w:t>
            </w:r>
            <w:r>
              <w:rPr>
                <w:rFonts w:hint="eastAsia" w:ascii="仿宋_GB2312" w:hAnsi="仿宋_GB2312" w:eastAsia="仿宋_GB2312" w:cs="仿宋_GB2312"/>
                <w:b w:val="0"/>
                <w:bCs/>
                <w:color w:val="auto"/>
                <w:sz w:val="18"/>
                <w:szCs w:val="18"/>
                <w:highlight w:val="none"/>
                <w:u w:val="none"/>
                <w:lang w:val="en-US" w:eastAsia="zh-CN"/>
              </w:rPr>
              <w:t>19</w:t>
            </w:r>
            <w:r>
              <w:rPr>
                <w:rFonts w:hint="eastAsia" w:ascii="仿宋_GB2312" w:hAnsi="仿宋_GB2312" w:eastAsia="仿宋_GB2312" w:cs="仿宋_GB2312"/>
                <w:b w:val="0"/>
                <w:bCs/>
                <w:color w:val="auto"/>
                <w:sz w:val="18"/>
                <w:szCs w:val="18"/>
                <w:highlight w:val="none"/>
                <w:u w:val="none"/>
              </w:rPr>
              <w:t>年国务院令第</w:t>
            </w:r>
            <w:r>
              <w:rPr>
                <w:rFonts w:hint="eastAsia" w:ascii="仿宋_GB2312" w:hAnsi="仿宋_GB2312" w:eastAsia="仿宋_GB2312" w:cs="仿宋_GB2312"/>
                <w:b w:val="0"/>
                <w:bCs/>
                <w:color w:val="auto"/>
                <w:sz w:val="18"/>
                <w:szCs w:val="18"/>
                <w:highlight w:val="none"/>
                <w:u w:val="none"/>
                <w:lang w:val="en-US" w:eastAsia="zh-CN"/>
              </w:rPr>
              <w:t>709</w:t>
            </w:r>
            <w:r>
              <w:rPr>
                <w:rFonts w:hint="eastAsia" w:ascii="仿宋_GB2312" w:hAnsi="仿宋_GB2312" w:eastAsia="仿宋_GB2312" w:cs="仿宋_GB2312"/>
                <w:b w:val="0"/>
                <w:bCs/>
                <w:color w:val="auto"/>
                <w:sz w:val="18"/>
                <w:szCs w:val="18"/>
                <w:highlight w:val="none"/>
                <w:u w:val="none"/>
              </w:rPr>
              <w:t>号）</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第九条第二款 对因参与艾滋病防治工作或者因执行公务感染艾滋病病毒，以及因此致病、丧失劳动能力或者死亡的人员，按照有关规定给予补助、抚恤。</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【规范性文件】《国务院办公厅关于加强传染病防治人员安全防护的意见》（国办发〔2015〕1号）</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六、完善传染病防治人员工资待遇倾斜政策 　　根据《中华人民共和国传染病防治法》和《突发公共卫生事件应急条例》等法律法规规定，对从事传染病预防、医疗、科研、教学及现场处理疫情的人员，以及在生产、工作中接触传染病病原体的其他人员给予适当津贴，并建立动态调整机制。对直接参与国内传染病类突发公共卫生事件现场调查处置、患者救治、口岸检疫、动物防疫等各类一线工作的人员，以及政府选派直接参与国外重大传染病疫情防治工作的医疗和公共卫生等防控人员，根据工作风险、强度和时间给予临时性工作补助。国务院有关部门要制定调整相关津贴和临时性工作补助的具体办法。 　　七、完善传染病感染保障政策 　　将诊断标准明确、因果关系明晰的职业行为导致的传染病，纳入职业病分类和目录。将重大传染病防治一线人员，纳入高危职业人群管理。对在重大传染病疫情中参与传染病防治工作致病、致残、死亡的人员，参照机关事业单位工伤抚恤或工伤保险等有关规定给予抚恤、保障。不断完善医疗保障政策，逐步扩大基本医保保障范围，加快实施城乡居民大病保险制度，加强基本医保、医疗救助和疾病应急救助工作的衔接，切实减轻重大传染病患者就医负担。</w:t>
            </w:r>
          </w:p>
        </w:tc>
        <w:tc>
          <w:tcPr>
            <w:tcW w:w="1646"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艾滋病防治个人补助、抚恤金给付</w:t>
            </w:r>
          </w:p>
        </w:tc>
        <w:tc>
          <w:tcPr>
            <w:tcW w:w="945"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0" w:hRule="atLeast"/>
          <w:jc w:val="center"/>
        </w:trPr>
        <w:tc>
          <w:tcPr>
            <w:tcW w:w="744" w:type="dxa"/>
            <w:vAlign w:val="center"/>
          </w:tcPr>
          <w:p>
            <w:pPr>
              <w:widowControl/>
              <w:adjustRightInd w:val="0"/>
              <w:snapToGrid w:val="0"/>
              <w:spacing w:before="188" w:after="188" w:line="326" w:lineRule="atLeast"/>
              <w:jc w:val="center"/>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4</w:t>
            </w:r>
          </w:p>
        </w:tc>
        <w:tc>
          <w:tcPr>
            <w:tcW w:w="756" w:type="dxa"/>
            <w:vAlign w:val="center"/>
          </w:tcPr>
          <w:p>
            <w:pPr>
              <w:widowControl/>
              <w:adjustRightInd w:val="0"/>
              <w:snapToGrid w:val="0"/>
              <w:spacing w:line="240" w:lineRule="exact"/>
              <w:jc w:val="center"/>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行政给付</w:t>
            </w:r>
          </w:p>
        </w:tc>
        <w:tc>
          <w:tcPr>
            <w:tcW w:w="1469" w:type="dxa"/>
            <w:vAlign w:val="center"/>
          </w:tcPr>
          <w:p>
            <w:pPr>
              <w:widowControl/>
              <w:adjustRightInd w:val="0"/>
              <w:snapToGrid w:val="0"/>
              <w:spacing w:line="240" w:lineRule="exact"/>
              <w:jc w:val="cente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对参加突发事件应急处理的医疗卫生人员的补助和保健津贴，以及对因参与应急处理工作治病、致残、死亡的人员的补助和抚恤</w:t>
            </w:r>
          </w:p>
        </w:tc>
        <w:tc>
          <w:tcPr>
            <w:tcW w:w="668" w:type="dxa"/>
            <w:vAlign w:val="center"/>
          </w:tcPr>
          <w:p>
            <w:pPr>
              <w:adjustRightInd w:val="0"/>
              <w:snapToGrid w:val="0"/>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0520004000</w:t>
            </w:r>
          </w:p>
        </w:tc>
        <w:tc>
          <w:tcPr>
            <w:tcW w:w="607" w:type="dxa"/>
            <w:vAlign w:val="center"/>
          </w:tcPr>
          <w:p>
            <w:pPr>
              <w:widowControl/>
              <w:adjustRightInd w:val="0"/>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8262" w:type="dxa"/>
            <w:vAlign w:val="center"/>
          </w:tcPr>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【行政法规】《突发公共卫生事件应急条例》（2011年国务院令第588号修订）</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第九条　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 </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【规范性文件】《国务院办公厅关于加强传染病防治人员安全防护的意见》（国办发〔2015〕1号）</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六、完善传染病防治人员工资待遇倾斜政策</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根据《中华人民共和国传染病防治法》和《突发公共卫生事件应急条例》等法律法规规定，对从事传染病预防、医疗、科研、教学及现场处理疫情的人员，以及在生产、工作中接触传染病病原体的其他人员给予适当津贴，并建立动态调整机制。对直接参与国内传染病类突发公共卫生事件现场调查处置、患者救治、口岸检疫、动物防疫等各类一线工作的人员，以及政府选派直接参与国外重大传染病疫情防治工作的医疗和公共卫生等防控人员，根据工作风险、强度和时间给予临时性工作补助。国务院有关部门要制定调整相关津贴和临时性工作补助的具体办法。</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七、完善传染病感染保障政策</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将诊断标准明确、因果关系明晰的职业行为导致的传染病，纳入职业病分类和目录。将重大传染病防治一线人员，纳入高危职业人群管理。对在重大传染病疫情中参与传染病防治工作致病、致残、死亡的人员，参照机关事业单位工伤抚恤或工伤保险等有关规定给予抚恤、保障。不断完善医疗保障政策，逐步扩大基本医保保障范围，加快实施城乡居民大病保险制度，加强基本医保、医疗救助和疾病应急救助工作的衔接，切实减轻重大传染病患者就医负担。</w:t>
            </w:r>
          </w:p>
        </w:tc>
        <w:tc>
          <w:tcPr>
            <w:tcW w:w="1646" w:type="dxa"/>
            <w:vAlign w:val="top"/>
          </w:tcPr>
          <w:p>
            <w:pP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对参加突发事件应急处理的医疗卫生人员的补助和保健津贴，以及对因参与应急处理工作治病、致残、死亡的人员的补助和抚恤</w:t>
            </w:r>
          </w:p>
        </w:tc>
        <w:tc>
          <w:tcPr>
            <w:tcW w:w="945" w:type="dxa"/>
            <w:vAlign w:val="top"/>
          </w:tcPr>
          <w:p>
            <w:pPr>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44" w:type="dxa"/>
            <w:vAlign w:val="center"/>
          </w:tcPr>
          <w:p>
            <w:pPr>
              <w:widowControl/>
              <w:adjustRightInd w:val="0"/>
              <w:snapToGrid w:val="0"/>
              <w:spacing w:before="188" w:after="188" w:line="326" w:lineRule="atLeast"/>
              <w:jc w:val="center"/>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5</w:t>
            </w:r>
          </w:p>
        </w:tc>
        <w:tc>
          <w:tcPr>
            <w:tcW w:w="756" w:type="dxa"/>
            <w:vAlign w:val="center"/>
          </w:tcPr>
          <w:p>
            <w:pPr>
              <w:widowControl/>
              <w:adjustRightInd w:val="0"/>
              <w:snapToGrid w:val="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行政给付</w:t>
            </w:r>
          </w:p>
        </w:tc>
        <w:tc>
          <w:tcPr>
            <w:tcW w:w="1469" w:type="dxa"/>
            <w:vAlign w:val="center"/>
          </w:tcPr>
          <w:p>
            <w:pPr>
              <w:widowControl/>
              <w:adjustRightInd w:val="0"/>
              <w:snapToGrid w:val="0"/>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农村计划生育家庭奖励扶助金</w:t>
            </w:r>
          </w:p>
        </w:tc>
        <w:tc>
          <w:tcPr>
            <w:tcW w:w="668" w:type="dxa"/>
            <w:vAlign w:val="center"/>
          </w:tcPr>
          <w:p>
            <w:pPr>
              <w:adjustRightInd w:val="0"/>
              <w:snapToGrid w:val="0"/>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0520005000</w:t>
            </w:r>
          </w:p>
        </w:tc>
        <w:tc>
          <w:tcPr>
            <w:tcW w:w="607" w:type="dxa"/>
            <w:vAlign w:val="center"/>
          </w:tcPr>
          <w:p>
            <w:pPr>
              <w:adjustRightInd w:val="0"/>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8262" w:type="dxa"/>
            <w:vAlign w:val="center"/>
          </w:tcPr>
          <w:p>
            <w:pPr>
              <w:adjustRightInd w:val="0"/>
              <w:snapToGrid w:val="0"/>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【法律】《中华人民共和国人口与计划生育法》（2015年修正）</w:t>
            </w:r>
          </w:p>
          <w:p>
            <w:pPr>
              <w:adjustRightInd w:val="0"/>
              <w:snapToGrid w:val="0"/>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第二十七条 在国家提倡一对夫妻生育一个子女期间，自愿终身只生育一个子女的夫妻，国家发给《独生子女父母光荣证》。  获得《独生子女父母光荣证》的夫妻，按照国家和省、自治区、直辖市有关规定享受独生子女父母奖励。   法律、法规或者规章规定给予获得《独生子女父母光荣证》的夫妻奖励的措施中由其所在单位落实的，有关单位应当执行。   获得《独生子女父母光荣证》的夫妻，独生子女发生意外伤残、死亡的，按照规定获得扶助。  在国家提倡一对夫妻生育一个子女期间，按照规定应当享受计划生育家庭老年人奖励扶助的，继续享受相关奖励扶助。</w:t>
            </w:r>
          </w:p>
          <w:p>
            <w:pPr>
              <w:adjustRightInd w:val="0"/>
              <w:snapToGrid w:val="0"/>
              <w:ind w:firstLine="360" w:firstLineChars="200"/>
              <w:rPr>
                <w:rFonts w:hint="eastAsia" w:ascii="仿宋_GB2312" w:hAnsi="仿宋_GB2312" w:eastAsia="仿宋_GB2312" w:cs="仿宋_GB2312"/>
                <w:b w:val="0"/>
                <w:bCs/>
                <w:color w:val="auto"/>
                <w:sz w:val="18"/>
                <w:szCs w:val="18"/>
                <w:highlight w:val="none"/>
                <w:u w:val="none"/>
                <w:shd w:val="clear" w:color="auto" w:fill="FFFFFF"/>
              </w:rPr>
            </w:pPr>
            <w:r>
              <w:rPr>
                <w:rFonts w:hint="eastAsia" w:ascii="仿宋_GB2312" w:hAnsi="仿宋_GB2312" w:eastAsia="仿宋_GB2312" w:cs="仿宋_GB2312"/>
                <w:b w:val="0"/>
                <w:bCs/>
                <w:color w:val="auto"/>
                <w:sz w:val="18"/>
                <w:szCs w:val="18"/>
                <w:highlight w:val="none"/>
                <w:u w:val="none"/>
                <w:shd w:val="clear" w:color="auto" w:fill="FFFFFF"/>
              </w:rPr>
              <w:t>【地方性法规】《宁夏回族自治区人口与计划生育条例》（2016修改）</w:t>
            </w:r>
          </w:p>
          <w:p>
            <w:pPr>
              <w:adjustRightInd w:val="0"/>
              <w:snapToGrid w:val="0"/>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shd w:val="clear" w:color="auto" w:fill="FFFFFF"/>
              </w:rPr>
              <w:t>第三十九条 各级人民政府或者有关部门应当给予农村计划生育家庭以下优待：(一)在国家提倡一对夫妻生育一个子女期间，只有一个子女或者两个女孩的农村计划生育家庭，夫妇年满六十周岁以后，享受农村计划生育家庭奖励扶助，直至亡故；……</w:t>
            </w:r>
          </w:p>
        </w:tc>
        <w:tc>
          <w:tcPr>
            <w:tcW w:w="1646"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核发农村计划生育家庭奖励扶助金</w:t>
            </w:r>
          </w:p>
        </w:tc>
        <w:tc>
          <w:tcPr>
            <w:tcW w:w="945"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44" w:type="dxa"/>
            <w:vAlign w:val="center"/>
          </w:tcPr>
          <w:p>
            <w:pPr>
              <w:widowControl/>
              <w:adjustRightInd w:val="0"/>
              <w:snapToGrid w:val="0"/>
              <w:spacing w:before="188" w:after="188" w:line="326" w:lineRule="atLeast"/>
              <w:jc w:val="center"/>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6</w:t>
            </w:r>
          </w:p>
        </w:tc>
        <w:tc>
          <w:tcPr>
            <w:tcW w:w="756" w:type="dxa"/>
            <w:vAlign w:val="center"/>
          </w:tcPr>
          <w:p>
            <w:pPr>
              <w:widowControl/>
              <w:adjustRightInd w:val="0"/>
              <w:snapToGrid w:val="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行政给付</w:t>
            </w:r>
          </w:p>
        </w:tc>
        <w:tc>
          <w:tcPr>
            <w:tcW w:w="1469" w:type="dxa"/>
            <w:vAlign w:val="center"/>
          </w:tcPr>
          <w:p>
            <w:pPr>
              <w:widowControl/>
              <w:adjustRightInd w:val="0"/>
              <w:snapToGrid w:val="0"/>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农村计划生育家庭少生快富工程奖励金</w:t>
            </w:r>
          </w:p>
        </w:tc>
        <w:tc>
          <w:tcPr>
            <w:tcW w:w="668" w:type="dxa"/>
            <w:vAlign w:val="center"/>
          </w:tcPr>
          <w:p>
            <w:pPr>
              <w:adjustRightInd w:val="0"/>
              <w:snapToGrid w:val="0"/>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0520006000</w:t>
            </w:r>
          </w:p>
        </w:tc>
        <w:tc>
          <w:tcPr>
            <w:tcW w:w="607" w:type="dxa"/>
            <w:vAlign w:val="center"/>
          </w:tcPr>
          <w:p>
            <w:pPr>
              <w:adjustRightInd w:val="0"/>
              <w:snapToGrid w:val="0"/>
              <w:spacing w:line="260" w:lineRule="exact"/>
              <w:jc w:val="center"/>
              <w:rPr>
                <w:rFonts w:hint="eastAsia" w:ascii="仿宋_GB2312" w:hAnsi="仿宋_GB2312" w:eastAsia="仿宋_GB2312" w:cs="仿宋_GB2312"/>
                <w:b w:val="0"/>
                <w:bCs/>
                <w:color w:val="auto"/>
                <w:sz w:val="18"/>
                <w:szCs w:val="18"/>
                <w:highlight w:val="none"/>
                <w:u w:val="none"/>
                <w:shd w:val="clear" w:color="auto" w:fill="FFFFFF"/>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8262" w:type="dxa"/>
            <w:vAlign w:val="center"/>
          </w:tcPr>
          <w:p>
            <w:pPr>
              <w:adjustRightInd w:val="0"/>
              <w:snapToGrid w:val="0"/>
              <w:ind w:firstLine="360" w:firstLineChars="200"/>
              <w:rPr>
                <w:rFonts w:hint="eastAsia" w:ascii="仿宋_GB2312" w:hAnsi="仿宋_GB2312" w:eastAsia="仿宋_GB2312" w:cs="仿宋_GB2312"/>
                <w:b w:val="0"/>
                <w:bCs/>
                <w:color w:val="auto"/>
                <w:sz w:val="18"/>
                <w:szCs w:val="18"/>
                <w:highlight w:val="none"/>
                <w:u w:val="none"/>
                <w:shd w:val="clear" w:color="auto" w:fill="FFFFFF"/>
              </w:rPr>
            </w:pPr>
            <w:r>
              <w:rPr>
                <w:rFonts w:hint="eastAsia" w:ascii="仿宋_GB2312" w:hAnsi="仿宋_GB2312" w:eastAsia="仿宋_GB2312" w:cs="仿宋_GB2312"/>
                <w:b w:val="0"/>
                <w:bCs/>
                <w:color w:val="auto"/>
                <w:sz w:val="18"/>
                <w:szCs w:val="18"/>
                <w:highlight w:val="none"/>
                <w:u w:val="none"/>
                <w:shd w:val="clear" w:color="auto" w:fill="FFFFFF"/>
              </w:rPr>
              <w:t>【地方性法规】《宁夏回族自治区人口与计划生育条例》（2016修改）</w:t>
            </w:r>
          </w:p>
          <w:p>
            <w:pPr>
              <w:adjustRightInd w:val="0"/>
              <w:snapToGrid w:val="0"/>
              <w:ind w:firstLine="360" w:firstLineChars="200"/>
              <w:rPr>
                <w:rFonts w:hint="eastAsia" w:ascii="仿宋_GB2312" w:hAnsi="仿宋_GB2312" w:eastAsia="仿宋_GB2312" w:cs="仿宋_GB2312"/>
                <w:b w:val="0"/>
                <w:bCs/>
                <w:color w:val="auto"/>
                <w:sz w:val="18"/>
                <w:szCs w:val="18"/>
                <w:highlight w:val="none"/>
                <w:u w:val="none"/>
                <w:shd w:val="clear" w:color="auto" w:fill="FFFFFF"/>
              </w:rPr>
            </w:pPr>
            <w:r>
              <w:rPr>
                <w:rFonts w:hint="eastAsia" w:ascii="仿宋_GB2312" w:hAnsi="仿宋_GB2312" w:eastAsia="仿宋_GB2312" w:cs="仿宋_GB2312"/>
                <w:b w:val="0"/>
                <w:bCs/>
                <w:color w:val="auto"/>
                <w:sz w:val="18"/>
                <w:szCs w:val="18"/>
                <w:highlight w:val="none"/>
                <w:u w:val="none"/>
                <w:shd w:val="clear" w:color="auto" w:fill="FFFFFF"/>
              </w:rPr>
              <w:t>第三十九条 各级人民政府或者有关部门应当给予农村计划生育家庭以下优待：(二)实施‘少生快富’工程，按照国家和自治区的有关规定给予奖励及其他优待。</w:t>
            </w:r>
          </w:p>
          <w:p>
            <w:pPr>
              <w:widowControl/>
              <w:adjustRightInd w:val="0"/>
              <w:snapToGrid w:val="0"/>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【政府规章】《宁夏回族自治区少生快富扶贫工程实施办法》（2005年自治区人民政府令第77号）第十五条  实施少生快富扶贫工程地区的具有本自治区户籍的农村已婚育龄夫妇有下列情形之一的，可以自愿申请少生快富扶贫工程奖励资金；（一）按照自治区计划生育政策可以生育两个孩子，已生育一个孩子的；（二）按照自治区计划生育政策可以生育三个孩子，已生育一个或者两个孩子的；（三）计划生育纯女户（包括川区已婚育龄夫妇已生育两个女孩的家庭；山区汉族已婚育龄夫妇已生育两个女孩的家庭；山区回族及其他少数民族已婚育龄夫妇已生育三个女孩的家庭）。</w:t>
            </w:r>
          </w:p>
        </w:tc>
        <w:tc>
          <w:tcPr>
            <w:tcW w:w="1646"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核发农村计划生育家庭少生快富工程奖励金</w:t>
            </w:r>
          </w:p>
        </w:tc>
        <w:tc>
          <w:tcPr>
            <w:tcW w:w="945"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44" w:type="dxa"/>
            <w:vAlign w:val="center"/>
          </w:tcPr>
          <w:p>
            <w:pPr>
              <w:widowControl/>
              <w:adjustRightInd w:val="0"/>
              <w:snapToGrid w:val="0"/>
              <w:spacing w:before="188" w:after="188" w:line="326" w:lineRule="atLeast"/>
              <w:jc w:val="center"/>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7</w:t>
            </w:r>
          </w:p>
        </w:tc>
        <w:tc>
          <w:tcPr>
            <w:tcW w:w="756" w:type="dxa"/>
            <w:vAlign w:val="center"/>
          </w:tcPr>
          <w:p>
            <w:pPr>
              <w:widowControl/>
              <w:adjustRightInd w:val="0"/>
              <w:snapToGrid w:val="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行政给付</w:t>
            </w:r>
          </w:p>
        </w:tc>
        <w:tc>
          <w:tcPr>
            <w:tcW w:w="1469" w:type="dxa"/>
            <w:vAlign w:val="center"/>
          </w:tcPr>
          <w:p>
            <w:pPr>
              <w:widowControl/>
              <w:adjustRightInd w:val="0"/>
              <w:snapToGrid w:val="0"/>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t>计划生育家庭特别扶助金</w:t>
            </w:r>
          </w:p>
        </w:tc>
        <w:tc>
          <w:tcPr>
            <w:tcW w:w="668" w:type="dxa"/>
            <w:vAlign w:val="center"/>
          </w:tcPr>
          <w:p>
            <w:pPr>
              <w:adjustRightInd w:val="0"/>
              <w:snapToGrid w:val="0"/>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0520007000</w:t>
            </w:r>
          </w:p>
        </w:tc>
        <w:tc>
          <w:tcPr>
            <w:tcW w:w="607" w:type="dxa"/>
            <w:vAlign w:val="center"/>
          </w:tcPr>
          <w:p>
            <w:pPr>
              <w:widowControl/>
              <w:adjustRightInd w:val="0"/>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8262" w:type="dxa"/>
            <w:vAlign w:val="center"/>
          </w:tcPr>
          <w:p>
            <w:pPr>
              <w:widowControl/>
              <w:adjustRightInd w:val="0"/>
              <w:snapToGrid w:val="0"/>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【法律】《中华人民共和国人口与计划生育法》（2015年修正）</w:t>
            </w:r>
          </w:p>
          <w:p>
            <w:pPr>
              <w:widowControl/>
              <w:adjustRightInd w:val="0"/>
              <w:snapToGrid w:val="0"/>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第二十七条 在国家提倡一对夫妻生育一个子女期间，自愿终身只生育一个子女的夫妻，国家发给《独生子女父母光荣证》。  获得《独生子女父母光荣证》的夫妻，按照国家和省、自治区、直辖市有关规定享受独生子女父母奖励。   法律、法规或者规章规定给予获得《独生子女父母光荣证》的夫妻奖励的措施中由其所在单位落实的，有关单位应当执行。   获得《独生子女父母光荣证》的夫妻，独生子女发生意外伤残、死亡的，按照规定获得扶助。  在国家提倡一对夫妻生育一个子女期间，按照规定应当享受计划生育家庭老年人奖励扶助的，继续享受相关奖励扶助。</w:t>
            </w:r>
          </w:p>
          <w:p>
            <w:pPr>
              <w:widowControl/>
              <w:adjustRightInd w:val="0"/>
              <w:snapToGrid w:val="0"/>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【地方性法规】《宁夏回族自治区人口与计划生育条例》（2016修改）</w:t>
            </w:r>
          </w:p>
          <w:p>
            <w:pPr>
              <w:widowControl/>
              <w:adjustRightInd w:val="0"/>
              <w:snapToGrid w:val="0"/>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第四十条 在国家提倡一对夫妻生育一个子女期间，领取《独生子女父母光荣证》的家庭，子女死亡或者残疾（残疾达到三级以上），不再生育或者收养子女的，享受国家和自治区的计划生育家庭特别扶助金。</w:t>
            </w:r>
          </w:p>
        </w:tc>
        <w:tc>
          <w:tcPr>
            <w:tcW w:w="1646"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核发计划生育家庭特别扶助金</w:t>
            </w:r>
          </w:p>
        </w:tc>
        <w:tc>
          <w:tcPr>
            <w:tcW w:w="945"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p>
        </w:tc>
      </w:tr>
    </w:tbl>
    <w:p>
      <w:pPr>
        <w:spacing w:after="156" w:afterLines="50" w:line="500" w:lineRule="exact"/>
        <w:rPr>
          <w:rFonts w:hint="eastAsia" w:ascii="仿宋_GB2312" w:hAnsi="仿宋_GB2312" w:eastAsia="仿宋_GB2312" w:cs="仿宋_GB2312"/>
          <w:sz w:val="18"/>
          <w:szCs w:val="18"/>
        </w:rPr>
      </w:pPr>
    </w:p>
    <w:p>
      <w:pPr>
        <w:spacing w:line="500" w:lineRule="exact"/>
        <w:jc w:val="center"/>
        <w:rPr>
          <w:rFonts w:hint="eastAsia" w:ascii="仿宋_GB2312" w:hAnsi="仿宋_GB2312" w:eastAsia="仿宋_GB2312" w:cs="仿宋_GB2312"/>
          <w:b/>
          <w:color w:val="000000"/>
          <w:kern w:val="0"/>
        </w:rPr>
      </w:pPr>
      <w:r>
        <w:rPr>
          <w:rFonts w:hint="eastAsia" w:ascii="仿宋_GB2312" w:hAnsi="仿宋_GB2312" w:eastAsia="仿宋_GB2312" w:cs="仿宋_GB2312"/>
        </w:rPr>
        <w:br w:type="page"/>
      </w:r>
    </w:p>
    <w:tbl>
      <w:tblPr>
        <w:tblStyle w:val="6"/>
        <w:tblW w:w="14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418"/>
        <w:gridCol w:w="1418"/>
        <w:gridCol w:w="680"/>
        <w:gridCol w:w="660"/>
        <w:gridCol w:w="6804"/>
        <w:gridCol w:w="2268"/>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615" w:type="dxa"/>
            <w:vAlign w:val="center"/>
          </w:tcPr>
          <w:p>
            <w:pPr>
              <w:widowControl/>
              <w:spacing w:line="260" w:lineRule="exact"/>
              <w:jc w:val="center"/>
              <w:rPr>
                <w:rFonts w:hint="eastAsia" w:ascii="仿宋_GB2312" w:hAnsi="仿宋_GB2312" w:eastAsia="仿宋_GB2312" w:cs="仿宋_GB2312"/>
                <w:b/>
                <w:bCs/>
                <w:color w:val="auto"/>
                <w:kern w:val="0"/>
                <w:sz w:val="18"/>
                <w:szCs w:val="18"/>
                <w:highlight w:val="none"/>
                <w:u w:val="none"/>
              </w:rPr>
            </w:pPr>
            <w:r>
              <w:rPr>
                <w:rFonts w:hint="eastAsia" w:ascii="仿宋_GB2312" w:hAnsi="仿宋_GB2312" w:eastAsia="仿宋_GB2312" w:cs="仿宋_GB2312"/>
                <w:b/>
                <w:bCs/>
                <w:color w:val="auto"/>
                <w:kern w:val="0"/>
                <w:sz w:val="18"/>
                <w:szCs w:val="18"/>
                <w:highlight w:val="none"/>
                <w:u w:val="none"/>
              </w:rPr>
              <w:t>序号</w:t>
            </w:r>
          </w:p>
        </w:tc>
        <w:tc>
          <w:tcPr>
            <w:tcW w:w="1418" w:type="dxa"/>
            <w:vAlign w:val="center"/>
          </w:tcPr>
          <w:p>
            <w:pPr>
              <w:spacing w:line="260" w:lineRule="exact"/>
              <w:jc w:val="center"/>
              <w:rPr>
                <w:rFonts w:hint="eastAsia" w:ascii="仿宋_GB2312" w:hAnsi="仿宋_GB2312" w:eastAsia="仿宋_GB2312" w:cs="仿宋_GB2312"/>
                <w:b/>
                <w:bCs/>
                <w:color w:val="auto"/>
                <w:kern w:val="0"/>
                <w:sz w:val="18"/>
                <w:szCs w:val="18"/>
                <w:highlight w:val="none"/>
                <w:u w:val="none"/>
                <w:lang w:eastAsia="zh-CN"/>
              </w:rPr>
            </w:pPr>
            <w:r>
              <w:rPr>
                <w:rFonts w:hint="eastAsia" w:ascii="仿宋_GB2312" w:hAnsi="仿宋_GB2312" w:eastAsia="仿宋_GB2312" w:cs="仿宋_GB2312"/>
                <w:b/>
                <w:bCs/>
                <w:color w:val="auto"/>
                <w:kern w:val="0"/>
                <w:sz w:val="18"/>
                <w:szCs w:val="18"/>
                <w:highlight w:val="none"/>
                <w:u w:val="none"/>
                <w:lang w:eastAsia="zh-CN"/>
              </w:rPr>
              <w:t>职权类型</w:t>
            </w:r>
          </w:p>
        </w:tc>
        <w:tc>
          <w:tcPr>
            <w:tcW w:w="1418" w:type="dxa"/>
            <w:vAlign w:val="center"/>
          </w:tcPr>
          <w:p>
            <w:pPr>
              <w:spacing w:line="260" w:lineRule="exact"/>
              <w:jc w:val="center"/>
              <w:rPr>
                <w:rFonts w:hint="eastAsia" w:ascii="仿宋_GB2312" w:hAnsi="仿宋_GB2312" w:eastAsia="仿宋_GB2312" w:cs="仿宋_GB2312"/>
                <w:b/>
                <w:bCs/>
                <w:color w:val="auto"/>
                <w:kern w:val="0"/>
                <w:sz w:val="18"/>
                <w:szCs w:val="18"/>
                <w:highlight w:val="none"/>
                <w:u w:val="none"/>
              </w:rPr>
            </w:pPr>
            <w:r>
              <w:rPr>
                <w:rFonts w:hint="eastAsia" w:ascii="仿宋_GB2312" w:hAnsi="仿宋_GB2312" w:eastAsia="仿宋_GB2312" w:cs="仿宋_GB2312"/>
                <w:b/>
                <w:bCs/>
                <w:color w:val="auto"/>
                <w:kern w:val="0"/>
                <w:sz w:val="18"/>
                <w:szCs w:val="18"/>
                <w:highlight w:val="none"/>
                <w:u w:val="none"/>
              </w:rPr>
              <w:t>职权名称</w:t>
            </w:r>
          </w:p>
        </w:tc>
        <w:tc>
          <w:tcPr>
            <w:tcW w:w="680" w:type="dxa"/>
            <w:vAlign w:val="center"/>
          </w:tcPr>
          <w:p>
            <w:pPr>
              <w:widowControl/>
              <w:spacing w:line="260" w:lineRule="exact"/>
              <w:jc w:val="center"/>
              <w:rPr>
                <w:rFonts w:hint="eastAsia" w:ascii="仿宋_GB2312" w:hAnsi="仿宋_GB2312" w:eastAsia="仿宋_GB2312" w:cs="仿宋_GB2312"/>
                <w:b/>
                <w:bCs/>
                <w:color w:val="auto"/>
                <w:kern w:val="0"/>
                <w:sz w:val="18"/>
                <w:szCs w:val="18"/>
                <w:highlight w:val="none"/>
                <w:u w:val="none"/>
              </w:rPr>
            </w:pPr>
            <w:r>
              <w:rPr>
                <w:rFonts w:hint="eastAsia" w:ascii="仿宋_GB2312" w:hAnsi="仿宋_GB2312" w:eastAsia="仿宋_GB2312" w:cs="仿宋_GB2312"/>
                <w:b/>
                <w:bCs/>
                <w:color w:val="auto"/>
                <w:kern w:val="0"/>
                <w:sz w:val="18"/>
                <w:szCs w:val="18"/>
                <w:highlight w:val="none"/>
                <w:u w:val="none"/>
              </w:rPr>
              <w:t>基本</w:t>
            </w:r>
          </w:p>
          <w:p>
            <w:pPr>
              <w:widowControl/>
              <w:spacing w:line="260" w:lineRule="exact"/>
              <w:jc w:val="center"/>
              <w:rPr>
                <w:rFonts w:hint="eastAsia" w:ascii="仿宋_GB2312" w:hAnsi="仿宋_GB2312" w:eastAsia="仿宋_GB2312" w:cs="仿宋_GB2312"/>
                <w:b/>
                <w:bCs/>
                <w:color w:val="auto"/>
                <w:kern w:val="0"/>
                <w:sz w:val="18"/>
                <w:szCs w:val="18"/>
                <w:highlight w:val="none"/>
                <w:u w:val="none"/>
              </w:rPr>
            </w:pPr>
            <w:r>
              <w:rPr>
                <w:rFonts w:hint="eastAsia" w:ascii="仿宋_GB2312" w:hAnsi="仿宋_GB2312" w:eastAsia="仿宋_GB2312" w:cs="仿宋_GB2312"/>
                <w:b/>
                <w:bCs/>
                <w:color w:val="auto"/>
                <w:kern w:val="0"/>
                <w:sz w:val="18"/>
                <w:szCs w:val="18"/>
                <w:highlight w:val="none"/>
                <w:u w:val="none"/>
              </w:rPr>
              <w:t>编码</w:t>
            </w:r>
          </w:p>
        </w:tc>
        <w:tc>
          <w:tcPr>
            <w:tcW w:w="660" w:type="dxa"/>
            <w:vAlign w:val="center"/>
          </w:tcPr>
          <w:p>
            <w:pPr>
              <w:widowControl/>
              <w:spacing w:line="260" w:lineRule="exact"/>
              <w:jc w:val="center"/>
              <w:rPr>
                <w:rFonts w:hint="eastAsia" w:ascii="仿宋_GB2312" w:hAnsi="仿宋_GB2312" w:eastAsia="仿宋_GB2312" w:cs="仿宋_GB2312"/>
                <w:b/>
                <w:bCs/>
                <w:color w:val="auto"/>
                <w:kern w:val="0"/>
                <w:sz w:val="18"/>
                <w:szCs w:val="18"/>
                <w:highlight w:val="none"/>
                <w:u w:val="none"/>
              </w:rPr>
            </w:pPr>
            <w:r>
              <w:rPr>
                <w:rFonts w:hint="eastAsia" w:ascii="仿宋_GB2312" w:hAnsi="仿宋_GB2312" w:eastAsia="仿宋_GB2312" w:cs="仿宋_GB2312"/>
                <w:b/>
                <w:bCs/>
                <w:color w:val="auto"/>
                <w:kern w:val="0"/>
                <w:sz w:val="18"/>
                <w:szCs w:val="18"/>
                <w:highlight w:val="none"/>
                <w:u w:val="none"/>
              </w:rPr>
              <w:t>实施部门</w:t>
            </w:r>
          </w:p>
        </w:tc>
        <w:tc>
          <w:tcPr>
            <w:tcW w:w="6804" w:type="dxa"/>
            <w:vAlign w:val="center"/>
          </w:tcPr>
          <w:p>
            <w:pPr>
              <w:widowControl/>
              <w:spacing w:line="260" w:lineRule="exact"/>
              <w:jc w:val="center"/>
              <w:rPr>
                <w:rFonts w:hint="eastAsia" w:ascii="仿宋_GB2312" w:hAnsi="仿宋_GB2312" w:eastAsia="仿宋_GB2312" w:cs="仿宋_GB2312"/>
                <w:b/>
                <w:bCs/>
                <w:color w:val="auto"/>
                <w:kern w:val="0"/>
                <w:sz w:val="18"/>
                <w:szCs w:val="18"/>
                <w:highlight w:val="none"/>
                <w:u w:val="none"/>
              </w:rPr>
            </w:pPr>
            <w:r>
              <w:rPr>
                <w:rFonts w:hint="eastAsia" w:ascii="仿宋_GB2312" w:hAnsi="仿宋_GB2312" w:eastAsia="仿宋_GB2312" w:cs="仿宋_GB2312"/>
                <w:b/>
                <w:bCs/>
                <w:color w:val="auto"/>
                <w:kern w:val="0"/>
                <w:sz w:val="18"/>
                <w:szCs w:val="18"/>
                <w:highlight w:val="none"/>
                <w:u w:val="none"/>
              </w:rPr>
              <w:t>职权依据</w:t>
            </w:r>
          </w:p>
        </w:tc>
        <w:tc>
          <w:tcPr>
            <w:tcW w:w="2268" w:type="dxa"/>
            <w:vAlign w:val="center"/>
          </w:tcPr>
          <w:p>
            <w:pPr>
              <w:widowControl/>
              <w:spacing w:line="260" w:lineRule="exact"/>
              <w:jc w:val="center"/>
              <w:rPr>
                <w:rFonts w:hint="eastAsia" w:ascii="仿宋_GB2312" w:hAnsi="仿宋_GB2312" w:eastAsia="仿宋_GB2312" w:cs="仿宋_GB2312"/>
                <w:b/>
                <w:bCs/>
                <w:color w:val="auto"/>
                <w:kern w:val="0"/>
                <w:sz w:val="18"/>
                <w:szCs w:val="18"/>
                <w:highlight w:val="none"/>
                <w:u w:val="none"/>
              </w:rPr>
            </w:pPr>
            <w:r>
              <w:rPr>
                <w:rFonts w:hint="eastAsia" w:ascii="仿宋_GB2312" w:hAnsi="仿宋_GB2312" w:eastAsia="仿宋_GB2312" w:cs="仿宋_GB2312"/>
                <w:b/>
                <w:bCs/>
                <w:color w:val="auto"/>
                <w:kern w:val="0"/>
                <w:sz w:val="18"/>
                <w:szCs w:val="18"/>
                <w:highlight w:val="none"/>
                <w:u w:val="none"/>
              </w:rPr>
              <w:t>行使内容</w:t>
            </w:r>
          </w:p>
        </w:tc>
        <w:tc>
          <w:tcPr>
            <w:tcW w:w="878" w:type="dxa"/>
            <w:vAlign w:val="center"/>
          </w:tcPr>
          <w:p>
            <w:pPr>
              <w:widowControl/>
              <w:spacing w:line="260" w:lineRule="exact"/>
              <w:jc w:val="center"/>
              <w:rPr>
                <w:rFonts w:hint="eastAsia" w:ascii="仿宋_GB2312" w:hAnsi="仿宋_GB2312" w:eastAsia="仿宋_GB2312" w:cs="仿宋_GB2312"/>
                <w:b/>
                <w:bCs/>
                <w:color w:val="auto"/>
                <w:kern w:val="0"/>
                <w:sz w:val="18"/>
                <w:szCs w:val="18"/>
                <w:highlight w:val="none"/>
                <w:u w:val="none"/>
                <w:lang w:eastAsia="zh-CN"/>
              </w:rPr>
            </w:pPr>
            <w:r>
              <w:rPr>
                <w:rFonts w:hint="eastAsia" w:ascii="仿宋_GB2312" w:hAnsi="仿宋_GB2312" w:eastAsia="仿宋_GB2312" w:cs="仿宋_GB2312"/>
                <w:b/>
                <w:bCs/>
                <w:color w:val="auto"/>
                <w:kern w:val="0"/>
                <w:sz w:val="18"/>
                <w:szCs w:val="18"/>
                <w:highlight w:val="none"/>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615" w:type="dxa"/>
            <w:vAlign w:val="center"/>
          </w:tcPr>
          <w:p>
            <w:pPr>
              <w:widowControl/>
              <w:tabs>
                <w:tab w:val="left" w:pos="425"/>
              </w:tabs>
              <w:adjustRightInd w:val="0"/>
              <w:snapToGrid w:val="0"/>
              <w:jc w:val="left"/>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1</w:t>
            </w:r>
          </w:p>
        </w:tc>
        <w:tc>
          <w:tcPr>
            <w:tcW w:w="1418" w:type="dxa"/>
            <w:vAlign w:val="center"/>
          </w:tcPr>
          <w:p>
            <w:pPr>
              <w:spacing w:line="260" w:lineRule="exact"/>
              <w:rPr>
                <w:rFonts w:hint="eastAsia" w:ascii="仿宋_GB2312" w:hAnsi="仿宋_GB2312" w:eastAsia="仿宋_GB2312" w:cs="仿宋_GB2312"/>
                <w:b w:val="0"/>
                <w:bCs w:val="0"/>
                <w:color w:val="FF0000"/>
                <w:sz w:val="18"/>
                <w:szCs w:val="18"/>
                <w:highlight w:val="none"/>
                <w:u w:val="none"/>
                <w:lang w:eastAsia="zh-CN"/>
              </w:rPr>
            </w:pPr>
            <w:r>
              <w:rPr>
                <w:rFonts w:hint="eastAsia" w:ascii="仿宋_GB2312" w:hAnsi="仿宋_GB2312" w:eastAsia="仿宋_GB2312" w:cs="仿宋_GB2312"/>
                <w:b w:val="0"/>
                <w:bCs w:val="0"/>
                <w:color w:val="000000" w:themeColor="text1"/>
                <w:sz w:val="18"/>
                <w:szCs w:val="18"/>
                <w:highlight w:val="none"/>
                <w:u w:val="none"/>
                <w:lang w:eastAsia="zh-CN"/>
                <w14:textFill>
                  <w14:solidFill>
                    <w14:schemeClr w14:val="tx1"/>
                  </w14:solidFill>
                </w14:textFill>
              </w:rPr>
              <w:t>行政检查</w:t>
            </w:r>
          </w:p>
        </w:tc>
        <w:tc>
          <w:tcPr>
            <w:tcW w:w="1418" w:type="dxa"/>
            <w:vAlign w:val="center"/>
          </w:tcPr>
          <w:p>
            <w:pPr>
              <w:spacing w:line="260" w:lineRule="exac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对用人单位职业病防治情况的监督检查</w:t>
            </w:r>
          </w:p>
        </w:tc>
        <w:tc>
          <w:tcPr>
            <w:tcW w:w="680" w:type="dxa"/>
            <w:vAlign w:val="center"/>
          </w:tcPr>
          <w:p>
            <w:pPr>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0629002000</w:t>
            </w:r>
          </w:p>
        </w:tc>
        <w:tc>
          <w:tcPr>
            <w:tcW w:w="66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6804" w:type="dxa"/>
            <w:vAlign w:val="center"/>
          </w:tcPr>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【法律】《中华人民共和国职业病防治法》</w:t>
            </w:r>
            <w:r>
              <w:rPr>
                <w:rFonts w:hint="eastAsia" w:ascii="仿宋_GB2312" w:hAnsi="仿宋_GB2312" w:eastAsia="仿宋_GB2312" w:cs="仿宋_GB2312"/>
                <w:b w:val="0"/>
                <w:bCs w:val="0"/>
                <w:color w:val="auto"/>
                <w:sz w:val="18"/>
                <w:szCs w:val="18"/>
                <w:highlight w:val="none"/>
                <w:u w:val="none"/>
              </w:rPr>
              <w:t>（</w:t>
            </w:r>
            <w:r>
              <w:rPr>
                <w:rFonts w:hint="eastAsia" w:ascii="仿宋_GB2312" w:hAnsi="仿宋_GB2312" w:eastAsia="仿宋_GB2312" w:cs="仿宋_GB2312"/>
                <w:b w:val="0"/>
                <w:bCs w:val="0"/>
                <w:color w:val="auto"/>
                <w:sz w:val="18"/>
                <w:szCs w:val="18"/>
                <w:highlight w:val="none"/>
                <w:u w:val="none"/>
                <w:lang w:val="en-US" w:eastAsia="zh-CN"/>
              </w:rPr>
              <w:t>2018</w:t>
            </w:r>
            <w:r>
              <w:rPr>
                <w:rFonts w:hint="eastAsia" w:ascii="仿宋_GB2312" w:hAnsi="仿宋_GB2312" w:eastAsia="仿宋_GB2312" w:cs="仿宋_GB2312"/>
                <w:b w:val="0"/>
                <w:bCs w:val="0"/>
                <w:color w:val="auto"/>
                <w:sz w:val="18"/>
                <w:szCs w:val="18"/>
                <w:highlight w:val="none"/>
                <w:u w:val="none"/>
              </w:rPr>
              <w:t>年修正）</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第九条第三款 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第六十二条 县级以上人民政府职业卫生监督管理部门依照职业病防治法律、法规、国家职业卫生标准和卫生要求，依据职责划分，对职业病防治工作进行监督检查。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第六十三条 安全生产监督管理部门履行监督检查职责时，有权采取下列措施：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（一）进入被检查单位和职业病危害现场，了解情况，调查取证；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（二）查阅或者复制与违反职业病防治法律、法规的行为有关的资料和采集样品； </w:t>
            </w:r>
          </w:p>
          <w:p>
            <w:pPr>
              <w:spacing w:line="26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（三）责令违反职业病防治法律、法规的单位和个人停止违法行为。 </w:t>
            </w:r>
          </w:p>
        </w:tc>
        <w:tc>
          <w:tcPr>
            <w:tcW w:w="2268" w:type="dxa"/>
            <w:vAlign w:val="center"/>
          </w:tcPr>
          <w:p>
            <w:pPr>
              <w:spacing w:line="260" w:lineRule="exac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对用人单位职业病防治情况的监督检查</w:t>
            </w:r>
          </w:p>
        </w:tc>
        <w:tc>
          <w:tcPr>
            <w:tcW w:w="878" w:type="dxa"/>
            <w:vAlign w:val="center"/>
          </w:tcPr>
          <w:p>
            <w:pPr>
              <w:spacing w:line="260" w:lineRule="exact"/>
              <w:rPr>
                <w:rFonts w:hint="eastAsia" w:ascii="仿宋_GB2312" w:hAnsi="仿宋_GB2312" w:eastAsia="仿宋_GB2312" w:cs="仿宋_GB2312"/>
                <w:b w:val="0"/>
                <w:b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0" w:hRule="atLeast"/>
          <w:jc w:val="center"/>
        </w:trPr>
        <w:tc>
          <w:tcPr>
            <w:tcW w:w="615" w:type="dxa"/>
            <w:vAlign w:val="center"/>
          </w:tcPr>
          <w:p>
            <w:pPr>
              <w:widowControl/>
              <w:tabs>
                <w:tab w:val="left" w:pos="425"/>
              </w:tabs>
              <w:adjustRightInd w:val="0"/>
              <w:snapToGrid w:val="0"/>
              <w:jc w:val="left"/>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2</w:t>
            </w:r>
          </w:p>
        </w:tc>
        <w:tc>
          <w:tcPr>
            <w:tcW w:w="1418" w:type="dxa"/>
            <w:vAlign w:val="center"/>
          </w:tcPr>
          <w:p>
            <w:pPr>
              <w:spacing w:line="260" w:lineRule="exact"/>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000000" w:themeColor="text1"/>
                <w:sz w:val="18"/>
                <w:szCs w:val="18"/>
                <w:highlight w:val="none"/>
                <w:u w:val="none"/>
                <w:lang w:eastAsia="zh-CN"/>
                <w14:textFill>
                  <w14:solidFill>
                    <w14:schemeClr w14:val="tx1"/>
                  </w14:solidFill>
                </w14:textFill>
              </w:rPr>
              <w:t>行政检查</w:t>
            </w:r>
          </w:p>
        </w:tc>
        <w:tc>
          <w:tcPr>
            <w:tcW w:w="1418" w:type="dxa"/>
            <w:vAlign w:val="center"/>
          </w:tcPr>
          <w:p>
            <w:pPr>
              <w:spacing w:line="260" w:lineRule="exac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对建设项目职业病防护设施“三同时”以及验收活动和验收结果的监督检查</w:t>
            </w:r>
          </w:p>
        </w:tc>
        <w:tc>
          <w:tcPr>
            <w:tcW w:w="680" w:type="dxa"/>
            <w:vAlign w:val="center"/>
          </w:tcPr>
          <w:p>
            <w:pPr>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0629013000</w:t>
            </w:r>
          </w:p>
        </w:tc>
        <w:tc>
          <w:tcPr>
            <w:tcW w:w="66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6804" w:type="dxa"/>
            <w:vAlign w:val="center"/>
          </w:tcPr>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【部门规章】《建设项目职业病防护设施“三同时”监督管理办法》（2017年国家安全监管总局令第90号）</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第三十条 安全生产监督管理部门应当在职责范围内按照分类分级监管的原则，将建设单位开展建设项目职业病防护设施“三同时”情况的监督检查纳入安全生产年度监督检查计划，并按照监督检查计划与安全设施“三同时”实施一体化监督检查，对发现的违法行为应当依法予以处理；对违法行为情节严重的，应当按照规定纳入安全生产不良记录“黑名单”管理。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第三十一条 安全生产监督管理部门应当依法对建设单位开展建设项目职业病危害预评价情况进行监督检查，重点监督检查下列事项：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（一）是否进行建设项目职业病危害预评价；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（二）是否对建设项目可能产生的职业病危害因素及其对工作场所、劳动者健康影响与危害程度进行分析、评价；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（三）是否对建设项目拟采取的职业病防护设施和防护措施进行评价，是否提出对策与建议；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（四）是否明确建设项目职业病危害风险类别；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（五）主要负责人或其指定的负责人是否组织职业卫生专业技术人员对职业病危害预评价报告进行评审，职业病危害预评价报告是否按照评审意见进行修改完善；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（六）职业病危害预评价工作过程是否形成书面报告备查；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（七）是否按照本办法规定公布建设项目职业病危害预评价情况；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（八）依法应当监督检查的其他事项。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第三十二条 安全生产监督管理部门应当依法对建设单位开展建设项目职业病防护设施设计情况进行监督检查，重点监督检查下列事项：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（一）是否进行职业病防护设施设计；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（二）是否采纳职业病危害预评价报告中的对策与建议，如未采纳是否进行充分论证说明；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（三）是否明确职业病防护设施和应急救援设施的名称、规格、型号、数量、分布，并对防控性能进行分析；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（四）是否明确辅助用室及卫生设施的设置情况；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（五）是否明确职业病防护设施和应急救援设施投资预算；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（六）主要负责人或其指定的负责人是否组织职业卫生专业技术人员对职业病防护设施设计进行评审，职业病防护设施设计是否按照评审意见进行修改完善；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（七）职业病防护设施设计工作过程是否形成书面报告备查；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（八）是否按照本办法规定公布建设项目职业病防护设施设计情况；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（九）依法应当监督检查的其他事项。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第三十三条 安全生产监督管理部门应当依法对建设单位开展建设项目职业病危害控制效果评价及职业病防护设施验收情况进行监督检查，重点监督检查下列事项：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（一）是否进行职业病危害控制效果评价及职业病防护设施验收；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（二）职业病危害防治管理措施是否齐全；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三）主要负责人或其指定的负责人是否组织职业卫生专业技术人员对建设项目职业病危害控制效果评价报告进行评审和对职业病防护设施进行验收，是否按照评审意见和验收意见对职业病危害控制效果评价报告和职业病防护设施进行整改完善；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（四）建设项目职业病危害控制效果评价及职业病防护设施验收工作过程是否形成书面报告备查；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（五）建设项目职业病防护设施验收方案、职业病危害严重建设项目职业病危害控制效果评价与职业病防护设施验收工作报告是否按照规定向安全生产监督管理部门进行报告；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（六）是否按照本办法规定公布建设项目职业病危害控制效果评价和职业病防护设施验收情况；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（七）依法应当监督检查的其他事项。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第三十四条 安全生产监督管理部门应当按照下列规定对建设单位组织的验收活动和验收结果进行监督核查，并纳入安全生产年度监督检查计划： </w:t>
            </w:r>
          </w:p>
          <w:p>
            <w:pPr>
              <w:spacing w:line="26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（一）对职业病危害严重建设项目的职业病防护设施的验收方案和验收工作报告，全部进行监督核查； </w:t>
            </w:r>
          </w:p>
          <w:p>
            <w:pPr>
              <w:spacing w:line="26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xml:space="preserve">（二）对职业病危害较重和一般的建设项目职业病防护设施的验收方案和验收工作报告，按照国家安全生产监督管理总局规定的“双随机”方式实施抽查。 </w:t>
            </w:r>
          </w:p>
        </w:tc>
        <w:tc>
          <w:tcPr>
            <w:tcW w:w="2268" w:type="dxa"/>
            <w:vAlign w:val="center"/>
          </w:tcPr>
          <w:p>
            <w:pPr>
              <w:spacing w:line="260" w:lineRule="exac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对建设项目职业病防护设施“三同时”以及验收活动和验收结果的监督检查</w:t>
            </w:r>
          </w:p>
        </w:tc>
        <w:tc>
          <w:tcPr>
            <w:tcW w:w="878" w:type="dxa"/>
            <w:vAlign w:val="center"/>
          </w:tcPr>
          <w:p>
            <w:pPr>
              <w:spacing w:line="260" w:lineRule="exact"/>
              <w:rPr>
                <w:rFonts w:hint="eastAsia" w:ascii="仿宋_GB2312" w:hAnsi="仿宋_GB2312" w:eastAsia="仿宋_GB2312" w:cs="仿宋_GB2312"/>
                <w:b w:val="0"/>
                <w:b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jc w:val="center"/>
        </w:trPr>
        <w:tc>
          <w:tcPr>
            <w:tcW w:w="615" w:type="dxa"/>
            <w:vAlign w:val="center"/>
          </w:tcPr>
          <w:p>
            <w:pPr>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3</w:t>
            </w:r>
          </w:p>
        </w:tc>
        <w:tc>
          <w:tcPr>
            <w:tcW w:w="1418" w:type="dxa"/>
            <w:vAlign w:val="center"/>
          </w:tcPr>
          <w:p>
            <w:pPr>
              <w:adjustRightInd w:val="0"/>
              <w:snapToGrid w:val="0"/>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000000" w:themeColor="text1"/>
                <w:sz w:val="18"/>
                <w:szCs w:val="18"/>
                <w:highlight w:val="none"/>
                <w:u w:val="none"/>
                <w:lang w:eastAsia="zh-CN"/>
                <w14:textFill>
                  <w14:solidFill>
                    <w14:schemeClr w14:val="tx1"/>
                  </w14:solidFill>
                </w14:textFill>
              </w:rPr>
              <w:t>行政检查</w:t>
            </w:r>
          </w:p>
        </w:tc>
        <w:tc>
          <w:tcPr>
            <w:tcW w:w="1418" w:type="dxa"/>
            <w:vAlign w:val="center"/>
          </w:tcPr>
          <w:p>
            <w:pPr>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胎儿性别鉴定和施行终止妊娠手术监督管理</w:t>
            </w:r>
          </w:p>
        </w:tc>
        <w:tc>
          <w:tcPr>
            <w:tcW w:w="680" w:type="dxa"/>
            <w:vAlign w:val="center"/>
          </w:tcPr>
          <w:p>
            <w:pPr>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062000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66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6804" w:type="dxa"/>
            <w:vAlign w:val="center"/>
          </w:tcPr>
          <w:p>
            <w:pPr>
              <w:adjustRightInd w:val="0"/>
              <w:snapToGrid w:val="0"/>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【部门规章】《禁止非医学需要的胎儿性别鉴定和选择性别人工终止妊娠的规定》（20</w:t>
            </w:r>
            <w:r>
              <w:rPr>
                <w:rFonts w:hint="eastAsia" w:ascii="仿宋_GB2312" w:hAnsi="仿宋_GB2312" w:eastAsia="仿宋_GB2312" w:cs="仿宋_GB2312"/>
                <w:b w:val="0"/>
                <w:bCs w:val="0"/>
                <w:color w:val="auto"/>
                <w:sz w:val="18"/>
                <w:szCs w:val="18"/>
                <w:highlight w:val="none"/>
                <w:u w:val="none"/>
                <w:lang w:val="en-US" w:eastAsia="zh-CN"/>
              </w:rPr>
              <w:t>16</w:t>
            </w:r>
            <w:r>
              <w:rPr>
                <w:rFonts w:hint="eastAsia" w:ascii="仿宋_GB2312" w:hAnsi="仿宋_GB2312" w:eastAsia="仿宋_GB2312" w:cs="仿宋_GB2312"/>
                <w:b w:val="0"/>
                <w:bCs w:val="0"/>
                <w:color w:val="auto"/>
                <w:sz w:val="18"/>
                <w:szCs w:val="18"/>
                <w:highlight w:val="none"/>
                <w:u w:val="none"/>
              </w:rPr>
              <w:t>年</w:t>
            </w:r>
            <w:r>
              <w:rPr>
                <w:rStyle w:val="8"/>
                <w:rFonts w:hint="eastAsia" w:ascii="仿宋_GB2312" w:hAnsi="仿宋_GB2312" w:eastAsia="仿宋_GB2312" w:cs="仿宋_GB2312"/>
                <w:b w:val="0"/>
                <w:bCs w:val="0"/>
                <w:color w:val="auto"/>
                <w:sz w:val="18"/>
                <w:szCs w:val="18"/>
                <w:highlight w:val="none"/>
                <w:u w:val="none"/>
                <w:shd w:val="clear" w:color="auto" w:fill="FFFFFF"/>
              </w:rPr>
              <w:t>国家</w:t>
            </w:r>
            <w:r>
              <w:rPr>
                <w:rStyle w:val="8"/>
                <w:rFonts w:hint="eastAsia" w:ascii="仿宋_GB2312" w:hAnsi="仿宋_GB2312" w:eastAsia="仿宋_GB2312" w:cs="仿宋_GB2312"/>
                <w:b w:val="0"/>
                <w:bCs w:val="0"/>
                <w:color w:val="auto"/>
                <w:sz w:val="18"/>
                <w:szCs w:val="18"/>
                <w:highlight w:val="none"/>
                <w:u w:val="none"/>
                <w:shd w:val="clear" w:color="auto" w:fill="FFFFFF"/>
                <w:lang w:eastAsia="zh-CN"/>
              </w:rPr>
              <w:t>卫生和计划生育委员会</w:t>
            </w:r>
            <w:r>
              <w:rPr>
                <w:rStyle w:val="8"/>
                <w:rFonts w:hint="eastAsia" w:ascii="仿宋_GB2312" w:hAnsi="仿宋_GB2312" w:eastAsia="仿宋_GB2312" w:cs="仿宋_GB2312"/>
                <w:b w:val="0"/>
                <w:bCs w:val="0"/>
                <w:color w:val="auto"/>
                <w:sz w:val="18"/>
                <w:szCs w:val="18"/>
                <w:highlight w:val="none"/>
                <w:u w:val="none"/>
                <w:shd w:val="clear" w:color="auto" w:fill="FFFFFF"/>
              </w:rPr>
              <w:t>第</w:t>
            </w:r>
            <w:r>
              <w:rPr>
                <w:rStyle w:val="8"/>
                <w:rFonts w:hint="eastAsia" w:ascii="仿宋_GB2312" w:hAnsi="仿宋_GB2312" w:eastAsia="仿宋_GB2312" w:cs="仿宋_GB2312"/>
                <w:b w:val="0"/>
                <w:bCs w:val="0"/>
                <w:color w:val="auto"/>
                <w:sz w:val="18"/>
                <w:szCs w:val="18"/>
                <w:highlight w:val="none"/>
                <w:u w:val="none"/>
                <w:shd w:val="clear" w:color="auto" w:fill="FFFFFF"/>
                <w:lang w:val="en-US" w:eastAsia="zh-CN"/>
              </w:rPr>
              <w:t>9</w:t>
            </w:r>
            <w:r>
              <w:rPr>
                <w:rStyle w:val="8"/>
                <w:rFonts w:hint="eastAsia" w:ascii="仿宋_GB2312" w:hAnsi="仿宋_GB2312" w:eastAsia="仿宋_GB2312" w:cs="仿宋_GB2312"/>
                <w:b w:val="0"/>
                <w:bCs w:val="0"/>
                <w:color w:val="auto"/>
                <w:sz w:val="18"/>
                <w:szCs w:val="18"/>
                <w:highlight w:val="none"/>
                <w:u w:val="none"/>
                <w:shd w:val="clear" w:color="auto" w:fill="FFFFFF"/>
              </w:rPr>
              <w:t>号</w:t>
            </w:r>
            <w:r>
              <w:rPr>
                <w:rFonts w:hint="eastAsia" w:ascii="仿宋_GB2312" w:hAnsi="仿宋_GB2312" w:eastAsia="仿宋_GB2312" w:cs="仿宋_GB2312"/>
                <w:b w:val="0"/>
                <w:bCs w:val="0"/>
                <w:color w:val="auto"/>
                <w:sz w:val="18"/>
                <w:szCs w:val="18"/>
                <w:highlight w:val="none"/>
                <w:u w:val="none"/>
              </w:rPr>
              <w:t>）</w:t>
            </w:r>
          </w:p>
          <w:p>
            <w:pPr>
              <w:numPr>
                <w:ilvl w:val="0"/>
                <w:numId w:val="4"/>
              </w:numPr>
              <w:adjustRightInd w:val="0"/>
              <w:snapToGrid w:val="0"/>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  各级卫生计生行政部门和食品药品监管部门应当建立查处非医学需要的胎儿性别鉴定和选择性别人工终止妊娠违法行为的协作机制和联动执法机制，共同实施监督管理。 </w:t>
            </w:r>
            <w:r>
              <w:rPr>
                <w:rFonts w:hint="eastAsia" w:ascii="仿宋_GB2312" w:hAnsi="仿宋_GB2312" w:eastAsia="仿宋_GB2312" w:cs="仿宋_GB2312"/>
                <w:b w:val="0"/>
                <w:bCs w:val="0"/>
                <w:color w:val="auto"/>
                <w:kern w:val="0"/>
                <w:sz w:val="18"/>
                <w:szCs w:val="18"/>
                <w:highlight w:val="none"/>
                <w:u w:val="none"/>
              </w:rPr>
              <w:br w:type="textWrapping"/>
            </w:r>
            <w:r>
              <w:rPr>
                <w:rFonts w:hint="eastAsia" w:ascii="仿宋_GB2312" w:hAnsi="仿宋_GB2312" w:eastAsia="仿宋_GB2312" w:cs="仿宋_GB2312"/>
                <w:b w:val="0"/>
                <w:bCs w:val="0"/>
                <w:color w:val="auto"/>
                <w:kern w:val="0"/>
                <w:sz w:val="18"/>
                <w:szCs w:val="18"/>
                <w:highlight w:val="none"/>
                <w:u w:val="none"/>
              </w:rPr>
              <w:t>　　卫生计生行政部门和食品药品监管部门应当按照各自职责，制定胎儿性别鉴定、人工终止妊娠以及相关药品和医疗器械等管理制度。 </w:t>
            </w:r>
            <w:r>
              <w:rPr>
                <w:rFonts w:hint="eastAsia" w:ascii="仿宋_GB2312" w:hAnsi="仿宋_GB2312" w:eastAsia="仿宋_GB2312" w:cs="仿宋_GB2312"/>
                <w:b w:val="0"/>
                <w:bCs w:val="0"/>
                <w:color w:val="auto"/>
                <w:kern w:val="0"/>
                <w:sz w:val="18"/>
                <w:szCs w:val="18"/>
                <w:highlight w:val="none"/>
                <w:u w:val="none"/>
              </w:rPr>
              <w:br w:type="textWrapping"/>
            </w:r>
            <w:r>
              <w:rPr>
                <w:rFonts w:hint="eastAsia" w:ascii="仿宋_GB2312" w:hAnsi="仿宋_GB2312" w:eastAsia="仿宋_GB2312" w:cs="仿宋_GB2312"/>
                <w:b w:val="0"/>
                <w:bCs w:val="0"/>
                <w:color w:val="auto"/>
                <w:kern w:val="0"/>
                <w:sz w:val="18"/>
                <w:szCs w:val="18"/>
                <w:highlight w:val="none"/>
                <w:u w:val="none"/>
              </w:rPr>
              <w:t>　　第五条  县级以上卫生计生行政部门履行以下职责: </w:t>
            </w:r>
            <w:r>
              <w:rPr>
                <w:rFonts w:hint="eastAsia" w:ascii="仿宋_GB2312" w:hAnsi="仿宋_GB2312" w:eastAsia="仿宋_GB2312" w:cs="仿宋_GB2312"/>
                <w:b w:val="0"/>
                <w:bCs w:val="0"/>
                <w:color w:val="auto"/>
                <w:kern w:val="0"/>
                <w:sz w:val="18"/>
                <w:szCs w:val="18"/>
                <w:highlight w:val="none"/>
                <w:u w:val="none"/>
              </w:rPr>
              <w:br w:type="textWrapping"/>
            </w:r>
            <w:r>
              <w:rPr>
                <w:rFonts w:hint="eastAsia" w:ascii="仿宋_GB2312" w:hAnsi="仿宋_GB2312" w:eastAsia="仿宋_GB2312" w:cs="仿宋_GB2312"/>
                <w:b w:val="0"/>
                <w:bCs w:val="0"/>
                <w:color w:val="auto"/>
                <w:kern w:val="0"/>
                <w:sz w:val="18"/>
                <w:szCs w:val="18"/>
                <w:highlight w:val="none"/>
                <w:u w:val="none"/>
              </w:rPr>
              <w:t>　　（一）监管并组织、协调非医学需要的胎儿性别鉴定和选择性别人工终止妊娠的查处工作； </w:t>
            </w:r>
          </w:p>
          <w:p>
            <w:pPr>
              <w:adjustRightInd w:val="0"/>
              <w:snapToGrid w:val="0"/>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lang w:val="en-US" w:eastAsia="zh-CN"/>
              </w:rPr>
              <w:t xml:space="preserve">    </w:t>
            </w:r>
            <w:r>
              <w:rPr>
                <w:rFonts w:hint="eastAsia" w:ascii="仿宋_GB2312" w:hAnsi="仿宋_GB2312" w:eastAsia="仿宋_GB2312" w:cs="仿宋_GB2312"/>
                <w:b w:val="0"/>
                <w:bCs w:val="0"/>
                <w:color w:val="auto"/>
                <w:kern w:val="0"/>
                <w:sz w:val="18"/>
                <w:szCs w:val="18"/>
                <w:highlight w:val="none"/>
                <w:u w:val="none"/>
              </w:rPr>
              <w:t>（二）负责医疗卫生机构及其从业人员的执业准入和相关医疗器械使用监管，以及相关法律法规、执业规范的宣传培训等工作； </w:t>
            </w:r>
            <w:r>
              <w:rPr>
                <w:rFonts w:hint="eastAsia" w:ascii="仿宋_GB2312" w:hAnsi="仿宋_GB2312" w:eastAsia="仿宋_GB2312" w:cs="仿宋_GB2312"/>
                <w:b w:val="0"/>
                <w:bCs w:val="0"/>
                <w:color w:val="auto"/>
                <w:kern w:val="0"/>
                <w:sz w:val="18"/>
                <w:szCs w:val="18"/>
                <w:highlight w:val="none"/>
                <w:u w:val="none"/>
              </w:rPr>
              <w:br w:type="textWrapping"/>
            </w:r>
            <w:r>
              <w:rPr>
                <w:rFonts w:hint="eastAsia" w:ascii="仿宋_GB2312" w:hAnsi="仿宋_GB2312" w:eastAsia="仿宋_GB2312" w:cs="仿宋_GB2312"/>
                <w:b w:val="0"/>
                <w:bCs w:val="0"/>
                <w:color w:val="auto"/>
                <w:kern w:val="0"/>
                <w:sz w:val="18"/>
                <w:szCs w:val="18"/>
                <w:highlight w:val="none"/>
                <w:u w:val="none"/>
              </w:rPr>
              <w:t>　　（三）负责人口信息管理系统的使用管理，指导医疗卫生机构及时准确地采集新生儿出生、死亡等相关信息； </w:t>
            </w:r>
            <w:r>
              <w:rPr>
                <w:rFonts w:hint="eastAsia" w:ascii="仿宋_GB2312" w:hAnsi="仿宋_GB2312" w:eastAsia="仿宋_GB2312" w:cs="仿宋_GB2312"/>
                <w:b w:val="0"/>
                <w:bCs w:val="0"/>
                <w:color w:val="auto"/>
                <w:kern w:val="0"/>
                <w:sz w:val="18"/>
                <w:szCs w:val="18"/>
                <w:highlight w:val="none"/>
                <w:u w:val="none"/>
              </w:rPr>
              <w:br w:type="textWrapping"/>
            </w:r>
            <w:r>
              <w:rPr>
                <w:rFonts w:hint="eastAsia" w:ascii="仿宋_GB2312" w:hAnsi="仿宋_GB2312" w:eastAsia="仿宋_GB2312" w:cs="仿宋_GB2312"/>
                <w:b w:val="0"/>
                <w:bCs w:val="0"/>
                <w:color w:val="auto"/>
                <w:kern w:val="0"/>
                <w:sz w:val="18"/>
                <w:szCs w:val="18"/>
                <w:highlight w:val="none"/>
                <w:u w:val="none"/>
              </w:rPr>
              <w:t>　　（四）法律、法规、规章规定的涉及非医学需要的胎儿性别鉴定和选择性别人工终止妊娠的其他事项。 </w:t>
            </w:r>
            <w:r>
              <w:rPr>
                <w:rFonts w:hint="eastAsia" w:ascii="仿宋_GB2312" w:hAnsi="仿宋_GB2312" w:eastAsia="仿宋_GB2312" w:cs="仿宋_GB2312"/>
                <w:b w:val="0"/>
                <w:bCs w:val="0"/>
                <w:color w:val="auto"/>
                <w:kern w:val="0"/>
                <w:sz w:val="18"/>
                <w:szCs w:val="18"/>
                <w:highlight w:val="none"/>
                <w:u w:val="none"/>
              </w:rPr>
              <w:br w:type="textWrapping"/>
            </w:r>
            <w:r>
              <w:rPr>
                <w:rFonts w:hint="eastAsia" w:ascii="仿宋_GB2312" w:hAnsi="仿宋_GB2312" w:eastAsia="仿宋_GB2312" w:cs="仿宋_GB2312"/>
                <w:b w:val="0"/>
                <w:bCs w:val="0"/>
                <w:color w:val="auto"/>
                <w:kern w:val="0"/>
                <w:sz w:val="18"/>
                <w:szCs w:val="18"/>
                <w:highlight w:val="none"/>
                <w:u w:val="none"/>
              </w:rPr>
              <w:t>　　第六条  县级以上工商行政管理部门（包括履行工商行政管理职责的市场监督管理部门，下同）对含有胎儿性别鉴定和人工终止妊娠内容的广告实施监管，并依法查处违法行为。 </w:t>
            </w:r>
            <w:r>
              <w:rPr>
                <w:rFonts w:hint="eastAsia" w:ascii="仿宋_GB2312" w:hAnsi="仿宋_GB2312" w:eastAsia="仿宋_GB2312" w:cs="仿宋_GB2312"/>
                <w:b w:val="0"/>
                <w:bCs w:val="0"/>
                <w:color w:val="auto"/>
                <w:kern w:val="0"/>
                <w:sz w:val="18"/>
                <w:szCs w:val="18"/>
                <w:highlight w:val="none"/>
                <w:u w:val="none"/>
              </w:rPr>
              <w:br w:type="textWrapping"/>
            </w:r>
            <w:r>
              <w:rPr>
                <w:rFonts w:hint="eastAsia" w:ascii="仿宋_GB2312" w:hAnsi="仿宋_GB2312" w:eastAsia="仿宋_GB2312" w:cs="仿宋_GB2312"/>
                <w:b w:val="0"/>
                <w:bCs w:val="0"/>
                <w:color w:val="auto"/>
                <w:kern w:val="0"/>
                <w:sz w:val="18"/>
                <w:szCs w:val="18"/>
                <w:highlight w:val="none"/>
                <w:u w:val="none"/>
              </w:rPr>
              <w:t>　　第七条  食品药品监管部门依法对与胎儿性别鉴定和人工终止妊娠相关的药品和超声诊断仪、染色体检测专用设备等医疗器械的生产、销售和使用环节的产品质量实施监管，并依法查处相关违法行为。 </w:t>
            </w:r>
            <w:r>
              <w:rPr>
                <w:rFonts w:hint="eastAsia" w:ascii="仿宋_GB2312" w:hAnsi="仿宋_GB2312" w:eastAsia="仿宋_GB2312" w:cs="仿宋_GB2312"/>
                <w:b w:val="0"/>
                <w:bCs w:val="0"/>
                <w:color w:val="auto"/>
                <w:kern w:val="0"/>
                <w:sz w:val="18"/>
                <w:szCs w:val="18"/>
                <w:highlight w:val="none"/>
                <w:u w:val="none"/>
              </w:rPr>
              <w:br w:type="textWrapping"/>
            </w:r>
          </w:p>
        </w:tc>
        <w:tc>
          <w:tcPr>
            <w:tcW w:w="2268" w:type="dxa"/>
            <w:vAlign w:val="center"/>
          </w:tcPr>
          <w:p>
            <w:pPr>
              <w:jc w:val="left"/>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rPr>
              <w:t>对本行政区域内开展终止妊娠手术的</w:t>
            </w:r>
            <w:r>
              <w:rPr>
                <w:rFonts w:hint="eastAsia" w:ascii="仿宋_GB2312" w:hAnsi="仿宋_GB2312" w:eastAsia="仿宋_GB2312" w:cs="仿宋_GB2312"/>
                <w:b w:val="0"/>
                <w:bCs w:val="0"/>
                <w:color w:val="auto"/>
                <w:sz w:val="18"/>
                <w:szCs w:val="18"/>
                <w:highlight w:val="none"/>
                <w:u w:val="none"/>
                <w:lang w:eastAsia="zh-CN"/>
              </w:rPr>
              <w:t>医疗、保健</w:t>
            </w:r>
            <w:r>
              <w:rPr>
                <w:rFonts w:hint="eastAsia" w:ascii="仿宋_GB2312" w:hAnsi="仿宋_GB2312" w:eastAsia="仿宋_GB2312" w:cs="仿宋_GB2312"/>
                <w:b w:val="0"/>
                <w:bCs w:val="0"/>
                <w:color w:val="auto"/>
                <w:sz w:val="18"/>
                <w:szCs w:val="18"/>
                <w:highlight w:val="none"/>
                <w:u w:val="none"/>
              </w:rPr>
              <w:t>机构进行定期检查，并将有关情况通报同级人民政府</w:t>
            </w:r>
            <w:r>
              <w:rPr>
                <w:rFonts w:hint="eastAsia" w:ascii="仿宋_GB2312" w:hAnsi="仿宋_GB2312" w:eastAsia="仿宋_GB2312" w:cs="仿宋_GB2312"/>
                <w:b w:val="0"/>
                <w:bCs w:val="0"/>
                <w:color w:val="auto"/>
                <w:sz w:val="18"/>
                <w:szCs w:val="18"/>
                <w:highlight w:val="none"/>
                <w:u w:val="none"/>
                <w:lang w:eastAsia="zh-CN"/>
              </w:rPr>
              <w:t>卫生健康局</w:t>
            </w:r>
          </w:p>
        </w:tc>
        <w:tc>
          <w:tcPr>
            <w:tcW w:w="878" w:type="dxa"/>
            <w:vAlign w:val="center"/>
          </w:tcPr>
          <w:p>
            <w:pPr>
              <w:jc w:val="center"/>
              <w:rPr>
                <w:rFonts w:hint="eastAsia" w:ascii="仿宋_GB2312" w:hAnsi="仿宋_GB2312" w:eastAsia="仿宋_GB2312" w:cs="仿宋_GB2312"/>
                <w:b w:val="0"/>
                <w:b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jc w:val="center"/>
        </w:trPr>
        <w:tc>
          <w:tcPr>
            <w:tcW w:w="615" w:type="dxa"/>
            <w:vAlign w:val="center"/>
          </w:tcPr>
          <w:p>
            <w:pPr>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4</w:t>
            </w:r>
          </w:p>
        </w:tc>
        <w:tc>
          <w:tcPr>
            <w:tcW w:w="1418" w:type="dxa"/>
            <w:vAlign w:val="center"/>
          </w:tcPr>
          <w:p>
            <w:pPr>
              <w:adjustRightInd w:val="0"/>
              <w:snapToGrid w:val="0"/>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000000" w:themeColor="text1"/>
                <w:sz w:val="18"/>
                <w:szCs w:val="18"/>
                <w:highlight w:val="none"/>
                <w:u w:val="none"/>
                <w:lang w:eastAsia="zh-CN"/>
                <w14:textFill>
                  <w14:solidFill>
                    <w14:schemeClr w14:val="tx1"/>
                  </w14:solidFill>
                </w14:textFill>
              </w:rPr>
              <w:t>行政检查</w:t>
            </w:r>
          </w:p>
        </w:tc>
        <w:tc>
          <w:tcPr>
            <w:tcW w:w="1418" w:type="dxa"/>
            <w:vAlign w:val="center"/>
          </w:tcPr>
          <w:p>
            <w:pPr>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对性病防治工作进行监督检查</w:t>
            </w:r>
          </w:p>
        </w:tc>
        <w:tc>
          <w:tcPr>
            <w:tcW w:w="680" w:type="dxa"/>
            <w:vAlign w:val="center"/>
          </w:tcPr>
          <w:p>
            <w:pPr>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062000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66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6804" w:type="dxa"/>
            <w:vAlign w:val="center"/>
          </w:tcPr>
          <w:p>
            <w:pPr>
              <w:adjustRightInd w:val="0"/>
              <w:snapToGrid w:val="0"/>
              <w:spacing w:line="240" w:lineRule="exact"/>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    【部门规章】《性病防治管理办法》（2012年卫生部令第89号）</w:t>
            </w:r>
            <w:r>
              <w:rPr>
                <w:rFonts w:hint="eastAsia" w:ascii="仿宋_GB2312" w:hAnsi="仿宋_GB2312" w:eastAsia="仿宋_GB2312" w:cs="仿宋_GB2312"/>
                <w:b w:val="0"/>
                <w:bCs w:val="0"/>
                <w:color w:val="auto"/>
                <w:sz w:val="18"/>
                <w:szCs w:val="18"/>
                <w:highlight w:val="none"/>
                <w:u w:val="none"/>
              </w:rPr>
              <w:br w:type="textWrapping"/>
            </w:r>
            <w:r>
              <w:rPr>
                <w:rFonts w:hint="eastAsia" w:ascii="仿宋_GB2312" w:hAnsi="仿宋_GB2312" w:eastAsia="仿宋_GB2312" w:cs="仿宋_GB2312"/>
                <w:b w:val="0"/>
                <w:bCs w:val="0"/>
                <w:color w:val="auto"/>
                <w:sz w:val="18"/>
                <w:szCs w:val="18"/>
                <w:highlight w:val="none"/>
                <w:u w:val="none"/>
              </w:rPr>
              <w:t xml:space="preserve">    第四十条 县级以上地方卫生行政部门负责对本行政区域内性病防治工作进行监督管理，定期开展性病防治工作绩效考核与督导检查。督导检查内容包括：（一）疾病预防控制机构性病防治工作职责落实情况；（二）开展性病诊疗业务的医疗机构工作职责落实情况；（三）不具备开展性病诊疗资质的医疗机构发现疑似性病患者的转诊情况；（四）疾病预防控制机构与开展性病诊疗业务的医疗机构性病防治培训情况。</w:t>
            </w:r>
          </w:p>
        </w:tc>
        <w:tc>
          <w:tcPr>
            <w:tcW w:w="2268" w:type="dxa"/>
            <w:vAlign w:val="center"/>
          </w:tcPr>
          <w:p>
            <w:pPr>
              <w:jc w:val="left"/>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rPr>
              <w:t>对本行政区域内性病防治工作进行监督管理，定期开展性病防治工作绩效考核与督导检查</w:t>
            </w:r>
          </w:p>
        </w:tc>
        <w:tc>
          <w:tcPr>
            <w:tcW w:w="878" w:type="dxa"/>
            <w:vAlign w:val="center"/>
          </w:tcPr>
          <w:p>
            <w:pPr>
              <w:jc w:val="center"/>
              <w:rPr>
                <w:rFonts w:hint="eastAsia" w:ascii="仿宋_GB2312" w:hAnsi="仿宋_GB2312" w:eastAsia="仿宋_GB2312" w:cs="仿宋_GB2312"/>
                <w:b w:val="0"/>
                <w:b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615" w:type="dxa"/>
            <w:vAlign w:val="center"/>
          </w:tcPr>
          <w:p>
            <w:pPr>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5</w:t>
            </w:r>
          </w:p>
        </w:tc>
        <w:tc>
          <w:tcPr>
            <w:tcW w:w="1418" w:type="dxa"/>
            <w:vAlign w:val="center"/>
          </w:tcPr>
          <w:p>
            <w:pPr>
              <w:adjustRightInd w:val="0"/>
              <w:snapToGrid w:val="0"/>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000000" w:themeColor="text1"/>
                <w:sz w:val="18"/>
                <w:szCs w:val="18"/>
                <w:highlight w:val="none"/>
                <w:u w:val="none"/>
                <w:lang w:eastAsia="zh-CN"/>
                <w14:textFill>
                  <w14:solidFill>
                    <w14:schemeClr w14:val="tx1"/>
                  </w14:solidFill>
                </w14:textFill>
              </w:rPr>
              <w:t>行政检查</w:t>
            </w:r>
          </w:p>
        </w:tc>
        <w:tc>
          <w:tcPr>
            <w:tcW w:w="1418" w:type="dxa"/>
            <w:vAlign w:val="center"/>
          </w:tcPr>
          <w:p>
            <w:pPr>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医疗废物处置卫生监督检查</w:t>
            </w:r>
          </w:p>
        </w:tc>
        <w:tc>
          <w:tcPr>
            <w:tcW w:w="680" w:type="dxa"/>
            <w:vAlign w:val="center"/>
          </w:tcPr>
          <w:p>
            <w:pPr>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06200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04</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66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6804" w:type="dxa"/>
            <w:vAlign w:val="center"/>
          </w:tcPr>
          <w:p>
            <w:pPr>
              <w:adjustRightInd w:val="0"/>
              <w:snapToGrid w:val="0"/>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【行政法规】《医疗废物管理条例》（2011年国务院令第588号修改）</w:t>
            </w:r>
          </w:p>
          <w:p>
            <w:pPr>
              <w:adjustRightInd w:val="0"/>
              <w:snapToGrid w:val="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     第三十四条  县级以上地方人民政府卫生行政主管部门、环境保护行政主管部门，应当依照本条例的规定，按照职责分工，对医疗卫生机构和医疗废物集中处置单位进行监督检查。</w:t>
            </w:r>
          </w:p>
          <w:p>
            <w:pPr>
              <w:adjustRightInd w:val="0"/>
              <w:snapToGrid w:val="0"/>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第三十五条  县级以上地方人民政府卫生行政主管部门，应当对医疗卫生机构和医疗废物集中处置单位从事医疗废物的收集、运送、贮存、处置中的疾病防治工作，以及工作人员的卫生防护等情况进行定期监督检查或者不定期的抽查。</w:t>
            </w:r>
          </w:p>
        </w:tc>
        <w:tc>
          <w:tcPr>
            <w:tcW w:w="2268" w:type="dxa"/>
            <w:vAlign w:val="center"/>
          </w:tcPr>
          <w:p>
            <w:pPr>
              <w:jc w:val="left"/>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rPr>
              <w:t>对医疗废物处置卫生监督检查</w:t>
            </w:r>
          </w:p>
        </w:tc>
        <w:tc>
          <w:tcPr>
            <w:tcW w:w="878" w:type="dxa"/>
            <w:vAlign w:val="center"/>
          </w:tcPr>
          <w:p>
            <w:pPr>
              <w:jc w:val="center"/>
              <w:rPr>
                <w:rFonts w:hint="eastAsia" w:ascii="仿宋_GB2312" w:hAnsi="仿宋_GB2312" w:eastAsia="仿宋_GB2312" w:cs="仿宋_GB2312"/>
                <w:b w:val="0"/>
                <w:b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15" w:type="dxa"/>
            <w:vAlign w:val="center"/>
          </w:tcPr>
          <w:p>
            <w:pPr>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6</w:t>
            </w:r>
          </w:p>
        </w:tc>
        <w:tc>
          <w:tcPr>
            <w:tcW w:w="1418" w:type="dxa"/>
            <w:vAlign w:val="center"/>
          </w:tcPr>
          <w:p>
            <w:pPr>
              <w:adjustRightInd w:val="0"/>
              <w:snapToGrid w:val="0"/>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000000" w:themeColor="text1"/>
                <w:sz w:val="18"/>
                <w:szCs w:val="18"/>
                <w:highlight w:val="none"/>
                <w:u w:val="none"/>
                <w:lang w:eastAsia="zh-CN"/>
                <w14:textFill>
                  <w14:solidFill>
                    <w14:schemeClr w14:val="tx1"/>
                  </w14:solidFill>
                </w14:textFill>
              </w:rPr>
              <w:t>行政检查</w:t>
            </w:r>
          </w:p>
        </w:tc>
        <w:tc>
          <w:tcPr>
            <w:tcW w:w="1418" w:type="dxa"/>
            <w:vAlign w:val="center"/>
          </w:tcPr>
          <w:p>
            <w:pPr>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对有关机构、场所和物品的消毒工作</w:t>
            </w:r>
            <w:r>
              <w:rPr>
                <w:rFonts w:hint="eastAsia" w:ascii="仿宋_GB2312" w:hAnsi="仿宋_GB2312" w:eastAsia="仿宋_GB2312" w:cs="仿宋_GB2312"/>
                <w:b w:val="0"/>
                <w:bCs w:val="0"/>
                <w:color w:val="000000" w:themeColor="text1"/>
                <w:sz w:val="18"/>
                <w:szCs w:val="18"/>
                <w:highlight w:val="none"/>
                <w:u w:val="none"/>
                <w:lang w:eastAsia="zh-CN"/>
                <w14:textFill>
                  <w14:solidFill>
                    <w14:schemeClr w14:val="tx1"/>
                  </w14:solidFill>
                </w14:textFill>
              </w:rPr>
              <w:t>等本法规定的情况</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进行监督检查</w:t>
            </w:r>
          </w:p>
        </w:tc>
        <w:tc>
          <w:tcPr>
            <w:tcW w:w="680" w:type="dxa"/>
            <w:vAlign w:val="center"/>
          </w:tcPr>
          <w:p>
            <w:pPr>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062000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66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6804" w:type="dxa"/>
            <w:vAlign w:val="center"/>
          </w:tcPr>
          <w:p>
            <w:pPr>
              <w:adjustRightInd w:val="0"/>
              <w:snapToGrid w:val="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    【部门规章】《消毒管理办法》</w:t>
            </w:r>
            <w:r>
              <w:rPr>
                <w:rFonts w:hint="eastAsia" w:ascii="仿宋_GB2312" w:hAnsi="仿宋_GB2312" w:eastAsia="仿宋_GB2312" w:cs="仿宋_GB2312"/>
                <w:b w:val="0"/>
                <w:bCs w:val="0"/>
                <w:color w:val="auto"/>
                <w:sz w:val="18"/>
                <w:szCs w:val="18"/>
                <w:highlight w:val="none"/>
                <w:u w:val="none"/>
                <w:shd w:val="clear" w:color="auto" w:fill="FFFFFF"/>
              </w:rPr>
              <w:t>（</w:t>
            </w:r>
            <w:r>
              <w:rPr>
                <w:rFonts w:hint="eastAsia" w:ascii="仿宋_GB2312" w:hAnsi="仿宋_GB2312" w:eastAsia="仿宋_GB2312" w:cs="仿宋_GB2312"/>
                <w:b w:val="0"/>
                <w:bCs w:val="0"/>
                <w:color w:val="auto"/>
                <w:sz w:val="18"/>
                <w:szCs w:val="18"/>
                <w:highlight w:val="none"/>
                <w:u w:val="none"/>
              </w:rPr>
              <w:t>2017年国家卫生计生委令第18号修正</w:t>
            </w:r>
            <w:r>
              <w:rPr>
                <w:rFonts w:hint="eastAsia" w:ascii="仿宋_GB2312" w:hAnsi="仿宋_GB2312" w:eastAsia="仿宋_GB2312" w:cs="仿宋_GB2312"/>
                <w:b w:val="0"/>
                <w:bCs w:val="0"/>
                <w:color w:val="auto"/>
                <w:sz w:val="18"/>
                <w:szCs w:val="18"/>
                <w:highlight w:val="none"/>
                <w:u w:val="none"/>
                <w:shd w:val="clear" w:color="auto" w:fill="FFFFFF"/>
              </w:rPr>
              <w:t>）</w:t>
            </w:r>
          </w:p>
          <w:p>
            <w:pPr>
              <w:adjustRightInd w:val="0"/>
              <w:snapToGrid w:val="0"/>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第三十六条 县级以上</w:t>
            </w:r>
            <w:r>
              <w:rPr>
                <w:rFonts w:hint="eastAsia" w:ascii="仿宋_GB2312" w:hAnsi="仿宋_GB2312" w:eastAsia="仿宋_GB2312" w:cs="仿宋_GB2312"/>
                <w:b w:val="0"/>
                <w:bCs w:val="0"/>
                <w:color w:val="auto"/>
                <w:sz w:val="18"/>
                <w:szCs w:val="18"/>
                <w:highlight w:val="none"/>
                <w:u w:val="none"/>
                <w:lang w:eastAsia="zh-CN"/>
              </w:rPr>
              <w:t>卫生健康局</w:t>
            </w:r>
            <w:r>
              <w:rPr>
                <w:rFonts w:hint="eastAsia" w:ascii="仿宋_GB2312" w:hAnsi="仿宋_GB2312" w:eastAsia="仿宋_GB2312" w:cs="仿宋_GB2312"/>
                <w:b w:val="0"/>
                <w:bCs w:val="0"/>
                <w:color w:val="auto"/>
                <w:sz w:val="18"/>
                <w:szCs w:val="18"/>
                <w:highlight w:val="none"/>
                <w:u w:val="none"/>
              </w:rPr>
              <w:t xml:space="preserve">对消毒工作行使下列监督管理职权：（一）对有关机构、场所和物品的消毒工作进行监督检查；（二）对消毒产品生产企业执行《消毒产品生产企业卫生规范》情况进行监督检查；（三）对消毒产品的卫生质量进行监督检查；（四）对消毒服务机构的消毒服务质量进行监督检查；（五）对违反本办法的行为采取行政控制措施；（六）对违反本办法的行为给予行政处罚。             </w:t>
            </w:r>
          </w:p>
        </w:tc>
        <w:tc>
          <w:tcPr>
            <w:tcW w:w="2268" w:type="dxa"/>
            <w:vAlign w:val="center"/>
          </w:tcPr>
          <w:p>
            <w:pPr>
              <w:jc w:val="left"/>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rPr>
              <w:t>对消毒工作行使监督管理职权</w:t>
            </w:r>
          </w:p>
        </w:tc>
        <w:tc>
          <w:tcPr>
            <w:tcW w:w="878" w:type="dxa"/>
            <w:vAlign w:val="center"/>
          </w:tcPr>
          <w:p>
            <w:pPr>
              <w:jc w:val="center"/>
              <w:rPr>
                <w:rFonts w:hint="eastAsia" w:ascii="仿宋_GB2312" w:hAnsi="仿宋_GB2312" w:eastAsia="仿宋_GB2312" w:cs="仿宋_GB2312"/>
                <w:b w:val="0"/>
                <w:b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615" w:type="dxa"/>
            <w:vAlign w:val="center"/>
          </w:tcPr>
          <w:p>
            <w:pPr>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7</w:t>
            </w:r>
          </w:p>
        </w:tc>
        <w:tc>
          <w:tcPr>
            <w:tcW w:w="1418" w:type="dxa"/>
            <w:vAlign w:val="center"/>
          </w:tcPr>
          <w:p>
            <w:pPr>
              <w:adjustRightInd w:val="0"/>
              <w:snapToGrid w:val="0"/>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000000" w:themeColor="text1"/>
                <w:sz w:val="18"/>
                <w:szCs w:val="18"/>
                <w:highlight w:val="none"/>
                <w:u w:val="none"/>
                <w:lang w:eastAsia="zh-CN"/>
                <w14:textFill>
                  <w14:solidFill>
                    <w14:schemeClr w14:val="tx1"/>
                  </w14:solidFill>
                </w14:textFill>
              </w:rPr>
              <w:t>行政检查</w:t>
            </w:r>
          </w:p>
        </w:tc>
        <w:tc>
          <w:tcPr>
            <w:tcW w:w="1418" w:type="dxa"/>
            <w:vAlign w:val="center"/>
          </w:tcPr>
          <w:p>
            <w:pPr>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对病原微生物菌（毒）种、样本的采集、运输、储存进行监督检查</w:t>
            </w:r>
          </w:p>
        </w:tc>
        <w:tc>
          <w:tcPr>
            <w:tcW w:w="680" w:type="dxa"/>
            <w:vAlign w:val="center"/>
          </w:tcPr>
          <w:p>
            <w:pPr>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062000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66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6804" w:type="dxa"/>
            <w:vAlign w:val="center"/>
          </w:tcPr>
          <w:p>
            <w:pPr>
              <w:adjustRightInd w:val="0"/>
              <w:snapToGrid w:val="0"/>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【行政法规】《病原微生物实验室生物安全管理条例》（201</w:t>
            </w:r>
            <w:r>
              <w:rPr>
                <w:rFonts w:hint="eastAsia" w:ascii="仿宋_GB2312" w:hAnsi="仿宋_GB2312" w:eastAsia="仿宋_GB2312" w:cs="仿宋_GB2312"/>
                <w:b w:val="0"/>
                <w:bCs w:val="0"/>
                <w:color w:val="auto"/>
                <w:sz w:val="18"/>
                <w:szCs w:val="18"/>
                <w:highlight w:val="none"/>
                <w:u w:val="none"/>
                <w:lang w:val="en-US" w:eastAsia="zh-CN"/>
              </w:rPr>
              <w:t>8</w:t>
            </w:r>
            <w:r>
              <w:rPr>
                <w:rFonts w:hint="eastAsia" w:ascii="仿宋_GB2312" w:hAnsi="仿宋_GB2312" w:eastAsia="仿宋_GB2312" w:cs="仿宋_GB2312"/>
                <w:b w:val="0"/>
                <w:bCs w:val="0"/>
                <w:color w:val="auto"/>
                <w:sz w:val="18"/>
                <w:szCs w:val="18"/>
                <w:highlight w:val="none"/>
                <w:u w:val="none"/>
              </w:rPr>
              <w:t>年国务院令第6</w:t>
            </w:r>
            <w:r>
              <w:rPr>
                <w:rFonts w:hint="eastAsia" w:ascii="仿宋_GB2312" w:hAnsi="仿宋_GB2312" w:eastAsia="仿宋_GB2312" w:cs="仿宋_GB2312"/>
                <w:b w:val="0"/>
                <w:bCs w:val="0"/>
                <w:color w:val="auto"/>
                <w:sz w:val="18"/>
                <w:szCs w:val="18"/>
                <w:highlight w:val="none"/>
                <w:u w:val="none"/>
                <w:lang w:val="en-US" w:eastAsia="zh-CN"/>
              </w:rPr>
              <w:t>98</w:t>
            </w:r>
            <w:r>
              <w:rPr>
                <w:rFonts w:hint="eastAsia" w:ascii="仿宋_GB2312" w:hAnsi="仿宋_GB2312" w:eastAsia="仿宋_GB2312" w:cs="仿宋_GB2312"/>
                <w:b w:val="0"/>
                <w:bCs w:val="0"/>
                <w:color w:val="auto"/>
                <w:sz w:val="18"/>
                <w:szCs w:val="18"/>
                <w:highlight w:val="none"/>
                <w:u w:val="none"/>
              </w:rPr>
              <w:t>号修订）</w:t>
            </w:r>
            <w:r>
              <w:rPr>
                <w:rFonts w:hint="eastAsia" w:ascii="仿宋_GB2312" w:hAnsi="仿宋_GB2312" w:eastAsia="仿宋_GB2312" w:cs="仿宋_GB2312"/>
                <w:b w:val="0"/>
                <w:bCs w:val="0"/>
                <w:color w:val="auto"/>
                <w:sz w:val="18"/>
                <w:szCs w:val="18"/>
                <w:highlight w:val="none"/>
                <w:u w:val="none"/>
              </w:rPr>
              <w:br w:type="textWrapping"/>
            </w:r>
            <w:r>
              <w:rPr>
                <w:rFonts w:hint="eastAsia" w:ascii="仿宋_GB2312" w:hAnsi="仿宋_GB2312" w:eastAsia="仿宋_GB2312" w:cs="仿宋_GB2312"/>
                <w:b w:val="0"/>
                <w:bCs w:val="0"/>
                <w:color w:val="auto"/>
                <w:sz w:val="18"/>
                <w:szCs w:val="18"/>
                <w:highlight w:val="none"/>
                <w:u w:val="none"/>
              </w:rPr>
              <w:t xml:space="preserve">    第四十九条 县级以上地方人民政府卫生主管部门、兽医主管部门依照各自分工，履行下列职责：（一）对病原微生物菌（毒）种、样本的采集、运输、储存进行监督检查；（二）对从事高致病性病原微生物相关实验活动的实验室是否符合本条例规定的条件进行监督检查；（三）对实验室或者实验室的设立单位培训、考核其工作人员以及上岗人员的情况进行监督检查；（四）对实验室是否按照有关国家标准、技术规范和操作规程从事病原微生物相关实验活动进行监督检查。</w:t>
            </w:r>
            <w:r>
              <w:rPr>
                <w:rFonts w:hint="eastAsia" w:ascii="仿宋_GB2312" w:hAnsi="仿宋_GB2312" w:eastAsia="仿宋_GB2312" w:cs="仿宋_GB2312"/>
                <w:b w:val="0"/>
                <w:bCs w:val="0"/>
                <w:color w:val="auto"/>
                <w:sz w:val="18"/>
                <w:szCs w:val="18"/>
                <w:highlight w:val="none"/>
                <w:u w:val="none"/>
              </w:rPr>
              <w:br w:type="textWrapping"/>
            </w:r>
            <w:r>
              <w:rPr>
                <w:rFonts w:hint="eastAsia" w:ascii="仿宋_GB2312" w:hAnsi="仿宋_GB2312" w:eastAsia="仿宋_GB2312" w:cs="仿宋_GB2312"/>
                <w:b w:val="0"/>
                <w:bCs w:val="0"/>
                <w:color w:val="auto"/>
                <w:sz w:val="18"/>
                <w:szCs w:val="18"/>
                <w:highlight w:val="none"/>
                <w:u w:val="none"/>
              </w:rPr>
              <w:t>      县级以上地方人民政府卫生主管部门、兽医主管部门，应当主要通过检查反映实验室执行国家有关法律、行政法规以及国家标准和要求的记录、档案、报告，切实履行监督管理职责。</w:t>
            </w:r>
          </w:p>
          <w:p>
            <w:pPr>
              <w:adjustRightInd w:val="0"/>
              <w:snapToGrid w:val="0"/>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第五十条 县级以上人民政府卫生主管部门、兽医主管部门、环境保护主管部门在履行监督检查职责时，有权进入被检查单位和病原微生物泄漏或者扩散现场调查取证、采集样品，查阅复制有关资料。需要进入从事高致病性病原微生物相关实验活动的实验室调查取证、采集样品的，应当指定或者委托专业机构实施。被检查单位应当予以配合，不得拒绝、阻挠。</w:t>
            </w:r>
          </w:p>
        </w:tc>
        <w:tc>
          <w:tcPr>
            <w:tcW w:w="2268" w:type="dxa"/>
            <w:vAlign w:val="center"/>
          </w:tcPr>
          <w:p>
            <w:pPr>
              <w:jc w:val="left"/>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rPr>
              <w:t>对病原微生物菌（毒）种、样本的采集、运输、储存进行监督检查</w:t>
            </w:r>
          </w:p>
        </w:tc>
        <w:tc>
          <w:tcPr>
            <w:tcW w:w="878" w:type="dxa"/>
            <w:vAlign w:val="center"/>
          </w:tcPr>
          <w:p>
            <w:pPr>
              <w:jc w:val="center"/>
              <w:rPr>
                <w:rFonts w:hint="eastAsia" w:ascii="仿宋_GB2312" w:hAnsi="仿宋_GB2312" w:eastAsia="仿宋_GB2312" w:cs="仿宋_GB2312"/>
                <w:b w:val="0"/>
                <w:b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5" w:hRule="atLeast"/>
          <w:jc w:val="center"/>
        </w:trPr>
        <w:tc>
          <w:tcPr>
            <w:tcW w:w="615" w:type="dxa"/>
            <w:vAlign w:val="center"/>
          </w:tcPr>
          <w:p>
            <w:pPr>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8</w:t>
            </w:r>
          </w:p>
        </w:tc>
        <w:tc>
          <w:tcPr>
            <w:tcW w:w="1418" w:type="dxa"/>
            <w:vAlign w:val="center"/>
          </w:tcPr>
          <w:p>
            <w:pPr>
              <w:adjustRightInd w:val="0"/>
              <w:snapToGrid w:val="0"/>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000000" w:themeColor="text1"/>
                <w:sz w:val="18"/>
                <w:szCs w:val="18"/>
                <w:highlight w:val="none"/>
                <w:u w:val="none"/>
                <w:lang w:eastAsia="zh-CN"/>
                <w14:textFill>
                  <w14:solidFill>
                    <w14:schemeClr w14:val="tx1"/>
                  </w14:solidFill>
                </w14:textFill>
              </w:rPr>
              <w:t>行政检查</w:t>
            </w:r>
          </w:p>
        </w:tc>
        <w:tc>
          <w:tcPr>
            <w:tcW w:w="1418" w:type="dxa"/>
            <w:vAlign w:val="center"/>
          </w:tcPr>
          <w:p>
            <w:pPr>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结核病防治工作监管</w:t>
            </w:r>
          </w:p>
        </w:tc>
        <w:tc>
          <w:tcPr>
            <w:tcW w:w="680" w:type="dxa"/>
            <w:vAlign w:val="center"/>
          </w:tcPr>
          <w:p>
            <w:pPr>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062000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66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6804" w:type="dxa"/>
            <w:vAlign w:val="top"/>
          </w:tcPr>
          <w:p>
            <w:pPr>
              <w:spacing w:line="240" w:lineRule="exact"/>
              <w:ind w:firstLine="360" w:firstLineChars="200"/>
              <w:rPr>
                <w:rFonts w:hint="eastAsia" w:ascii="仿宋_GB2312" w:hAnsi="仿宋_GB2312" w:eastAsia="仿宋_GB2312" w:cs="仿宋_GB2312"/>
                <w:b w:val="0"/>
                <w:bCs w:val="0"/>
                <w:color w:val="auto"/>
                <w:sz w:val="18"/>
                <w:szCs w:val="18"/>
                <w:highlight w:val="none"/>
                <w:u w:val="none"/>
              </w:rPr>
            </w:pPr>
          </w:p>
          <w:p>
            <w:pPr>
              <w:spacing w:line="240" w:lineRule="exact"/>
              <w:ind w:firstLine="360" w:firstLineChars="200"/>
              <w:rPr>
                <w:rFonts w:hint="eastAsia" w:ascii="仿宋_GB2312" w:hAnsi="仿宋_GB2312" w:eastAsia="仿宋_GB2312" w:cs="仿宋_GB2312"/>
                <w:b w:val="0"/>
                <w:bCs w:val="0"/>
                <w:color w:val="auto"/>
                <w:sz w:val="18"/>
                <w:szCs w:val="18"/>
                <w:highlight w:val="none"/>
                <w:u w:val="none"/>
              </w:rPr>
            </w:pPr>
          </w:p>
          <w:p>
            <w:pPr>
              <w:spacing w:line="24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【部门规章】《结核病管理办法》（2013年卫生部令第92号）</w:t>
            </w:r>
          </w:p>
          <w:p>
            <w:pPr>
              <w:spacing w:line="240" w:lineRule="exac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    第三条第一款 卫生部负责全国结核病防治及其监督管理工作，县级以上地方卫生行政部门负责本辖区内的结核病防治及其监督管理工作。</w:t>
            </w:r>
          </w:p>
          <w:p>
            <w:pPr>
              <w:spacing w:line="24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第三十一条 县级以上地方卫生行政部门对结核病防治工作行使下列监管职责：（一）对结核病的预防、患者发现、治疗管理、疫情报告及监测等管理措施落实情况进行监管；（二）对违反本办法的行为责令被检查单位或者个人限期进行改进，依法查处；（三）负责预防与控制结核病的其他监管事项。</w:t>
            </w:r>
          </w:p>
          <w:p>
            <w:pPr>
              <w:spacing w:line="240" w:lineRule="exact"/>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第三十二条 县级以上地方卫生行政部门要重点加强对相关单位以下结核病防治工作的监管：（一）结核病定点医疗机构的诊断、治疗、管理和信息录入等工作；（二）疾病预防控制机构的结核病疫情监测与处置、流行病学调查、高发和重点行业人群防治、实验室检测和质量控制、实验室生物安全、督导、培训和健康促进等工作；（三）基层医疗卫生机构的转诊、追踪、患者督导管理和健康教育等工作；（四）非结核病定点医疗机构的结核病疫情报告、转诊、培训、健康教育等工作。</w:t>
            </w:r>
          </w:p>
        </w:tc>
        <w:tc>
          <w:tcPr>
            <w:tcW w:w="2268" w:type="dxa"/>
            <w:vAlign w:val="center"/>
          </w:tcPr>
          <w:p>
            <w:pPr>
              <w:jc w:val="left"/>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rPr>
              <w:t>本辖区内的结核病防治及其监督管理工作</w:t>
            </w:r>
          </w:p>
        </w:tc>
        <w:tc>
          <w:tcPr>
            <w:tcW w:w="878" w:type="dxa"/>
            <w:vAlign w:val="center"/>
          </w:tcPr>
          <w:p>
            <w:pPr>
              <w:jc w:val="center"/>
              <w:rPr>
                <w:rFonts w:hint="eastAsia" w:ascii="仿宋_GB2312" w:hAnsi="仿宋_GB2312" w:eastAsia="仿宋_GB2312" w:cs="仿宋_GB2312"/>
                <w:b w:val="0"/>
                <w:b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jc w:val="center"/>
        </w:trPr>
        <w:tc>
          <w:tcPr>
            <w:tcW w:w="615" w:type="dxa"/>
            <w:vAlign w:val="center"/>
          </w:tcPr>
          <w:p>
            <w:pPr>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9</w:t>
            </w:r>
          </w:p>
        </w:tc>
        <w:tc>
          <w:tcPr>
            <w:tcW w:w="1418" w:type="dxa"/>
            <w:vAlign w:val="center"/>
          </w:tcPr>
          <w:p>
            <w:pPr>
              <w:adjustRightInd w:val="0"/>
              <w:snapToGrid w:val="0"/>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000000" w:themeColor="text1"/>
                <w:sz w:val="18"/>
                <w:szCs w:val="18"/>
                <w:highlight w:val="none"/>
                <w:u w:val="none"/>
                <w:lang w:eastAsia="zh-CN"/>
                <w14:textFill>
                  <w14:solidFill>
                    <w14:schemeClr w14:val="tx1"/>
                  </w14:solidFill>
                </w14:textFill>
              </w:rPr>
              <w:t>行政检查</w:t>
            </w:r>
          </w:p>
        </w:tc>
        <w:tc>
          <w:tcPr>
            <w:tcW w:w="1418" w:type="dxa"/>
            <w:vAlign w:val="center"/>
          </w:tcPr>
          <w:p>
            <w:pPr>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医疗机构消毒隔离效果抽检</w:t>
            </w:r>
          </w:p>
        </w:tc>
        <w:tc>
          <w:tcPr>
            <w:tcW w:w="680" w:type="dxa"/>
            <w:vAlign w:val="center"/>
          </w:tcPr>
          <w:p>
            <w:pPr>
              <w:spacing w:line="260" w:lineRule="exact"/>
              <w:jc w:val="cente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062000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66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6804" w:type="dxa"/>
            <w:vAlign w:val="top"/>
          </w:tcPr>
          <w:p>
            <w:pPr>
              <w:spacing w:line="240" w:lineRule="exact"/>
              <w:ind w:firstLine="360" w:firstLineChars="200"/>
              <w:rPr>
                <w:rFonts w:hint="eastAsia" w:ascii="仿宋_GB2312" w:hAnsi="仿宋_GB2312" w:eastAsia="仿宋_GB2312" w:cs="仿宋_GB2312"/>
                <w:b w:val="0"/>
                <w:bCs w:val="0"/>
                <w:color w:val="auto"/>
                <w:sz w:val="18"/>
                <w:szCs w:val="18"/>
                <w:highlight w:val="none"/>
                <w:u w:val="none"/>
              </w:rPr>
            </w:pPr>
          </w:p>
          <w:p>
            <w:pPr>
              <w:spacing w:line="240" w:lineRule="exact"/>
              <w:ind w:firstLine="360" w:firstLineChars="200"/>
              <w:rPr>
                <w:rFonts w:hint="eastAsia" w:ascii="仿宋_GB2312" w:hAnsi="仿宋_GB2312" w:eastAsia="仿宋_GB2312" w:cs="仿宋_GB2312"/>
                <w:b w:val="0"/>
                <w:bCs w:val="0"/>
                <w:color w:val="auto"/>
                <w:sz w:val="18"/>
                <w:szCs w:val="18"/>
                <w:highlight w:val="none"/>
                <w:u w:val="none"/>
              </w:rPr>
            </w:pPr>
          </w:p>
          <w:p>
            <w:pPr>
              <w:spacing w:line="24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【部门规章】《医院感染管理办法》（2006年卫生部令48号）</w:t>
            </w:r>
          </w:p>
          <w:p>
            <w:pPr>
              <w:spacing w:line="240" w:lineRule="exact"/>
              <w:ind w:firstLine="352" w:firstLineChars="196"/>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 xml:space="preserve"> 第二十九条  对医疗机构监督检查的主要内容是：（一）医院感染管理的规章制度及落实情况；（二）针对医院感染危险因素的各项工作和控制措施；（三）消毒灭菌与隔离、医疗废物管理及医务人员职业卫生防护工作状况；（四）医院感染病例和医院感染暴发的监测工作情况；（五）现场检查。 </w:t>
            </w:r>
          </w:p>
          <w:p>
            <w:pPr>
              <w:spacing w:line="240" w:lineRule="exact"/>
              <w:ind w:firstLine="352" w:firstLineChars="196"/>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rPr>
              <w:t>第二十八条 县级以上地方人民政府卫生行政部门应当按照有关法律法规和本办法的规定，对所辖区域的医疗机构进行监督检查。</w:t>
            </w:r>
          </w:p>
        </w:tc>
        <w:tc>
          <w:tcPr>
            <w:tcW w:w="2268" w:type="dxa"/>
            <w:vAlign w:val="center"/>
          </w:tcPr>
          <w:p>
            <w:pPr>
              <w:jc w:val="left"/>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医疗机构消毒隔离效果抽检</w:t>
            </w:r>
          </w:p>
        </w:tc>
        <w:tc>
          <w:tcPr>
            <w:tcW w:w="878" w:type="dxa"/>
            <w:vAlign w:val="center"/>
          </w:tcPr>
          <w:p>
            <w:pPr>
              <w:jc w:val="center"/>
              <w:rPr>
                <w:rFonts w:hint="eastAsia" w:ascii="仿宋_GB2312" w:hAnsi="仿宋_GB2312" w:eastAsia="仿宋_GB2312" w:cs="仿宋_GB2312"/>
                <w:b w:val="0"/>
                <w:bCs w:val="0"/>
                <w:color w:val="auto"/>
                <w:sz w:val="18"/>
                <w:szCs w:val="18"/>
                <w:highlight w:val="none"/>
                <w:u w:val="none"/>
              </w:rPr>
            </w:pPr>
          </w:p>
        </w:tc>
      </w:tr>
    </w:tbl>
    <w:p>
      <w:pPr>
        <w:spacing w:line="500" w:lineRule="exact"/>
        <w:jc w:val="both"/>
        <w:rPr>
          <w:rFonts w:hint="eastAsia" w:ascii="仿宋_GB2312" w:hAnsi="仿宋_GB2312" w:eastAsia="仿宋_GB2312" w:cs="仿宋_GB2312"/>
          <w:b/>
          <w:bCs w:val="0"/>
          <w:color w:val="000000"/>
          <w:kern w:val="0"/>
        </w:rPr>
      </w:pPr>
    </w:p>
    <w:tbl>
      <w:tblPr>
        <w:tblStyle w:val="6"/>
        <w:tblW w:w="14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74"/>
        <w:gridCol w:w="1410"/>
        <w:gridCol w:w="675"/>
        <w:gridCol w:w="1037"/>
        <w:gridCol w:w="7455"/>
        <w:gridCol w:w="1187"/>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blHeader/>
          <w:jc w:val="center"/>
        </w:trPr>
        <w:tc>
          <w:tcPr>
            <w:tcW w:w="600" w:type="dxa"/>
            <w:vAlign w:val="center"/>
          </w:tcPr>
          <w:p>
            <w:pPr>
              <w:widowControl/>
              <w:spacing w:line="240" w:lineRule="exact"/>
              <w:jc w:val="center"/>
              <w:rPr>
                <w:rFonts w:hint="eastAsia" w:ascii="仿宋_GB2312" w:hAnsi="仿宋_GB2312" w:eastAsia="仿宋_GB2312" w:cs="仿宋_GB2312"/>
                <w:b/>
                <w:bCs w:val="0"/>
                <w:color w:val="auto"/>
                <w:kern w:val="0"/>
                <w:sz w:val="18"/>
                <w:szCs w:val="18"/>
                <w:highlight w:val="none"/>
                <w:u w:val="none"/>
              </w:rPr>
            </w:pPr>
            <w:r>
              <w:rPr>
                <w:rFonts w:hint="eastAsia" w:ascii="仿宋_GB2312" w:hAnsi="仿宋_GB2312" w:eastAsia="仿宋_GB2312" w:cs="仿宋_GB2312"/>
                <w:b/>
                <w:bCs w:val="0"/>
                <w:color w:val="auto"/>
                <w:kern w:val="0"/>
                <w:sz w:val="18"/>
                <w:szCs w:val="18"/>
                <w:highlight w:val="none"/>
                <w:u w:val="none"/>
              </w:rPr>
              <w:t>序号</w:t>
            </w:r>
          </w:p>
        </w:tc>
        <w:tc>
          <w:tcPr>
            <w:tcW w:w="1374" w:type="dxa"/>
            <w:vAlign w:val="center"/>
          </w:tcPr>
          <w:p>
            <w:pPr>
              <w:spacing w:line="240" w:lineRule="exact"/>
              <w:jc w:val="center"/>
              <w:rPr>
                <w:rFonts w:hint="eastAsia" w:ascii="仿宋_GB2312" w:hAnsi="仿宋_GB2312" w:eastAsia="仿宋_GB2312" w:cs="仿宋_GB2312"/>
                <w:b/>
                <w:bCs w:val="0"/>
                <w:color w:val="auto"/>
                <w:kern w:val="0"/>
                <w:sz w:val="18"/>
                <w:szCs w:val="18"/>
                <w:highlight w:val="none"/>
                <w:u w:val="none"/>
                <w:lang w:eastAsia="zh-CN"/>
              </w:rPr>
            </w:pPr>
            <w:r>
              <w:rPr>
                <w:rFonts w:hint="eastAsia" w:ascii="仿宋_GB2312" w:hAnsi="仿宋_GB2312" w:eastAsia="仿宋_GB2312" w:cs="仿宋_GB2312"/>
                <w:b/>
                <w:bCs w:val="0"/>
                <w:color w:val="auto"/>
                <w:kern w:val="0"/>
                <w:sz w:val="18"/>
                <w:szCs w:val="18"/>
                <w:highlight w:val="none"/>
                <w:u w:val="none"/>
                <w:lang w:eastAsia="zh-CN"/>
              </w:rPr>
              <w:t>职权类型</w:t>
            </w:r>
          </w:p>
        </w:tc>
        <w:tc>
          <w:tcPr>
            <w:tcW w:w="1410" w:type="dxa"/>
            <w:vAlign w:val="center"/>
          </w:tcPr>
          <w:p>
            <w:pPr>
              <w:spacing w:line="240" w:lineRule="exact"/>
              <w:jc w:val="center"/>
              <w:rPr>
                <w:rFonts w:hint="eastAsia" w:ascii="仿宋_GB2312" w:hAnsi="仿宋_GB2312" w:eastAsia="仿宋_GB2312" w:cs="仿宋_GB2312"/>
                <w:b/>
                <w:bCs w:val="0"/>
                <w:color w:val="auto"/>
                <w:kern w:val="0"/>
                <w:sz w:val="18"/>
                <w:szCs w:val="18"/>
                <w:highlight w:val="none"/>
                <w:u w:val="none"/>
              </w:rPr>
            </w:pPr>
            <w:r>
              <w:rPr>
                <w:rFonts w:hint="eastAsia" w:ascii="仿宋_GB2312" w:hAnsi="仿宋_GB2312" w:eastAsia="仿宋_GB2312" w:cs="仿宋_GB2312"/>
                <w:b/>
                <w:bCs w:val="0"/>
                <w:color w:val="auto"/>
                <w:kern w:val="0"/>
                <w:sz w:val="18"/>
                <w:szCs w:val="18"/>
                <w:highlight w:val="none"/>
                <w:u w:val="none"/>
              </w:rPr>
              <w:t>职权名称</w:t>
            </w:r>
          </w:p>
        </w:tc>
        <w:tc>
          <w:tcPr>
            <w:tcW w:w="675" w:type="dxa"/>
            <w:vAlign w:val="center"/>
          </w:tcPr>
          <w:p>
            <w:pPr>
              <w:widowControl/>
              <w:spacing w:line="240" w:lineRule="exact"/>
              <w:jc w:val="center"/>
              <w:rPr>
                <w:rFonts w:hint="eastAsia" w:ascii="仿宋_GB2312" w:hAnsi="仿宋_GB2312" w:eastAsia="仿宋_GB2312" w:cs="仿宋_GB2312"/>
                <w:b/>
                <w:bCs w:val="0"/>
                <w:color w:val="auto"/>
                <w:kern w:val="0"/>
                <w:sz w:val="18"/>
                <w:szCs w:val="18"/>
                <w:highlight w:val="none"/>
                <w:u w:val="none"/>
              </w:rPr>
            </w:pPr>
            <w:r>
              <w:rPr>
                <w:rFonts w:hint="eastAsia" w:ascii="仿宋_GB2312" w:hAnsi="仿宋_GB2312" w:eastAsia="仿宋_GB2312" w:cs="仿宋_GB2312"/>
                <w:b/>
                <w:bCs w:val="0"/>
                <w:color w:val="auto"/>
                <w:kern w:val="0"/>
                <w:sz w:val="18"/>
                <w:szCs w:val="18"/>
                <w:highlight w:val="none"/>
                <w:u w:val="none"/>
              </w:rPr>
              <w:t>基本</w:t>
            </w:r>
          </w:p>
          <w:p>
            <w:pPr>
              <w:widowControl/>
              <w:spacing w:line="240" w:lineRule="exact"/>
              <w:jc w:val="center"/>
              <w:rPr>
                <w:rFonts w:hint="eastAsia" w:ascii="仿宋_GB2312" w:hAnsi="仿宋_GB2312" w:eastAsia="仿宋_GB2312" w:cs="仿宋_GB2312"/>
                <w:b/>
                <w:bCs w:val="0"/>
                <w:color w:val="auto"/>
                <w:kern w:val="0"/>
                <w:sz w:val="18"/>
                <w:szCs w:val="18"/>
                <w:highlight w:val="none"/>
                <w:u w:val="none"/>
              </w:rPr>
            </w:pPr>
            <w:r>
              <w:rPr>
                <w:rFonts w:hint="eastAsia" w:ascii="仿宋_GB2312" w:hAnsi="仿宋_GB2312" w:eastAsia="仿宋_GB2312" w:cs="仿宋_GB2312"/>
                <w:b/>
                <w:bCs w:val="0"/>
                <w:color w:val="auto"/>
                <w:kern w:val="0"/>
                <w:sz w:val="18"/>
                <w:szCs w:val="18"/>
                <w:highlight w:val="none"/>
                <w:u w:val="none"/>
              </w:rPr>
              <w:t>编码</w:t>
            </w:r>
          </w:p>
        </w:tc>
        <w:tc>
          <w:tcPr>
            <w:tcW w:w="1037" w:type="dxa"/>
            <w:vAlign w:val="center"/>
          </w:tcPr>
          <w:p>
            <w:pPr>
              <w:widowControl/>
              <w:spacing w:line="260" w:lineRule="exact"/>
              <w:jc w:val="center"/>
              <w:rPr>
                <w:rFonts w:hint="eastAsia" w:ascii="仿宋_GB2312" w:hAnsi="仿宋_GB2312" w:eastAsia="仿宋_GB2312" w:cs="仿宋_GB2312"/>
                <w:b/>
                <w:bCs w:val="0"/>
                <w:color w:val="auto"/>
                <w:kern w:val="0"/>
                <w:sz w:val="18"/>
                <w:szCs w:val="18"/>
                <w:highlight w:val="none"/>
                <w:u w:val="none"/>
              </w:rPr>
            </w:pPr>
            <w:r>
              <w:rPr>
                <w:rFonts w:hint="eastAsia" w:ascii="仿宋_GB2312" w:hAnsi="仿宋_GB2312" w:eastAsia="仿宋_GB2312" w:cs="仿宋_GB2312"/>
                <w:b/>
                <w:bCs w:val="0"/>
                <w:color w:val="auto"/>
                <w:kern w:val="0"/>
                <w:sz w:val="18"/>
                <w:szCs w:val="18"/>
                <w:highlight w:val="none"/>
                <w:u w:val="none"/>
              </w:rPr>
              <w:t>实施部门</w:t>
            </w:r>
          </w:p>
        </w:tc>
        <w:tc>
          <w:tcPr>
            <w:tcW w:w="7455" w:type="dxa"/>
            <w:vAlign w:val="center"/>
          </w:tcPr>
          <w:p>
            <w:pPr>
              <w:widowControl/>
              <w:spacing w:line="240" w:lineRule="exact"/>
              <w:jc w:val="center"/>
              <w:rPr>
                <w:rFonts w:hint="eastAsia" w:ascii="仿宋_GB2312" w:hAnsi="仿宋_GB2312" w:eastAsia="仿宋_GB2312" w:cs="仿宋_GB2312"/>
                <w:b/>
                <w:bCs w:val="0"/>
                <w:color w:val="auto"/>
                <w:kern w:val="0"/>
                <w:sz w:val="18"/>
                <w:szCs w:val="18"/>
                <w:highlight w:val="none"/>
                <w:u w:val="none"/>
              </w:rPr>
            </w:pPr>
            <w:r>
              <w:rPr>
                <w:rFonts w:hint="eastAsia" w:ascii="仿宋_GB2312" w:hAnsi="仿宋_GB2312" w:eastAsia="仿宋_GB2312" w:cs="仿宋_GB2312"/>
                <w:b/>
                <w:bCs w:val="0"/>
                <w:color w:val="auto"/>
                <w:kern w:val="0"/>
                <w:sz w:val="18"/>
                <w:szCs w:val="18"/>
                <w:highlight w:val="none"/>
                <w:u w:val="none"/>
              </w:rPr>
              <w:t>职权依据</w:t>
            </w:r>
          </w:p>
        </w:tc>
        <w:tc>
          <w:tcPr>
            <w:tcW w:w="1187" w:type="dxa"/>
            <w:vAlign w:val="center"/>
          </w:tcPr>
          <w:p>
            <w:pPr>
              <w:widowControl/>
              <w:spacing w:line="240" w:lineRule="exact"/>
              <w:jc w:val="center"/>
              <w:rPr>
                <w:rFonts w:hint="eastAsia" w:ascii="仿宋_GB2312" w:hAnsi="仿宋_GB2312" w:eastAsia="仿宋_GB2312" w:cs="仿宋_GB2312"/>
                <w:b/>
                <w:bCs w:val="0"/>
                <w:color w:val="auto"/>
                <w:kern w:val="0"/>
                <w:sz w:val="18"/>
                <w:szCs w:val="18"/>
                <w:highlight w:val="none"/>
                <w:u w:val="none"/>
              </w:rPr>
            </w:pPr>
            <w:r>
              <w:rPr>
                <w:rFonts w:hint="eastAsia" w:ascii="仿宋_GB2312" w:hAnsi="仿宋_GB2312" w:eastAsia="仿宋_GB2312" w:cs="仿宋_GB2312"/>
                <w:b/>
                <w:bCs w:val="0"/>
                <w:color w:val="auto"/>
                <w:kern w:val="0"/>
                <w:sz w:val="18"/>
                <w:szCs w:val="18"/>
                <w:highlight w:val="none"/>
                <w:u w:val="none"/>
              </w:rPr>
              <w:t>行使内容</w:t>
            </w:r>
          </w:p>
        </w:tc>
        <w:tc>
          <w:tcPr>
            <w:tcW w:w="887" w:type="dxa"/>
            <w:vAlign w:val="center"/>
          </w:tcPr>
          <w:p>
            <w:pPr>
              <w:widowControl/>
              <w:spacing w:line="240" w:lineRule="exact"/>
              <w:ind w:left="361" w:right="668" w:rightChars="318" w:hanging="361" w:hangingChars="200"/>
              <w:jc w:val="both"/>
              <w:rPr>
                <w:rFonts w:hint="eastAsia" w:ascii="仿宋_GB2312" w:hAnsi="仿宋_GB2312" w:eastAsia="仿宋_GB2312" w:cs="仿宋_GB2312"/>
                <w:b/>
                <w:bCs w:val="0"/>
                <w:color w:val="auto"/>
                <w:kern w:val="0"/>
                <w:sz w:val="18"/>
                <w:szCs w:val="18"/>
                <w:highlight w:val="none"/>
                <w:u w:val="none"/>
                <w:lang w:eastAsia="zh-CN"/>
              </w:rPr>
            </w:pPr>
          </w:p>
          <w:p>
            <w:pPr>
              <w:widowControl/>
              <w:spacing w:line="240" w:lineRule="exact"/>
              <w:ind w:right="668" w:rightChars="318"/>
              <w:jc w:val="both"/>
              <w:rPr>
                <w:rFonts w:hint="eastAsia" w:ascii="仿宋_GB2312" w:hAnsi="仿宋_GB2312" w:eastAsia="仿宋_GB2312" w:cs="仿宋_GB2312"/>
                <w:b/>
                <w:bCs w:val="0"/>
                <w:color w:val="auto"/>
                <w:kern w:val="0"/>
                <w:sz w:val="18"/>
                <w:szCs w:val="18"/>
                <w:highlight w:val="none"/>
                <w:u w:val="none"/>
                <w:lang w:eastAsia="zh-CN"/>
              </w:rPr>
            </w:pPr>
            <w:r>
              <w:rPr>
                <w:rFonts w:hint="eastAsia" w:ascii="仿宋_GB2312" w:hAnsi="仿宋_GB2312" w:eastAsia="仿宋_GB2312" w:cs="仿宋_GB2312"/>
                <w:b/>
                <w:bCs w:val="0"/>
                <w:color w:val="auto"/>
                <w:kern w:val="0"/>
                <w:sz w:val="18"/>
                <w:szCs w:val="18"/>
                <w:highlight w:val="none"/>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jc w:val="center"/>
        </w:trPr>
        <w:tc>
          <w:tcPr>
            <w:tcW w:w="600" w:type="dxa"/>
            <w:vAlign w:val="center"/>
          </w:tcPr>
          <w:p>
            <w:pPr>
              <w:widowControl/>
              <w:adjustRightInd w:val="0"/>
              <w:snapToGrid w:val="0"/>
              <w:spacing w:before="188" w:after="188" w:line="326" w:lineRule="atLeast"/>
              <w:jc w:val="center"/>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1</w:t>
            </w:r>
          </w:p>
        </w:tc>
        <w:tc>
          <w:tcPr>
            <w:tcW w:w="1374" w:type="dxa"/>
            <w:vAlign w:val="center"/>
          </w:tcPr>
          <w:p>
            <w:pPr>
              <w:spacing w:line="240" w:lineRule="exact"/>
              <w:jc w:val="center"/>
              <w:rPr>
                <w:rFonts w:hint="eastAsia" w:ascii="仿宋_GB2312" w:hAnsi="仿宋_GB2312" w:eastAsia="仿宋_GB2312" w:cs="仿宋_GB2312"/>
                <w:b w:val="0"/>
                <w:bCs/>
                <w:color w:val="FF0000"/>
                <w:sz w:val="18"/>
                <w:szCs w:val="18"/>
                <w:highlight w:val="none"/>
                <w:u w:val="none"/>
                <w:lang w:eastAsia="zh-CN"/>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行政确认</w:t>
            </w:r>
          </w:p>
        </w:tc>
        <w:tc>
          <w:tcPr>
            <w:tcW w:w="1410" w:type="dxa"/>
            <w:vAlign w:val="center"/>
          </w:tcPr>
          <w:p>
            <w:pPr>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医疗机构评审</w:t>
            </w:r>
          </w:p>
        </w:tc>
        <w:tc>
          <w:tcPr>
            <w:tcW w:w="675" w:type="dxa"/>
            <w:vAlign w:val="center"/>
          </w:tcPr>
          <w:p>
            <w:pPr>
              <w:adjustRightInd w:val="0"/>
              <w:snapToGrid w:val="0"/>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0720001000</w:t>
            </w:r>
          </w:p>
        </w:tc>
        <w:tc>
          <w:tcPr>
            <w:tcW w:w="1037" w:type="dxa"/>
            <w:vAlign w:val="center"/>
          </w:tcPr>
          <w:p>
            <w:pPr>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455" w:type="dxa"/>
            <w:vAlign w:val="center"/>
          </w:tcPr>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【行政法规】《医疗机构管理条例》（2016年国务院令第666号修订）</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第四十一条  国家实行医疗机构评审制度，由专家组成的评审委员会按照医疗机构评审办法和评审标准，对医疗机构的执业活动、医疗服务质量等进行综合评价。</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医疗机构评审办法和评审标准由国务院卫生行政部门制定。</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第四十三条  县级以上地方人民政府卫生行政部门根据评审委员会的评审意见，对达到评审标准的医疗机构，发给评审合格证书；对未达到评审标准的医疗机构，提出处理意见。</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【规范性文件】 《医院评审暂行办法》（卫医管发〔2011〕75号）</w:t>
            </w:r>
          </w:p>
          <w:p>
            <w:pPr>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第九条  各省级卫生行政部门成立医院评审领导小组，负责本辖区的医院评审工作。领导小组组长由省级卫生行政部门的主要负责同志兼任。</w:t>
            </w:r>
          </w:p>
        </w:tc>
        <w:tc>
          <w:tcPr>
            <w:tcW w:w="1187" w:type="dxa"/>
            <w:vAlign w:val="center"/>
          </w:tcPr>
          <w:p>
            <w:pP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医疗机构评审</w:t>
            </w:r>
          </w:p>
        </w:tc>
        <w:tc>
          <w:tcPr>
            <w:tcW w:w="887" w:type="dxa"/>
            <w:vAlign w:val="center"/>
          </w:tcPr>
          <w:p>
            <w:pPr>
              <w:ind w:right="668" w:rightChars="318"/>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600" w:type="dxa"/>
            <w:vAlign w:val="center"/>
          </w:tcPr>
          <w:p>
            <w:pPr>
              <w:widowControl/>
              <w:adjustRightInd w:val="0"/>
              <w:snapToGrid w:val="0"/>
              <w:spacing w:before="188" w:after="188" w:line="326" w:lineRule="atLeast"/>
              <w:jc w:val="center"/>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2</w:t>
            </w:r>
          </w:p>
        </w:tc>
        <w:tc>
          <w:tcPr>
            <w:tcW w:w="1374" w:type="dxa"/>
            <w:vAlign w:val="center"/>
          </w:tcPr>
          <w:p>
            <w:pPr>
              <w:widowControl/>
              <w:adjustRightInd w:val="0"/>
              <w:snapToGrid w:val="0"/>
              <w:jc w:val="center"/>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行政确认</w:t>
            </w:r>
          </w:p>
        </w:tc>
        <w:tc>
          <w:tcPr>
            <w:tcW w:w="1410" w:type="dxa"/>
            <w:vAlign w:val="center"/>
          </w:tcPr>
          <w:p>
            <w:pPr>
              <w:widowControl/>
              <w:adjustRightInd w:val="0"/>
              <w:snapToGrid w:val="0"/>
              <w:jc w:val="cente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对传染病病人尸体或者疑似传染病病人的尸体进行解剖查验的批准</w:t>
            </w:r>
          </w:p>
        </w:tc>
        <w:tc>
          <w:tcPr>
            <w:tcW w:w="675" w:type="dxa"/>
            <w:vAlign w:val="center"/>
          </w:tcPr>
          <w:p>
            <w:pPr>
              <w:adjustRightInd w:val="0"/>
              <w:snapToGrid w:val="0"/>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0720005000</w:t>
            </w:r>
          </w:p>
        </w:tc>
        <w:tc>
          <w:tcPr>
            <w:tcW w:w="1037" w:type="dxa"/>
            <w:vAlign w:val="center"/>
          </w:tcPr>
          <w:p>
            <w:pPr>
              <w:widowControl/>
              <w:adjustRightInd w:val="0"/>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455" w:type="dxa"/>
            <w:vAlign w:val="center"/>
          </w:tcPr>
          <w:p>
            <w:pPr>
              <w:widowControl/>
              <w:adjustRightInd w:val="0"/>
              <w:snapToGrid w:val="0"/>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【行政法规】《中华人民共和国传染病防治法实施办法》（经国务院批准，1991年卫生部令第17号）</w:t>
            </w:r>
          </w:p>
          <w:p>
            <w:pPr>
              <w:widowControl/>
              <w:adjustRightInd w:val="0"/>
              <w:snapToGrid w:val="0"/>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第五十六条　医疗保健机构、卫生防疫机构经县级以上政府卫生行政部门的批准可以对传染病病人尸体或者疑似传染病病人的尸体进行解剖查验。</w:t>
            </w:r>
          </w:p>
        </w:tc>
        <w:tc>
          <w:tcPr>
            <w:tcW w:w="1187" w:type="dxa"/>
            <w:vAlign w:val="center"/>
          </w:tcPr>
          <w:p>
            <w:pP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对传染病病人尸体或者疑似传染病病人的尸体进行解剖查验的批准</w:t>
            </w:r>
          </w:p>
        </w:tc>
        <w:tc>
          <w:tcPr>
            <w:tcW w:w="887" w:type="dxa"/>
            <w:vAlign w:val="center"/>
          </w:tcPr>
          <w:p>
            <w:pPr>
              <w:ind w:right="668" w:rightChars="318"/>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600" w:type="dxa"/>
            <w:vAlign w:val="center"/>
          </w:tcPr>
          <w:p>
            <w:pPr>
              <w:widowControl/>
              <w:adjustRightInd w:val="0"/>
              <w:snapToGrid w:val="0"/>
              <w:spacing w:before="188" w:after="188" w:line="326" w:lineRule="atLeast"/>
              <w:jc w:val="center"/>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3</w:t>
            </w:r>
          </w:p>
        </w:tc>
        <w:tc>
          <w:tcPr>
            <w:tcW w:w="1374" w:type="dxa"/>
            <w:vAlign w:val="center"/>
          </w:tcPr>
          <w:p>
            <w:pPr>
              <w:widowControl/>
              <w:adjustRightInd w:val="0"/>
              <w:snapToGrid w:val="0"/>
              <w:spacing w:line="240" w:lineRule="exact"/>
              <w:jc w:val="center"/>
              <w:rPr>
                <w:rFonts w:hint="eastAsia" w:ascii="仿宋_GB2312" w:hAnsi="仿宋_GB2312" w:eastAsia="仿宋_GB2312" w:cs="仿宋_GB2312"/>
                <w:b w:val="0"/>
                <w:bCs/>
                <w:color w:val="FF0000"/>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行政确认</w:t>
            </w:r>
          </w:p>
        </w:tc>
        <w:tc>
          <w:tcPr>
            <w:tcW w:w="1410" w:type="dxa"/>
            <w:vAlign w:val="center"/>
          </w:tcPr>
          <w:p>
            <w:pPr>
              <w:widowControl/>
              <w:adjustRightInd w:val="0"/>
              <w:snapToGrid w:val="0"/>
              <w:spacing w:line="240" w:lineRule="exact"/>
              <w:jc w:val="cente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对预防接种异常反应作出调查诊断结论</w:t>
            </w:r>
          </w:p>
        </w:tc>
        <w:tc>
          <w:tcPr>
            <w:tcW w:w="675" w:type="dxa"/>
            <w:vAlign w:val="center"/>
          </w:tcPr>
          <w:p>
            <w:pPr>
              <w:adjustRightInd w:val="0"/>
              <w:snapToGrid w:val="0"/>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0720006000</w:t>
            </w:r>
          </w:p>
        </w:tc>
        <w:tc>
          <w:tcPr>
            <w:tcW w:w="1037" w:type="dxa"/>
            <w:vAlign w:val="center"/>
          </w:tcPr>
          <w:p>
            <w:pPr>
              <w:widowControl/>
              <w:adjustRightInd w:val="0"/>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455" w:type="dxa"/>
            <w:vAlign w:val="center"/>
          </w:tcPr>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【部门规章】《预防接种异常反应鉴定办法》（2008年卫生部令第60号）</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第十条 各级各类医疗机构、疾病预防控制机构和接种单位及其执行职务的人员发现预防接种异常反应、疑似预防接种异常反应或者接到相关报告，应当及时向所在地的县级卫生行政部门、药品监督管理部门报告。</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第十一条 省级、设区的市级和县级疾病预防控制机构应当成立预防接种异常反应调查诊断专家组，负责预防接种异常反应调查诊断。调查诊断专家组由流行病学、临床医学、药学等专家组成。</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县级卫生行政部门、药品监督管理部门接到疑似预防接种异常反应的报告后，对需要进行调查诊断的，交由县级疾病预防控制机构组织专家进行调查诊断。</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有下列情形之一的，应当由设区的市级或者省级预防接种异常反应调查诊断专家组进行调查诊断：</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（一）受种者死亡、严重残疾的； </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（二）群体性疑似预防接种异常反应的；</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（三）对社会有重大影响的疑似预防接种异常反应。 </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第十二条 预防接种异常反应调查诊断专家组应当依据法律、行政法规、部门规章和技术规范，结合临床表现、医学检查结果和疫苗质量检验结果等，进行综合分析，作出调查诊断结论。</w:t>
            </w:r>
          </w:p>
        </w:tc>
        <w:tc>
          <w:tcPr>
            <w:tcW w:w="1187" w:type="dxa"/>
            <w:vAlign w:val="center"/>
          </w:tcPr>
          <w:p>
            <w:pP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对预防接种异常反应作出调查诊断结论</w:t>
            </w:r>
          </w:p>
        </w:tc>
        <w:tc>
          <w:tcPr>
            <w:tcW w:w="887" w:type="dxa"/>
            <w:vAlign w:val="center"/>
          </w:tcPr>
          <w:p>
            <w:pPr>
              <w:ind w:right="668" w:rightChars="318"/>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0" w:hRule="atLeast"/>
          <w:jc w:val="center"/>
        </w:trPr>
        <w:tc>
          <w:tcPr>
            <w:tcW w:w="600" w:type="dxa"/>
            <w:vAlign w:val="center"/>
          </w:tcPr>
          <w:p>
            <w:pPr>
              <w:widowControl/>
              <w:adjustRightInd w:val="0"/>
              <w:snapToGrid w:val="0"/>
              <w:spacing w:before="188" w:after="188" w:line="326" w:lineRule="atLeast"/>
              <w:jc w:val="center"/>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4</w:t>
            </w:r>
          </w:p>
        </w:tc>
        <w:tc>
          <w:tcPr>
            <w:tcW w:w="1374" w:type="dxa"/>
            <w:vAlign w:val="center"/>
          </w:tcPr>
          <w:p>
            <w:pPr>
              <w:widowControl/>
              <w:adjustRightInd w:val="0"/>
              <w:snapToGrid w:val="0"/>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行政确认</w:t>
            </w:r>
          </w:p>
        </w:tc>
        <w:tc>
          <w:tcPr>
            <w:tcW w:w="1410" w:type="dxa"/>
            <w:vAlign w:val="center"/>
          </w:tcPr>
          <w:p>
            <w:pPr>
              <w:widowControl/>
              <w:adjustRightInd w:val="0"/>
              <w:snapToGrid w:val="0"/>
              <w:spacing w:line="240" w:lineRule="exact"/>
              <w:jc w:val="center"/>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对婚前医学检查、遗传病诊断和产前诊断结果有异议的医学技术鉴定</w:t>
            </w:r>
          </w:p>
        </w:tc>
        <w:tc>
          <w:tcPr>
            <w:tcW w:w="675" w:type="dxa"/>
            <w:vAlign w:val="center"/>
          </w:tcPr>
          <w:p>
            <w:pPr>
              <w:adjustRightInd w:val="0"/>
              <w:snapToGrid w:val="0"/>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0720007000</w:t>
            </w:r>
          </w:p>
        </w:tc>
        <w:tc>
          <w:tcPr>
            <w:tcW w:w="1037" w:type="dxa"/>
            <w:vAlign w:val="center"/>
          </w:tcPr>
          <w:p>
            <w:pPr>
              <w:widowControl/>
              <w:adjustRightInd w:val="0"/>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455" w:type="dxa"/>
            <w:vAlign w:val="center"/>
          </w:tcPr>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【法律】《中华人民共和国母婴保健法》（2017年修正）</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第二十五条 县级以上地方人民政府可以设立医学技术鉴定组织，负责对婚前医学检查、遗传病诊断和产前诊断结果有异议的进行医学技术鉴定。</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xml:space="preserve">【行政法规】《中华人民共和国母婴保健法实施办法》（2017年国务院第690号）  </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第三十一条 母婴保健医学技术鉴定委员会分为省、市、县三级。母婴保健医学技术鉴定委员会成员应当符合下列任职条件：（一）县级母婴保健医学技术鉴定委员会成员应当具有主治医师以上专业技术职务；（二）设区的市级和省级母婴保健医学技术鉴定委员会成员应当具有副主任医师以上专业技术职务。</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第三十二条 当事人对婚前医学检查、遗传病诊断、产前诊断结果有异议，需要进一步确诊的，可以自接到检查或者诊断结果之日起15日内向所在地县级或者设区的市级母婴保健医学技术鉴定委员会提出书面鉴定申请。母婴保健医学技术鉴定委员会应当自接到鉴定申请之日起30日内作出医学技术鉴定意见，并及时通知当事人。当事人对鉴定意见有异议的，可以自接到鉴定意见通知书之日起15日内向上一级母婴保健医学技术鉴定委员会申请再鉴定。</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第三十三条 母婴保健医学技术鉴定委员会进行医学鉴定时须有5名以上相关专业医学技术鉴定委员会成员参加。鉴定委员会成员应当在鉴定结论上署名；不同意见应当如实记录。鉴定委员会根据鉴定结论向当事人出具鉴定意见书。母婴保健医学技术鉴定管理办法由国务院卫生行政部门制定。</w:t>
            </w:r>
          </w:p>
        </w:tc>
        <w:tc>
          <w:tcPr>
            <w:tcW w:w="1187" w:type="dxa"/>
            <w:vAlign w:val="center"/>
          </w:tcPr>
          <w:p>
            <w:pP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对婚前医学检查、遗传病诊断和产前诊断结果有异议的医学技术鉴定</w:t>
            </w:r>
          </w:p>
        </w:tc>
        <w:tc>
          <w:tcPr>
            <w:tcW w:w="887" w:type="dxa"/>
            <w:vAlign w:val="center"/>
          </w:tcPr>
          <w:p>
            <w:pPr>
              <w:ind w:right="668" w:rightChars="318"/>
              <w:rPr>
                <w:rFonts w:hint="eastAsia" w:ascii="仿宋_GB2312" w:hAnsi="仿宋_GB2312" w:eastAsia="仿宋_GB2312" w:cs="仿宋_GB2312"/>
                <w:b w:val="0"/>
                <w:bCs/>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0" w:type="dxa"/>
            <w:vAlign w:val="center"/>
          </w:tcPr>
          <w:p>
            <w:pPr>
              <w:widowControl/>
              <w:adjustRightInd w:val="0"/>
              <w:snapToGrid w:val="0"/>
              <w:spacing w:before="188" w:after="188" w:line="326" w:lineRule="atLeast"/>
              <w:jc w:val="center"/>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5</w:t>
            </w:r>
          </w:p>
        </w:tc>
        <w:tc>
          <w:tcPr>
            <w:tcW w:w="1374" w:type="dxa"/>
            <w:vAlign w:val="center"/>
          </w:tcPr>
          <w:p>
            <w:pPr>
              <w:widowControl/>
              <w:adjustRightInd w:val="0"/>
              <w:snapToGrid w:val="0"/>
              <w:spacing w:after="240"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行政确认</w:t>
            </w:r>
          </w:p>
        </w:tc>
        <w:tc>
          <w:tcPr>
            <w:tcW w:w="1410" w:type="dxa"/>
            <w:vAlign w:val="center"/>
          </w:tcPr>
          <w:p>
            <w:pPr>
              <w:widowControl/>
              <w:adjustRightInd w:val="0"/>
              <w:snapToGrid w:val="0"/>
              <w:spacing w:after="240" w:line="240" w:lineRule="exact"/>
              <w:jc w:val="cente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再生育涉及病残儿医学鉴定</w:t>
            </w:r>
          </w:p>
        </w:tc>
        <w:tc>
          <w:tcPr>
            <w:tcW w:w="675" w:type="dxa"/>
            <w:vAlign w:val="center"/>
          </w:tcPr>
          <w:p>
            <w:pPr>
              <w:adjustRightInd w:val="0"/>
              <w:snapToGrid w:val="0"/>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0720008000</w:t>
            </w:r>
          </w:p>
        </w:tc>
        <w:tc>
          <w:tcPr>
            <w:tcW w:w="1037" w:type="dxa"/>
            <w:vAlign w:val="center"/>
          </w:tcPr>
          <w:p>
            <w:pPr>
              <w:widowControl/>
              <w:adjustRightInd w:val="0"/>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455" w:type="dxa"/>
            <w:vAlign w:val="center"/>
          </w:tcPr>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【行政法规】《计划生育技术服务管理条例》（2004年国务院令第428号修订）</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第十二条 因生育病残儿要求再生育的，应当向县级人民政府计划生育行政部门申请医学鉴定，经县级人民政府计划生育行政部门初审同意后，由设区的市级人民政府计划生育行政部门组织医学专家进行医学鉴定；当事人对医学鉴定有异议的，可以向省、自治区、直辖市人民政府计划生育行政部门申请再鉴定。省、自治区、直辖市人民政府计划生育行政部门组织的医学鉴定为终局鉴定。具体办法由国务院计划生育行政部门会同国务院卫生行政部门制定。</w:t>
            </w:r>
          </w:p>
        </w:tc>
        <w:tc>
          <w:tcPr>
            <w:tcW w:w="1187" w:type="dxa"/>
            <w:vAlign w:val="center"/>
          </w:tcPr>
          <w:p>
            <w:pPr>
              <w:spacing w:line="240" w:lineRule="exact"/>
              <w:rPr>
                <w:rFonts w:hint="eastAsia" w:ascii="仿宋_GB2312" w:hAnsi="仿宋_GB2312" w:eastAsia="仿宋_GB2312" w:cs="仿宋_GB2312"/>
                <w:b w:val="0"/>
                <w:bCs/>
                <w:color w:val="auto"/>
                <w:sz w:val="18"/>
                <w:szCs w:val="18"/>
                <w:highlight w:val="none"/>
                <w:u w:val="none"/>
                <w:lang w:val="en-US" w:eastAsia="zh-CN"/>
              </w:rPr>
            </w:pPr>
            <w:r>
              <w:rPr>
                <w:rFonts w:hint="eastAsia" w:ascii="仿宋_GB2312" w:hAnsi="仿宋_GB2312" w:eastAsia="仿宋_GB2312" w:cs="仿宋_GB2312"/>
                <w:b w:val="0"/>
                <w:bCs/>
                <w:color w:val="auto"/>
                <w:sz w:val="18"/>
                <w:szCs w:val="18"/>
                <w:highlight w:val="none"/>
                <w:u w:val="none"/>
                <w:lang w:val="en-US" w:eastAsia="zh-CN"/>
              </w:rPr>
              <w:t>受理初审</w:t>
            </w:r>
          </w:p>
        </w:tc>
        <w:tc>
          <w:tcPr>
            <w:tcW w:w="887" w:type="dxa"/>
            <w:vAlign w:val="center"/>
          </w:tcPr>
          <w:p>
            <w:pPr>
              <w:spacing w:line="240" w:lineRule="exact"/>
              <w:ind w:right="668" w:rightChars="318"/>
              <w:rPr>
                <w:rFonts w:hint="eastAsia" w:ascii="仿宋_GB2312" w:hAnsi="仿宋_GB2312" w:eastAsia="仿宋_GB2312" w:cs="仿宋_GB2312"/>
                <w:b w:val="0"/>
                <w:bCs/>
                <w:color w:val="auto"/>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600" w:type="dxa"/>
            <w:vAlign w:val="center"/>
          </w:tcPr>
          <w:p>
            <w:pPr>
              <w:widowControl/>
              <w:adjustRightInd w:val="0"/>
              <w:snapToGrid w:val="0"/>
              <w:spacing w:before="188" w:after="188" w:line="326" w:lineRule="atLeast"/>
              <w:jc w:val="center"/>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6</w:t>
            </w:r>
          </w:p>
        </w:tc>
        <w:tc>
          <w:tcPr>
            <w:tcW w:w="1374" w:type="dxa"/>
            <w:vAlign w:val="center"/>
          </w:tcPr>
          <w:p>
            <w:pPr>
              <w:widowControl/>
              <w:adjustRightInd w:val="0"/>
              <w:snapToGrid w:val="0"/>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000000" w:themeColor="text1"/>
                <w:sz w:val="18"/>
                <w:szCs w:val="18"/>
                <w:highlight w:val="none"/>
                <w:u w:val="none"/>
                <w:lang w:eastAsia="zh-CN"/>
                <w14:textFill>
                  <w14:solidFill>
                    <w14:schemeClr w14:val="tx1"/>
                  </w14:solidFill>
                </w14:textFill>
              </w:rPr>
              <w:t>行政确认</w:t>
            </w:r>
          </w:p>
        </w:tc>
        <w:tc>
          <w:tcPr>
            <w:tcW w:w="1410" w:type="dxa"/>
            <w:vAlign w:val="center"/>
          </w:tcPr>
          <w:p>
            <w:pPr>
              <w:widowControl/>
              <w:adjustRightInd w:val="0"/>
              <w:snapToGrid w:val="0"/>
              <w:spacing w:line="240" w:lineRule="exact"/>
              <w:jc w:val="center"/>
              <w:rPr>
                <w:rFonts w:hint="eastAsia" w:ascii="仿宋_GB2312" w:hAnsi="仿宋_GB2312" w:eastAsia="仿宋_GB2312" w:cs="仿宋_GB2312"/>
                <w:b w:val="0"/>
                <w:bCs/>
                <w:color w:val="000000" w:themeColor="text1"/>
                <w:kern w:val="0"/>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计划生育手术并发症鉴定</w:t>
            </w:r>
          </w:p>
        </w:tc>
        <w:tc>
          <w:tcPr>
            <w:tcW w:w="675" w:type="dxa"/>
            <w:vAlign w:val="center"/>
          </w:tcPr>
          <w:p>
            <w:pPr>
              <w:adjustRightInd w:val="0"/>
              <w:snapToGrid w:val="0"/>
              <w:spacing w:line="240" w:lineRule="exact"/>
              <w:jc w:val="cente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color w:val="000000" w:themeColor="text1"/>
                <w:sz w:val="18"/>
                <w:szCs w:val="18"/>
                <w:highlight w:val="none"/>
                <w:u w:val="none"/>
                <w14:textFill>
                  <w14:solidFill>
                    <w14:schemeClr w14:val="tx1"/>
                  </w14:solidFill>
                </w14:textFill>
              </w:rPr>
              <w:t>0720009000</w:t>
            </w:r>
          </w:p>
        </w:tc>
        <w:tc>
          <w:tcPr>
            <w:tcW w:w="1037" w:type="dxa"/>
            <w:vAlign w:val="center"/>
          </w:tcPr>
          <w:p>
            <w:pPr>
              <w:widowControl/>
              <w:adjustRightInd w:val="0"/>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7455" w:type="dxa"/>
            <w:vAlign w:val="center"/>
          </w:tcPr>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【行政法规】《计划生育技术服务管理条例》（2004年国务院令第428号修订）</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第三十二条 国家建立计划生育技术服务统计制度和计划生育技术服务事故、计划生育手术并发症和计划生育药具不良反应的鉴定制度和报告制度。 计划生育手术并发症鉴定和管理办法由国务院计划生育行政部门会同国务院卫生行政部门制定。</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【规范性文件】《关于印发&lt;计划生育手术并发症鉴定管理办法（试行）&gt;的通知》（人口科技〔2011〕67号）</w:t>
            </w:r>
          </w:p>
          <w:p>
            <w:pPr>
              <w:widowControl/>
              <w:adjustRightInd w:val="0"/>
              <w:snapToGrid w:val="0"/>
              <w:spacing w:line="240" w:lineRule="exact"/>
              <w:ind w:firstLine="360" w:firstLineChars="200"/>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sz w:val="18"/>
                <w:szCs w:val="18"/>
                <w:highlight w:val="none"/>
                <w:u w:val="none"/>
              </w:rPr>
              <w:t>第十六条 并发症鉴定实行县、设区的市、省逐级鉴定制度。省级鉴定为终级鉴定。县级人口计生部门受理并发症鉴定的申请，负责组织并发症鉴定专家组实施鉴定。具备条件的地方，可以交由医学会组织鉴定。具体办法由省级人口计生部门确定。</w:t>
            </w:r>
          </w:p>
        </w:tc>
        <w:tc>
          <w:tcPr>
            <w:tcW w:w="1187" w:type="dxa"/>
            <w:vAlign w:val="center"/>
          </w:tcPr>
          <w:p>
            <w:pP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计划生育手术并发症鉴定</w:t>
            </w:r>
          </w:p>
        </w:tc>
        <w:tc>
          <w:tcPr>
            <w:tcW w:w="887" w:type="dxa"/>
            <w:vAlign w:val="center"/>
          </w:tcPr>
          <w:p>
            <w:pPr>
              <w:ind w:right="668" w:rightChars="318"/>
              <w:rPr>
                <w:rFonts w:hint="eastAsia" w:ascii="仿宋_GB2312" w:hAnsi="仿宋_GB2312" w:eastAsia="仿宋_GB2312" w:cs="仿宋_GB2312"/>
                <w:b w:val="0"/>
                <w:bCs/>
                <w:color w:val="auto"/>
                <w:sz w:val="18"/>
                <w:szCs w:val="18"/>
                <w:highlight w:val="none"/>
                <w:u w:val="none"/>
              </w:rPr>
            </w:pPr>
          </w:p>
        </w:tc>
      </w:tr>
    </w:tbl>
    <w:p>
      <w:pPr>
        <w:spacing w:line="500" w:lineRule="exact"/>
        <w:jc w:val="both"/>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tbl>
      <w:tblPr>
        <w:tblStyle w:val="6"/>
        <w:tblW w:w="14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332"/>
        <w:gridCol w:w="1418"/>
        <w:gridCol w:w="680"/>
        <w:gridCol w:w="1070"/>
        <w:gridCol w:w="7455"/>
        <w:gridCol w:w="1227"/>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blHeader/>
          <w:jc w:val="center"/>
        </w:trPr>
        <w:tc>
          <w:tcPr>
            <w:tcW w:w="650" w:type="dxa"/>
            <w:vAlign w:val="center"/>
          </w:tcPr>
          <w:p>
            <w:pPr>
              <w:widowControl/>
              <w:spacing w:line="260" w:lineRule="exact"/>
              <w:jc w:val="center"/>
              <w:rPr>
                <w:rFonts w:hint="eastAsia" w:ascii="仿宋_GB2312" w:hAnsi="仿宋_GB2312" w:eastAsia="仿宋_GB2312" w:cs="仿宋_GB2312"/>
                <w:b/>
                <w:bCs/>
                <w:color w:val="auto"/>
                <w:kern w:val="0"/>
                <w:sz w:val="18"/>
                <w:szCs w:val="18"/>
                <w:highlight w:val="none"/>
                <w:u w:val="none"/>
              </w:rPr>
            </w:pPr>
            <w:r>
              <w:rPr>
                <w:rFonts w:hint="eastAsia" w:ascii="仿宋_GB2312" w:hAnsi="仿宋_GB2312" w:eastAsia="仿宋_GB2312" w:cs="仿宋_GB2312"/>
                <w:b/>
                <w:bCs/>
                <w:color w:val="auto"/>
                <w:kern w:val="0"/>
                <w:sz w:val="18"/>
                <w:szCs w:val="18"/>
                <w:highlight w:val="none"/>
                <w:u w:val="none"/>
              </w:rPr>
              <w:t>序号</w:t>
            </w:r>
          </w:p>
        </w:tc>
        <w:tc>
          <w:tcPr>
            <w:tcW w:w="1332" w:type="dxa"/>
            <w:vAlign w:val="center"/>
          </w:tcPr>
          <w:p>
            <w:pPr>
              <w:spacing w:line="260" w:lineRule="exact"/>
              <w:jc w:val="center"/>
              <w:rPr>
                <w:rFonts w:hint="eastAsia" w:ascii="仿宋_GB2312" w:hAnsi="仿宋_GB2312" w:eastAsia="仿宋_GB2312" w:cs="仿宋_GB2312"/>
                <w:b/>
                <w:bCs/>
                <w:color w:val="auto"/>
                <w:kern w:val="0"/>
                <w:sz w:val="18"/>
                <w:szCs w:val="18"/>
                <w:highlight w:val="none"/>
                <w:u w:val="none"/>
                <w:lang w:eastAsia="zh-CN"/>
              </w:rPr>
            </w:pPr>
            <w:r>
              <w:rPr>
                <w:rFonts w:hint="eastAsia" w:ascii="仿宋_GB2312" w:hAnsi="仿宋_GB2312" w:eastAsia="仿宋_GB2312" w:cs="仿宋_GB2312"/>
                <w:b/>
                <w:bCs/>
                <w:color w:val="auto"/>
                <w:kern w:val="0"/>
                <w:sz w:val="18"/>
                <w:szCs w:val="18"/>
                <w:highlight w:val="none"/>
                <w:u w:val="none"/>
                <w:lang w:eastAsia="zh-CN"/>
              </w:rPr>
              <w:t>职权类型</w:t>
            </w:r>
          </w:p>
        </w:tc>
        <w:tc>
          <w:tcPr>
            <w:tcW w:w="1418" w:type="dxa"/>
            <w:vAlign w:val="center"/>
          </w:tcPr>
          <w:p>
            <w:pPr>
              <w:spacing w:line="260" w:lineRule="exact"/>
              <w:jc w:val="center"/>
              <w:rPr>
                <w:rFonts w:hint="eastAsia" w:ascii="仿宋_GB2312" w:hAnsi="仿宋_GB2312" w:eastAsia="仿宋_GB2312" w:cs="仿宋_GB2312"/>
                <w:b/>
                <w:bCs/>
                <w:color w:val="auto"/>
                <w:kern w:val="0"/>
                <w:sz w:val="18"/>
                <w:szCs w:val="18"/>
                <w:highlight w:val="none"/>
                <w:u w:val="none"/>
              </w:rPr>
            </w:pPr>
            <w:r>
              <w:rPr>
                <w:rFonts w:hint="eastAsia" w:ascii="仿宋_GB2312" w:hAnsi="仿宋_GB2312" w:eastAsia="仿宋_GB2312" w:cs="仿宋_GB2312"/>
                <w:b/>
                <w:bCs/>
                <w:color w:val="auto"/>
                <w:kern w:val="0"/>
                <w:sz w:val="18"/>
                <w:szCs w:val="18"/>
                <w:highlight w:val="none"/>
                <w:u w:val="none"/>
              </w:rPr>
              <w:t>职权名称</w:t>
            </w:r>
          </w:p>
        </w:tc>
        <w:tc>
          <w:tcPr>
            <w:tcW w:w="680" w:type="dxa"/>
            <w:vAlign w:val="center"/>
          </w:tcPr>
          <w:p>
            <w:pPr>
              <w:widowControl/>
              <w:spacing w:line="260" w:lineRule="exact"/>
              <w:jc w:val="center"/>
              <w:rPr>
                <w:rFonts w:hint="eastAsia" w:ascii="仿宋_GB2312" w:hAnsi="仿宋_GB2312" w:eastAsia="仿宋_GB2312" w:cs="仿宋_GB2312"/>
                <w:b/>
                <w:bCs/>
                <w:color w:val="auto"/>
                <w:kern w:val="0"/>
                <w:sz w:val="18"/>
                <w:szCs w:val="18"/>
                <w:highlight w:val="none"/>
                <w:u w:val="none"/>
              </w:rPr>
            </w:pPr>
            <w:r>
              <w:rPr>
                <w:rFonts w:hint="eastAsia" w:ascii="仿宋_GB2312" w:hAnsi="仿宋_GB2312" w:eastAsia="仿宋_GB2312" w:cs="仿宋_GB2312"/>
                <w:b/>
                <w:bCs/>
                <w:color w:val="auto"/>
                <w:kern w:val="0"/>
                <w:sz w:val="18"/>
                <w:szCs w:val="18"/>
                <w:highlight w:val="none"/>
                <w:u w:val="none"/>
              </w:rPr>
              <w:t>基本</w:t>
            </w:r>
          </w:p>
          <w:p>
            <w:pPr>
              <w:widowControl/>
              <w:spacing w:line="260" w:lineRule="exact"/>
              <w:jc w:val="center"/>
              <w:rPr>
                <w:rFonts w:hint="eastAsia" w:ascii="仿宋_GB2312" w:hAnsi="仿宋_GB2312" w:eastAsia="仿宋_GB2312" w:cs="仿宋_GB2312"/>
                <w:b/>
                <w:bCs/>
                <w:color w:val="auto"/>
                <w:kern w:val="0"/>
                <w:sz w:val="18"/>
                <w:szCs w:val="18"/>
                <w:highlight w:val="none"/>
                <w:u w:val="none"/>
              </w:rPr>
            </w:pPr>
            <w:r>
              <w:rPr>
                <w:rFonts w:hint="eastAsia" w:ascii="仿宋_GB2312" w:hAnsi="仿宋_GB2312" w:eastAsia="仿宋_GB2312" w:cs="仿宋_GB2312"/>
                <w:b/>
                <w:bCs/>
                <w:color w:val="auto"/>
                <w:kern w:val="0"/>
                <w:sz w:val="18"/>
                <w:szCs w:val="18"/>
                <w:highlight w:val="none"/>
                <w:u w:val="none"/>
              </w:rPr>
              <w:t>编码</w:t>
            </w:r>
          </w:p>
        </w:tc>
        <w:tc>
          <w:tcPr>
            <w:tcW w:w="1070" w:type="dxa"/>
            <w:vAlign w:val="center"/>
          </w:tcPr>
          <w:p>
            <w:pPr>
              <w:widowControl/>
              <w:spacing w:line="260" w:lineRule="exact"/>
              <w:jc w:val="center"/>
              <w:rPr>
                <w:rFonts w:hint="eastAsia" w:ascii="仿宋_GB2312" w:hAnsi="仿宋_GB2312" w:eastAsia="仿宋_GB2312" w:cs="仿宋_GB2312"/>
                <w:b/>
                <w:bCs/>
                <w:color w:val="auto"/>
                <w:kern w:val="0"/>
                <w:sz w:val="18"/>
                <w:szCs w:val="18"/>
                <w:highlight w:val="none"/>
                <w:u w:val="none"/>
              </w:rPr>
            </w:pPr>
            <w:r>
              <w:rPr>
                <w:rFonts w:hint="eastAsia" w:ascii="仿宋_GB2312" w:hAnsi="仿宋_GB2312" w:eastAsia="仿宋_GB2312" w:cs="仿宋_GB2312"/>
                <w:b/>
                <w:bCs/>
                <w:color w:val="auto"/>
                <w:kern w:val="0"/>
                <w:sz w:val="18"/>
                <w:szCs w:val="18"/>
                <w:highlight w:val="none"/>
                <w:u w:val="none"/>
              </w:rPr>
              <w:t>实施部门</w:t>
            </w:r>
          </w:p>
        </w:tc>
        <w:tc>
          <w:tcPr>
            <w:tcW w:w="7455" w:type="dxa"/>
            <w:vAlign w:val="center"/>
          </w:tcPr>
          <w:p>
            <w:pPr>
              <w:widowControl/>
              <w:spacing w:line="260" w:lineRule="exact"/>
              <w:jc w:val="center"/>
              <w:rPr>
                <w:rFonts w:hint="eastAsia" w:ascii="仿宋_GB2312" w:hAnsi="仿宋_GB2312" w:eastAsia="仿宋_GB2312" w:cs="仿宋_GB2312"/>
                <w:b/>
                <w:bCs/>
                <w:color w:val="auto"/>
                <w:kern w:val="0"/>
                <w:sz w:val="18"/>
                <w:szCs w:val="18"/>
                <w:highlight w:val="none"/>
                <w:u w:val="none"/>
              </w:rPr>
            </w:pPr>
            <w:r>
              <w:rPr>
                <w:rFonts w:hint="eastAsia" w:ascii="仿宋_GB2312" w:hAnsi="仿宋_GB2312" w:eastAsia="仿宋_GB2312" w:cs="仿宋_GB2312"/>
                <w:b/>
                <w:bCs/>
                <w:color w:val="auto"/>
                <w:kern w:val="0"/>
                <w:sz w:val="18"/>
                <w:szCs w:val="18"/>
                <w:highlight w:val="none"/>
                <w:u w:val="none"/>
              </w:rPr>
              <w:t>职权依据</w:t>
            </w:r>
          </w:p>
        </w:tc>
        <w:tc>
          <w:tcPr>
            <w:tcW w:w="1227" w:type="dxa"/>
            <w:vAlign w:val="center"/>
          </w:tcPr>
          <w:p>
            <w:pPr>
              <w:widowControl/>
              <w:spacing w:line="260" w:lineRule="exact"/>
              <w:jc w:val="center"/>
              <w:rPr>
                <w:rFonts w:hint="eastAsia" w:ascii="仿宋_GB2312" w:hAnsi="仿宋_GB2312" w:eastAsia="仿宋_GB2312" w:cs="仿宋_GB2312"/>
                <w:b/>
                <w:bCs/>
                <w:color w:val="auto"/>
                <w:kern w:val="0"/>
                <w:sz w:val="18"/>
                <w:szCs w:val="18"/>
                <w:highlight w:val="none"/>
                <w:u w:val="none"/>
              </w:rPr>
            </w:pPr>
            <w:r>
              <w:rPr>
                <w:rFonts w:hint="eastAsia" w:ascii="仿宋_GB2312" w:hAnsi="仿宋_GB2312" w:eastAsia="仿宋_GB2312" w:cs="仿宋_GB2312"/>
                <w:b/>
                <w:bCs/>
                <w:color w:val="auto"/>
                <w:kern w:val="0"/>
                <w:sz w:val="18"/>
                <w:szCs w:val="18"/>
                <w:highlight w:val="none"/>
                <w:u w:val="none"/>
              </w:rPr>
              <w:t>行使内容</w:t>
            </w:r>
          </w:p>
        </w:tc>
        <w:tc>
          <w:tcPr>
            <w:tcW w:w="875" w:type="dxa"/>
            <w:vAlign w:val="center"/>
          </w:tcPr>
          <w:p>
            <w:pPr>
              <w:widowControl/>
              <w:spacing w:line="260" w:lineRule="exact"/>
              <w:jc w:val="center"/>
              <w:rPr>
                <w:rFonts w:hint="eastAsia" w:ascii="仿宋_GB2312" w:hAnsi="仿宋_GB2312" w:eastAsia="仿宋_GB2312" w:cs="仿宋_GB2312"/>
                <w:b/>
                <w:bCs/>
                <w:color w:val="auto"/>
                <w:kern w:val="0"/>
                <w:sz w:val="18"/>
                <w:szCs w:val="18"/>
                <w:highlight w:val="none"/>
                <w:u w:val="none"/>
                <w:lang w:eastAsia="zh-CN"/>
              </w:rPr>
            </w:pPr>
            <w:r>
              <w:rPr>
                <w:rFonts w:hint="eastAsia" w:ascii="仿宋_GB2312" w:hAnsi="仿宋_GB2312" w:eastAsia="仿宋_GB2312" w:cs="仿宋_GB2312"/>
                <w:b/>
                <w:bCs/>
                <w:color w:val="auto"/>
                <w:kern w:val="0"/>
                <w:sz w:val="18"/>
                <w:szCs w:val="18"/>
                <w:highlight w:val="none"/>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0" w:type="dxa"/>
            <w:vAlign w:val="center"/>
          </w:tcPr>
          <w:p>
            <w:pPr>
              <w:spacing w:line="260" w:lineRule="exact"/>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rPr>
              <w:t xml:space="preserve"> </w:t>
            </w:r>
            <w:r>
              <w:rPr>
                <w:rFonts w:hint="eastAsia" w:ascii="仿宋_GB2312" w:hAnsi="仿宋_GB2312" w:eastAsia="仿宋_GB2312" w:cs="仿宋_GB2312"/>
                <w:b w:val="0"/>
                <w:bCs w:val="0"/>
                <w:color w:val="auto"/>
                <w:sz w:val="18"/>
                <w:szCs w:val="18"/>
                <w:highlight w:val="none"/>
                <w:u w:val="none"/>
                <w:lang w:val="en-US" w:eastAsia="zh-CN"/>
              </w:rPr>
              <w:t>1</w:t>
            </w:r>
          </w:p>
        </w:tc>
        <w:tc>
          <w:tcPr>
            <w:tcW w:w="1332" w:type="dxa"/>
            <w:vAlign w:val="center"/>
          </w:tcPr>
          <w:p>
            <w:pPr>
              <w:spacing w:line="260" w:lineRule="exact"/>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行政奖励</w:t>
            </w:r>
          </w:p>
        </w:tc>
        <w:tc>
          <w:tcPr>
            <w:tcW w:w="1418" w:type="dxa"/>
            <w:vAlign w:val="center"/>
          </w:tcPr>
          <w:p>
            <w:pPr>
              <w:spacing w:line="260" w:lineRule="exac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举报违反人口与计划生育法律、法规、规章、政策有功人员行为的奖励</w:t>
            </w:r>
          </w:p>
        </w:tc>
        <w:tc>
          <w:tcPr>
            <w:tcW w:w="680" w:type="dxa"/>
            <w:vAlign w:val="center"/>
          </w:tcPr>
          <w:p>
            <w:pPr>
              <w:spacing w:line="260" w:lineRule="exac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0820001000</w:t>
            </w:r>
          </w:p>
        </w:tc>
        <w:tc>
          <w:tcPr>
            <w:tcW w:w="107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455" w:type="dxa"/>
            <w:vAlign w:val="center"/>
          </w:tcPr>
          <w:p>
            <w:pPr>
              <w:spacing w:line="26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【地方性法规】《宁夏回族自治区人口与计划生育条例》（2016年修正）</w:t>
            </w:r>
          </w:p>
          <w:p>
            <w:pPr>
              <w:spacing w:line="26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第五十条 任何单位和个人对违反人口与计划生育法律、法规、规章和政策的行为有权举报。</w:t>
            </w:r>
          </w:p>
          <w:p>
            <w:pPr>
              <w:spacing w:line="26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接到举报的部门和有关组织应当立即调查，依法处理，并将处理结果反馈举报人。社会影响较大的违法行为，处理结果应当向社会公布。</w:t>
            </w:r>
          </w:p>
          <w:p>
            <w:pPr>
              <w:spacing w:line="26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卫生和计划生育行政部门应当对举报有功人员给予奖励。</w:t>
            </w:r>
          </w:p>
          <w:p>
            <w:pPr>
              <w:spacing w:line="26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【规范性文件】宁夏回族自治区人口和计划生育有奖举报办法（宁人口组发〔2007〕5号）</w:t>
            </w:r>
          </w:p>
          <w:p>
            <w:pPr>
              <w:spacing w:line="26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六、举报奖励</w:t>
            </w:r>
          </w:p>
          <w:p>
            <w:pPr>
              <w:spacing w:line="260" w:lineRule="exact"/>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rPr>
              <w:t>对实名举报的情况经查证属实的，由受理举报的人口计生部门兑现举报人一定数额的奖金。奖金额度按照案件查实后实征社会抚养费的5%支付；不征收社会抚养费的案件，按200-600元支付。同类案件以首次举报为主，举报人可通过电话或信函查询举报核实情况。经告知举报情况属实的，举报人要在案件落实处理三个月内凭有效证件（明）到受理举报的人口计生部门领取奖金，否则按自动放弃处理。经费从自治区财政部门每年预算安排给自治区人口计生委的计划生育经费专项中予以解决。</w:t>
            </w:r>
          </w:p>
        </w:tc>
        <w:tc>
          <w:tcPr>
            <w:tcW w:w="1227"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lang w:eastAsia="zh-CN"/>
              </w:rPr>
              <w:t>对</w:t>
            </w:r>
            <w:r>
              <w:rPr>
                <w:rFonts w:hint="eastAsia" w:ascii="仿宋_GB2312" w:hAnsi="仿宋_GB2312" w:eastAsia="仿宋_GB2312" w:cs="仿宋_GB2312"/>
                <w:b w:val="0"/>
                <w:bCs w:val="0"/>
                <w:color w:val="auto"/>
                <w:sz w:val="18"/>
                <w:szCs w:val="18"/>
                <w:highlight w:val="none"/>
                <w:u w:val="none"/>
              </w:rPr>
              <w:t>举报违反人口与计划生育法律、法规、规章、政策有功人员行为</w:t>
            </w:r>
            <w:r>
              <w:rPr>
                <w:rFonts w:hint="eastAsia" w:ascii="仿宋_GB2312" w:hAnsi="仿宋_GB2312" w:eastAsia="仿宋_GB2312" w:cs="仿宋_GB2312"/>
                <w:b w:val="0"/>
                <w:bCs w:val="0"/>
                <w:color w:val="auto"/>
                <w:sz w:val="18"/>
                <w:szCs w:val="18"/>
                <w:highlight w:val="none"/>
                <w:u w:val="none"/>
                <w:lang w:eastAsia="zh-CN"/>
              </w:rPr>
              <w:t>进行</w:t>
            </w:r>
            <w:r>
              <w:rPr>
                <w:rFonts w:hint="eastAsia" w:ascii="仿宋_GB2312" w:hAnsi="仿宋_GB2312" w:eastAsia="仿宋_GB2312" w:cs="仿宋_GB2312"/>
                <w:b w:val="0"/>
                <w:bCs w:val="0"/>
                <w:color w:val="auto"/>
                <w:sz w:val="18"/>
                <w:szCs w:val="18"/>
                <w:highlight w:val="none"/>
                <w:u w:val="none"/>
              </w:rPr>
              <w:t>奖励</w:t>
            </w:r>
          </w:p>
        </w:tc>
        <w:tc>
          <w:tcPr>
            <w:tcW w:w="875"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650" w:type="dxa"/>
            <w:vAlign w:val="center"/>
          </w:tcPr>
          <w:p>
            <w:pPr>
              <w:spacing w:line="260" w:lineRule="exact"/>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2</w:t>
            </w:r>
          </w:p>
        </w:tc>
        <w:tc>
          <w:tcPr>
            <w:tcW w:w="1332" w:type="dxa"/>
            <w:vAlign w:val="center"/>
          </w:tcPr>
          <w:p>
            <w:pPr>
              <w:widowControl/>
              <w:adjustRightInd w:val="0"/>
              <w:snapToGrid w:val="0"/>
              <w:rPr>
                <w:rFonts w:hint="eastAsia" w:ascii="仿宋_GB2312" w:hAnsi="仿宋_GB2312" w:eastAsia="仿宋_GB2312" w:cs="仿宋_GB2312"/>
                <w:b w:val="0"/>
                <w:bCs w:val="0"/>
                <w:color w:val="FF0000"/>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lang w:eastAsia="zh-CN"/>
              </w:rPr>
              <w:t>行政奖励</w:t>
            </w:r>
          </w:p>
        </w:tc>
        <w:tc>
          <w:tcPr>
            <w:tcW w:w="1418" w:type="dxa"/>
            <w:vAlign w:val="center"/>
          </w:tcPr>
          <w:p>
            <w:pPr>
              <w:widowControl/>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kern w:val="0"/>
                <w:sz w:val="18"/>
                <w:szCs w:val="18"/>
                <w:highlight w:val="none"/>
                <w:u w:val="none"/>
                <w14:textFill>
                  <w14:solidFill>
                    <w14:schemeClr w14:val="tx1"/>
                  </w14:solidFill>
                </w14:textFill>
              </w:rPr>
              <w:t>促进中医事业发展有重大贡献等情形的奖励</w:t>
            </w:r>
          </w:p>
        </w:tc>
        <w:tc>
          <w:tcPr>
            <w:tcW w:w="680" w:type="dxa"/>
            <w:vAlign w:val="center"/>
          </w:tcPr>
          <w:p>
            <w:pPr>
              <w:spacing w:line="260" w:lineRule="exac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082000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107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455" w:type="dxa"/>
            <w:vAlign w:val="center"/>
          </w:tcPr>
          <w:p>
            <w:pPr>
              <w:widowControl/>
              <w:adjustRightInd w:val="0"/>
              <w:snapToGrid w:val="0"/>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shd w:val="clear" w:color="auto" w:fill="FFFFFF"/>
              </w:rPr>
              <w:t>【地方性法规】《宁夏回族自治区发展中医条例》（2002年）</w:t>
            </w:r>
            <w:r>
              <w:rPr>
                <w:rFonts w:hint="eastAsia" w:ascii="仿宋_GB2312" w:hAnsi="仿宋_GB2312" w:eastAsia="仿宋_GB2312" w:cs="仿宋_GB2312"/>
                <w:b w:val="0"/>
                <w:bCs w:val="0"/>
                <w:color w:val="auto"/>
                <w:sz w:val="18"/>
                <w:szCs w:val="18"/>
                <w:highlight w:val="none"/>
                <w:u w:val="none"/>
                <w:shd w:val="clear" w:color="auto" w:fill="FFFFFF"/>
              </w:rPr>
              <w:br w:type="textWrapping"/>
            </w:r>
            <w:r>
              <w:rPr>
                <w:rFonts w:hint="eastAsia" w:ascii="仿宋_GB2312" w:hAnsi="仿宋_GB2312" w:eastAsia="仿宋_GB2312" w:cs="仿宋_GB2312"/>
                <w:b w:val="0"/>
                <w:bCs w:val="0"/>
                <w:color w:val="auto"/>
                <w:sz w:val="18"/>
                <w:szCs w:val="18"/>
                <w:highlight w:val="none"/>
                <w:u w:val="none"/>
                <w:shd w:val="clear" w:color="auto" w:fill="FFFFFF"/>
              </w:rPr>
              <w:t>　  第十五条 有下列情形之一的单位和个人，由县级以上人民政府及其卫生行政部门予以表彰、奖励：（一）贯彻执行中医法律、法规和政策，对促进中医事业发展有重大贡献的；（二）在开展中医医疗、教育、科研、行政管理，促进中西医结合、研制开发中药以及对外交流等方面成绩显著的；（三）挖掘、整理有重大价值的中医文献或者捐献有独特疗效的处方、诊疗技术的；（四）名老中医专家带徒授业取得突出成绩的；（五）资助中医事业发展贡献突出的；（六）在发展中医事业中有其他突出贡献的。</w:t>
            </w:r>
          </w:p>
        </w:tc>
        <w:tc>
          <w:tcPr>
            <w:tcW w:w="1227" w:type="dxa"/>
            <w:vAlign w:val="center"/>
          </w:tcPr>
          <w:p>
            <w:pPr>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shd w:val="clear" w:color="auto" w:fill="FFFFFF"/>
              </w:rPr>
              <w:t>表彰、奖励</w:t>
            </w:r>
          </w:p>
        </w:tc>
        <w:tc>
          <w:tcPr>
            <w:tcW w:w="875" w:type="dxa"/>
            <w:vAlign w:val="center"/>
          </w:tcPr>
          <w:p>
            <w:pPr>
              <w:jc w:val="center"/>
              <w:rPr>
                <w:rFonts w:hint="eastAsia" w:ascii="仿宋_GB2312" w:hAnsi="仿宋_GB2312" w:eastAsia="仿宋_GB2312" w:cs="仿宋_GB2312"/>
                <w:b w:val="0"/>
                <w:bCs w:val="0"/>
                <w:color w:val="auto"/>
                <w:sz w:val="18"/>
                <w:szCs w:val="18"/>
                <w:highlight w:val="none"/>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0" w:type="dxa"/>
            <w:vAlign w:val="center"/>
          </w:tcPr>
          <w:p>
            <w:pPr>
              <w:spacing w:line="260" w:lineRule="exact"/>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3</w:t>
            </w:r>
          </w:p>
        </w:tc>
        <w:tc>
          <w:tcPr>
            <w:tcW w:w="1332" w:type="dxa"/>
            <w:vAlign w:val="center"/>
          </w:tcPr>
          <w:p>
            <w:pPr>
              <w:widowControl/>
              <w:adjustRightInd w:val="0"/>
              <w:snapToGrid w:val="0"/>
              <w:rPr>
                <w:rFonts w:hint="eastAsia" w:ascii="仿宋_GB2312" w:hAnsi="仿宋_GB2312" w:eastAsia="仿宋_GB2312" w:cs="仿宋_GB2312"/>
                <w:b w:val="0"/>
                <w:bCs w:val="0"/>
                <w:color w:val="FF0000"/>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lang w:eastAsia="zh-CN"/>
              </w:rPr>
              <w:t>行政奖励</w:t>
            </w:r>
          </w:p>
        </w:tc>
        <w:tc>
          <w:tcPr>
            <w:tcW w:w="1418" w:type="dxa"/>
            <w:vAlign w:val="center"/>
          </w:tcPr>
          <w:p>
            <w:pPr>
              <w:widowControl/>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kern w:val="0"/>
                <w:sz w:val="18"/>
                <w:szCs w:val="18"/>
                <w:highlight w:val="none"/>
                <w:u w:val="none"/>
                <w14:textFill>
                  <w14:solidFill>
                    <w14:schemeClr w14:val="tx1"/>
                  </w14:solidFill>
                </w14:textFill>
              </w:rPr>
              <w:t>母婴保健工作中做出显著成绩和在母婴保健科学研究中取得显著成果的组织和个人的奖励</w:t>
            </w:r>
          </w:p>
        </w:tc>
        <w:tc>
          <w:tcPr>
            <w:tcW w:w="680" w:type="dxa"/>
            <w:vAlign w:val="center"/>
          </w:tcPr>
          <w:p>
            <w:pPr>
              <w:spacing w:line="260" w:lineRule="exac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082000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107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455" w:type="dxa"/>
            <w:vAlign w:val="center"/>
          </w:tcPr>
          <w:p>
            <w:pPr>
              <w:widowControl/>
              <w:adjustRightInd w:val="0"/>
              <w:snapToGrid w:val="0"/>
              <w:ind w:firstLine="360" w:firstLineChars="200"/>
              <w:rPr>
                <w:rFonts w:hint="eastAsia" w:ascii="仿宋_GB2312" w:hAnsi="仿宋_GB2312" w:eastAsia="仿宋_GB2312" w:cs="仿宋_GB2312"/>
                <w:b w:val="0"/>
                <w:bCs w:val="0"/>
                <w:color w:val="auto"/>
                <w:sz w:val="18"/>
                <w:szCs w:val="18"/>
                <w:highlight w:val="none"/>
                <w:u w:val="none"/>
                <w:shd w:val="clear" w:color="auto" w:fill="FFFFFF"/>
              </w:rPr>
            </w:pPr>
            <w:r>
              <w:rPr>
                <w:rFonts w:hint="eastAsia" w:ascii="仿宋_GB2312" w:hAnsi="仿宋_GB2312" w:eastAsia="仿宋_GB2312" w:cs="仿宋_GB2312"/>
                <w:b w:val="0"/>
                <w:bCs w:val="0"/>
                <w:color w:val="auto"/>
                <w:sz w:val="18"/>
                <w:szCs w:val="18"/>
                <w:highlight w:val="none"/>
                <w:u w:val="none"/>
                <w:shd w:val="clear" w:color="auto" w:fill="FFFFFF"/>
              </w:rPr>
              <w:t>【法律】《中华人民共和国母婴保健法》</w:t>
            </w:r>
            <w:r>
              <w:rPr>
                <w:rFonts w:hint="eastAsia" w:ascii="仿宋_GB2312" w:hAnsi="仿宋_GB2312" w:eastAsia="仿宋_GB2312" w:cs="仿宋_GB2312"/>
                <w:b w:val="0"/>
                <w:bCs w:val="0"/>
                <w:color w:val="auto"/>
                <w:sz w:val="18"/>
                <w:szCs w:val="18"/>
                <w:highlight w:val="none"/>
                <w:u w:val="none"/>
              </w:rPr>
              <w:t>（201</w:t>
            </w:r>
            <w:r>
              <w:rPr>
                <w:rFonts w:hint="eastAsia" w:ascii="仿宋_GB2312" w:hAnsi="仿宋_GB2312" w:eastAsia="仿宋_GB2312" w:cs="仿宋_GB2312"/>
                <w:b w:val="0"/>
                <w:bCs w:val="0"/>
                <w:color w:val="auto"/>
                <w:sz w:val="18"/>
                <w:szCs w:val="18"/>
                <w:highlight w:val="none"/>
                <w:u w:val="none"/>
                <w:lang w:val="en-US" w:eastAsia="zh-CN"/>
              </w:rPr>
              <w:t>7</w:t>
            </w:r>
            <w:r>
              <w:rPr>
                <w:rFonts w:hint="eastAsia" w:ascii="仿宋_GB2312" w:hAnsi="仿宋_GB2312" w:eastAsia="仿宋_GB2312" w:cs="仿宋_GB2312"/>
                <w:b w:val="0"/>
                <w:bCs w:val="0"/>
                <w:color w:val="auto"/>
                <w:sz w:val="18"/>
                <w:szCs w:val="18"/>
                <w:highlight w:val="none"/>
                <w:u w:val="none"/>
              </w:rPr>
              <w:t>年修正）</w:t>
            </w:r>
            <w:r>
              <w:rPr>
                <w:rFonts w:hint="eastAsia" w:ascii="仿宋_GB2312" w:hAnsi="仿宋_GB2312" w:eastAsia="仿宋_GB2312" w:cs="仿宋_GB2312"/>
                <w:b w:val="0"/>
                <w:bCs w:val="0"/>
                <w:color w:val="auto"/>
                <w:sz w:val="18"/>
                <w:szCs w:val="18"/>
                <w:highlight w:val="none"/>
                <w:u w:val="none"/>
                <w:shd w:val="clear" w:color="auto" w:fill="FFFFFF"/>
              </w:rPr>
              <w:br w:type="textWrapping"/>
            </w:r>
            <w:r>
              <w:rPr>
                <w:rFonts w:hint="eastAsia" w:ascii="仿宋_GB2312" w:hAnsi="仿宋_GB2312" w:eastAsia="仿宋_GB2312" w:cs="仿宋_GB2312"/>
                <w:b w:val="0"/>
                <w:bCs w:val="0"/>
                <w:color w:val="auto"/>
                <w:sz w:val="18"/>
                <w:szCs w:val="18"/>
                <w:highlight w:val="none"/>
                <w:u w:val="none"/>
                <w:shd w:val="clear" w:color="auto" w:fill="FFFFFF"/>
              </w:rPr>
              <w:t>　　第六条 对在母婴保健工作中做出显著成绩和在母婴保健科学研究中取得显著成果的组织和个人，应当给予奖励。</w:t>
            </w:r>
          </w:p>
          <w:p>
            <w:pPr>
              <w:widowControl/>
              <w:adjustRightInd w:val="0"/>
              <w:snapToGrid w:val="0"/>
              <w:ind w:firstLine="360" w:firstLineChars="200"/>
              <w:rPr>
                <w:rFonts w:hint="eastAsia" w:ascii="仿宋_GB2312" w:hAnsi="仿宋_GB2312" w:eastAsia="仿宋_GB2312" w:cs="仿宋_GB2312"/>
                <w:b w:val="0"/>
                <w:bCs w:val="0"/>
                <w:color w:val="auto"/>
                <w:sz w:val="18"/>
                <w:szCs w:val="18"/>
                <w:highlight w:val="none"/>
                <w:u w:val="none"/>
                <w:shd w:val="clear" w:color="auto" w:fill="FFFFFF"/>
              </w:rPr>
            </w:pPr>
            <w:r>
              <w:rPr>
                <w:rFonts w:hint="eastAsia" w:ascii="仿宋_GB2312" w:hAnsi="仿宋_GB2312" w:eastAsia="仿宋_GB2312" w:cs="仿宋_GB2312"/>
                <w:b w:val="0"/>
                <w:bCs w:val="0"/>
                <w:color w:val="auto"/>
                <w:sz w:val="18"/>
                <w:szCs w:val="18"/>
                <w:highlight w:val="none"/>
                <w:u w:val="none"/>
                <w:shd w:val="clear" w:color="auto" w:fill="FFFFFF"/>
              </w:rPr>
              <w:t>【地方政府规章】《宁夏回族自治区母婴保健管理办法》（1997年）</w:t>
            </w:r>
          </w:p>
          <w:p>
            <w:pPr>
              <w:widowControl/>
              <w:adjustRightInd w:val="0"/>
              <w:snapToGrid w:val="0"/>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shd w:val="clear" w:color="auto" w:fill="FFFFFF"/>
              </w:rPr>
              <w:t>第三十六条 各级人民政府或者卫生行政部门，对</w:t>
            </w:r>
            <w:r>
              <w:rPr>
                <w:rFonts w:hint="eastAsia" w:ascii="仿宋_GB2312" w:hAnsi="仿宋_GB2312" w:eastAsia="仿宋_GB2312" w:cs="仿宋_GB2312"/>
                <w:b w:val="0"/>
                <w:bCs w:val="0"/>
                <w:color w:val="auto"/>
                <w:sz w:val="18"/>
                <w:szCs w:val="18"/>
                <w:highlight w:val="none"/>
                <w:u w:val="none"/>
              </w:rPr>
              <w:t>在母婴保健和母婴保健科学研究方面取得显著成绩的单位和个人给予奖励。</w:t>
            </w:r>
          </w:p>
        </w:tc>
        <w:tc>
          <w:tcPr>
            <w:tcW w:w="1227" w:type="dxa"/>
            <w:vAlign w:val="center"/>
          </w:tcPr>
          <w:p>
            <w:pPr>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shd w:val="clear" w:color="auto" w:fill="FFFFFF"/>
              </w:rPr>
              <w:t>奖励</w:t>
            </w:r>
          </w:p>
        </w:tc>
        <w:tc>
          <w:tcPr>
            <w:tcW w:w="875" w:type="dxa"/>
            <w:vAlign w:val="center"/>
          </w:tcPr>
          <w:p>
            <w:pPr>
              <w:jc w:val="center"/>
              <w:rPr>
                <w:rFonts w:hint="eastAsia" w:ascii="仿宋_GB2312" w:hAnsi="仿宋_GB2312" w:eastAsia="仿宋_GB2312" w:cs="仿宋_GB2312"/>
                <w:b w:val="0"/>
                <w:bCs w:val="0"/>
                <w:color w:val="auto"/>
                <w:sz w:val="18"/>
                <w:szCs w:val="18"/>
                <w:highlight w:val="none"/>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0" w:type="dxa"/>
            <w:vAlign w:val="center"/>
          </w:tcPr>
          <w:p>
            <w:pPr>
              <w:spacing w:line="260" w:lineRule="exact"/>
              <w:rPr>
                <w:rFonts w:hint="eastAsia" w:ascii="仿宋_GB2312" w:hAnsi="仿宋_GB2312" w:eastAsia="仿宋_GB2312" w:cs="仿宋_GB2312"/>
                <w:b w:val="0"/>
                <w:bCs w:val="0"/>
                <w:color w:val="auto"/>
                <w:sz w:val="18"/>
                <w:szCs w:val="18"/>
                <w:highlight w:val="none"/>
                <w:u w:val="none"/>
                <w:lang w:val="en-US" w:eastAsia="zh-CN"/>
              </w:rPr>
            </w:pPr>
          </w:p>
          <w:p>
            <w:pPr>
              <w:spacing w:line="260" w:lineRule="exact"/>
              <w:rPr>
                <w:rFonts w:hint="default"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4</w:t>
            </w:r>
          </w:p>
        </w:tc>
        <w:tc>
          <w:tcPr>
            <w:tcW w:w="1332" w:type="dxa"/>
            <w:vAlign w:val="center"/>
          </w:tcPr>
          <w:p>
            <w:pPr>
              <w:widowControl/>
              <w:adjustRightInd w:val="0"/>
              <w:snapToGrid w:val="0"/>
              <w:rPr>
                <w:rFonts w:hint="eastAsia" w:ascii="仿宋_GB2312" w:hAnsi="仿宋_GB2312" w:eastAsia="仿宋_GB2312" w:cs="仿宋_GB2312"/>
                <w:b w:val="0"/>
                <w:bCs w:val="0"/>
                <w:color w:val="FF0000"/>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lang w:eastAsia="zh-CN"/>
              </w:rPr>
              <w:t>行政奖励</w:t>
            </w:r>
          </w:p>
        </w:tc>
        <w:tc>
          <w:tcPr>
            <w:tcW w:w="1418" w:type="dxa"/>
            <w:vAlign w:val="center"/>
          </w:tcPr>
          <w:p>
            <w:pPr>
              <w:widowControl/>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kern w:val="0"/>
                <w:sz w:val="18"/>
                <w:szCs w:val="18"/>
                <w:highlight w:val="none"/>
                <w:u w:val="none"/>
                <w14:textFill>
                  <w14:solidFill>
                    <w14:schemeClr w14:val="tx1"/>
                  </w14:solidFill>
                </w14:textFill>
              </w:rPr>
              <w:t>优秀医师的表彰奖励</w:t>
            </w:r>
          </w:p>
        </w:tc>
        <w:tc>
          <w:tcPr>
            <w:tcW w:w="680" w:type="dxa"/>
            <w:vAlign w:val="center"/>
          </w:tcPr>
          <w:p>
            <w:pPr>
              <w:spacing w:line="260" w:lineRule="exac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082000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107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455" w:type="dxa"/>
            <w:vAlign w:val="center"/>
          </w:tcPr>
          <w:p>
            <w:pPr>
              <w:widowControl/>
              <w:adjustRightInd w:val="0"/>
              <w:snapToGrid w:val="0"/>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shd w:val="clear" w:color="auto" w:fill="FFFFFF"/>
              </w:rPr>
              <w:t>【法律】《中华人民共和国执业医师法》（2009年修改）</w:t>
            </w:r>
            <w:r>
              <w:rPr>
                <w:rFonts w:hint="eastAsia" w:ascii="仿宋_GB2312" w:hAnsi="仿宋_GB2312" w:eastAsia="仿宋_GB2312" w:cs="仿宋_GB2312"/>
                <w:b w:val="0"/>
                <w:bCs w:val="0"/>
                <w:color w:val="auto"/>
                <w:sz w:val="18"/>
                <w:szCs w:val="18"/>
                <w:highlight w:val="none"/>
                <w:u w:val="none"/>
                <w:shd w:val="clear" w:color="auto" w:fill="FFFFFF"/>
              </w:rPr>
              <w:br w:type="textWrapping"/>
            </w:r>
            <w:r>
              <w:rPr>
                <w:rFonts w:hint="eastAsia" w:ascii="仿宋_GB2312" w:hAnsi="仿宋_GB2312" w:eastAsia="仿宋_GB2312" w:cs="仿宋_GB2312"/>
                <w:b w:val="0"/>
                <w:bCs w:val="0"/>
                <w:color w:val="auto"/>
                <w:sz w:val="18"/>
                <w:szCs w:val="18"/>
                <w:highlight w:val="none"/>
                <w:u w:val="none"/>
                <w:shd w:val="clear" w:color="auto" w:fill="FFFFFF"/>
              </w:rPr>
              <w:t>　　第三十三条 医师有下列情形之一的，县级以上人民政府卫生行政部门应当给予表彰或者奖励：（一）在执业活动中，医德高尚，事迹突出的；（二）对医学专业技术有重大突破，作出显著贡献的；（三）遇有自然灾害、传染病流行、突发重大伤亡事故及其他严重威胁人民生命健康的紧急情况时，救死扶伤、抢救诊疗表现突出的；（四）长期在边远贫困地区、少数民族地区条件艰苦的基层单位努力工作的；（五）国务院卫生行政部门规定应当予以表彰或者奖励的其他情形的。</w:t>
            </w:r>
          </w:p>
        </w:tc>
        <w:tc>
          <w:tcPr>
            <w:tcW w:w="1227" w:type="dxa"/>
            <w:vAlign w:val="center"/>
          </w:tcPr>
          <w:p>
            <w:pPr>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shd w:val="clear" w:color="auto" w:fill="FFFFFF"/>
              </w:rPr>
              <w:t>表彰或者奖励</w:t>
            </w:r>
          </w:p>
        </w:tc>
        <w:tc>
          <w:tcPr>
            <w:tcW w:w="875" w:type="dxa"/>
            <w:vAlign w:val="center"/>
          </w:tcPr>
          <w:p>
            <w:pPr>
              <w:jc w:val="center"/>
              <w:rPr>
                <w:rFonts w:hint="eastAsia" w:ascii="仿宋_GB2312" w:hAnsi="仿宋_GB2312" w:eastAsia="仿宋_GB2312" w:cs="仿宋_GB2312"/>
                <w:b w:val="0"/>
                <w:bCs w:val="0"/>
                <w:color w:val="auto"/>
                <w:sz w:val="18"/>
                <w:szCs w:val="18"/>
                <w:highlight w:val="none"/>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650" w:type="dxa"/>
            <w:vAlign w:val="center"/>
          </w:tcPr>
          <w:p>
            <w:pPr>
              <w:spacing w:line="260" w:lineRule="exact"/>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5</w:t>
            </w:r>
          </w:p>
        </w:tc>
        <w:tc>
          <w:tcPr>
            <w:tcW w:w="1332" w:type="dxa"/>
            <w:vAlign w:val="center"/>
          </w:tcPr>
          <w:p>
            <w:pPr>
              <w:widowControl/>
              <w:adjustRightInd w:val="0"/>
              <w:snapToGrid w:val="0"/>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auto"/>
                <w:sz w:val="18"/>
                <w:szCs w:val="18"/>
                <w:highlight w:val="none"/>
                <w:u w:val="none"/>
                <w:lang w:eastAsia="zh-CN"/>
              </w:rPr>
              <w:t>行政奖励</w:t>
            </w:r>
          </w:p>
        </w:tc>
        <w:tc>
          <w:tcPr>
            <w:tcW w:w="1418" w:type="dxa"/>
            <w:vAlign w:val="center"/>
          </w:tcPr>
          <w:p>
            <w:pPr>
              <w:widowControl/>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做出突出贡献护士的表彰奖励</w:t>
            </w:r>
          </w:p>
        </w:tc>
        <w:tc>
          <w:tcPr>
            <w:tcW w:w="680" w:type="dxa"/>
            <w:vAlign w:val="center"/>
          </w:tcPr>
          <w:p>
            <w:pPr>
              <w:spacing w:line="260" w:lineRule="exac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082000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107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455" w:type="dxa"/>
            <w:vAlign w:val="center"/>
          </w:tcPr>
          <w:p>
            <w:pPr>
              <w:widowControl/>
              <w:adjustRightInd w:val="0"/>
              <w:snapToGrid w:val="0"/>
              <w:ind w:firstLine="360" w:firstLineChars="200"/>
              <w:rPr>
                <w:rFonts w:hint="eastAsia" w:ascii="仿宋_GB2312" w:hAnsi="仿宋_GB2312" w:eastAsia="仿宋_GB2312" w:cs="仿宋_GB2312"/>
                <w:b w:val="0"/>
                <w:bCs w:val="0"/>
                <w:color w:val="auto"/>
                <w:sz w:val="18"/>
                <w:szCs w:val="18"/>
                <w:highlight w:val="none"/>
                <w:u w:val="none"/>
                <w:shd w:val="clear" w:color="auto" w:fill="FFFFFF"/>
              </w:rPr>
            </w:pPr>
            <w:r>
              <w:rPr>
                <w:rFonts w:hint="eastAsia" w:ascii="仿宋_GB2312" w:hAnsi="仿宋_GB2312" w:eastAsia="仿宋_GB2312" w:cs="仿宋_GB2312"/>
                <w:b w:val="0"/>
                <w:bCs w:val="0"/>
                <w:color w:val="auto"/>
                <w:sz w:val="18"/>
                <w:szCs w:val="18"/>
                <w:highlight w:val="none"/>
                <w:u w:val="none"/>
                <w:shd w:val="clear" w:color="auto" w:fill="FFFFFF"/>
              </w:rPr>
              <w:t>【行政法规】《护士条例》（</w:t>
            </w:r>
            <w:r>
              <w:rPr>
                <w:rFonts w:hint="eastAsia" w:ascii="仿宋_GB2312" w:hAnsi="仿宋_GB2312" w:eastAsia="仿宋_GB2312" w:cs="仿宋_GB2312"/>
                <w:b w:val="0"/>
                <w:bCs w:val="0"/>
                <w:color w:val="auto"/>
                <w:sz w:val="18"/>
                <w:szCs w:val="18"/>
                <w:highlight w:val="none"/>
                <w:u w:val="none"/>
              </w:rPr>
              <w:t>2008年国务院令第517号</w:t>
            </w:r>
            <w:r>
              <w:rPr>
                <w:rFonts w:hint="eastAsia" w:ascii="仿宋_GB2312" w:hAnsi="仿宋_GB2312" w:eastAsia="仿宋_GB2312" w:cs="仿宋_GB2312"/>
                <w:b w:val="0"/>
                <w:bCs w:val="0"/>
                <w:color w:val="auto"/>
                <w:sz w:val="18"/>
                <w:szCs w:val="18"/>
                <w:highlight w:val="none"/>
                <w:u w:val="none"/>
                <w:shd w:val="clear" w:color="auto" w:fill="FFFFFF"/>
              </w:rPr>
              <w:t>）</w:t>
            </w:r>
            <w:r>
              <w:rPr>
                <w:rFonts w:hint="eastAsia" w:ascii="仿宋_GB2312" w:hAnsi="仿宋_GB2312" w:eastAsia="仿宋_GB2312" w:cs="仿宋_GB2312"/>
                <w:b w:val="0"/>
                <w:bCs w:val="0"/>
                <w:color w:val="auto"/>
                <w:sz w:val="18"/>
                <w:szCs w:val="18"/>
                <w:highlight w:val="none"/>
                <w:u w:val="none"/>
                <w:shd w:val="clear" w:color="auto" w:fill="FFFFFF"/>
              </w:rPr>
              <w:br w:type="textWrapping"/>
            </w:r>
            <w:r>
              <w:rPr>
                <w:rFonts w:hint="eastAsia" w:ascii="仿宋_GB2312" w:hAnsi="仿宋_GB2312" w:eastAsia="仿宋_GB2312" w:cs="仿宋_GB2312"/>
                <w:b w:val="0"/>
                <w:bCs w:val="0"/>
                <w:color w:val="auto"/>
                <w:sz w:val="18"/>
                <w:szCs w:val="18"/>
                <w:highlight w:val="none"/>
                <w:u w:val="none"/>
                <w:shd w:val="clear" w:color="auto" w:fill="FFFFFF"/>
              </w:rPr>
              <w:t>　　第六条第二款 县级以上地方人民政府及其有关部门对本行政区域内做出突出贡献的护士，按照省、自治区、直辖市人民政府的有关规定给予表彰、奖励。</w:t>
            </w:r>
          </w:p>
        </w:tc>
        <w:tc>
          <w:tcPr>
            <w:tcW w:w="1227" w:type="dxa"/>
            <w:vAlign w:val="center"/>
          </w:tcPr>
          <w:p>
            <w:pPr>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shd w:val="clear" w:color="auto" w:fill="FFFFFF"/>
              </w:rPr>
              <w:t>表彰、奖励</w:t>
            </w:r>
          </w:p>
        </w:tc>
        <w:tc>
          <w:tcPr>
            <w:tcW w:w="875" w:type="dxa"/>
            <w:vAlign w:val="center"/>
          </w:tcPr>
          <w:p>
            <w:pPr>
              <w:jc w:val="center"/>
              <w:rPr>
                <w:rFonts w:hint="eastAsia" w:ascii="仿宋_GB2312" w:hAnsi="仿宋_GB2312" w:eastAsia="仿宋_GB2312" w:cs="仿宋_GB2312"/>
                <w:b w:val="0"/>
                <w:bCs w:val="0"/>
                <w:color w:val="auto"/>
                <w:sz w:val="18"/>
                <w:szCs w:val="18"/>
                <w:highlight w:val="none"/>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650" w:type="dxa"/>
            <w:vAlign w:val="center"/>
          </w:tcPr>
          <w:p>
            <w:pPr>
              <w:spacing w:line="260" w:lineRule="exact"/>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6</w:t>
            </w:r>
          </w:p>
        </w:tc>
        <w:tc>
          <w:tcPr>
            <w:tcW w:w="1332" w:type="dxa"/>
            <w:vAlign w:val="center"/>
          </w:tcPr>
          <w:p>
            <w:pPr>
              <w:widowControl/>
              <w:adjustRightInd w:val="0"/>
              <w:snapToGrid w:val="0"/>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auto"/>
                <w:sz w:val="18"/>
                <w:szCs w:val="18"/>
                <w:highlight w:val="none"/>
                <w:u w:val="none"/>
                <w:lang w:eastAsia="zh-CN"/>
              </w:rPr>
              <w:t>行政奖励</w:t>
            </w:r>
          </w:p>
        </w:tc>
        <w:tc>
          <w:tcPr>
            <w:tcW w:w="1418" w:type="dxa"/>
            <w:vAlign w:val="center"/>
          </w:tcPr>
          <w:p>
            <w:pPr>
              <w:widowControl/>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对在传染病防治工作中做出显著成绩和贡献的单位和个人给予表彰和奖励</w:t>
            </w:r>
          </w:p>
        </w:tc>
        <w:tc>
          <w:tcPr>
            <w:tcW w:w="680" w:type="dxa"/>
            <w:vAlign w:val="center"/>
          </w:tcPr>
          <w:p>
            <w:pPr>
              <w:spacing w:line="260" w:lineRule="exac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082000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107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p>
            <w:pPr>
              <w:spacing w:line="260" w:lineRule="exact"/>
              <w:jc w:val="center"/>
              <w:rPr>
                <w:rFonts w:hint="eastAsia" w:ascii="仿宋_GB2312" w:hAnsi="仿宋_GB2312" w:eastAsia="仿宋_GB2312" w:cs="仿宋_GB2312"/>
                <w:b w:val="0"/>
                <w:bCs w:val="0"/>
                <w:color w:val="auto"/>
                <w:sz w:val="18"/>
                <w:szCs w:val="18"/>
                <w:highlight w:val="none"/>
                <w:u w:val="none"/>
              </w:rPr>
            </w:pPr>
          </w:p>
        </w:tc>
        <w:tc>
          <w:tcPr>
            <w:tcW w:w="7455" w:type="dxa"/>
            <w:vAlign w:val="center"/>
          </w:tcPr>
          <w:p>
            <w:pPr>
              <w:widowControl/>
              <w:adjustRightInd w:val="0"/>
              <w:snapToGrid w:val="0"/>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shd w:val="clear" w:color="auto" w:fill="FFFFFF"/>
              </w:rPr>
              <w:t>【法律】《中华人民共和国传染病防治法》（2013年修正）</w:t>
            </w:r>
            <w:r>
              <w:rPr>
                <w:rFonts w:hint="eastAsia" w:ascii="仿宋_GB2312" w:hAnsi="仿宋_GB2312" w:eastAsia="仿宋_GB2312" w:cs="仿宋_GB2312"/>
                <w:b w:val="0"/>
                <w:bCs w:val="0"/>
                <w:color w:val="auto"/>
                <w:sz w:val="18"/>
                <w:szCs w:val="18"/>
                <w:highlight w:val="none"/>
                <w:u w:val="none"/>
                <w:shd w:val="clear" w:color="auto" w:fill="FFFFFF"/>
              </w:rPr>
              <w:br w:type="textWrapping"/>
            </w:r>
            <w:r>
              <w:rPr>
                <w:rFonts w:hint="eastAsia" w:ascii="仿宋_GB2312" w:hAnsi="仿宋_GB2312" w:eastAsia="仿宋_GB2312" w:cs="仿宋_GB2312"/>
                <w:b w:val="0"/>
                <w:bCs w:val="0"/>
                <w:color w:val="auto"/>
                <w:sz w:val="18"/>
                <w:szCs w:val="18"/>
                <w:highlight w:val="none"/>
                <w:u w:val="none"/>
                <w:shd w:val="clear" w:color="auto" w:fill="FFFFFF"/>
              </w:rPr>
              <w:t xml:space="preserve">　　第六条第一款 国务院卫生行政部门主管全国传染病防治及其监督管理工作。县级以上地方人民政府卫生行政部门负责本行政区域内的传染病防治及其监督管理工作。 </w:t>
            </w:r>
            <w:r>
              <w:rPr>
                <w:rFonts w:hint="eastAsia" w:ascii="仿宋_GB2312" w:hAnsi="仿宋_GB2312" w:eastAsia="仿宋_GB2312" w:cs="仿宋_GB2312"/>
                <w:b w:val="0"/>
                <w:bCs w:val="0"/>
                <w:color w:val="auto"/>
                <w:sz w:val="18"/>
                <w:szCs w:val="18"/>
                <w:highlight w:val="none"/>
                <w:u w:val="none"/>
                <w:shd w:val="clear" w:color="auto" w:fill="FFFFFF"/>
              </w:rPr>
              <w:br w:type="textWrapping"/>
            </w:r>
            <w:r>
              <w:rPr>
                <w:rFonts w:hint="eastAsia" w:ascii="仿宋_GB2312" w:hAnsi="仿宋_GB2312" w:eastAsia="仿宋_GB2312" w:cs="仿宋_GB2312"/>
                <w:b w:val="0"/>
                <w:bCs w:val="0"/>
                <w:color w:val="auto"/>
                <w:sz w:val="18"/>
                <w:szCs w:val="18"/>
                <w:highlight w:val="none"/>
                <w:u w:val="none"/>
                <w:shd w:val="clear" w:color="auto" w:fill="FFFFFF"/>
              </w:rPr>
              <w:t>　　第十一条 对在传染病防治工作中做出显著成绩和贡献的单位和个人，给予表彰和奖励。</w:t>
            </w:r>
          </w:p>
        </w:tc>
        <w:tc>
          <w:tcPr>
            <w:tcW w:w="1227" w:type="dxa"/>
            <w:vAlign w:val="center"/>
          </w:tcPr>
          <w:p>
            <w:pPr>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shd w:val="clear" w:color="auto" w:fill="FFFFFF"/>
              </w:rPr>
              <w:t>表彰和奖励</w:t>
            </w:r>
          </w:p>
        </w:tc>
        <w:tc>
          <w:tcPr>
            <w:tcW w:w="875" w:type="dxa"/>
            <w:vAlign w:val="center"/>
          </w:tcPr>
          <w:p>
            <w:pPr>
              <w:jc w:val="center"/>
              <w:rPr>
                <w:rFonts w:hint="eastAsia" w:ascii="仿宋_GB2312" w:hAnsi="仿宋_GB2312" w:eastAsia="仿宋_GB2312" w:cs="仿宋_GB2312"/>
                <w:b w:val="0"/>
                <w:bCs w:val="0"/>
                <w:color w:val="auto"/>
                <w:sz w:val="18"/>
                <w:szCs w:val="18"/>
                <w:highlight w:val="none"/>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650" w:type="dxa"/>
            <w:vAlign w:val="center"/>
          </w:tcPr>
          <w:p>
            <w:pPr>
              <w:spacing w:line="260" w:lineRule="exact"/>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7</w:t>
            </w:r>
          </w:p>
        </w:tc>
        <w:tc>
          <w:tcPr>
            <w:tcW w:w="1332" w:type="dxa"/>
            <w:vAlign w:val="center"/>
          </w:tcPr>
          <w:p>
            <w:pPr>
              <w:widowControl/>
              <w:adjustRightInd w:val="0"/>
              <w:snapToGrid w:val="0"/>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auto"/>
                <w:sz w:val="18"/>
                <w:szCs w:val="18"/>
                <w:highlight w:val="none"/>
                <w:u w:val="none"/>
                <w:lang w:eastAsia="zh-CN"/>
              </w:rPr>
              <w:t>行政奖励</w:t>
            </w:r>
          </w:p>
        </w:tc>
        <w:tc>
          <w:tcPr>
            <w:tcW w:w="1418" w:type="dxa"/>
            <w:vAlign w:val="center"/>
          </w:tcPr>
          <w:p>
            <w:pPr>
              <w:widowControl/>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对在精神卫生工作中作出突出贡献的组织、个人</w:t>
            </w:r>
            <w:r>
              <w:rPr>
                <w:rFonts w:hint="eastAsia" w:ascii="仿宋_GB2312" w:hAnsi="仿宋_GB2312" w:eastAsia="仿宋_GB2312" w:cs="仿宋_GB2312"/>
                <w:b w:val="0"/>
                <w:bCs w:val="0"/>
                <w:color w:val="000000" w:themeColor="text1"/>
                <w:sz w:val="18"/>
                <w:szCs w:val="18"/>
                <w:highlight w:val="none"/>
                <w:u w:val="none"/>
                <w:lang w:eastAsia="zh-CN"/>
                <w14:textFill>
                  <w14:solidFill>
                    <w14:schemeClr w14:val="tx1"/>
                  </w14:solidFill>
                </w14:textFill>
              </w:rPr>
              <w:t>给予</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表彰</w:t>
            </w:r>
            <w:r>
              <w:rPr>
                <w:rFonts w:hint="eastAsia" w:ascii="仿宋_GB2312" w:hAnsi="仿宋_GB2312" w:eastAsia="仿宋_GB2312" w:cs="仿宋_GB2312"/>
                <w:b w:val="0"/>
                <w:bCs w:val="0"/>
                <w:color w:val="000000" w:themeColor="text1"/>
                <w:sz w:val="18"/>
                <w:szCs w:val="18"/>
                <w:highlight w:val="none"/>
                <w:u w:val="none"/>
                <w:lang w:eastAsia="zh-CN"/>
                <w14:textFill>
                  <w14:solidFill>
                    <w14:schemeClr w14:val="tx1"/>
                  </w14:solidFill>
                </w14:textFill>
              </w:rPr>
              <w:t>和</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奖励</w:t>
            </w:r>
          </w:p>
        </w:tc>
        <w:tc>
          <w:tcPr>
            <w:tcW w:w="680" w:type="dxa"/>
            <w:vAlign w:val="center"/>
          </w:tcPr>
          <w:p>
            <w:pPr>
              <w:spacing w:line="260" w:lineRule="exac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082000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70</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w:t>
            </w:r>
          </w:p>
        </w:tc>
        <w:tc>
          <w:tcPr>
            <w:tcW w:w="107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455" w:type="dxa"/>
            <w:vAlign w:val="center"/>
          </w:tcPr>
          <w:p>
            <w:pPr>
              <w:widowControl/>
              <w:adjustRightInd w:val="0"/>
              <w:snapToGrid w:val="0"/>
              <w:ind w:firstLine="360" w:firstLineChars="200"/>
              <w:rPr>
                <w:rFonts w:hint="eastAsia" w:ascii="仿宋_GB2312" w:hAnsi="仿宋_GB2312" w:eastAsia="仿宋_GB2312" w:cs="仿宋_GB2312"/>
                <w:b w:val="0"/>
                <w:bCs w:val="0"/>
                <w:color w:val="auto"/>
                <w:sz w:val="18"/>
                <w:szCs w:val="18"/>
                <w:highlight w:val="none"/>
                <w:u w:val="none"/>
              </w:rPr>
            </w:pPr>
            <w:r>
              <w:rPr>
                <w:rFonts w:hint="eastAsia" w:ascii="仿宋_GB2312" w:hAnsi="仿宋_GB2312" w:eastAsia="仿宋_GB2312" w:cs="仿宋_GB2312"/>
                <w:b w:val="0"/>
                <w:bCs w:val="0"/>
                <w:color w:val="auto"/>
                <w:sz w:val="18"/>
                <w:szCs w:val="18"/>
                <w:highlight w:val="none"/>
                <w:u w:val="none"/>
                <w:shd w:val="clear" w:color="auto" w:fill="FFFFFF"/>
              </w:rPr>
              <w:t>【法律】《中华人民共和国精神卫生法》（2012年）</w:t>
            </w:r>
            <w:r>
              <w:rPr>
                <w:rFonts w:hint="eastAsia" w:ascii="仿宋_GB2312" w:hAnsi="仿宋_GB2312" w:eastAsia="仿宋_GB2312" w:cs="仿宋_GB2312"/>
                <w:b w:val="0"/>
                <w:bCs w:val="0"/>
                <w:color w:val="auto"/>
                <w:sz w:val="18"/>
                <w:szCs w:val="18"/>
                <w:highlight w:val="none"/>
                <w:u w:val="none"/>
                <w:shd w:val="clear" w:color="auto" w:fill="FFFFFF"/>
              </w:rPr>
              <w:br w:type="textWrapping"/>
            </w:r>
            <w:r>
              <w:rPr>
                <w:rFonts w:hint="eastAsia" w:ascii="仿宋_GB2312" w:hAnsi="仿宋_GB2312" w:eastAsia="仿宋_GB2312" w:cs="仿宋_GB2312"/>
                <w:b w:val="0"/>
                <w:bCs w:val="0"/>
                <w:color w:val="auto"/>
                <w:sz w:val="18"/>
                <w:szCs w:val="18"/>
                <w:highlight w:val="none"/>
                <w:u w:val="none"/>
                <w:shd w:val="clear" w:color="auto" w:fill="FFFFFF"/>
              </w:rPr>
              <w:t>　　第十二条第二款 对在精神卫生工作中作出突出贡献的组织、个人，按照国家有关规定给予表彰、奖励</w:t>
            </w:r>
          </w:p>
        </w:tc>
        <w:tc>
          <w:tcPr>
            <w:tcW w:w="1227" w:type="dxa"/>
            <w:vAlign w:val="center"/>
          </w:tcPr>
          <w:p>
            <w:pPr>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shd w:val="clear" w:color="auto" w:fill="FFFFFF"/>
              </w:rPr>
              <w:t>表彰</w:t>
            </w:r>
            <w:r>
              <w:rPr>
                <w:rFonts w:hint="eastAsia" w:ascii="仿宋_GB2312" w:hAnsi="仿宋_GB2312" w:eastAsia="仿宋_GB2312" w:cs="仿宋_GB2312"/>
                <w:b w:val="0"/>
                <w:bCs w:val="0"/>
                <w:color w:val="auto"/>
                <w:sz w:val="18"/>
                <w:szCs w:val="18"/>
                <w:highlight w:val="none"/>
                <w:u w:val="none"/>
                <w:shd w:val="clear" w:color="auto" w:fill="FFFFFF"/>
                <w:lang w:eastAsia="zh-CN"/>
              </w:rPr>
              <w:t>和</w:t>
            </w:r>
            <w:r>
              <w:rPr>
                <w:rFonts w:hint="eastAsia" w:ascii="仿宋_GB2312" w:hAnsi="仿宋_GB2312" w:eastAsia="仿宋_GB2312" w:cs="仿宋_GB2312"/>
                <w:b w:val="0"/>
                <w:bCs w:val="0"/>
                <w:color w:val="auto"/>
                <w:sz w:val="18"/>
                <w:szCs w:val="18"/>
                <w:highlight w:val="none"/>
                <w:u w:val="none"/>
                <w:shd w:val="clear" w:color="auto" w:fill="FFFFFF"/>
              </w:rPr>
              <w:t>奖励</w:t>
            </w:r>
          </w:p>
        </w:tc>
        <w:tc>
          <w:tcPr>
            <w:tcW w:w="875" w:type="dxa"/>
            <w:vAlign w:val="center"/>
          </w:tcPr>
          <w:p>
            <w:pPr>
              <w:jc w:val="center"/>
              <w:rPr>
                <w:rFonts w:hint="eastAsia" w:ascii="仿宋_GB2312" w:hAnsi="仿宋_GB2312" w:eastAsia="仿宋_GB2312" w:cs="仿宋_GB2312"/>
                <w:b w:val="0"/>
                <w:bCs w:val="0"/>
                <w:color w:val="auto"/>
                <w:sz w:val="18"/>
                <w:szCs w:val="18"/>
                <w:highlight w:val="none"/>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650" w:type="dxa"/>
            <w:vAlign w:val="center"/>
          </w:tcPr>
          <w:p>
            <w:pPr>
              <w:spacing w:line="260" w:lineRule="exact"/>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8</w:t>
            </w:r>
          </w:p>
        </w:tc>
        <w:tc>
          <w:tcPr>
            <w:tcW w:w="1332" w:type="dxa"/>
            <w:vAlign w:val="center"/>
          </w:tcPr>
          <w:p>
            <w:pPr>
              <w:widowControl/>
              <w:adjustRightInd w:val="0"/>
              <w:snapToGrid w:val="0"/>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auto"/>
                <w:sz w:val="18"/>
                <w:szCs w:val="18"/>
                <w:highlight w:val="none"/>
                <w:u w:val="none"/>
                <w:lang w:eastAsia="zh-CN"/>
              </w:rPr>
              <w:t>行政奖励</w:t>
            </w:r>
          </w:p>
        </w:tc>
        <w:tc>
          <w:tcPr>
            <w:tcW w:w="1418" w:type="dxa"/>
            <w:vAlign w:val="center"/>
          </w:tcPr>
          <w:p>
            <w:pPr>
              <w:widowControl/>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对在艾滋病防治工作中做出显著成绩和贡献的单位和个人给予表彰和奖励</w:t>
            </w:r>
          </w:p>
        </w:tc>
        <w:tc>
          <w:tcPr>
            <w:tcW w:w="680" w:type="dxa"/>
            <w:vAlign w:val="center"/>
          </w:tcPr>
          <w:p>
            <w:pPr>
              <w:spacing w:line="260" w:lineRule="exac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082000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107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455" w:type="dxa"/>
            <w:vAlign w:val="center"/>
          </w:tcPr>
          <w:p>
            <w:pPr>
              <w:widowControl/>
              <w:adjustRightInd w:val="0"/>
              <w:snapToGrid w:val="0"/>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shd w:val="clear" w:color="auto" w:fill="FFFFFF"/>
              </w:rPr>
              <w:t>【行政法规】《艾滋病防治条例》</w:t>
            </w:r>
            <w:r>
              <w:rPr>
                <w:rFonts w:hint="eastAsia" w:ascii="仿宋_GB2312" w:hAnsi="仿宋_GB2312" w:eastAsia="仿宋_GB2312" w:cs="仿宋_GB2312"/>
                <w:b w:val="0"/>
                <w:bCs w:val="0"/>
                <w:color w:val="auto"/>
                <w:sz w:val="18"/>
                <w:szCs w:val="18"/>
                <w:highlight w:val="none"/>
                <w:u w:val="none"/>
              </w:rPr>
              <w:t>（20</w:t>
            </w:r>
            <w:r>
              <w:rPr>
                <w:rFonts w:hint="eastAsia" w:ascii="仿宋_GB2312" w:hAnsi="仿宋_GB2312" w:eastAsia="仿宋_GB2312" w:cs="仿宋_GB2312"/>
                <w:b w:val="0"/>
                <w:bCs w:val="0"/>
                <w:color w:val="auto"/>
                <w:sz w:val="18"/>
                <w:szCs w:val="18"/>
                <w:highlight w:val="none"/>
                <w:u w:val="none"/>
                <w:lang w:val="en-US" w:eastAsia="zh-CN"/>
              </w:rPr>
              <w:t>19</w:t>
            </w:r>
            <w:r>
              <w:rPr>
                <w:rFonts w:hint="eastAsia" w:ascii="仿宋_GB2312" w:hAnsi="仿宋_GB2312" w:eastAsia="仿宋_GB2312" w:cs="仿宋_GB2312"/>
                <w:b w:val="0"/>
                <w:bCs w:val="0"/>
                <w:color w:val="auto"/>
                <w:sz w:val="18"/>
                <w:szCs w:val="18"/>
                <w:highlight w:val="none"/>
                <w:u w:val="none"/>
              </w:rPr>
              <w:t>年国务院令第</w:t>
            </w:r>
            <w:r>
              <w:rPr>
                <w:rFonts w:hint="eastAsia" w:ascii="仿宋_GB2312" w:hAnsi="仿宋_GB2312" w:eastAsia="仿宋_GB2312" w:cs="仿宋_GB2312"/>
                <w:b w:val="0"/>
                <w:bCs w:val="0"/>
                <w:color w:val="auto"/>
                <w:sz w:val="18"/>
                <w:szCs w:val="18"/>
                <w:highlight w:val="none"/>
                <w:u w:val="none"/>
                <w:lang w:val="en-US" w:eastAsia="zh-CN"/>
              </w:rPr>
              <w:t>709</w:t>
            </w:r>
            <w:r>
              <w:rPr>
                <w:rFonts w:hint="eastAsia" w:ascii="仿宋_GB2312" w:hAnsi="仿宋_GB2312" w:eastAsia="仿宋_GB2312" w:cs="仿宋_GB2312"/>
                <w:b w:val="0"/>
                <w:bCs w:val="0"/>
                <w:color w:val="auto"/>
                <w:sz w:val="18"/>
                <w:szCs w:val="18"/>
                <w:highlight w:val="none"/>
                <w:u w:val="none"/>
              </w:rPr>
              <w:t>号）</w:t>
            </w:r>
            <w:r>
              <w:rPr>
                <w:rFonts w:hint="eastAsia" w:ascii="仿宋_GB2312" w:hAnsi="仿宋_GB2312" w:eastAsia="仿宋_GB2312" w:cs="仿宋_GB2312"/>
                <w:b w:val="0"/>
                <w:bCs w:val="0"/>
                <w:color w:val="auto"/>
                <w:sz w:val="18"/>
                <w:szCs w:val="18"/>
                <w:highlight w:val="none"/>
                <w:u w:val="none"/>
                <w:shd w:val="clear" w:color="auto" w:fill="FFFFFF"/>
              </w:rPr>
              <w:br w:type="textWrapping"/>
            </w:r>
            <w:r>
              <w:rPr>
                <w:rFonts w:hint="eastAsia" w:ascii="仿宋_GB2312" w:hAnsi="仿宋_GB2312" w:eastAsia="仿宋_GB2312" w:cs="仿宋_GB2312"/>
                <w:b w:val="0"/>
                <w:bCs w:val="0"/>
                <w:color w:val="auto"/>
                <w:sz w:val="18"/>
                <w:szCs w:val="18"/>
                <w:highlight w:val="none"/>
                <w:u w:val="none"/>
                <w:shd w:val="clear" w:color="auto" w:fill="FFFFFF"/>
              </w:rPr>
              <w:t>　　 第九条 县级以上人民政府和政府有关部门对在艾滋病防治工作中做出显著成绩和贡献的单位和个人，给予表彰和奖励。</w:t>
            </w:r>
          </w:p>
        </w:tc>
        <w:tc>
          <w:tcPr>
            <w:tcW w:w="1227" w:type="dxa"/>
            <w:vAlign w:val="center"/>
          </w:tcPr>
          <w:p>
            <w:pPr>
              <w:jc w:val="center"/>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sz w:val="18"/>
                <w:szCs w:val="18"/>
                <w:highlight w:val="none"/>
                <w:u w:val="none"/>
                <w:shd w:val="clear" w:color="auto" w:fill="FFFFFF"/>
              </w:rPr>
              <w:t>表彰和奖励</w:t>
            </w:r>
          </w:p>
        </w:tc>
        <w:tc>
          <w:tcPr>
            <w:tcW w:w="875" w:type="dxa"/>
            <w:vAlign w:val="center"/>
          </w:tcPr>
          <w:p>
            <w:pPr>
              <w:jc w:val="center"/>
              <w:rPr>
                <w:rFonts w:hint="eastAsia" w:ascii="仿宋_GB2312" w:hAnsi="仿宋_GB2312" w:eastAsia="仿宋_GB2312" w:cs="仿宋_GB2312"/>
                <w:b w:val="0"/>
                <w:bCs w:val="0"/>
                <w:color w:val="auto"/>
                <w:sz w:val="18"/>
                <w:szCs w:val="18"/>
                <w:highlight w:val="none"/>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0" w:type="dxa"/>
            <w:vAlign w:val="center"/>
          </w:tcPr>
          <w:p>
            <w:pPr>
              <w:spacing w:line="260" w:lineRule="exact"/>
              <w:rPr>
                <w:rFonts w:hint="eastAsia"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9</w:t>
            </w:r>
          </w:p>
        </w:tc>
        <w:tc>
          <w:tcPr>
            <w:tcW w:w="1332" w:type="dxa"/>
            <w:vAlign w:val="center"/>
          </w:tcPr>
          <w:p>
            <w:pPr>
              <w:widowControl/>
              <w:adjustRightInd w:val="0"/>
              <w:snapToGrid w:val="0"/>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auto"/>
                <w:sz w:val="18"/>
                <w:szCs w:val="18"/>
                <w:highlight w:val="none"/>
                <w:u w:val="none"/>
                <w:lang w:eastAsia="zh-CN"/>
              </w:rPr>
              <w:t>行政奖励</w:t>
            </w:r>
          </w:p>
        </w:tc>
        <w:tc>
          <w:tcPr>
            <w:tcW w:w="1418" w:type="dxa"/>
            <w:vAlign w:val="center"/>
          </w:tcPr>
          <w:p>
            <w:pPr>
              <w:widowControl/>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对在预防接种工作中做出显著成绩的单位和个人的表彰</w:t>
            </w:r>
            <w:r>
              <w:rPr>
                <w:rFonts w:hint="eastAsia" w:ascii="仿宋_GB2312" w:hAnsi="仿宋_GB2312" w:eastAsia="仿宋_GB2312" w:cs="仿宋_GB2312"/>
                <w:b w:val="0"/>
                <w:bCs w:val="0"/>
                <w:color w:val="000000" w:themeColor="text1"/>
                <w:sz w:val="18"/>
                <w:szCs w:val="18"/>
                <w:highlight w:val="none"/>
                <w:u w:val="none"/>
                <w:lang w:eastAsia="zh-CN"/>
                <w14:textFill>
                  <w14:solidFill>
                    <w14:schemeClr w14:val="tx1"/>
                  </w14:solidFill>
                </w14:textFill>
              </w:rPr>
              <w:t>和</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奖励</w:t>
            </w:r>
          </w:p>
        </w:tc>
        <w:tc>
          <w:tcPr>
            <w:tcW w:w="680" w:type="dxa"/>
            <w:vAlign w:val="center"/>
          </w:tcPr>
          <w:p>
            <w:pPr>
              <w:spacing w:line="260" w:lineRule="exac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082000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107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455" w:type="dxa"/>
            <w:vAlign w:val="center"/>
          </w:tcPr>
          <w:p>
            <w:pPr>
              <w:widowControl/>
              <w:adjustRightInd w:val="0"/>
              <w:snapToGrid w:val="0"/>
              <w:ind w:firstLine="360" w:firstLineChars="200"/>
              <w:jc w:val="left"/>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【地方性法规】《宁夏回族自治区预防接种管理条例》（2008年）</w:t>
            </w:r>
          </w:p>
          <w:p>
            <w:pPr>
              <w:widowControl/>
              <w:adjustRightInd w:val="0"/>
              <w:snapToGrid w:val="0"/>
              <w:ind w:firstLine="360" w:firstLineChars="200"/>
              <w:jc w:val="left"/>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第六条 对在预防接种工作中做出显著成绩的单位和个人，县级以上人民政府和有关部门应当给予表彰、奖励。</w:t>
            </w:r>
          </w:p>
        </w:tc>
        <w:tc>
          <w:tcPr>
            <w:tcW w:w="1227" w:type="dxa"/>
            <w:vAlign w:val="center"/>
          </w:tcPr>
          <w:p>
            <w:pPr>
              <w:jc w:val="center"/>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表彰</w:t>
            </w:r>
            <w:r>
              <w:rPr>
                <w:rFonts w:hint="eastAsia" w:ascii="仿宋_GB2312" w:hAnsi="仿宋_GB2312" w:eastAsia="仿宋_GB2312" w:cs="仿宋_GB2312"/>
                <w:b w:val="0"/>
                <w:bCs w:val="0"/>
                <w:color w:val="auto"/>
                <w:kern w:val="0"/>
                <w:sz w:val="18"/>
                <w:szCs w:val="18"/>
                <w:highlight w:val="none"/>
                <w:u w:val="none"/>
                <w:lang w:eastAsia="zh-CN"/>
              </w:rPr>
              <w:t>和</w:t>
            </w:r>
            <w:r>
              <w:rPr>
                <w:rFonts w:hint="eastAsia" w:ascii="仿宋_GB2312" w:hAnsi="仿宋_GB2312" w:eastAsia="仿宋_GB2312" w:cs="仿宋_GB2312"/>
                <w:b w:val="0"/>
                <w:bCs w:val="0"/>
                <w:color w:val="auto"/>
                <w:kern w:val="0"/>
                <w:sz w:val="18"/>
                <w:szCs w:val="18"/>
                <w:highlight w:val="none"/>
                <w:u w:val="none"/>
              </w:rPr>
              <w:t>奖励</w:t>
            </w:r>
          </w:p>
        </w:tc>
        <w:tc>
          <w:tcPr>
            <w:tcW w:w="875" w:type="dxa"/>
            <w:vAlign w:val="center"/>
          </w:tcPr>
          <w:p>
            <w:pPr>
              <w:jc w:val="center"/>
              <w:rPr>
                <w:rFonts w:hint="eastAsia" w:ascii="仿宋_GB2312" w:hAnsi="仿宋_GB2312" w:eastAsia="仿宋_GB2312" w:cs="仿宋_GB2312"/>
                <w:b w:val="0"/>
                <w:bCs w:val="0"/>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650" w:type="dxa"/>
            <w:vAlign w:val="center"/>
          </w:tcPr>
          <w:p>
            <w:pPr>
              <w:spacing w:line="260" w:lineRule="exact"/>
              <w:rPr>
                <w:rFonts w:hint="default"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10</w:t>
            </w:r>
          </w:p>
        </w:tc>
        <w:tc>
          <w:tcPr>
            <w:tcW w:w="1332" w:type="dxa"/>
            <w:vAlign w:val="center"/>
          </w:tcPr>
          <w:p>
            <w:pPr>
              <w:widowControl/>
              <w:adjustRightInd w:val="0"/>
              <w:snapToGrid w:val="0"/>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auto"/>
                <w:sz w:val="18"/>
                <w:szCs w:val="18"/>
                <w:highlight w:val="none"/>
                <w:u w:val="none"/>
                <w:lang w:eastAsia="zh-CN"/>
              </w:rPr>
              <w:t>行政奖励</w:t>
            </w:r>
          </w:p>
        </w:tc>
        <w:tc>
          <w:tcPr>
            <w:tcW w:w="1418" w:type="dxa"/>
            <w:vAlign w:val="center"/>
          </w:tcPr>
          <w:p>
            <w:pPr>
              <w:widowControl/>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对在学校卫生工作中成绩显著的单位或者个人的表彰奖励</w:t>
            </w:r>
          </w:p>
        </w:tc>
        <w:tc>
          <w:tcPr>
            <w:tcW w:w="680" w:type="dxa"/>
            <w:vAlign w:val="center"/>
          </w:tcPr>
          <w:p>
            <w:pPr>
              <w:spacing w:line="260" w:lineRule="exac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08200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107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455" w:type="dxa"/>
            <w:vAlign w:val="center"/>
          </w:tcPr>
          <w:p>
            <w:pPr>
              <w:widowControl/>
              <w:adjustRightInd w:val="0"/>
              <w:snapToGrid w:val="0"/>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【行政法规】《学校卫生工作条例》（</w:t>
            </w:r>
            <w:r>
              <w:rPr>
                <w:rFonts w:hint="eastAsia" w:ascii="仿宋_GB2312" w:hAnsi="仿宋_GB2312" w:eastAsia="仿宋_GB2312" w:cs="仿宋_GB2312"/>
                <w:b w:val="0"/>
                <w:bCs w:val="0"/>
                <w:color w:val="auto"/>
                <w:sz w:val="18"/>
                <w:szCs w:val="18"/>
                <w:highlight w:val="none"/>
                <w:u w:val="none"/>
              </w:rPr>
              <w:t>1990年国务院批准，国家教育委员会令第10号、卫生部令第1号</w:t>
            </w:r>
            <w:r>
              <w:rPr>
                <w:rFonts w:hint="eastAsia" w:ascii="仿宋_GB2312" w:hAnsi="仿宋_GB2312" w:eastAsia="仿宋_GB2312" w:cs="仿宋_GB2312"/>
                <w:b w:val="0"/>
                <w:bCs w:val="0"/>
                <w:color w:val="auto"/>
                <w:kern w:val="0"/>
                <w:sz w:val="18"/>
                <w:szCs w:val="18"/>
                <w:highlight w:val="none"/>
                <w:u w:val="none"/>
              </w:rPr>
              <w:t>）</w:t>
            </w:r>
          </w:p>
          <w:p>
            <w:pPr>
              <w:widowControl/>
              <w:adjustRightInd w:val="0"/>
              <w:snapToGrid w:val="0"/>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第三十一条 对在学校卫生工作中成绩显著的单位或者个人，各级教育、卫生行政部门和学校应当给予表彰、奖励。</w:t>
            </w:r>
          </w:p>
        </w:tc>
        <w:tc>
          <w:tcPr>
            <w:tcW w:w="1227" w:type="dxa"/>
            <w:vAlign w:val="center"/>
          </w:tcPr>
          <w:p>
            <w:pPr>
              <w:jc w:val="center"/>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表彰</w:t>
            </w:r>
            <w:r>
              <w:rPr>
                <w:rFonts w:hint="eastAsia" w:ascii="仿宋_GB2312" w:hAnsi="仿宋_GB2312" w:eastAsia="仿宋_GB2312" w:cs="仿宋_GB2312"/>
                <w:b w:val="0"/>
                <w:bCs w:val="0"/>
                <w:color w:val="auto"/>
                <w:kern w:val="0"/>
                <w:sz w:val="18"/>
                <w:szCs w:val="18"/>
                <w:highlight w:val="none"/>
                <w:u w:val="none"/>
                <w:lang w:eastAsia="zh-CN"/>
              </w:rPr>
              <w:t>和</w:t>
            </w:r>
            <w:r>
              <w:rPr>
                <w:rFonts w:hint="eastAsia" w:ascii="仿宋_GB2312" w:hAnsi="仿宋_GB2312" w:eastAsia="仿宋_GB2312" w:cs="仿宋_GB2312"/>
                <w:b w:val="0"/>
                <w:bCs w:val="0"/>
                <w:color w:val="auto"/>
                <w:kern w:val="0"/>
                <w:sz w:val="18"/>
                <w:szCs w:val="18"/>
                <w:highlight w:val="none"/>
                <w:u w:val="none"/>
              </w:rPr>
              <w:t>奖励</w:t>
            </w:r>
          </w:p>
        </w:tc>
        <w:tc>
          <w:tcPr>
            <w:tcW w:w="875" w:type="dxa"/>
            <w:vAlign w:val="center"/>
          </w:tcPr>
          <w:p>
            <w:pPr>
              <w:jc w:val="center"/>
              <w:rPr>
                <w:rFonts w:hint="eastAsia" w:ascii="仿宋_GB2312" w:hAnsi="仿宋_GB2312" w:eastAsia="仿宋_GB2312" w:cs="仿宋_GB2312"/>
                <w:b w:val="0"/>
                <w:bCs w:val="0"/>
                <w:color w:val="auto"/>
                <w:kern w:val="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650" w:type="dxa"/>
            <w:vAlign w:val="center"/>
          </w:tcPr>
          <w:p>
            <w:pPr>
              <w:spacing w:line="260" w:lineRule="exact"/>
              <w:rPr>
                <w:rFonts w:hint="default" w:ascii="仿宋_GB2312" w:hAnsi="仿宋_GB2312" w:eastAsia="仿宋_GB2312" w:cs="仿宋_GB2312"/>
                <w:b w:val="0"/>
                <w:bCs w:val="0"/>
                <w:color w:val="auto"/>
                <w:sz w:val="18"/>
                <w:szCs w:val="18"/>
                <w:highlight w:val="none"/>
                <w:u w:val="none"/>
                <w:lang w:val="en-US" w:eastAsia="zh-CN"/>
              </w:rPr>
            </w:pPr>
            <w:r>
              <w:rPr>
                <w:rFonts w:hint="eastAsia" w:ascii="仿宋_GB2312" w:hAnsi="仿宋_GB2312" w:eastAsia="仿宋_GB2312" w:cs="仿宋_GB2312"/>
                <w:b w:val="0"/>
                <w:bCs w:val="0"/>
                <w:color w:val="auto"/>
                <w:sz w:val="18"/>
                <w:szCs w:val="18"/>
                <w:highlight w:val="none"/>
                <w:u w:val="none"/>
                <w:lang w:val="en-US" w:eastAsia="zh-CN"/>
              </w:rPr>
              <w:t>11</w:t>
            </w:r>
          </w:p>
        </w:tc>
        <w:tc>
          <w:tcPr>
            <w:tcW w:w="1332" w:type="dxa"/>
            <w:vAlign w:val="center"/>
          </w:tcPr>
          <w:p>
            <w:pPr>
              <w:widowControl/>
              <w:adjustRightInd w:val="0"/>
              <w:snapToGrid w:val="0"/>
              <w:rPr>
                <w:rFonts w:hint="eastAsia" w:ascii="仿宋_GB2312" w:hAnsi="仿宋_GB2312" w:eastAsia="仿宋_GB2312" w:cs="仿宋_GB2312"/>
                <w:b w:val="0"/>
                <w:bCs w:val="0"/>
                <w:color w:val="FF0000"/>
                <w:sz w:val="18"/>
                <w:szCs w:val="18"/>
                <w:highlight w:val="none"/>
                <w:u w:val="none"/>
              </w:rPr>
            </w:pPr>
            <w:r>
              <w:rPr>
                <w:rFonts w:hint="eastAsia" w:ascii="仿宋_GB2312" w:hAnsi="仿宋_GB2312" w:eastAsia="仿宋_GB2312" w:cs="仿宋_GB2312"/>
                <w:b w:val="0"/>
                <w:bCs w:val="0"/>
                <w:color w:val="auto"/>
                <w:sz w:val="18"/>
                <w:szCs w:val="18"/>
                <w:highlight w:val="none"/>
                <w:u w:val="none"/>
                <w:lang w:eastAsia="zh-CN"/>
              </w:rPr>
              <w:t>行政奖励</w:t>
            </w:r>
          </w:p>
        </w:tc>
        <w:tc>
          <w:tcPr>
            <w:tcW w:w="1418" w:type="dxa"/>
            <w:vAlign w:val="center"/>
          </w:tcPr>
          <w:p>
            <w:pPr>
              <w:widowControl/>
              <w:adjustRightInd w:val="0"/>
              <w:snapToGrid w:val="0"/>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对在爱国卫生工作中取得显著成绩的单位和个人的表彰、奖励</w:t>
            </w:r>
          </w:p>
        </w:tc>
        <w:tc>
          <w:tcPr>
            <w:tcW w:w="680" w:type="dxa"/>
            <w:vAlign w:val="center"/>
          </w:tcPr>
          <w:p>
            <w:pPr>
              <w:spacing w:line="260" w:lineRule="exact"/>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08200</w:t>
            </w:r>
            <w:r>
              <w:rPr>
                <w:rFonts w:hint="eastAsia" w:ascii="仿宋_GB2312" w:hAnsi="仿宋_GB2312" w:eastAsia="仿宋_GB2312" w:cs="仿宋_GB2312"/>
                <w:b w:val="0"/>
                <w:bCs w:val="0"/>
                <w:color w:val="000000" w:themeColor="text1"/>
                <w:sz w:val="18"/>
                <w:szCs w:val="18"/>
                <w:highlight w:val="none"/>
                <w:u w:val="none"/>
                <w:lang w:val="en-US" w:eastAsia="zh-CN"/>
                <w14:textFill>
                  <w14:solidFill>
                    <w14:schemeClr w14:val="tx1"/>
                  </w14:solidFill>
                </w14:textFill>
              </w:rPr>
              <w:t>11</w:t>
            </w:r>
            <w:r>
              <w:rPr>
                <w:rFonts w:hint="eastAsia" w:ascii="仿宋_GB2312" w:hAnsi="仿宋_GB2312" w:eastAsia="仿宋_GB2312" w:cs="仿宋_GB2312"/>
                <w:b w:val="0"/>
                <w:bCs w:val="0"/>
                <w:color w:val="000000" w:themeColor="text1"/>
                <w:sz w:val="18"/>
                <w:szCs w:val="18"/>
                <w:highlight w:val="none"/>
                <w:u w:val="none"/>
                <w14:textFill>
                  <w14:solidFill>
                    <w14:schemeClr w14:val="tx1"/>
                  </w14:solidFill>
                </w14:textFill>
              </w:rPr>
              <w:t>000</w:t>
            </w:r>
          </w:p>
        </w:tc>
        <w:tc>
          <w:tcPr>
            <w:tcW w:w="1070" w:type="dxa"/>
            <w:vAlign w:val="center"/>
          </w:tcPr>
          <w:p>
            <w:pPr>
              <w:spacing w:line="260" w:lineRule="exact"/>
              <w:jc w:val="center"/>
              <w:rPr>
                <w:rFonts w:hint="eastAsia" w:ascii="仿宋_GB2312" w:hAnsi="仿宋_GB2312" w:eastAsia="仿宋_GB2312" w:cs="仿宋_GB2312"/>
                <w:b w:val="0"/>
                <w:bCs w:val="0"/>
                <w:color w:val="auto"/>
                <w:sz w:val="18"/>
                <w:szCs w:val="18"/>
                <w:highlight w:val="none"/>
                <w:u w:val="none"/>
                <w:lang w:eastAsia="zh-CN"/>
              </w:rPr>
            </w:pPr>
            <w:r>
              <w:rPr>
                <w:rFonts w:hint="eastAsia" w:ascii="仿宋_GB2312" w:hAnsi="仿宋_GB2312" w:eastAsia="仿宋_GB2312" w:cs="仿宋_GB2312"/>
                <w:b w:val="0"/>
                <w:bCs w:val="0"/>
                <w:color w:val="auto"/>
                <w:sz w:val="18"/>
                <w:szCs w:val="18"/>
                <w:highlight w:val="none"/>
                <w:u w:val="none"/>
                <w:lang w:eastAsia="zh-CN"/>
              </w:rPr>
              <w:t>卫生健康局</w:t>
            </w:r>
          </w:p>
        </w:tc>
        <w:tc>
          <w:tcPr>
            <w:tcW w:w="7455" w:type="dxa"/>
            <w:vAlign w:val="center"/>
          </w:tcPr>
          <w:p>
            <w:pPr>
              <w:widowControl/>
              <w:adjustRightInd w:val="0"/>
              <w:snapToGrid w:val="0"/>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【地方性法规】《宁夏回族自治区爱国卫生工作条例》（2003年）</w:t>
            </w:r>
          </w:p>
          <w:p>
            <w:pPr>
              <w:widowControl/>
              <w:adjustRightInd w:val="0"/>
              <w:snapToGrid w:val="0"/>
              <w:ind w:firstLine="360" w:firstLineChars="200"/>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第十条 各级人民政府或者爱卫会对在爱国卫生工作中取得显著成绩的单位和个人，应当给予表彰、奖励。</w:t>
            </w:r>
          </w:p>
        </w:tc>
        <w:tc>
          <w:tcPr>
            <w:tcW w:w="1227" w:type="dxa"/>
            <w:vAlign w:val="center"/>
          </w:tcPr>
          <w:p>
            <w:pPr>
              <w:jc w:val="center"/>
              <w:rPr>
                <w:rFonts w:hint="eastAsia" w:ascii="仿宋_GB2312" w:hAnsi="仿宋_GB2312" w:eastAsia="仿宋_GB2312" w:cs="仿宋_GB2312"/>
                <w:b w:val="0"/>
                <w:bCs w:val="0"/>
                <w:color w:val="auto"/>
                <w:kern w:val="0"/>
                <w:sz w:val="18"/>
                <w:szCs w:val="18"/>
                <w:highlight w:val="none"/>
                <w:u w:val="none"/>
              </w:rPr>
            </w:pPr>
            <w:r>
              <w:rPr>
                <w:rFonts w:hint="eastAsia" w:ascii="仿宋_GB2312" w:hAnsi="仿宋_GB2312" w:eastAsia="仿宋_GB2312" w:cs="仿宋_GB2312"/>
                <w:b w:val="0"/>
                <w:bCs w:val="0"/>
                <w:color w:val="auto"/>
                <w:kern w:val="0"/>
                <w:sz w:val="18"/>
                <w:szCs w:val="18"/>
                <w:highlight w:val="none"/>
                <w:u w:val="none"/>
              </w:rPr>
              <w:t>表彰、奖励</w:t>
            </w:r>
          </w:p>
        </w:tc>
        <w:tc>
          <w:tcPr>
            <w:tcW w:w="875" w:type="dxa"/>
            <w:vAlign w:val="center"/>
          </w:tcPr>
          <w:p>
            <w:pPr>
              <w:jc w:val="center"/>
              <w:rPr>
                <w:rFonts w:hint="eastAsia" w:ascii="仿宋_GB2312" w:hAnsi="仿宋_GB2312" w:eastAsia="仿宋_GB2312" w:cs="仿宋_GB2312"/>
                <w:b w:val="0"/>
                <w:bCs w:val="0"/>
                <w:color w:val="auto"/>
                <w:kern w:val="0"/>
                <w:sz w:val="18"/>
                <w:szCs w:val="18"/>
                <w:highlight w:val="none"/>
                <w:u w:val="none"/>
              </w:rPr>
            </w:pPr>
          </w:p>
        </w:tc>
      </w:tr>
    </w:tbl>
    <w:p>
      <w:pPr>
        <w:spacing w:line="500" w:lineRule="exact"/>
        <w:jc w:val="both"/>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p>
      <w:pPr>
        <w:pStyle w:val="2"/>
        <w:rPr>
          <w:rFonts w:hint="eastAsia" w:ascii="仿宋_GB2312" w:hAnsi="仿宋_GB2312" w:eastAsia="仿宋_GB2312" w:cs="仿宋_GB2312"/>
          <w:b/>
          <w:color w:val="000000"/>
          <w:kern w:val="0"/>
        </w:rPr>
      </w:pPr>
    </w:p>
    <w:tbl>
      <w:tblPr>
        <w:tblStyle w:val="6"/>
        <w:tblW w:w="14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418"/>
        <w:gridCol w:w="1418"/>
        <w:gridCol w:w="680"/>
        <w:gridCol w:w="680"/>
        <w:gridCol w:w="6804"/>
        <w:gridCol w:w="2268"/>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Header/>
          <w:jc w:val="center"/>
        </w:trPr>
        <w:tc>
          <w:tcPr>
            <w:tcW w:w="551" w:type="dxa"/>
            <w:vAlign w:val="center"/>
          </w:tcPr>
          <w:p>
            <w:pPr>
              <w:widowControl/>
              <w:spacing w:line="260" w:lineRule="exact"/>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序号</w:t>
            </w:r>
          </w:p>
        </w:tc>
        <w:tc>
          <w:tcPr>
            <w:tcW w:w="1418" w:type="dxa"/>
            <w:vAlign w:val="center"/>
          </w:tcPr>
          <w:p>
            <w:pPr>
              <w:spacing w:line="260" w:lineRule="exact"/>
              <w:jc w:val="center"/>
              <w:rPr>
                <w:rFonts w:hint="eastAsia" w:ascii="仿宋_GB2312" w:hAnsi="仿宋_GB2312" w:eastAsia="仿宋_GB2312" w:cs="仿宋_GB2312"/>
                <w:b/>
                <w:kern w:val="0"/>
                <w:sz w:val="18"/>
                <w:szCs w:val="18"/>
                <w:lang w:eastAsia="zh-CN"/>
              </w:rPr>
            </w:pPr>
            <w:r>
              <w:rPr>
                <w:rFonts w:hint="eastAsia" w:ascii="仿宋_GB2312" w:hAnsi="仿宋_GB2312" w:eastAsia="仿宋_GB2312" w:cs="仿宋_GB2312"/>
                <w:b/>
                <w:kern w:val="0"/>
                <w:sz w:val="18"/>
                <w:szCs w:val="18"/>
                <w:lang w:eastAsia="zh-CN"/>
              </w:rPr>
              <w:t>职权类型</w:t>
            </w:r>
          </w:p>
        </w:tc>
        <w:tc>
          <w:tcPr>
            <w:tcW w:w="1418" w:type="dxa"/>
            <w:vAlign w:val="center"/>
          </w:tcPr>
          <w:p>
            <w:pPr>
              <w:spacing w:line="260" w:lineRule="exact"/>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职权名称</w:t>
            </w:r>
          </w:p>
        </w:tc>
        <w:tc>
          <w:tcPr>
            <w:tcW w:w="680" w:type="dxa"/>
            <w:vAlign w:val="center"/>
          </w:tcPr>
          <w:p>
            <w:pPr>
              <w:widowControl/>
              <w:spacing w:line="260" w:lineRule="exact"/>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基本</w:t>
            </w:r>
          </w:p>
          <w:p>
            <w:pPr>
              <w:widowControl/>
              <w:spacing w:line="260" w:lineRule="exact"/>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编码</w:t>
            </w:r>
          </w:p>
        </w:tc>
        <w:tc>
          <w:tcPr>
            <w:tcW w:w="680" w:type="dxa"/>
            <w:vAlign w:val="center"/>
          </w:tcPr>
          <w:p>
            <w:pPr>
              <w:widowControl/>
              <w:spacing w:line="260" w:lineRule="exact"/>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实施部门</w:t>
            </w:r>
          </w:p>
        </w:tc>
        <w:tc>
          <w:tcPr>
            <w:tcW w:w="6804" w:type="dxa"/>
            <w:vAlign w:val="center"/>
          </w:tcPr>
          <w:p>
            <w:pPr>
              <w:widowControl/>
              <w:spacing w:line="260" w:lineRule="exact"/>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职权依据</w:t>
            </w:r>
          </w:p>
        </w:tc>
        <w:tc>
          <w:tcPr>
            <w:tcW w:w="2268" w:type="dxa"/>
            <w:vAlign w:val="center"/>
          </w:tcPr>
          <w:p>
            <w:pPr>
              <w:widowControl/>
              <w:spacing w:line="260" w:lineRule="exact"/>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行使内容</w:t>
            </w:r>
          </w:p>
        </w:tc>
        <w:tc>
          <w:tcPr>
            <w:tcW w:w="778" w:type="dxa"/>
            <w:vAlign w:val="center"/>
          </w:tcPr>
          <w:p>
            <w:pPr>
              <w:widowControl/>
              <w:spacing w:line="260" w:lineRule="exact"/>
              <w:jc w:val="center"/>
              <w:rPr>
                <w:rFonts w:hint="eastAsia" w:ascii="仿宋_GB2312" w:hAnsi="仿宋_GB2312" w:eastAsia="仿宋_GB2312" w:cs="仿宋_GB2312"/>
                <w:b/>
                <w:kern w:val="0"/>
                <w:sz w:val="18"/>
                <w:szCs w:val="18"/>
                <w:lang w:eastAsia="zh-CN"/>
              </w:rPr>
            </w:pPr>
            <w:r>
              <w:rPr>
                <w:rFonts w:hint="eastAsia" w:ascii="仿宋_GB2312" w:hAnsi="仿宋_GB2312" w:eastAsia="仿宋_GB2312" w:cs="仿宋_GB2312"/>
                <w:b/>
                <w:kern w:val="0"/>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551" w:type="dxa"/>
            <w:vAlign w:val="center"/>
          </w:tcPr>
          <w:p>
            <w:pPr>
              <w:widowControl/>
              <w:adjustRightInd w:val="0"/>
              <w:snapToGrid w:val="0"/>
              <w:spacing w:line="26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w:t>
            </w:r>
          </w:p>
        </w:tc>
        <w:tc>
          <w:tcPr>
            <w:tcW w:w="1418" w:type="dxa"/>
            <w:vAlign w:val="center"/>
          </w:tcPr>
          <w:p>
            <w:pPr>
              <w:widowControl/>
              <w:adjustRightInd w:val="0"/>
              <w:snapToGrid w:val="0"/>
              <w:spacing w:line="260" w:lineRule="exact"/>
              <w:rPr>
                <w:rFonts w:hint="eastAsia" w:ascii="仿宋_GB2312" w:hAnsi="仿宋_GB2312" w:eastAsia="仿宋_GB2312" w:cs="仿宋_GB2312"/>
                <w:color w:val="FF0000"/>
                <w:kern w:val="0"/>
                <w:sz w:val="18"/>
                <w:szCs w:val="18"/>
                <w:lang w:eastAsia="zh-CN"/>
              </w:rPr>
            </w:pPr>
            <w:r>
              <w:rPr>
                <w:rFonts w:hint="eastAsia" w:ascii="仿宋_GB2312" w:hAnsi="仿宋_GB2312" w:eastAsia="仿宋_GB2312" w:cs="仿宋_GB2312"/>
                <w:color w:val="000000" w:themeColor="text1"/>
                <w:kern w:val="0"/>
                <w:sz w:val="18"/>
                <w:szCs w:val="18"/>
                <w:lang w:eastAsia="zh-CN"/>
                <w14:textFill>
                  <w14:solidFill>
                    <w14:schemeClr w14:val="tx1"/>
                  </w14:solidFill>
                </w14:textFill>
              </w:rPr>
              <w:t>行政裁决</w:t>
            </w:r>
          </w:p>
        </w:tc>
        <w:tc>
          <w:tcPr>
            <w:tcW w:w="1418" w:type="dxa"/>
            <w:vAlign w:val="center"/>
          </w:tcPr>
          <w:p>
            <w:pPr>
              <w:widowControl/>
              <w:adjustRightInd w:val="0"/>
              <w:snapToGrid w:val="0"/>
              <w:spacing w:line="260" w:lineRule="exac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对医疗机构名称的裁决</w:t>
            </w:r>
          </w:p>
        </w:tc>
        <w:tc>
          <w:tcPr>
            <w:tcW w:w="680" w:type="dxa"/>
            <w:vAlign w:val="center"/>
          </w:tcPr>
          <w:p>
            <w:pPr>
              <w:adjustRightInd w:val="0"/>
              <w:snapToGrid w:val="0"/>
              <w:spacing w:line="260" w:lineRule="exact"/>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0920001000</w:t>
            </w:r>
          </w:p>
        </w:tc>
        <w:tc>
          <w:tcPr>
            <w:tcW w:w="680" w:type="dxa"/>
            <w:vAlign w:val="center"/>
          </w:tcPr>
          <w:p>
            <w:pPr>
              <w:spacing w:line="26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卫生健康局</w:t>
            </w:r>
          </w:p>
        </w:tc>
        <w:tc>
          <w:tcPr>
            <w:tcW w:w="6804" w:type="dxa"/>
            <w:vAlign w:val="center"/>
          </w:tcPr>
          <w:p>
            <w:pPr>
              <w:widowControl/>
              <w:adjustRightInd w:val="0"/>
              <w:snapToGrid w:val="0"/>
              <w:spacing w:line="26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【部门规章】《医疗机构管理条例实施细则》（2017年国家卫生计生委令第12号修正）</w:t>
            </w:r>
          </w:p>
          <w:p>
            <w:pPr>
              <w:widowControl/>
              <w:adjustRightInd w:val="0"/>
              <w:snapToGrid w:val="0"/>
              <w:spacing w:line="26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第四十九条  两个以上申请人向同一核准机关申请相同的医疗机构名称,核准机关依照申请在先原则核定。属于同一天申请的,应当由申请人双方协商解决:协商不成的,由核准机关作出裁决。</w:t>
            </w:r>
          </w:p>
          <w:p>
            <w:pPr>
              <w:spacing w:line="260" w:lineRule="exact"/>
              <w:ind w:firstLine="360" w:firstLineChars="200"/>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两个以上医疗机构因已经核准登记的医疗机构名称相同发生争议时,核准机关依照登记在先原则处理。属于同一天登记的,应当由双方协商解决:协商不成的,由核准机关报上一级</w:t>
            </w:r>
            <w:r>
              <w:rPr>
                <w:rFonts w:hint="eastAsia" w:ascii="仿宋_GB2312" w:hAnsi="仿宋_GB2312" w:eastAsia="仿宋_GB2312" w:cs="仿宋_GB2312"/>
                <w:kern w:val="0"/>
                <w:sz w:val="18"/>
                <w:szCs w:val="18"/>
                <w:lang w:eastAsia="zh-CN"/>
              </w:rPr>
              <w:t>卫生健康局</w:t>
            </w:r>
            <w:r>
              <w:rPr>
                <w:rFonts w:hint="eastAsia" w:ascii="仿宋_GB2312" w:hAnsi="仿宋_GB2312" w:eastAsia="仿宋_GB2312" w:cs="仿宋_GB2312"/>
                <w:kern w:val="0"/>
                <w:sz w:val="18"/>
                <w:szCs w:val="18"/>
              </w:rPr>
              <w:t>作出裁决。</w:t>
            </w:r>
          </w:p>
        </w:tc>
        <w:tc>
          <w:tcPr>
            <w:tcW w:w="2268"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对本级登记注册的医疗机构名称进行裁决</w:t>
            </w:r>
          </w:p>
        </w:tc>
        <w:tc>
          <w:tcPr>
            <w:tcW w:w="778" w:type="dxa"/>
            <w:vAlign w:val="center"/>
          </w:tcPr>
          <w:p>
            <w:pPr>
              <w:spacing w:line="260" w:lineRule="exact"/>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vAlign w:val="center"/>
          </w:tcPr>
          <w:p>
            <w:pPr>
              <w:widowControl/>
              <w:numPr>
                <w:ilvl w:val="0"/>
                <w:numId w:val="0"/>
              </w:numPr>
              <w:adjustRightInd w:val="0"/>
              <w:snapToGrid w:val="0"/>
              <w:spacing w:before="188" w:after="188" w:line="326" w:lineRule="atLeast"/>
              <w:ind w:left="0" w:leftChars="0" w:firstLine="0" w:firstLineChars="0"/>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1</w:t>
            </w:r>
          </w:p>
        </w:tc>
        <w:tc>
          <w:tcPr>
            <w:tcW w:w="1418" w:type="dxa"/>
            <w:vAlign w:val="center"/>
          </w:tcPr>
          <w:p>
            <w:pPr>
              <w:widowControl/>
              <w:snapToGrid w:val="0"/>
              <w:spacing w:line="240" w:lineRule="exact"/>
              <w:rPr>
                <w:rFonts w:hint="eastAsia" w:ascii="仿宋_GB2312" w:hAnsi="仿宋_GB2312" w:eastAsia="仿宋_GB2312" w:cs="仿宋_GB2312"/>
                <w:color w:val="000000" w:themeColor="text1"/>
                <w:kern w:val="0"/>
                <w:sz w:val="18"/>
                <w:szCs w:val="18"/>
                <w:lang w:eastAsia="zh-CN"/>
                <w14:textFill>
                  <w14:solidFill>
                    <w14:schemeClr w14:val="tx1"/>
                  </w14:solidFill>
                </w14:textFill>
              </w:rPr>
            </w:pPr>
            <w:r>
              <w:rPr>
                <w:rFonts w:hint="eastAsia" w:ascii="仿宋_GB2312" w:hAnsi="仿宋_GB2312" w:eastAsia="仿宋_GB2312" w:cs="仿宋_GB2312"/>
                <w:b w:val="0"/>
                <w:bCs/>
                <w:color w:val="auto"/>
                <w:sz w:val="18"/>
                <w:szCs w:val="18"/>
                <w:highlight w:val="none"/>
                <w:u w:val="none"/>
                <w:lang w:eastAsia="zh-CN"/>
              </w:rPr>
              <w:t>其他</w:t>
            </w:r>
          </w:p>
        </w:tc>
        <w:tc>
          <w:tcPr>
            <w:tcW w:w="1418" w:type="dxa"/>
            <w:vAlign w:val="center"/>
          </w:tcPr>
          <w:p>
            <w:pPr>
              <w:widowControl/>
              <w:snapToGrid w:val="0"/>
              <w:spacing w:line="240" w:lineRule="exact"/>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b w:val="0"/>
                <w:bCs/>
                <w:color w:val="auto"/>
                <w:kern w:val="0"/>
                <w:sz w:val="18"/>
                <w:szCs w:val="18"/>
                <w:highlight w:val="none"/>
                <w:u w:val="none"/>
              </w:rPr>
              <w:t>健康合格证核发</w:t>
            </w:r>
          </w:p>
        </w:tc>
        <w:tc>
          <w:tcPr>
            <w:tcW w:w="680" w:type="dxa"/>
            <w:vAlign w:val="center"/>
          </w:tcPr>
          <w:p>
            <w:pPr>
              <w:spacing w:line="240" w:lineRule="exact"/>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 w:val="0"/>
                <w:bCs/>
                <w:color w:val="auto"/>
                <w:sz w:val="18"/>
                <w:szCs w:val="18"/>
                <w:highlight w:val="none"/>
                <w:u w:val="none"/>
              </w:rPr>
              <w:t>1020016000</w:t>
            </w:r>
          </w:p>
        </w:tc>
        <w:tc>
          <w:tcPr>
            <w:tcW w:w="680" w:type="dxa"/>
            <w:vAlign w:val="center"/>
          </w:tcPr>
          <w:p>
            <w:pPr>
              <w:snapToGrid w:val="0"/>
              <w:spacing w:line="26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b w:val="0"/>
                <w:bCs/>
                <w:color w:val="auto"/>
                <w:sz w:val="18"/>
                <w:szCs w:val="18"/>
                <w:highlight w:val="none"/>
                <w:u w:val="none"/>
                <w:lang w:eastAsia="zh-CN"/>
              </w:rPr>
              <w:t>卫生健康局</w:t>
            </w:r>
          </w:p>
        </w:tc>
        <w:tc>
          <w:tcPr>
            <w:tcW w:w="6804" w:type="dxa"/>
            <w:vAlign w:val="center"/>
          </w:tcPr>
          <w:p>
            <w:pPr>
              <w:snapToGrid w:val="0"/>
              <w:spacing w:line="240" w:lineRule="exact"/>
              <w:ind w:firstLine="360" w:firstLineChars="200"/>
              <w:jc w:val="lef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【部门规章】《公共场所卫生管理条例实施细则》（201</w:t>
            </w:r>
            <w:r>
              <w:rPr>
                <w:rFonts w:hint="eastAsia" w:ascii="仿宋_GB2312" w:hAnsi="仿宋_GB2312" w:eastAsia="仿宋_GB2312" w:cs="仿宋_GB2312"/>
                <w:b w:val="0"/>
                <w:bCs/>
                <w:color w:val="auto"/>
                <w:sz w:val="18"/>
                <w:szCs w:val="18"/>
                <w:highlight w:val="none"/>
                <w:u w:val="none"/>
                <w:lang w:val="en-US" w:eastAsia="zh-CN"/>
              </w:rPr>
              <w:t>7</w:t>
            </w:r>
            <w:r>
              <w:rPr>
                <w:rFonts w:hint="eastAsia" w:ascii="仿宋_GB2312" w:hAnsi="仿宋_GB2312" w:eastAsia="仿宋_GB2312" w:cs="仿宋_GB2312"/>
                <w:b w:val="0"/>
                <w:bCs/>
                <w:color w:val="auto"/>
                <w:sz w:val="18"/>
                <w:szCs w:val="18"/>
                <w:highlight w:val="none"/>
                <w:u w:val="none"/>
              </w:rPr>
              <w:t>年国家卫</w:t>
            </w:r>
            <w:r>
              <w:rPr>
                <w:rFonts w:hint="eastAsia" w:ascii="仿宋_GB2312" w:hAnsi="仿宋_GB2312" w:eastAsia="仿宋_GB2312" w:cs="仿宋_GB2312"/>
                <w:b w:val="0"/>
                <w:bCs/>
                <w:color w:val="auto"/>
                <w:sz w:val="18"/>
                <w:szCs w:val="18"/>
                <w:highlight w:val="none"/>
                <w:u w:val="none"/>
                <w:lang w:eastAsia="zh-CN"/>
              </w:rPr>
              <w:t>生</w:t>
            </w:r>
            <w:r>
              <w:rPr>
                <w:rFonts w:hint="eastAsia" w:ascii="仿宋_GB2312" w:hAnsi="仿宋_GB2312" w:eastAsia="仿宋_GB2312" w:cs="仿宋_GB2312"/>
                <w:b w:val="0"/>
                <w:bCs/>
                <w:color w:val="auto"/>
                <w:sz w:val="18"/>
                <w:szCs w:val="18"/>
                <w:highlight w:val="none"/>
                <w:u w:val="none"/>
              </w:rPr>
              <w:t>计</w:t>
            </w:r>
            <w:r>
              <w:rPr>
                <w:rFonts w:hint="eastAsia" w:ascii="仿宋_GB2312" w:hAnsi="仿宋_GB2312" w:eastAsia="仿宋_GB2312" w:cs="仿宋_GB2312"/>
                <w:b w:val="0"/>
                <w:bCs/>
                <w:color w:val="auto"/>
                <w:sz w:val="18"/>
                <w:szCs w:val="18"/>
                <w:highlight w:val="none"/>
                <w:u w:val="none"/>
                <w:lang w:eastAsia="zh-CN"/>
              </w:rPr>
              <w:t>生</w:t>
            </w:r>
            <w:r>
              <w:rPr>
                <w:rFonts w:hint="eastAsia" w:ascii="仿宋_GB2312" w:hAnsi="仿宋_GB2312" w:eastAsia="仿宋_GB2312" w:cs="仿宋_GB2312"/>
                <w:b w:val="0"/>
                <w:bCs/>
                <w:color w:val="auto"/>
                <w:sz w:val="18"/>
                <w:szCs w:val="18"/>
                <w:highlight w:val="none"/>
                <w:u w:val="none"/>
              </w:rPr>
              <w:t>委令第</w:t>
            </w:r>
            <w:r>
              <w:rPr>
                <w:rFonts w:hint="eastAsia" w:ascii="仿宋_GB2312" w:hAnsi="仿宋_GB2312" w:eastAsia="仿宋_GB2312" w:cs="仿宋_GB2312"/>
                <w:b w:val="0"/>
                <w:bCs/>
                <w:color w:val="auto"/>
                <w:sz w:val="18"/>
                <w:szCs w:val="18"/>
                <w:highlight w:val="none"/>
                <w:u w:val="none"/>
                <w:lang w:val="en-US" w:eastAsia="zh-CN"/>
              </w:rPr>
              <w:t>1</w:t>
            </w:r>
            <w:r>
              <w:rPr>
                <w:rFonts w:hint="eastAsia" w:ascii="仿宋_GB2312" w:hAnsi="仿宋_GB2312" w:eastAsia="仿宋_GB2312" w:cs="仿宋_GB2312"/>
                <w:b w:val="0"/>
                <w:bCs/>
                <w:color w:val="auto"/>
                <w:sz w:val="18"/>
                <w:szCs w:val="18"/>
                <w:highlight w:val="none"/>
                <w:u w:val="none"/>
              </w:rPr>
              <w:t>8号修正）</w:t>
            </w:r>
          </w:p>
          <w:p>
            <w:pPr>
              <w:widowControl/>
              <w:snapToGrid w:val="0"/>
              <w:spacing w:line="240" w:lineRule="exact"/>
              <w:ind w:firstLine="360" w:firstLineChars="200"/>
              <w:jc w:val="left"/>
              <w:rPr>
                <w:rFonts w:hint="eastAsia" w:ascii="仿宋_GB2312" w:hAnsi="仿宋_GB2312" w:eastAsia="仿宋_GB2312" w:cs="仿宋_GB2312"/>
                <w:kern w:val="0"/>
                <w:sz w:val="18"/>
                <w:szCs w:val="18"/>
              </w:rPr>
            </w:pPr>
            <w:r>
              <w:rPr>
                <w:rStyle w:val="8"/>
                <w:rFonts w:hint="eastAsia" w:ascii="仿宋_GB2312" w:hAnsi="仿宋_GB2312" w:eastAsia="仿宋_GB2312" w:cs="仿宋_GB2312"/>
                <w:b w:val="0"/>
                <w:bCs/>
                <w:color w:val="auto"/>
                <w:sz w:val="18"/>
                <w:szCs w:val="18"/>
                <w:highlight w:val="none"/>
                <w:u w:val="none"/>
              </w:rPr>
              <w:t>第十条</w:t>
            </w:r>
            <w:r>
              <w:rPr>
                <w:rFonts w:hint="eastAsia" w:ascii="仿宋_GB2312" w:hAnsi="仿宋_GB2312" w:eastAsia="仿宋_GB2312" w:cs="仿宋_GB2312"/>
                <w:b w:val="0"/>
                <w:bCs/>
                <w:color w:val="auto"/>
                <w:sz w:val="18"/>
                <w:szCs w:val="18"/>
                <w:highlight w:val="none"/>
                <w:u w:val="none"/>
              </w:rPr>
              <w:t xml:space="preserve"> 公共场所经营者应当组织从业人员每年进行健康检查，从业人员在取得有效健康合格证明后方可上岗。患有痢疾、伤寒、甲型病毒性肝炎、戊型病毒性肝炎等消化道传染病的人员，以及患有活动性肺结核、化脓性或者渗出性皮肤病等疾病的人员，治愈前不得从事直接为顾客服务的工作。</w:t>
            </w:r>
          </w:p>
        </w:tc>
        <w:tc>
          <w:tcPr>
            <w:tcW w:w="2268" w:type="dxa"/>
            <w:vAlign w:val="center"/>
          </w:tcPr>
          <w:p>
            <w:pPr>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b w:val="0"/>
                <w:bCs/>
                <w:color w:val="auto"/>
                <w:sz w:val="18"/>
                <w:szCs w:val="18"/>
                <w:highlight w:val="none"/>
                <w:u w:val="none"/>
              </w:rPr>
              <w:t>健康合格证核发</w:t>
            </w:r>
          </w:p>
        </w:tc>
        <w:tc>
          <w:tcPr>
            <w:tcW w:w="778" w:type="dxa"/>
            <w:vAlign w:val="center"/>
          </w:tcPr>
          <w:p>
            <w:pPr>
              <w:spacing w:line="240" w:lineRule="exact"/>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551" w:type="dxa"/>
            <w:vAlign w:val="center"/>
          </w:tcPr>
          <w:p>
            <w:pPr>
              <w:widowControl/>
              <w:numPr>
                <w:ilvl w:val="0"/>
                <w:numId w:val="0"/>
              </w:numPr>
              <w:adjustRightInd w:val="0"/>
              <w:snapToGrid w:val="0"/>
              <w:spacing w:before="188" w:after="188" w:line="326" w:lineRule="atLeast"/>
              <w:ind w:left="0" w:leftChars="0" w:firstLine="0" w:firstLineChars="0"/>
              <w:jc w:val="both"/>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2</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其他</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中医诊所备案</w:t>
            </w:r>
          </w:p>
        </w:tc>
        <w:tc>
          <w:tcPr>
            <w:tcW w:w="680" w:type="dxa"/>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10200</w:t>
            </w:r>
          </w:p>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04000</w:t>
            </w:r>
          </w:p>
        </w:tc>
        <w:tc>
          <w:tcPr>
            <w:tcW w:w="680" w:type="dxa"/>
            <w:vAlign w:val="center"/>
          </w:tcPr>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6804" w:type="dxa"/>
            <w:vAlign w:val="center"/>
          </w:tcPr>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【法律】《中华人民共和国中医药法》（2016 年）</w:t>
            </w:r>
          </w:p>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第十四条第二款：举办中医诊所的，将诊所的名称、地址、诊疗范围、人员配备情况等报所在地县级人民政府中医药主管部门备案后即可开展执业活动。</w:t>
            </w:r>
          </w:p>
        </w:tc>
        <w:tc>
          <w:tcPr>
            <w:tcW w:w="2268"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核发《中医诊所备</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案证》</w:t>
            </w:r>
          </w:p>
        </w:tc>
        <w:tc>
          <w:tcPr>
            <w:tcW w:w="778" w:type="dxa"/>
            <w:vAlign w:val="center"/>
          </w:tcPr>
          <w:p>
            <w:pPr>
              <w:spacing w:line="240" w:lineRule="exact"/>
              <w:rPr>
                <w:rFonts w:hint="eastAsia" w:ascii="仿宋_GB2312" w:hAnsi="仿宋_GB2312" w:eastAsia="仿宋_GB2312" w:cs="仿宋_GB2312"/>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vAlign w:val="center"/>
          </w:tcPr>
          <w:p>
            <w:pPr>
              <w:widowControl/>
              <w:numPr>
                <w:ilvl w:val="0"/>
                <w:numId w:val="0"/>
              </w:numPr>
              <w:adjustRightInd w:val="0"/>
              <w:snapToGrid w:val="0"/>
              <w:spacing w:before="188" w:after="188" w:line="326" w:lineRule="atLeast"/>
              <w:ind w:left="0" w:leftChars="0" w:firstLine="0" w:firstLineChars="0"/>
              <w:jc w:val="both"/>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3</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其他</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医师定期考核结果备案</w:t>
            </w:r>
          </w:p>
        </w:tc>
        <w:tc>
          <w:tcPr>
            <w:tcW w:w="680" w:type="dxa"/>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10200</w:t>
            </w:r>
          </w:p>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06000</w:t>
            </w:r>
          </w:p>
        </w:tc>
        <w:tc>
          <w:tcPr>
            <w:tcW w:w="680" w:type="dxa"/>
            <w:vAlign w:val="center"/>
          </w:tcPr>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6804" w:type="dxa"/>
            <w:vAlign w:val="center"/>
          </w:tcPr>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【法律】《中华人民共和国执业医师法》（2009 年修正）</w:t>
            </w:r>
          </w:p>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第三十一条 受县级以上人民政府卫生行政部门委托的机构或者组织应当按照医师执业标准，对医师的业务水平、工作成绩和职业道德状况进行定期考核。 对医师的考核结果，考核机构应当报告准予注册的卫生行政部门备案。对考核不合格的医师，县级以上人民政府卫生行政部门可以责令其暂停执业活动三个月至六个月，并接受培训和继续医学教育。暂停执业活动期满，再次进行考核，对考核合格的，允许其继续执业；对考核不合格的，由县级以上人民政府卫生行政部门注销注册，收回医师执业证书。</w:t>
            </w:r>
          </w:p>
        </w:tc>
        <w:tc>
          <w:tcPr>
            <w:tcW w:w="2268"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医师定期考核结果</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备案</w:t>
            </w:r>
          </w:p>
        </w:tc>
        <w:tc>
          <w:tcPr>
            <w:tcW w:w="778" w:type="dxa"/>
            <w:vAlign w:val="center"/>
          </w:tcPr>
          <w:p>
            <w:pPr>
              <w:spacing w:line="240" w:lineRule="exact"/>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551" w:type="dxa"/>
            <w:vAlign w:val="center"/>
          </w:tcPr>
          <w:p>
            <w:pPr>
              <w:widowControl/>
              <w:numPr>
                <w:ilvl w:val="0"/>
                <w:numId w:val="0"/>
              </w:numPr>
              <w:adjustRightInd w:val="0"/>
              <w:snapToGrid w:val="0"/>
              <w:spacing w:before="188" w:after="188" w:line="326" w:lineRule="atLeast"/>
              <w:ind w:left="0" w:leftChars="0" w:firstLine="0" w:firstLineChars="0"/>
              <w:jc w:val="both"/>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4</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其他</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建立护士执业良好记录和不良记录</w:t>
            </w:r>
          </w:p>
        </w:tc>
        <w:tc>
          <w:tcPr>
            <w:tcW w:w="680" w:type="dxa"/>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10200</w:t>
            </w:r>
          </w:p>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10000</w:t>
            </w:r>
          </w:p>
        </w:tc>
        <w:tc>
          <w:tcPr>
            <w:tcW w:w="680" w:type="dxa"/>
            <w:vAlign w:val="center"/>
          </w:tcPr>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6804" w:type="dxa"/>
            <w:vAlign w:val="center"/>
          </w:tcPr>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【行政法规】《护士条例》（2008 年国务院令第 517 号）</w:t>
            </w:r>
          </w:p>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第十一条 县级以上地方人民政府卫生主管部门应当建立本行政区域的护士执业良好记录和不良记录，并将该记录记入护士执业信息系统。 护士执业良好记录包括护士受到的表彰、奖励以及完成政府指令性任务的情况等内容。护士执业不良记录包括护士因违反本条例以及其他卫生管理法律、法规、规章或者诊疗技术规范的规定受到行政处罚、处分的情况等内容。</w:t>
            </w:r>
          </w:p>
        </w:tc>
        <w:tc>
          <w:tcPr>
            <w:tcW w:w="2268"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护士执业良好记录</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和不良记录</w:t>
            </w:r>
          </w:p>
        </w:tc>
        <w:tc>
          <w:tcPr>
            <w:tcW w:w="778" w:type="dxa"/>
            <w:vAlign w:val="center"/>
          </w:tcPr>
          <w:p>
            <w:pPr>
              <w:spacing w:line="240" w:lineRule="exact"/>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551" w:type="dxa"/>
            <w:vAlign w:val="center"/>
          </w:tcPr>
          <w:p>
            <w:pPr>
              <w:widowControl/>
              <w:numPr>
                <w:ilvl w:val="0"/>
                <w:numId w:val="0"/>
              </w:numPr>
              <w:adjustRightInd w:val="0"/>
              <w:snapToGrid w:val="0"/>
              <w:spacing w:before="188" w:after="188" w:line="326" w:lineRule="atLeast"/>
              <w:ind w:left="0" w:leftChars="0" w:firstLine="0" w:firstLineChars="0"/>
              <w:jc w:val="both"/>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5</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其他</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《放射工作人员证》核发</w:t>
            </w:r>
          </w:p>
        </w:tc>
        <w:tc>
          <w:tcPr>
            <w:tcW w:w="680" w:type="dxa"/>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10200</w:t>
            </w:r>
          </w:p>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12000</w:t>
            </w:r>
          </w:p>
        </w:tc>
        <w:tc>
          <w:tcPr>
            <w:tcW w:w="680" w:type="dxa"/>
            <w:vAlign w:val="center"/>
          </w:tcPr>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6804" w:type="dxa"/>
            <w:vAlign w:val="center"/>
          </w:tcPr>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【部门规章】《放射工作人员职业健康管理办法》（2007 年卫生部令第 55 号）第六条：放射工作人员上岗前，放射工作单位负责向所在地县级以上地方人民政府卫生行政部门为其申请办理《放射工作人员证》。 开展放射诊疗工作的医疗机构，向为其发放《放射诊疗许可证》的卫生行政部门申请办理《放射工作人员证》。</w:t>
            </w:r>
          </w:p>
        </w:tc>
        <w:tc>
          <w:tcPr>
            <w:tcW w:w="2268"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 放 射 工 作 人 员</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证》核发</w:t>
            </w:r>
          </w:p>
        </w:tc>
        <w:tc>
          <w:tcPr>
            <w:tcW w:w="778" w:type="dxa"/>
            <w:vAlign w:val="center"/>
          </w:tcPr>
          <w:p>
            <w:pPr>
              <w:spacing w:line="240" w:lineRule="exact"/>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vAlign w:val="center"/>
          </w:tcPr>
          <w:p>
            <w:pPr>
              <w:widowControl/>
              <w:numPr>
                <w:ilvl w:val="0"/>
                <w:numId w:val="0"/>
              </w:numPr>
              <w:adjustRightInd w:val="0"/>
              <w:snapToGrid w:val="0"/>
              <w:spacing w:before="188" w:after="188" w:line="326" w:lineRule="atLeast"/>
              <w:ind w:left="0" w:leftChars="0" w:firstLine="0" w:firstLineChars="0"/>
              <w:jc w:val="both"/>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6</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其他</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托幼机构卫生保健合格证核发</w:t>
            </w:r>
          </w:p>
        </w:tc>
        <w:tc>
          <w:tcPr>
            <w:tcW w:w="680" w:type="dxa"/>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10200</w:t>
            </w:r>
          </w:p>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13000</w:t>
            </w:r>
          </w:p>
        </w:tc>
        <w:tc>
          <w:tcPr>
            <w:tcW w:w="680" w:type="dxa"/>
            <w:vAlign w:val="center"/>
          </w:tcPr>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6804" w:type="dxa"/>
            <w:vAlign w:val="center"/>
          </w:tcPr>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【部门规章】《托儿所幼儿园卫生保健管理办法》（2010 年卫生部、教育部令第 76 号）</w:t>
            </w:r>
          </w:p>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第八条 新设立的托幼机构，招生前应当取得县级以上地方人民政府卫生行政部门指定的医疗卫生机构出具的符合《托儿所幼儿园卫生保健工作规范》的卫生评价报告。</w:t>
            </w:r>
          </w:p>
        </w:tc>
        <w:tc>
          <w:tcPr>
            <w:tcW w:w="2268"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托幼机构卫生保健</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合格证核发</w:t>
            </w:r>
          </w:p>
        </w:tc>
        <w:tc>
          <w:tcPr>
            <w:tcW w:w="778" w:type="dxa"/>
            <w:vAlign w:val="center"/>
          </w:tcPr>
          <w:p>
            <w:pPr>
              <w:spacing w:line="240" w:lineRule="exact"/>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551" w:type="dxa"/>
            <w:vAlign w:val="center"/>
          </w:tcPr>
          <w:p>
            <w:pPr>
              <w:widowControl/>
              <w:numPr>
                <w:ilvl w:val="0"/>
                <w:numId w:val="0"/>
              </w:numPr>
              <w:adjustRightInd w:val="0"/>
              <w:snapToGrid w:val="0"/>
              <w:spacing w:before="188" w:after="188" w:line="326" w:lineRule="atLeast"/>
              <w:ind w:left="0" w:leftChars="0" w:firstLine="0" w:firstLineChars="0"/>
              <w:jc w:val="both"/>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7</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其他</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预防接种单位的指定</w:t>
            </w:r>
          </w:p>
        </w:tc>
        <w:tc>
          <w:tcPr>
            <w:tcW w:w="680" w:type="dxa"/>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10200</w:t>
            </w:r>
          </w:p>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14000</w:t>
            </w:r>
          </w:p>
        </w:tc>
        <w:tc>
          <w:tcPr>
            <w:tcW w:w="680" w:type="dxa"/>
            <w:vAlign w:val="center"/>
          </w:tcPr>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6804" w:type="dxa"/>
            <w:vAlign w:val="center"/>
          </w:tcPr>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【行政法规】《疫苗流通和预防接种管理条例》（2005 年国务院令第 434 号）</w:t>
            </w:r>
          </w:p>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第八条 经县级人民政府卫生主管部门依照本条例规定指定的医疗卫生机构(以下称接种单位)，承担预防接种工作。县级人民政府卫生主管部门指定接种单位时，应当明确其责任区域。</w:t>
            </w:r>
          </w:p>
        </w:tc>
        <w:tc>
          <w:tcPr>
            <w:tcW w:w="2268"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预防接种单位的指</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定</w:t>
            </w:r>
          </w:p>
        </w:tc>
        <w:tc>
          <w:tcPr>
            <w:tcW w:w="778" w:type="dxa"/>
            <w:vAlign w:val="center"/>
          </w:tcPr>
          <w:p>
            <w:pPr>
              <w:spacing w:line="240" w:lineRule="exact"/>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551" w:type="dxa"/>
            <w:vAlign w:val="center"/>
          </w:tcPr>
          <w:p>
            <w:pPr>
              <w:widowControl/>
              <w:numPr>
                <w:ilvl w:val="0"/>
                <w:numId w:val="0"/>
              </w:numPr>
              <w:adjustRightInd w:val="0"/>
              <w:snapToGrid w:val="0"/>
              <w:spacing w:before="188" w:after="188" w:line="326" w:lineRule="atLeast"/>
              <w:ind w:left="0" w:leftChars="0" w:firstLine="0" w:firstLineChars="0"/>
              <w:jc w:val="both"/>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8</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其他</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村卫生室、诊所和社区卫生服务站使用抗菌药物开展静脉输注活动</w:t>
            </w:r>
          </w:p>
          <w:p>
            <w:pPr>
              <w:widowControl/>
              <w:snapToGrid w:val="0"/>
              <w:spacing w:line="24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核准</w:t>
            </w:r>
          </w:p>
        </w:tc>
        <w:tc>
          <w:tcPr>
            <w:tcW w:w="680" w:type="dxa"/>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10200</w:t>
            </w:r>
          </w:p>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15000</w:t>
            </w:r>
          </w:p>
        </w:tc>
        <w:tc>
          <w:tcPr>
            <w:tcW w:w="680" w:type="dxa"/>
            <w:vAlign w:val="center"/>
          </w:tcPr>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6804" w:type="dxa"/>
            <w:vAlign w:val="center"/>
          </w:tcPr>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【部门规章】《抗菌药物临床应用管理办法》（2012 年卫生部第 84 号令）</w:t>
            </w:r>
          </w:p>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第二十九条 医疗机构应当制定并严格控制门诊患者静脉输注使用抗菌药物比例。</w:t>
            </w:r>
          </w:p>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村卫生室、诊所和社区卫生服务站使用抗菌药物开展静脉输注活动，应当经县级卫生行政部门核准。</w:t>
            </w:r>
          </w:p>
        </w:tc>
        <w:tc>
          <w:tcPr>
            <w:tcW w:w="2268"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村卫生室、诊所和</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社区卫生服务站使</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用抗菌药物开展静</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脉输注活动，应当</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经县级卫生行政部</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门核准。</w:t>
            </w:r>
          </w:p>
        </w:tc>
        <w:tc>
          <w:tcPr>
            <w:tcW w:w="778" w:type="dxa"/>
            <w:vAlign w:val="center"/>
          </w:tcPr>
          <w:p>
            <w:pPr>
              <w:spacing w:line="240" w:lineRule="exact"/>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551" w:type="dxa"/>
            <w:vAlign w:val="center"/>
          </w:tcPr>
          <w:p>
            <w:pPr>
              <w:widowControl/>
              <w:numPr>
                <w:ilvl w:val="0"/>
                <w:numId w:val="0"/>
              </w:numPr>
              <w:adjustRightInd w:val="0"/>
              <w:snapToGrid w:val="0"/>
              <w:spacing w:before="188" w:after="188" w:line="326" w:lineRule="atLeast"/>
              <w:ind w:left="0" w:leftChars="0" w:firstLine="0" w:firstLineChars="0"/>
              <w:jc w:val="both"/>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9</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其他</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《供血浆证》核发</w:t>
            </w:r>
          </w:p>
        </w:tc>
        <w:tc>
          <w:tcPr>
            <w:tcW w:w="680" w:type="dxa"/>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10200</w:t>
            </w:r>
          </w:p>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17000</w:t>
            </w:r>
          </w:p>
        </w:tc>
        <w:tc>
          <w:tcPr>
            <w:tcW w:w="680" w:type="dxa"/>
            <w:vAlign w:val="center"/>
          </w:tcPr>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6804" w:type="dxa"/>
            <w:vAlign w:val="center"/>
          </w:tcPr>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【部门规章】《血液制品管理条例》（2016 年国务院令第 666 号修订）</w:t>
            </w:r>
          </w:p>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第十条 单采血浆站必须对供血浆者进行健康检查；检查合格的，由县级人民政府卫生行政部门核发《供血浆证》。</w:t>
            </w:r>
          </w:p>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供血浆者健康检查标准，由国务院卫生行政部门制定。</w:t>
            </w:r>
          </w:p>
        </w:tc>
        <w:tc>
          <w:tcPr>
            <w:tcW w:w="2268"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核发《供血浆证》</w:t>
            </w:r>
          </w:p>
        </w:tc>
        <w:tc>
          <w:tcPr>
            <w:tcW w:w="778" w:type="dxa"/>
            <w:vAlign w:val="center"/>
          </w:tcPr>
          <w:p>
            <w:pPr>
              <w:spacing w:line="240" w:lineRule="exact"/>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551" w:type="dxa"/>
            <w:vAlign w:val="center"/>
          </w:tcPr>
          <w:p>
            <w:pPr>
              <w:widowControl/>
              <w:numPr>
                <w:ilvl w:val="0"/>
                <w:numId w:val="0"/>
              </w:numPr>
              <w:adjustRightInd w:val="0"/>
              <w:snapToGrid w:val="0"/>
              <w:spacing w:before="188" w:after="188" w:line="326" w:lineRule="atLeast"/>
              <w:ind w:left="0" w:leftChars="0" w:firstLine="0" w:firstLineChars="0"/>
              <w:jc w:val="both"/>
              <w:rPr>
                <w:rFonts w:hint="eastAsia" w:ascii="仿宋_GB2312" w:hAnsi="仿宋_GB2312" w:eastAsia="仿宋_GB2312" w:cs="仿宋_GB2312"/>
                <w:b w:val="0"/>
                <w:bCs/>
                <w:color w:val="auto"/>
                <w:kern w:val="0"/>
                <w:sz w:val="18"/>
                <w:szCs w:val="18"/>
                <w:highlight w:val="none"/>
                <w:u w:val="none"/>
                <w:lang w:val="en-US" w:eastAsia="zh-CN"/>
              </w:rPr>
            </w:pPr>
            <w:r>
              <w:rPr>
                <w:rFonts w:hint="eastAsia" w:ascii="仿宋_GB2312" w:hAnsi="仿宋_GB2312" w:eastAsia="仿宋_GB2312" w:cs="仿宋_GB2312"/>
                <w:b w:val="0"/>
                <w:bCs/>
                <w:color w:val="auto"/>
                <w:kern w:val="0"/>
                <w:sz w:val="18"/>
                <w:szCs w:val="18"/>
                <w:highlight w:val="none"/>
                <w:u w:val="none"/>
                <w:lang w:val="en-US" w:eastAsia="zh-CN"/>
              </w:rPr>
              <w:t>10</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其他</w:t>
            </w:r>
          </w:p>
        </w:tc>
        <w:tc>
          <w:tcPr>
            <w:tcW w:w="1418" w:type="dxa"/>
            <w:vAlign w:val="center"/>
          </w:tcPr>
          <w:p>
            <w:pPr>
              <w:widowControl/>
              <w:snapToGrid w:val="0"/>
              <w:spacing w:line="240" w:lineRule="exact"/>
              <w:rPr>
                <w:rFonts w:hint="eastAsia" w:ascii="仿宋_GB2312" w:hAnsi="仿宋_GB2312" w:eastAsia="仿宋_GB2312" w:cs="仿宋_GB2312"/>
                <w:b w:val="0"/>
                <w:bCs/>
                <w:color w:val="auto"/>
                <w:kern w:val="0"/>
                <w:sz w:val="18"/>
                <w:szCs w:val="18"/>
                <w:highlight w:val="none"/>
                <w:u w:val="none"/>
              </w:rPr>
            </w:pPr>
            <w:r>
              <w:rPr>
                <w:rFonts w:hint="eastAsia" w:ascii="仿宋_GB2312" w:hAnsi="仿宋_GB2312" w:eastAsia="仿宋_GB2312" w:cs="仿宋_GB2312"/>
                <w:b w:val="0"/>
                <w:bCs/>
                <w:color w:val="auto"/>
                <w:kern w:val="0"/>
                <w:sz w:val="18"/>
                <w:szCs w:val="18"/>
                <w:highlight w:val="none"/>
                <w:u w:val="none"/>
              </w:rPr>
              <w:t>职业病危害项目申报</w:t>
            </w:r>
          </w:p>
        </w:tc>
        <w:tc>
          <w:tcPr>
            <w:tcW w:w="680" w:type="dxa"/>
            <w:vAlign w:val="center"/>
          </w:tcPr>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10290</w:t>
            </w:r>
          </w:p>
          <w:p>
            <w:pPr>
              <w:spacing w:line="240" w:lineRule="exact"/>
              <w:jc w:val="center"/>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11000</w:t>
            </w:r>
          </w:p>
        </w:tc>
        <w:tc>
          <w:tcPr>
            <w:tcW w:w="680" w:type="dxa"/>
            <w:vAlign w:val="center"/>
          </w:tcPr>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卫生</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健康</w:t>
            </w:r>
          </w:p>
          <w:p>
            <w:pPr>
              <w:snapToGrid w:val="0"/>
              <w:spacing w:line="260" w:lineRule="exact"/>
              <w:jc w:val="center"/>
              <w:rPr>
                <w:rFonts w:hint="eastAsia" w:ascii="仿宋_GB2312" w:hAnsi="仿宋_GB2312" w:eastAsia="仿宋_GB2312" w:cs="仿宋_GB2312"/>
                <w:b w:val="0"/>
                <w:bCs/>
                <w:color w:val="auto"/>
                <w:sz w:val="18"/>
                <w:szCs w:val="18"/>
                <w:highlight w:val="none"/>
                <w:u w:val="none"/>
                <w:lang w:eastAsia="zh-CN"/>
              </w:rPr>
            </w:pPr>
            <w:r>
              <w:rPr>
                <w:rFonts w:hint="eastAsia" w:ascii="仿宋_GB2312" w:hAnsi="仿宋_GB2312" w:eastAsia="仿宋_GB2312" w:cs="仿宋_GB2312"/>
                <w:b w:val="0"/>
                <w:bCs/>
                <w:color w:val="auto"/>
                <w:sz w:val="18"/>
                <w:szCs w:val="18"/>
                <w:highlight w:val="none"/>
                <w:u w:val="none"/>
                <w:lang w:eastAsia="zh-CN"/>
              </w:rPr>
              <w:t>局</w:t>
            </w:r>
          </w:p>
        </w:tc>
        <w:tc>
          <w:tcPr>
            <w:tcW w:w="6804" w:type="dxa"/>
            <w:vAlign w:val="center"/>
          </w:tcPr>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【法律】《中华人民共和国职业病防治法》（2018 年修正）</w:t>
            </w:r>
          </w:p>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第十六条第一款 国家建立职业病危害项目申报制度。</w:t>
            </w:r>
          </w:p>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第二款 用人单位工作场所存在职业病目录所列职业病的危害因素的，应当及时、如实向所在地安全生产监督管理部门申报危害项目，接受监督。</w:t>
            </w:r>
          </w:p>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第七十一条 用人单位违反本法规定，有下列行为之一的，由卫生行政部门责令限期改正，</w:t>
            </w:r>
          </w:p>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给予警告，可以并处五万元以上十万元以下的罚款：</w:t>
            </w:r>
          </w:p>
          <w:p>
            <w:pPr>
              <w:widowControl/>
              <w:snapToGrid w:val="0"/>
              <w:spacing w:line="240" w:lineRule="exact"/>
              <w:ind w:firstLine="360" w:firstLineChars="200"/>
              <w:jc w:val="left"/>
              <w:rPr>
                <w:rStyle w:val="8"/>
                <w:rFonts w:hint="eastAsia" w:ascii="仿宋_GB2312" w:hAnsi="仿宋_GB2312" w:eastAsia="仿宋_GB2312" w:cs="仿宋_GB2312"/>
                <w:b w:val="0"/>
                <w:bCs/>
                <w:color w:val="auto"/>
                <w:sz w:val="18"/>
                <w:szCs w:val="18"/>
                <w:highlight w:val="none"/>
                <w:u w:val="none"/>
              </w:rPr>
            </w:pPr>
            <w:r>
              <w:rPr>
                <w:rStyle w:val="8"/>
                <w:rFonts w:hint="eastAsia" w:ascii="仿宋_GB2312" w:hAnsi="仿宋_GB2312" w:eastAsia="仿宋_GB2312" w:cs="仿宋_GB2312"/>
                <w:b w:val="0"/>
                <w:bCs/>
                <w:color w:val="auto"/>
                <w:sz w:val="18"/>
                <w:szCs w:val="18"/>
                <w:highlight w:val="none"/>
                <w:u w:val="none"/>
              </w:rPr>
              <w:t>（一）未按照规定及时、如实向卫生行政部门申报产生职业病危害项目的。</w:t>
            </w:r>
          </w:p>
        </w:tc>
        <w:tc>
          <w:tcPr>
            <w:tcW w:w="2268" w:type="dxa"/>
            <w:vAlign w:val="center"/>
          </w:tcPr>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除中央、省属企业</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以外的其他用人单</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位的职业病危害项</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目，向其所在地县</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级 卫 生 健 康 局 申</w:t>
            </w:r>
          </w:p>
          <w:p>
            <w:pPr>
              <w:spacing w:line="240" w:lineRule="exact"/>
              <w:rPr>
                <w:rFonts w:hint="eastAsia" w:ascii="仿宋_GB2312" w:hAnsi="仿宋_GB2312" w:eastAsia="仿宋_GB2312" w:cs="仿宋_GB2312"/>
                <w:b w:val="0"/>
                <w:bCs/>
                <w:color w:val="auto"/>
                <w:sz w:val="18"/>
                <w:szCs w:val="18"/>
                <w:highlight w:val="none"/>
                <w:u w:val="none"/>
              </w:rPr>
            </w:pPr>
            <w:r>
              <w:rPr>
                <w:rFonts w:hint="eastAsia" w:ascii="仿宋_GB2312" w:hAnsi="仿宋_GB2312" w:eastAsia="仿宋_GB2312" w:cs="仿宋_GB2312"/>
                <w:b w:val="0"/>
                <w:bCs/>
                <w:color w:val="auto"/>
                <w:sz w:val="18"/>
                <w:szCs w:val="18"/>
                <w:highlight w:val="none"/>
                <w:u w:val="none"/>
              </w:rPr>
              <w:t>报。</w:t>
            </w:r>
          </w:p>
        </w:tc>
        <w:tc>
          <w:tcPr>
            <w:tcW w:w="778" w:type="dxa"/>
            <w:vAlign w:val="center"/>
          </w:tcPr>
          <w:p>
            <w:pPr>
              <w:spacing w:line="240" w:lineRule="exact"/>
              <w:rPr>
                <w:rFonts w:hint="eastAsia" w:ascii="仿宋_GB2312" w:hAnsi="仿宋_GB2312" w:eastAsia="仿宋_GB2312" w:cs="仿宋_GB2312"/>
                <w:kern w:val="0"/>
                <w:sz w:val="18"/>
                <w:szCs w:val="18"/>
              </w:rPr>
            </w:pPr>
          </w:p>
        </w:tc>
      </w:tr>
    </w:tbl>
    <w:p>
      <w:pPr>
        <w:spacing w:line="500" w:lineRule="exact"/>
        <w:jc w:val="center"/>
        <w:rPr>
          <w:rFonts w:hint="eastAsia" w:ascii="仿宋_GB2312" w:hAnsi="仿宋_GB2312" w:eastAsia="仿宋_GB2312" w:cs="仿宋_GB2312"/>
        </w:rPr>
      </w:pPr>
    </w:p>
    <w:p>
      <w:pPr>
        <w:jc w:val="center"/>
        <w:rPr>
          <w:rFonts w:hint="eastAsia" w:ascii="楷体" w:hAnsi="楷体" w:eastAsia="楷体" w:cs="楷体"/>
          <w:sz w:val="18"/>
          <w:szCs w:val="18"/>
          <w:lang w:eastAsia="zh-CN"/>
        </w:rPr>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BF7D67"/>
    <w:multiLevelType w:val="multilevel"/>
    <w:tmpl w:val="27BF7D6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E4D23F"/>
    <w:multiLevelType w:val="singleLevel"/>
    <w:tmpl w:val="5BE4D23F"/>
    <w:lvl w:ilvl="0" w:tentative="0">
      <w:start w:val="1"/>
      <w:numFmt w:val="chineseCounting"/>
      <w:suff w:val="nothing"/>
      <w:lvlText w:val="（%1）"/>
      <w:lvlJc w:val="left"/>
    </w:lvl>
  </w:abstractNum>
  <w:abstractNum w:abstractNumId="2">
    <w:nsid w:val="5BE50128"/>
    <w:multiLevelType w:val="singleLevel"/>
    <w:tmpl w:val="5BE50128"/>
    <w:lvl w:ilvl="0" w:tentative="0">
      <w:start w:val="1"/>
      <w:numFmt w:val="chineseCounting"/>
      <w:suff w:val="nothing"/>
      <w:lvlText w:val="(%1)"/>
      <w:lvlJc w:val="left"/>
    </w:lvl>
  </w:abstractNum>
  <w:abstractNum w:abstractNumId="3">
    <w:nsid w:val="5DBF973E"/>
    <w:multiLevelType w:val="singleLevel"/>
    <w:tmpl w:val="5DBF973E"/>
    <w:lvl w:ilvl="0" w:tentative="0">
      <w:start w:val="4"/>
      <w:numFmt w:val="chineseCounting"/>
      <w:suff w:val="nothing"/>
      <w:lvlText w:val="第%1条"/>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4041A"/>
    <w:rsid w:val="002130A9"/>
    <w:rsid w:val="002C3B88"/>
    <w:rsid w:val="00FD140F"/>
    <w:rsid w:val="0115502A"/>
    <w:rsid w:val="012432CD"/>
    <w:rsid w:val="016A1426"/>
    <w:rsid w:val="017D3923"/>
    <w:rsid w:val="01870496"/>
    <w:rsid w:val="01946690"/>
    <w:rsid w:val="019B574B"/>
    <w:rsid w:val="01E50321"/>
    <w:rsid w:val="02247E79"/>
    <w:rsid w:val="0265761A"/>
    <w:rsid w:val="042F4DCD"/>
    <w:rsid w:val="04311D22"/>
    <w:rsid w:val="047E6EF7"/>
    <w:rsid w:val="04A01589"/>
    <w:rsid w:val="04CC668C"/>
    <w:rsid w:val="04F56E47"/>
    <w:rsid w:val="052865E0"/>
    <w:rsid w:val="05BB4EC1"/>
    <w:rsid w:val="05E82978"/>
    <w:rsid w:val="05EA36F0"/>
    <w:rsid w:val="05F741B4"/>
    <w:rsid w:val="065867C6"/>
    <w:rsid w:val="076748EA"/>
    <w:rsid w:val="079F472B"/>
    <w:rsid w:val="084C5C63"/>
    <w:rsid w:val="08986B72"/>
    <w:rsid w:val="08D67916"/>
    <w:rsid w:val="08F82B7C"/>
    <w:rsid w:val="09413000"/>
    <w:rsid w:val="0A175570"/>
    <w:rsid w:val="0AB4138E"/>
    <w:rsid w:val="0AB472CE"/>
    <w:rsid w:val="0B134962"/>
    <w:rsid w:val="0B7E583F"/>
    <w:rsid w:val="0BB73D3F"/>
    <w:rsid w:val="0BDF2952"/>
    <w:rsid w:val="0BED280C"/>
    <w:rsid w:val="0C383E1C"/>
    <w:rsid w:val="0C794970"/>
    <w:rsid w:val="0CA76E65"/>
    <w:rsid w:val="0D165DF8"/>
    <w:rsid w:val="0D391222"/>
    <w:rsid w:val="0D4D0004"/>
    <w:rsid w:val="0D614C18"/>
    <w:rsid w:val="0D8B0145"/>
    <w:rsid w:val="0DE61543"/>
    <w:rsid w:val="0DF218E8"/>
    <w:rsid w:val="0E3E7BA4"/>
    <w:rsid w:val="0E4200F1"/>
    <w:rsid w:val="0E4D709B"/>
    <w:rsid w:val="0E6D5653"/>
    <w:rsid w:val="0E7A7828"/>
    <w:rsid w:val="0E9A2461"/>
    <w:rsid w:val="0EFE1AF0"/>
    <w:rsid w:val="0F140208"/>
    <w:rsid w:val="0F442B7D"/>
    <w:rsid w:val="0F485401"/>
    <w:rsid w:val="0FA45E88"/>
    <w:rsid w:val="0FDD21A9"/>
    <w:rsid w:val="106D6F7D"/>
    <w:rsid w:val="10880934"/>
    <w:rsid w:val="10A567DC"/>
    <w:rsid w:val="11206EA4"/>
    <w:rsid w:val="1121620C"/>
    <w:rsid w:val="114B64B5"/>
    <w:rsid w:val="11611F98"/>
    <w:rsid w:val="11EF4E86"/>
    <w:rsid w:val="12023CE6"/>
    <w:rsid w:val="12655CCC"/>
    <w:rsid w:val="126F4E0E"/>
    <w:rsid w:val="1281273E"/>
    <w:rsid w:val="129F2412"/>
    <w:rsid w:val="136B2E47"/>
    <w:rsid w:val="13AC49BF"/>
    <w:rsid w:val="144B6A76"/>
    <w:rsid w:val="1504718B"/>
    <w:rsid w:val="15862769"/>
    <w:rsid w:val="15B86C16"/>
    <w:rsid w:val="16936C8A"/>
    <w:rsid w:val="16DB5259"/>
    <w:rsid w:val="170847F7"/>
    <w:rsid w:val="17262A13"/>
    <w:rsid w:val="17D96E3D"/>
    <w:rsid w:val="17DD0015"/>
    <w:rsid w:val="17FE5BA0"/>
    <w:rsid w:val="17FF3869"/>
    <w:rsid w:val="18381BDD"/>
    <w:rsid w:val="18BE7CA4"/>
    <w:rsid w:val="19265583"/>
    <w:rsid w:val="1955349E"/>
    <w:rsid w:val="195D0063"/>
    <w:rsid w:val="19853020"/>
    <w:rsid w:val="19B829BF"/>
    <w:rsid w:val="19C6675C"/>
    <w:rsid w:val="1A27366A"/>
    <w:rsid w:val="1AE16516"/>
    <w:rsid w:val="1AE856BF"/>
    <w:rsid w:val="1B8A5E48"/>
    <w:rsid w:val="1C09620D"/>
    <w:rsid w:val="1C1862D2"/>
    <w:rsid w:val="1C2B6A4C"/>
    <w:rsid w:val="1C6F5BDC"/>
    <w:rsid w:val="1CBC5B12"/>
    <w:rsid w:val="1CD76DFD"/>
    <w:rsid w:val="1D8F34D1"/>
    <w:rsid w:val="1DE17BD9"/>
    <w:rsid w:val="1E033416"/>
    <w:rsid w:val="1E081FC4"/>
    <w:rsid w:val="1E0E7BB3"/>
    <w:rsid w:val="1E3550E3"/>
    <w:rsid w:val="1E4F2EF3"/>
    <w:rsid w:val="1E640859"/>
    <w:rsid w:val="1EC85CE8"/>
    <w:rsid w:val="1EDD5DC9"/>
    <w:rsid w:val="1EED30D8"/>
    <w:rsid w:val="1F162DCE"/>
    <w:rsid w:val="1F1B757C"/>
    <w:rsid w:val="1FD01C52"/>
    <w:rsid w:val="1FD7053D"/>
    <w:rsid w:val="1FD833C8"/>
    <w:rsid w:val="202A699F"/>
    <w:rsid w:val="20B17F1A"/>
    <w:rsid w:val="20E7441C"/>
    <w:rsid w:val="22973A05"/>
    <w:rsid w:val="22B4501A"/>
    <w:rsid w:val="23C71939"/>
    <w:rsid w:val="23F65937"/>
    <w:rsid w:val="23FA52C1"/>
    <w:rsid w:val="2413115E"/>
    <w:rsid w:val="24411C71"/>
    <w:rsid w:val="24C1278E"/>
    <w:rsid w:val="252D577C"/>
    <w:rsid w:val="25542496"/>
    <w:rsid w:val="25A742B8"/>
    <w:rsid w:val="25BF4467"/>
    <w:rsid w:val="25D62786"/>
    <w:rsid w:val="25E26B5C"/>
    <w:rsid w:val="260D00BA"/>
    <w:rsid w:val="261260C0"/>
    <w:rsid w:val="27167B58"/>
    <w:rsid w:val="27F079EC"/>
    <w:rsid w:val="28097357"/>
    <w:rsid w:val="28536E9F"/>
    <w:rsid w:val="28677371"/>
    <w:rsid w:val="287B4238"/>
    <w:rsid w:val="28BB66FD"/>
    <w:rsid w:val="296E6F40"/>
    <w:rsid w:val="29A136C1"/>
    <w:rsid w:val="29A64AB1"/>
    <w:rsid w:val="29D26B46"/>
    <w:rsid w:val="2A0A4FCC"/>
    <w:rsid w:val="2A28414E"/>
    <w:rsid w:val="2A2A35A1"/>
    <w:rsid w:val="2A4650BA"/>
    <w:rsid w:val="2A901006"/>
    <w:rsid w:val="2B031ED4"/>
    <w:rsid w:val="2B512162"/>
    <w:rsid w:val="2B5B6D06"/>
    <w:rsid w:val="2B5E20C7"/>
    <w:rsid w:val="2B806904"/>
    <w:rsid w:val="2B875535"/>
    <w:rsid w:val="2B8E59AF"/>
    <w:rsid w:val="2B945407"/>
    <w:rsid w:val="2BA504DF"/>
    <w:rsid w:val="2BC61196"/>
    <w:rsid w:val="2C184DEB"/>
    <w:rsid w:val="2CCE77B2"/>
    <w:rsid w:val="2D80749B"/>
    <w:rsid w:val="2E2A6EAB"/>
    <w:rsid w:val="2E8469F5"/>
    <w:rsid w:val="2ECB115A"/>
    <w:rsid w:val="2EF9425B"/>
    <w:rsid w:val="2F1B23B1"/>
    <w:rsid w:val="2F4A69F1"/>
    <w:rsid w:val="2F5F279D"/>
    <w:rsid w:val="2F6179E8"/>
    <w:rsid w:val="2FA85205"/>
    <w:rsid w:val="2FBD1AEF"/>
    <w:rsid w:val="3084198B"/>
    <w:rsid w:val="30B961E8"/>
    <w:rsid w:val="30E02392"/>
    <w:rsid w:val="312E4EB4"/>
    <w:rsid w:val="31DF1FAB"/>
    <w:rsid w:val="3239093C"/>
    <w:rsid w:val="32494A4A"/>
    <w:rsid w:val="3275606A"/>
    <w:rsid w:val="33331979"/>
    <w:rsid w:val="335E52E5"/>
    <w:rsid w:val="34227C6E"/>
    <w:rsid w:val="342E5D91"/>
    <w:rsid w:val="34385B43"/>
    <w:rsid w:val="34513CB2"/>
    <w:rsid w:val="34623267"/>
    <w:rsid w:val="34B41DE9"/>
    <w:rsid w:val="34EB02EA"/>
    <w:rsid w:val="34F7209C"/>
    <w:rsid w:val="3544564E"/>
    <w:rsid w:val="35601E9E"/>
    <w:rsid w:val="356E4455"/>
    <w:rsid w:val="363856DD"/>
    <w:rsid w:val="36624E42"/>
    <w:rsid w:val="36A078A5"/>
    <w:rsid w:val="36EA73A3"/>
    <w:rsid w:val="372A439D"/>
    <w:rsid w:val="37AC2FB8"/>
    <w:rsid w:val="381C672B"/>
    <w:rsid w:val="385E21EC"/>
    <w:rsid w:val="386D23D9"/>
    <w:rsid w:val="38856373"/>
    <w:rsid w:val="38BE6197"/>
    <w:rsid w:val="38CB1CF5"/>
    <w:rsid w:val="38E824B3"/>
    <w:rsid w:val="38EA1995"/>
    <w:rsid w:val="39421385"/>
    <w:rsid w:val="395B578C"/>
    <w:rsid w:val="396A33BC"/>
    <w:rsid w:val="398C3309"/>
    <w:rsid w:val="3A393083"/>
    <w:rsid w:val="3A802498"/>
    <w:rsid w:val="3A9D6BE5"/>
    <w:rsid w:val="3AC91F99"/>
    <w:rsid w:val="3B7028AD"/>
    <w:rsid w:val="3BA5628B"/>
    <w:rsid w:val="3BC225A9"/>
    <w:rsid w:val="3C0905C8"/>
    <w:rsid w:val="3C271A22"/>
    <w:rsid w:val="3C3148F8"/>
    <w:rsid w:val="3C530290"/>
    <w:rsid w:val="3C5917FC"/>
    <w:rsid w:val="3C775133"/>
    <w:rsid w:val="3C8336CA"/>
    <w:rsid w:val="3C967142"/>
    <w:rsid w:val="3C9C242B"/>
    <w:rsid w:val="3CC16D4E"/>
    <w:rsid w:val="3CD95774"/>
    <w:rsid w:val="3D2D4322"/>
    <w:rsid w:val="3D711B90"/>
    <w:rsid w:val="3D7B628F"/>
    <w:rsid w:val="3DD15B75"/>
    <w:rsid w:val="3DD643B8"/>
    <w:rsid w:val="3DF41BA7"/>
    <w:rsid w:val="3DF92592"/>
    <w:rsid w:val="3E2F2A2B"/>
    <w:rsid w:val="3E460248"/>
    <w:rsid w:val="3E481A56"/>
    <w:rsid w:val="3E8317E8"/>
    <w:rsid w:val="3E963AD6"/>
    <w:rsid w:val="3EC459FC"/>
    <w:rsid w:val="3F0F1DDA"/>
    <w:rsid w:val="3F36595B"/>
    <w:rsid w:val="3F3D216A"/>
    <w:rsid w:val="3FA56E33"/>
    <w:rsid w:val="403C562A"/>
    <w:rsid w:val="40AB7CC6"/>
    <w:rsid w:val="40B33E49"/>
    <w:rsid w:val="40CF67A1"/>
    <w:rsid w:val="40E72F15"/>
    <w:rsid w:val="410248F3"/>
    <w:rsid w:val="414461FF"/>
    <w:rsid w:val="41B07D6E"/>
    <w:rsid w:val="41C7719A"/>
    <w:rsid w:val="420C1FBD"/>
    <w:rsid w:val="425A74B2"/>
    <w:rsid w:val="4263582A"/>
    <w:rsid w:val="43285091"/>
    <w:rsid w:val="439D25FB"/>
    <w:rsid w:val="43A644D7"/>
    <w:rsid w:val="43E0553C"/>
    <w:rsid w:val="44627895"/>
    <w:rsid w:val="452B29C7"/>
    <w:rsid w:val="45596122"/>
    <w:rsid w:val="4564061A"/>
    <w:rsid w:val="456F50FA"/>
    <w:rsid w:val="45A204A5"/>
    <w:rsid w:val="45DC2ECC"/>
    <w:rsid w:val="45F47393"/>
    <w:rsid w:val="461908BD"/>
    <w:rsid w:val="46F17BDE"/>
    <w:rsid w:val="46F41FD0"/>
    <w:rsid w:val="47226099"/>
    <w:rsid w:val="47E22DCF"/>
    <w:rsid w:val="483B252D"/>
    <w:rsid w:val="484F168A"/>
    <w:rsid w:val="485A16DE"/>
    <w:rsid w:val="488B03B0"/>
    <w:rsid w:val="48C9623E"/>
    <w:rsid w:val="48D55DCB"/>
    <w:rsid w:val="49CE2F48"/>
    <w:rsid w:val="4A046F32"/>
    <w:rsid w:val="4A0F0191"/>
    <w:rsid w:val="4A405286"/>
    <w:rsid w:val="4ACA3F34"/>
    <w:rsid w:val="4AEA09D6"/>
    <w:rsid w:val="4AEB467D"/>
    <w:rsid w:val="4B6A0DD2"/>
    <w:rsid w:val="4BC25630"/>
    <w:rsid w:val="4BFC0082"/>
    <w:rsid w:val="4C231F99"/>
    <w:rsid w:val="4C2D3847"/>
    <w:rsid w:val="4C392592"/>
    <w:rsid w:val="4CAF7189"/>
    <w:rsid w:val="4CC65C24"/>
    <w:rsid w:val="4CFD3A7D"/>
    <w:rsid w:val="4D770AE4"/>
    <w:rsid w:val="4D7B3F74"/>
    <w:rsid w:val="4DCF31A6"/>
    <w:rsid w:val="4E44041A"/>
    <w:rsid w:val="4E5B2630"/>
    <w:rsid w:val="4ED8523B"/>
    <w:rsid w:val="4EE63E90"/>
    <w:rsid w:val="4EF30010"/>
    <w:rsid w:val="4EF5562B"/>
    <w:rsid w:val="4F2F1C17"/>
    <w:rsid w:val="4F6F20DE"/>
    <w:rsid w:val="4FA97779"/>
    <w:rsid w:val="4FB40507"/>
    <w:rsid w:val="506F24BF"/>
    <w:rsid w:val="50BB6EBB"/>
    <w:rsid w:val="50BD5D1F"/>
    <w:rsid w:val="51154312"/>
    <w:rsid w:val="511A034A"/>
    <w:rsid w:val="51486DA6"/>
    <w:rsid w:val="517574E9"/>
    <w:rsid w:val="51FC6A42"/>
    <w:rsid w:val="520F2EFF"/>
    <w:rsid w:val="522D24B1"/>
    <w:rsid w:val="52370735"/>
    <w:rsid w:val="52C9392B"/>
    <w:rsid w:val="53BF079F"/>
    <w:rsid w:val="53DF555D"/>
    <w:rsid w:val="53E90941"/>
    <w:rsid w:val="54133C1B"/>
    <w:rsid w:val="54926B55"/>
    <w:rsid w:val="549964B0"/>
    <w:rsid w:val="55486C09"/>
    <w:rsid w:val="557B09C3"/>
    <w:rsid w:val="557B1FAC"/>
    <w:rsid w:val="55AD4004"/>
    <w:rsid w:val="55F244FE"/>
    <w:rsid w:val="565551B6"/>
    <w:rsid w:val="565860C6"/>
    <w:rsid w:val="565A7EC9"/>
    <w:rsid w:val="56BE1417"/>
    <w:rsid w:val="56D263C3"/>
    <w:rsid w:val="56FF589F"/>
    <w:rsid w:val="575538F7"/>
    <w:rsid w:val="57647256"/>
    <w:rsid w:val="578C372D"/>
    <w:rsid w:val="57AD1196"/>
    <w:rsid w:val="580C1352"/>
    <w:rsid w:val="583A557E"/>
    <w:rsid w:val="586456EF"/>
    <w:rsid w:val="58C242FA"/>
    <w:rsid w:val="58D908E7"/>
    <w:rsid w:val="592D2591"/>
    <w:rsid w:val="599F3333"/>
    <w:rsid w:val="59B571CA"/>
    <w:rsid w:val="59EF66A0"/>
    <w:rsid w:val="59F62EDB"/>
    <w:rsid w:val="59F9480C"/>
    <w:rsid w:val="5A375495"/>
    <w:rsid w:val="5A823A7B"/>
    <w:rsid w:val="5A894B18"/>
    <w:rsid w:val="5A8C7514"/>
    <w:rsid w:val="5AC66052"/>
    <w:rsid w:val="5B075439"/>
    <w:rsid w:val="5B4E5CCA"/>
    <w:rsid w:val="5B885530"/>
    <w:rsid w:val="5C345EE2"/>
    <w:rsid w:val="5C9F649C"/>
    <w:rsid w:val="5CB91274"/>
    <w:rsid w:val="5CE23401"/>
    <w:rsid w:val="5CEE6D3D"/>
    <w:rsid w:val="5CF66332"/>
    <w:rsid w:val="5CFC60AE"/>
    <w:rsid w:val="5D277196"/>
    <w:rsid w:val="5D6717C1"/>
    <w:rsid w:val="5DDF3953"/>
    <w:rsid w:val="5E520C00"/>
    <w:rsid w:val="5E533924"/>
    <w:rsid w:val="5E5378B1"/>
    <w:rsid w:val="5E743A21"/>
    <w:rsid w:val="5E927152"/>
    <w:rsid w:val="5ED15C59"/>
    <w:rsid w:val="5EE92D8E"/>
    <w:rsid w:val="5F410C37"/>
    <w:rsid w:val="5F6B213C"/>
    <w:rsid w:val="5FD30537"/>
    <w:rsid w:val="5FDA2A03"/>
    <w:rsid w:val="5FE2339A"/>
    <w:rsid w:val="601C43E9"/>
    <w:rsid w:val="60763B7E"/>
    <w:rsid w:val="60A14009"/>
    <w:rsid w:val="60B874BC"/>
    <w:rsid w:val="611D0DF2"/>
    <w:rsid w:val="619A7EDA"/>
    <w:rsid w:val="61B67541"/>
    <w:rsid w:val="61E931BC"/>
    <w:rsid w:val="620E62FA"/>
    <w:rsid w:val="62246E5F"/>
    <w:rsid w:val="6234519D"/>
    <w:rsid w:val="632879DC"/>
    <w:rsid w:val="63710E70"/>
    <w:rsid w:val="63A15929"/>
    <w:rsid w:val="63E53353"/>
    <w:rsid w:val="64B50136"/>
    <w:rsid w:val="65220B6F"/>
    <w:rsid w:val="65245835"/>
    <w:rsid w:val="654A5E6C"/>
    <w:rsid w:val="65B63314"/>
    <w:rsid w:val="65BB7372"/>
    <w:rsid w:val="66CE6C13"/>
    <w:rsid w:val="675A0689"/>
    <w:rsid w:val="67B73910"/>
    <w:rsid w:val="67EC09AE"/>
    <w:rsid w:val="683E0D7B"/>
    <w:rsid w:val="68A2728E"/>
    <w:rsid w:val="68BE1662"/>
    <w:rsid w:val="68E62584"/>
    <w:rsid w:val="690C6372"/>
    <w:rsid w:val="69166715"/>
    <w:rsid w:val="6958227C"/>
    <w:rsid w:val="69B80856"/>
    <w:rsid w:val="69EC06FD"/>
    <w:rsid w:val="6A024DEA"/>
    <w:rsid w:val="6A0A6118"/>
    <w:rsid w:val="6A2848E5"/>
    <w:rsid w:val="6AAB62ED"/>
    <w:rsid w:val="6B2C59B5"/>
    <w:rsid w:val="6B770D06"/>
    <w:rsid w:val="6C4F63C0"/>
    <w:rsid w:val="6C536D36"/>
    <w:rsid w:val="6C6908AB"/>
    <w:rsid w:val="6C7B4561"/>
    <w:rsid w:val="6C862E45"/>
    <w:rsid w:val="6CDF1EA4"/>
    <w:rsid w:val="6CEE6393"/>
    <w:rsid w:val="6D244979"/>
    <w:rsid w:val="6D974A36"/>
    <w:rsid w:val="6DD15800"/>
    <w:rsid w:val="6DE47704"/>
    <w:rsid w:val="6E376F4B"/>
    <w:rsid w:val="6E3E2C2B"/>
    <w:rsid w:val="6EF535D6"/>
    <w:rsid w:val="6F35084A"/>
    <w:rsid w:val="6F5D28D2"/>
    <w:rsid w:val="6F7E196F"/>
    <w:rsid w:val="6F912ACD"/>
    <w:rsid w:val="6FD415F0"/>
    <w:rsid w:val="6FD5507C"/>
    <w:rsid w:val="6FF155E6"/>
    <w:rsid w:val="701C01AD"/>
    <w:rsid w:val="703358F1"/>
    <w:rsid w:val="705A7CFE"/>
    <w:rsid w:val="70620CE7"/>
    <w:rsid w:val="70C93862"/>
    <w:rsid w:val="718C7A57"/>
    <w:rsid w:val="71A60B18"/>
    <w:rsid w:val="71B8772E"/>
    <w:rsid w:val="71D82A81"/>
    <w:rsid w:val="71F91205"/>
    <w:rsid w:val="72375968"/>
    <w:rsid w:val="72BC31E3"/>
    <w:rsid w:val="72BE446B"/>
    <w:rsid w:val="72D51B95"/>
    <w:rsid w:val="731C098B"/>
    <w:rsid w:val="73786B72"/>
    <w:rsid w:val="73B076C5"/>
    <w:rsid w:val="741E5952"/>
    <w:rsid w:val="742A1613"/>
    <w:rsid w:val="744E641C"/>
    <w:rsid w:val="746A4952"/>
    <w:rsid w:val="74813F80"/>
    <w:rsid w:val="74E154F3"/>
    <w:rsid w:val="75010EA5"/>
    <w:rsid w:val="755F3C0D"/>
    <w:rsid w:val="757F044D"/>
    <w:rsid w:val="75F12BA7"/>
    <w:rsid w:val="75F58274"/>
    <w:rsid w:val="765F7427"/>
    <w:rsid w:val="767955A5"/>
    <w:rsid w:val="767B0C51"/>
    <w:rsid w:val="76B86F1E"/>
    <w:rsid w:val="76E67AFA"/>
    <w:rsid w:val="76FF704F"/>
    <w:rsid w:val="770F0FFE"/>
    <w:rsid w:val="77156340"/>
    <w:rsid w:val="774652DB"/>
    <w:rsid w:val="775068F2"/>
    <w:rsid w:val="7783797A"/>
    <w:rsid w:val="779305F0"/>
    <w:rsid w:val="77D51AF4"/>
    <w:rsid w:val="77D66F1A"/>
    <w:rsid w:val="77F74AA7"/>
    <w:rsid w:val="783943B2"/>
    <w:rsid w:val="786A261C"/>
    <w:rsid w:val="788A1DA0"/>
    <w:rsid w:val="788E51F3"/>
    <w:rsid w:val="78DE2D6A"/>
    <w:rsid w:val="78E513F8"/>
    <w:rsid w:val="796C76E7"/>
    <w:rsid w:val="7A2E59FE"/>
    <w:rsid w:val="7A931CEA"/>
    <w:rsid w:val="7A9F03DC"/>
    <w:rsid w:val="7AD5428E"/>
    <w:rsid w:val="7B7A0423"/>
    <w:rsid w:val="7BBE6A72"/>
    <w:rsid w:val="7BC24AED"/>
    <w:rsid w:val="7C0A478C"/>
    <w:rsid w:val="7C4C0E60"/>
    <w:rsid w:val="7CA45435"/>
    <w:rsid w:val="7D0D7484"/>
    <w:rsid w:val="7D725AB5"/>
    <w:rsid w:val="7D9F66EF"/>
    <w:rsid w:val="7DBE128C"/>
    <w:rsid w:val="7E1E5A3A"/>
    <w:rsid w:val="7E717982"/>
    <w:rsid w:val="7E917287"/>
    <w:rsid w:val="7EDB6318"/>
    <w:rsid w:val="7EF87E72"/>
    <w:rsid w:val="7F63360D"/>
    <w:rsid w:val="7FF86752"/>
    <w:rsid w:val="AF5905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ind w:firstLine="0" w:firstLineChars="0"/>
      <w:jc w:val="left"/>
    </w:pPr>
    <w:rPr>
      <w:rFonts w:ascii="方正小标宋_GBK" w:hAnsi="方正小标宋_GBK" w:eastAsia="方正小标宋_GBK" w:cs="Times New Roman"/>
      <w:color w:val="000000"/>
      <w:kern w:val="0"/>
      <w:sz w:val="24"/>
      <w:szCs w:val="22"/>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5">
    <w:name w:val="Normal (Web)"/>
    <w:basedOn w:val="1"/>
    <w:qFormat/>
    <w:uiPriority w:val="0"/>
    <w:pPr>
      <w:spacing w:before="100" w:beforeAutospacing="1" w:after="100" w:afterAutospacing="1"/>
    </w:pPr>
    <w:rPr>
      <w:rFonts w:ascii="宋体" w:eastAsia="宋体" w:cs="宋体"/>
      <w:sz w:val="24"/>
      <w:szCs w:val="24"/>
    </w:rPr>
  </w:style>
  <w:style w:type="character" w:styleId="8">
    <w:name w:val="Strong"/>
    <w:qFormat/>
    <w:uiPriority w:val="22"/>
    <w:rPr>
      <w:b/>
      <w:bCs/>
    </w:rPr>
  </w:style>
  <w:style w:type="character" w:styleId="9">
    <w:name w:val="page number"/>
    <w:basedOn w:val="7"/>
    <w:qFormat/>
    <w:uiPriority w:val="0"/>
  </w:style>
  <w:style w:type="character" w:styleId="10">
    <w:name w:val="Hyperlink"/>
    <w:qFormat/>
    <w:uiPriority w:val="0"/>
    <w:rPr>
      <w:color w:val="136EC2"/>
      <w:u w:val="single"/>
    </w:rPr>
  </w:style>
  <w:style w:type="character" w:styleId="11">
    <w:name w:val="annotation reference"/>
    <w:qFormat/>
    <w:uiPriority w:val="0"/>
    <w:rPr>
      <w:sz w:val="21"/>
      <w:szCs w:val="21"/>
    </w:rPr>
  </w:style>
  <w:style w:type="paragraph" w:customStyle="1" w:styleId="12">
    <w:name w:val="无间隔1"/>
    <w:qFormat/>
    <w:uiPriority w:val="0"/>
    <w:pPr>
      <w:adjustRightInd w:val="0"/>
      <w:snapToGrid w:val="0"/>
    </w:pPr>
    <w:rPr>
      <w:rFonts w:ascii="Tahoma" w:hAnsi="Tahoma" w:eastAsia="微软雅黑" w:cs="Tahoma"/>
      <w:sz w:val="22"/>
      <w:szCs w:val="22"/>
      <w:lang w:val="en-US" w:eastAsia="zh-CN" w:bidi="ar-SA"/>
    </w:rPr>
  </w:style>
  <w:style w:type="paragraph" w:customStyle="1" w:styleId="13">
    <w:name w:val="No Spacing"/>
    <w:next w:val="1"/>
    <w:qFormat/>
    <w:uiPriority w:val="0"/>
    <w:pPr>
      <w:adjustRightInd w:val="0"/>
      <w:snapToGrid w:val="0"/>
    </w:pPr>
    <w:rPr>
      <w:rFonts w:ascii="Tahoma" w:hAnsi="Tahoma" w:eastAsia="微软雅黑" w:cs="Times New Roman"/>
      <w:sz w:val="22"/>
      <w:szCs w:val="22"/>
      <w:lang w:val="en-US" w:eastAsia="zh-CN" w:bidi="ar-SA"/>
    </w:rPr>
  </w:style>
  <w:style w:type="character" w:customStyle="1" w:styleId="14">
    <w:name w:val="apple-converted-spac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2019-12-25T11:40:00Z</dcterms:created>
  <dc:creator>淡淡de雲</dc:creator>
  <cp:lastModifiedBy>guyuan</cp:lastModifiedBy>
  <cp:lastPrinted>2023-02-02T08:30:00Z</cp:lastPrinted>
  <dcterms:modified xsi:type="dcterms:W3CDTF">2024-03-11T17:26:02Z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