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0"/>
          <w:szCs w:val="30"/>
          <w:lang w:val="en-US" w:eastAsia="zh-CN"/>
        </w:rPr>
      </w:pPr>
      <w:r>
        <w:rPr>
          <w:rFonts w:hint="eastAsia" w:ascii="国标黑体" w:hAnsi="国标黑体" w:eastAsia="国标黑体" w:cs="国标黑体"/>
          <w:sz w:val="30"/>
          <w:szCs w:val="30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0"/>
          <w:szCs w:val="30"/>
          <w:lang w:val="en-US" w:eastAsia="zh-CN"/>
        </w:rPr>
        <w:t>2</w:t>
      </w:r>
    </w:p>
    <w:p w14:paraId="1CF0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项目实施承诺书</w:t>
      </w:r>
    </w:p>
    <w:p w14:paraId="4EBF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4F09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致：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</w:t>
      </w:r>
    </w:p>
    <w:p w14:paraId="62E9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我方（承诺方全称：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，统一社会信用代码：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，地址：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，联系方式：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申请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实施隆德县2026年“三北”工程“两化”奖补资金项目，郑重作出以下承诺，自愿接受各方监督，严格履行相关责任与义务：</w:t>
      </w:r>
    </w:p>
    <w:p w14:paraId="6A33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严格按照该项目《隆德县2026年“三北”工程“两化”奖补资金项目实施方案》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《项目建设合同》及相关建设标准、技术规范、质量要求，有序推进项目实施工作，不擅自修改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或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调整建设内容、变更建设标准、缩减建设规模，若确因客观情况需调整，将严格按照规定程序报批，经批准后方可实施。</w:t>
      </w:r>
    </w:p>
    <w:p w14:paraId="2EB7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全面接受项目全过程监管，积极配合甲方及相关职能部门开展的日常检查、专项督查、中期评估等监管工作，如实提供项目实施过程中的各类资料、数据，不隐瞒、不谎报、不弄虚作假，主动配合解决监管中发现的问题，及时整改落实到位。</w:t>
      </w:r>
    </w:p>
    <w:p w14:paraId="6086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严格按照项目验收标准，规范整理项目验收资料，主动配合项目竣工验收工作，确保项目验收合格；自觉接受项目绩效评价，积极提供绩效评价所需的各类佐证材料，配合完成绩效评价的各项工作，对评价中指出的问题及时整改，确保项目达到预期绩效目标。</w:t>
      </w:r>
    </w:p>
    <w:p w14:paraId="4ACB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严格遵守国家法律法规、行业相关规定及项目相关管理要求，规范项目资金使用，专款专用，不截留、挤占、挪用项目资金，确保资金使用合规、高效。</w:t>
      </w:r>
    </w:p>
    <w:p w14:paraId="08FB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加强项目实施过程中的安全管理、质量管理和进度管理，落实安全生产责任制，杜绝安全事故、质量隐患，确保项目按期完成、保质交付。</w:t>
      </w:r>
    </w:p>
    <w:p w14:paraId="46CE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若我方未履行上述承诺，违反相关规定或项目要求，自愿接受甲方及相关部门作出的通报批评、责令整改、终止合同等处理，承担由此造成的一切损失和相关法律责任。</w:t>
      </w:r>
    </w:p>
    <w:p w14:paraId="2706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本承诺书自加盖我方公章之日起生效，有效期至项目竣工验收合格、绩效评价完成且所有整改事项落实到位之日止。</w:t>
      </w:r>
    </w:p>
    <w:p w14:paraId="43D1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68B0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408B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承诺方（盖章）：</w:t>
      </w:r>
    </w:p>
    <w:p w14:paraId="775B1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21229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法定代表人（签字）：</w:t>
      </w:r>
    </w:p>
    <w:p w14:paraId="43847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64C2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6FC8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日期：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年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日</w:t>
      </w:r>
    </w:p>
    <w:p w14:paraId="1D48367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3D4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D98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2D98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889F"/>
    <w:rsid w:val="EFFF889F"/>
    <w:rsid w:val="F6FD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2026-05-12T09:59:00Z</dcterms:created>
  <dc:creator>每一天为明天</dc:creator>
  <cp:lastModifiedBy>每一天为明天</cp:lastModifiedBy>
  <dcterms:modified xsi:type="dcterms:W3CDTF">2026-05-12T09:59:46Z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B213B98FF2D546147D89026A8582F779_41</vt:lpwstr>
  </property>
</Properties>
</file>